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CB729">
      <w:pPr>
        <w:rPr>
          <w:rFonts w:hint="default" w:ascii="Times New Roman" w:hAnsi="Times New Roman" w:eastAsia="宋体" w:cs="Times New Roman"/>
          <w:color w:val="000000" w:themeColor="text1"/>
          <w:sz w:val="36"/>
          <w:szCs w:val="36"/>
          <w:highlight w:val="none"/>
          <w14:textFill>
            <w14:solidFill>
              <w14:schemeClr w14:val="tx1"/>
            </w14:solidFill>
          </w14:textFill>
        </w:rPr>
      </w:pPr>
      <w:bookmarkStart w:id="0" w:name="_Hlk57883707"/>
    </w:p>
    <w:p w14:paraId="3415BC35">
      <w:pPr>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5FB703FD">
      <w:pPr>
        <w:rPr>
          <w:rFonts w:hint="default" w:ascii="Times New Roman" w:hAnsi="Times New Roman" w:eastAsia="宋体" w:cs="Times New Roman"/>
          <w:color w:val="000000" w:themeColor="text1"/>
          <w:sz w:val="36"/>
          <w:szCs w:val="36"/>
          <w:highlight w:val="none"/>
          <w14:textFill>
            <w14:solidFill>
              <w14:schemeClr w14:val="tx1"/>
            </w14:solidFill>
          </w14:textFill>
        </w:rPr>
      </w:pPr>
    </w:p>
    <w:bookmarkEnd w:id="0"/>
    <w:p w14:paraId="693660B6">
      <w:pPr>
        <w:adjustRightInd w:val="0"/>
        <w:snapToGrid w:val="0"/>
        <w:jc w:val="center"/>
        <w:rPr>
          <w:rFonts w:hint="default" w:ascii="Times New Roman" w:hAnsi="Times New Roman" w:eastAsia="宋体" w:cs="Times New Roman"/>
          <w:bCs/>
          <w:color w:val="000000" w:themeColor="text1"/>
          <w:sz w:val="72"/>
          <w:szCs w:val="72"/>
          <w:highlight w:val="none"/>
          <w14:textFill>
            <w14:solidFill>
              <w14:schemeClr w14:val="tx1"/>
            </w14:solidFill>
          </w14:textFill>
        </w:rPr>
      </w:pPr>
      <w:r>
        <w:rPr>
          <w:rFonts w:hint="default" w:ascii="Times New Roman" w:hAnsi="Times New Roman" w:eastAsia="宋体" w:cs="Times New Roman"/>
          <w:bCs/>
          <w:color w:val="000000" w:themeColor="text1"/>
          <w:sz w:val="72"/>
          <w:szCs w:val="72"/>
          <w:highlight w:val="none"/>
          <w14:textFill>
            <w14:solidFill>
              <w14:schemeClr w14:val="tx1"/>
            </w14:solidFill>
          </w14:textFill>
        </w:rPr>
        <w:t>建设项目环境影响报告表</w:t>
      </w:r>
    </w:p>
    <w:p w14:paraId="3522675A">
      <w:pPr>
        <w:adjustRightInd w:val="0"/>
        <w:snapToGrid w:val="0"/>
        <w:spacing w:before="249" w:beforeLines="80"/>
        <w:jc w:val="center"/>
        <w:rPr>
          <w:rFonts w:hint="default" w:ascii="Times New Roman" w:hAnsi="Times New Roman" w:eastAsia="宋体" w:cs="Times New Roman"/>
          <w:bCs/>
          <w:color w:val="000000" w:themeColor="text1"/>
          <w:sz w:val="48"/>
          <w:szCs w:val="48"/>
          <w:highlight w:val="none"/>
          <w14:textFill>
            <w14:solidFill>
              <w14:schemeClr w14:val="tx1"/>
            </w14:solidFill>
          </w14:textFill>
        </w:rPr>
      </w:pPr>
      <w:r>
        <w:rPr>
          <w:rFonts w:hint="default" w:ascii="Times New Roman" w:hAnsi="Times New Roman" w:eastAsia="宋体" w:cs="Times New Roman"/>
          <w:bCs/>
          <w:color w:val="000000" w:themeColor="text1"/>
          <w:sz w:val="48"/>
          <w:szCs w:val="48"/>
          <w:highlight w:val="none"/>
          <w14:textFill>
            <w14:solidFill>
              <w14:schemeClr w14:val="tx1"/>
            </w14:solidFill>
          </w14:textFill>
        </w:rPr>
        <w:t>（污染影响类）</w:t>
      </w:r>
    </w:p>
    <w:p w14:paraId="2550AD9F">
      <w:pPr>
        <w:adjustRightInd w:val="0"/>
        <w:snapToGrid w:val="0"/>
        <w:spacing w:line="288" w:lineRule="auto"/>
        <w:jc w:val="center"/>
        <w:rPr>
          <w:rFonts w:hint="default" w:ascii="Times New Roman" w:hAnsi="Times New Roman" w:eastAsia="宋体" w:cs="Times New Roman"/>
          <w:color w:val="000000" w:themeColor="text1"/>
          <w:kern w:val="44"/>
          <w:sz w:val="44"/>
          <w:szCs w:val="44"/>
          <w:highlight w:val="none"/>
          <w14:textFill>
            <w14:solidFill>
              <w14:schemeClr w14:val="tx1"/>
            </w14:solidFill>
          </w14:textFill>
        </w:rPr>
      </w:pPr>
      <w:bookmarkStart w:id="1" w:name="_Hlk57883728"/>
    </w:p>
    <w:p w14:paraId="0319A75A">
      <w:pPr>
        <w:jc w:val="center"/>
        <w:rPr>
          <w:rFonts w:hint="default" w:ascii="Times New Roman" w:hAnsi="Times New Roman" w:eastAsia="宋体" w:cs="Times New Roman"/>
          <w:color w:val="000000" w:themeColor="text1"/>
          <w:sz w:val="52"/>
          <w:szCs w:val="52"/>
          <w:highlight w:val="none"/>
          <w14:textFill>
            <w14:solidFill>
              <w14:schemeClr w14:val="tx1"/>
            </w14:solidFill>
          </w14:textFill>
        </w:rPr>
      </w:pPr>
    </w:p>
    <w:p w14:paraId="715D80E4">
      <w:pPr>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0ED37F6F">
      <w:pPr>
        <w:pStyle w:val="7"/>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7A335F2B">
      <w:pPr>
        <w:pStyle w:val="8"/>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115B2E09">
      <w:pPr>
        <w:pStyle w:val="9"/>
        <w:rPr>
          <w:rFonts w:hint="default" w:ascii="Times New Roman" w:hAnsi="Times New Roman" w:eastAsia="宋体" w:cs="Times New Roman"/>
          <w:color w:val="000000" w:themeColor="text1"/>
          <w:highlight w:val="none"/>
          <w14:textFill>
            <w14:solidFill>
              <w14:schemeClr w14:val="tx1"/>
            </w14:solidFill>
          </w14:textFill>
        </w:rPr>
      </w:pPr>
    </w:p>
    <w:p w14:paraId="3FEB73C5">
      <w:pPr>
        <w:rPr>
          <w:rFonts w:hint="default" w:ascii="Times New Roman" w:hAnsi="Times New Roman" w:eastAsia="宋体" w:cs="Times New Roman"/>
          <w:color w:val="000000" w:themeColor="text1"/>
          <w:sz w:val="44"/>
          <w:szCs w:val="44"/>
          <w:highlight w:val="none"/>
          <w14:textFill>
            <w14:solidFill>
              <w14:schemeClr w14:val="tx1"/>
            </w14:solidFill>
          </w14:textFill>
        </w:rPr>
      </w:pPr>
    </w:p>
    <w:bookmarkEnd w:id="1"/>
    <w:p w14:paraId="38E6ED43">
      <w:pPr>
        <w:adjustRightInd w:val="0"/>
        <w:snapToGrid w:val="0"/>
        <w:spacing w:line="288" w:lineRule="auto"/>
        <w:ind w:left="1630" w:hanging="1630" w:hangingChars="500"/>
        <w:jc w:val="left"/>
        <w:rPr>
          <w:rFonts w:hint="default" w:ascii="Times New Roman" w:hAnsi="Times New Roman" w:eastAsia="宋体" w:cs="Times New Roman"/>
          <w:color w:val="000000" w:themeColor="text1"/>
          <w:spacing w:val="-17"/>
          <w:sz w:val="36"/>
          <w:szCs w:val="36"/>
          <w:highlight w:val="none"/>
          <w:u w:val="single"/>
          <w:lang w:val="en-US"/>
          <w14:textFill>
            <w14:solidFill>
              <w14:schemeClr w14:val="tx1"/>
            </w14:solidFill>
          </w14:textFill>
        </w:rPr>
      </w:pPr>
      <w:r>
        <w:rPr>
          <w:rFonts w:hint="default" w:ascii="Times New Roman" w:hAnsi="Times New Roman" w:eastAsia="宋体" w:cs="Times New Roman"/>
          <w:color w:val="000000" w:themeColor="text1"/>
          <w:spacing w:val="-17"/>
          <w:sz w:val="36"/>
          <w:szCs w:val="36"/>
          <w:highlight w:val="none"/>
          <w14:textFill>
            <w14:solidFill>
              <w14:schemeClr w14:val="tx1"/>
            </w14:solidFill>
          </w14:textFill>
        </w:rPr>
        <w:t>项目名称：</w:t>
      </w:r>
      <w: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 xml:space="preserve">鸡西市龙广粮食农民专业合作社建设项目              </w:t>
      </w:r>
    </w:p>
    <w:p w14:paraId="1C7E1E44">
      <w:pPr>
        <w:adjustRightInd w:val="0"/>
        <w:snapToGrid w:val="0"/>
        <w:spacing w:line="288" w:lineRule="auto"/>
        <w:rPr>
          <w:rFonts w:hint="default" w:ascii="Times New Roman" w:hAnsi="Times New Roman" w:eastAsia="宋体" w:cs="Times New Roman"/>
          <w:color w:val="000000" w:themeColor="text1"/>
          <w:sz w:val="36"/>
          <w:szCs w:val="36"/>
          <w:highlight w:val="none"/>
          <w:u w:val="single"/>
          <w:lang w:val="en-US"/>
          <w14:textFill>
            <w14:solidFill>
              <w14:schemeClr w14:val="tx1"/>
            </w14:solidFill>
          </w14:textFill>
        </w:rPr>
      </w:pPr>
      <w:r>
        <w:rPr>
          <w:rFonts w:hint="default" w:ascii="Times New Roman" w:hAnsi="Times New Roman" w:eastAsia="宋体" w:cs="Times New Roman"/>
          <w:color w:val="000000" w:themeColor="text1"/>
          <w:sz w:val="36"/>
          <w:szCs w:val="36"/>
          <w:highlight w:val="none"/>
          <w14:textFill>
            <w14:solidFill>
              <w14:schemeClr w14:val="tx1"/>
            </w14:solidFill>
          </w14:textFill>
        </w:rPr>
        <w:t>建设单位：</w:t>
      </w:r>
      <w: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 xml:space="preserve">     鸡西市龙广粮食农民专业合作社        </w:t>
      </w:r>
    </w:p>
    <w:p w14:paraId="6AC77633">
      <w:pPr>
        <w:adjustRightInd w:val="0"/>
        <w:snapToGrid w:val="0"/>
        <w:spacing w:line="288" w:lineRule="auto"/>
        <w:rPr>
          <w:rFonts w:hint="default" w:ascii="Times New Roman" w:hAnsi="Times New Roman" w:eastAsia="宋体" w:cs="Times New Roman"/>
          <w:color w:val="000000" w:themeColor="text1"/>
          <w:sz w:val="36"/>
          <w:szCs w:val="36"/>
          <w:highlight w:val="none"/>
          <w:u w:val="single"/>
          <w14:textFill>
            <w14:solidFill>
              <w14:schemeClr w14:val="tx1"/>
            </w14:solidFill>
          </w14:textFill>
        </w:rPr>
      </w:pPr>
      <w:r>
        <w:rPr>
          <w:rFonts w:hint="default" w:ascii="Times New Roman" w:hAnsi="Times New Roman" w:eastAsia="宋体" w:cs="Times New Roman"/>
          <w:color w:val="000000" w:themeColor="text1"/>
          <w:sz w:val="36"/>
          <w:szCs w:val="36"/>
          <w:highlight w:val="none"/>
          <w14:textFill>
            <w14:solidFill>
              <w14:schemeClr w14:val="tx1"/>
            </w14:solidFill>
          </w14:textFill>
        </w:rPr>
        <w:t>编制日期：</w:t>
      </w:r>
      <w: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202</w:t>
      </w:r>
      <w: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5</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年</w:t>
      </w:r>
      <w: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8</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 xml:space="preserve">月     </w:t>
      </w:r>
      <w: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 xml:space="preserve"> </w:t>
      </w:r>
    </w:p>
    <w:p w14:paraId="7969378C">
      <w:pPr>
        <w:adjustRightInd w:val="0"/>
        <w:snapToGrid w:val="0"/>
        <w:spacing w:line="288" w:lineRule="auto"/>
        <w:ind w:firstLine="1040"/>
        <w:rPr>
          <w:rFonts w:hint="default" w:ascii="Times New Roman" w:hAnsi="Times New Roman" w:eastAsia="宋体" w:cs="Times New Roman"/>
          <w:color w:val="000000" w:themeColor="text1"/>
          <w:sz w:val="36"/>
          <w:szCs w:val="36"/>
          <w:highlight w:val="none"/>
          <w:u w:val="single"/>
          <w14:textFill>
            <w14:solidFill>
              <w14:schemeClr w14:val="tx1"/>
            </w14:solidFill>
          </w14:textFill>
        </w:rPr>
      </w:pPr>
    </w:p>
    <w:p w14:paraId="13B5440D">
      <w:pPr>
        <w:adjustRightInd w:val="0"/>
        <w:snapToGrid w:val="0"/>
        <w:spacing w:line="288" w:lineRule="auto"/>
        <w:ind w:firstLine="1040"/>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24F05C3F">
      <w:pPr>
        <w:adjustRightInd w:val="0"/>
        <w:snapToGrid w:val="0"/>
        <w:spacing w:line="288" w:lineRule="auto"/>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0CC035D0">
      <w:pPr>
        <w:adjustRightInd w:val="0"/>
        <w:snapToGrid w:val="0"/>
        <w:spacing w:line="288" w:lineRule="auto"/>
        <w:ind w:firstLine="1040"/>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75D9BA80">
      <w:pPr>
        <w:adjustRightInd w:val="0"/>
        <w:snapToGrid w:val="0"/>
        <w:spacing w:line="288" w:lineRule="auto"/>
        <w:jc w:val="center"/>
        <w:rPr>
          <w:rFonts w:hint="default" w:ascii="Times New Roman" w:hAnsi="Times New Roman" w:eastAsia="宋体" w:cs="Times New Roman"/>
          <w:color w:val="000000" w:themeColor="text1"/>
          <w:sz w:val="36"/>
          <w:szCs w:val="36"/>
          <w:highlight w:val="none"/>
          <w14:textFill>
            <w14:solidFill>
              <w14:schemeClr w14:val="tx1"/>
            </w14:solidFill>
          </w14:textFill>
        </w:rPr>
        <w:sectPr>
          <w:footerReference r:id="rId3" w:type="default"/>
          <w:pgSz w:w="11850" w:h="16783"/>
          <w:pgMar w:top="1701" w:right="1531" w:bottom="1701" w:left="1531" w:header="851" w:footer="1077" w:gutter="0"/>
          <w:pgBorders>
            <w:top w:val="none" w:sz="0" w:space="0"/>
            <w:left w:val="none" w:sz="0" w:space="0"/>
            <w:bottom w:val="none" w:sz="0" w:space="0"/>
            <w:right w:val="none" w:sz="0" w:space="0"/>
          </w:pgBorders>
          <w:pgNumType w:start="1"/>
          <w:cols w:space="0" w:num="1"/>
          <w:docGrid w:type="lines" w:linePitch="312" w:charSpace="0"/>
        </w:sectPr>
      </w:pPr>
      <w:r>
        <w:rPr>
          <w:rFonts w:hint="default" w:ascii="Times New Roman" w:hAnsi="Times New Roman" w:eastAsia="宋体" w:cs="Times New Roman"/>
          <w:color w:val="000000" w:themeColor="text1"/>
          <w:sz w:val="36"/>
          <w:szCs w:val="36"/>
          <w:highlight w:val="none"/>
          <w14:textFill>
            <w14:solidFill>
              <w14:schemeClr w14:val="tx1"/>
            </w14:solidFill>
          </w14:textFill>
        </w:rPr>
        <w:t>中华人民共和国生态环境部</w:t>
      </w:r>
    </w:p>
    <w:p w14:paraId="6DCE415C">
      <w:pPr>
        <w:adjustRightInd w:val="0"/>
        <w:snapToGrid w:val="0"/>
        <w:spacing w:line="288" w:lineRule="auto"/>
        <w:jc w:val="center"/>
        <w:rPr>
          <w:rFonts w:hint="default" w:ascii="Times New Roman" w:hAnsi="Times New Roman" w:eastAsia="宋体" w:cs="Times New Roman"/>
          <w:color w:val="000000" w:themeColor="text1"/>
          <w:sz w:val="36"/>
          <w:szCs w:val="36"/>
          <w:highlight w:val="none"/>
          <w:lang w:eastAsia="zh-CN"/>
          <w14:textFill>
            <w14:solidFill>
              <w14:schemeClr w14:val="tx1"/>
            </w14:solidFill>
          </w14:textFill>
        </w:rPr>
        <w:sectPr>
          <w:pgSz w:w="11850" w:h="16783"/>
          <w:pgMar w:top="1701" w:right="1531" w:bottom="1701" w:left="1531" w:header="851" w:footer="1077" w:gutter="0"/>
          <w:pgBorders>
            <w:top w:val="none" w:sz="0" w:space="0"/>
            <w:left w:val="none" w:sz="0" w:space="0"/>
            <w:bottom w:val="none" w:sz="0" w:space="0"/>
            <w:right w:val="none" w:sz="0" w:space="0"/>
          </w:pgBorders>
          <w:pgNumType w:start="1"/>
          <w:cols w:space="0" w:num="1"/>
          <w:docGrid w:type="lines" w:linePitch="312" w:charSpace="0"/>
        </w:sect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000625" cy="6654800"/>
            <wp:effectExtent l="0" t="0" r="9525" b="1270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8"/>
                    <a:stretch>
                      <a:fillRect/>
                    </a:stretch>
                  </pic:blipFill>
                  <pic:spPr>
                    <a:xfrm>
                      <a:off x="0" y="0"/>
                      <a:ext cx="5000625" cy="6654800"/>
                    </a:xfrm>
                    <a:prstGeom prst="rect">
                      <a:avLst/>
                    </a:prstGeom>
                    <a:noFill/>
                    <a:ln>
                      <a:noFill/>
                    </a:ln>
                  </pic:spPr>
                </pic:pic>
              </a:graphicData>
            </a:graphic>
          </wp:inline>
        </w:drawing>
      </w:r>
    </w:p>
    <w:p w14:paraId="7883B01E">
      <w:pPr>
        <w:pStyle w:val="28"/>
        <w:spacing w:before="0" w:beforeAutospacing="0" w:after="156" w:afterLines="50" w:afterAutospacing="0"/>
        <w:jc w:val="center"/>
        <w:outlineLvl w:val="0"/>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pPr>
      <w:bookmarkStart w:id="2" w:name="_Toc16950"/>
      <w:r>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t>一、建设项目基本情况</w:t>
      </w:r>
      <w:bookmarkEnd w:id="2"/>
    </w:p>
    <w:tbl>
      <w:tblPr>
        <w:tblStyle w:val="3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24"/>
        <w:gridCol w:w="2139"/>
        <w:gridCol w:w="2145"/>
        <w:gridCol w:w="3163"/>
      </w:tblGrid>
      <w:tr w14:paraId="3A05D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522448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建设项目名称</w:t>
            </w:r>
          </w:p>
        </w:tc>
        <w:tc>
          <w:tcPr>
            <w:tcW w:w="4104" w:type="pct"/>
            <w:gridSpan w:val="3"/>
            <w:vAlign w:val="center"/>
          </w:tcPr>
          <w:p w14:paraId="6982E6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鸡西市龙广粮食农民专业合作社建设项目</w:t>
            </w:r>
          </w:p>
        </w:tc>
      </w:tr>
      <w:tr w14:paraId="4CB0E1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43CF82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项目代码</w:t>
            </w:r>
          </w:p>
        </w:tc>
        <w:tc>
          <w:tcPr>
            <w:tcW w:w="4104" w:type="pct"/>
            <w:gridSpan w:val="3"/>
            <w:vAlign w:val="center"/>
          </w:tcPr>
          <w:p w14:paraId="417577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无</w:t>
            </w:r>
          </w:p>
        </w:tc>
      </w:tr>
      <w:tr w14:paraId="556AD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1CC123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建设单位联系人</w:t>
            </w:r>
          </w:p>
        </w:tc>
        <w:tc>
          <w:tcPr>
            <w:tcW w:w="1179" w:type="pct"/>
            <w:vAlign w:val="center"/>
          </w:tcPr>
          <w:p w14:paraId="79B032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t>袁文文</w:t>
            </w:r>
          </w:p>
        </w:tc>
        <w:tc>
          <w:tcPr>
            <w:tcW w:w="1182" w:type="pct"/>
            <w:vAlign w:val="center"/>
          </w:tcPr>
          <w:p w14:paraId="5C0E5C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联系方式</w:t>
            </w:r>
          </w:p>
        </w:tc>
        <w:tc>
          <w:tcPr>
            <w:tcW w:w="1743" w:type="pct"/>
            <w:vAlign w:val="center"/>
          </w:tcPr>
          <w:p w14:paraId="766F3C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14:textFill>
                  <w14:solidFill>
                    <w14:schemeClr w14:val="tx1"/>
                  </w14:solidFill>
                </w14:textFill>
              </w:rPr>
              <w:t>13624678188</w:t>
            </w:r>
          </w:p>
        </w:tc>
      </w:tr>
      <w:tr w14:paraId="301F1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63C513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建设地点</w:t>
            </w:r>
          </w:p>
        </w:tc>
        <w:tc>
          <w:tcPr>
            <w:tcW w:w="4104" w:type="pct"/>
            <w:gridSpan w:val="3"/>
            <w:vAlign w:val="center"/>
          </w:tcPr>
          <w:p w14:paraId="679EC3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黑龙江省鸡西市滴道区兰岭乡兰岭村</w:t>
            </w:r>
          </w:p>
        </w:tc>
      </w:tr>
      <w:tr w14:paraId="079AB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2B9736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地理坐标</w:t>
            </w:r>
          </w:p>
        </w:tc>
        <w:tc>
          <w:tcPr>
            <w:tcW w:w="4104" w:type="pct"/>
            <w:gridSpan w:val="3"/>
            <w:vAlign w:val="center"/>
          </w:tcPr>
          <w:p w14:paraId="11CFF2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1</w:t>
            </w:r>
            <w:r>
              <w:rPr>
                <w:rFonts w:hint="default" w:ascii="Times New Roman" w:hAnsi="Times New Roman" w:eastAsia="宋体" w:cs="Times New Roman"/>
                <w:color w:val="000000" w:themeColor="text1"/>
                <w:szCs w:val="21"/>
                <w:highlight w:val="none"/>
                <w:u w:val="single"/>
                <w:lang w:val="en-US" w:eastAsia="zh-CN"/>
                <w14:textFill>
                  <w14:solidFill>
                    <w14:schemeClr w14:val="tx1"/>
                  </w14:solidFill>
                </w14:textFill>
              </w:rPr>
              <w:t>30</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度</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u w:val="single"/>
                <w:lang w:val="en-US" w:eastAsia="zh-CN"/>
                <w14:textFill>
                  <w14:solidFill>
                    <w14:schemeClr w14:val="tx1"/>
                  </w14:solidFill>
                </w14:textFill>
              </w:rPr>
              <w:t>43</w:t>
            </w:r>
            <w:r>
              <w:rPr>
                <w:rFonts w:hint="default" w:ascii="Times New Roman" w:hAnsi="Times New Roman" w:eastAsia="宋体" w:cs="Times New Roman"/>
                <w:color w:val="000000" w:themeColor="text1"/>
                <w:szCs w:val="21"/>
                <w:highlight w:val="none"/>
                <w14:textFill>
                  <w14:solidFill>
                    <w14:schemeClr w14:val="tx1"/>
                  </w14:solidFill>
                </w14:textFill>
              </w:rPr>
              <w:t>分</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u w:val="single"/>
                <w:lang w:val="en-US" w:eastAsia="zh-CN"/>
                <w14:textFill>
                  <w14:solidFill>
                    <w14:schemeClr w14:val="tx1"/>
                  </w14:solidFill>
                </w14:textFill>
              </w:rPr>
              <w:t>11.490</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秒，</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4</w:t>
            </w:r>
            <w:r>
              <w:rPr>
                <w:rFonts w:hint="default" w:ascii="Times New Roman" w:hAnsi="Times New Roman" w:eastAsia="宋体" w:cs="Times New Roman"/>
                <w:color w:val="000000" w:themeColor="text1"/>
                <w:szCs w:val="21"/>
                <w:highlight w:val="none"/>
                <w:u w:val="single"/>
                <w:lang w:val="en-US" w:eastAsia="zh-CN"/>
                <w14:textFill>
                  <w14:solidFill>
                    <w14:schemeClr w14:val="tx1"/>
                  </w14:solidFill>
                </w14:textFill>
              </w:rPr>
              <w:t>5</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度</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u w:val="single"/>
                <w:lang w:val="en-US" w:eastAsia="zh-CN"/>
                <w14:textFill>
                  <w14:solidFill>
                    <w14:schemeClr w14:val="tx1"/>
                  </w14:solidFill>
                </w14:textFill>
              </w:rPr>
              <w:t>15</w:t>
            </w:r>
            <w:r>
              <w:rPr>
                <w:rFonts w:hint="default" w:ascii="Times New Roman" w:hAnsi="Times New Roman" w:eastAsia="宋体" w:cs="Times New Roman"/>
                <w:color w:val="000000" w:themeColor="text1"/>
                <w:szCs w:val="21"/>
                <w:highlight w:val="none"/>
                <w14:textFill>
                  <w14:solidFill>
                    <w14:schemeClr w14:val="tx1"/>
                  </w14:solidFill>
                </w14:textFill>
              </w:rPr>
              <w:t>分</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u w:val="single"/>
                <w:lang w:val="en-US" w:eastAsia="zh-CN"/>
                <w14:textFill>
                  <w14:solidFill>
                    <w14:schemeClr w14:val="tx1"/>
                  </w14:solidFill>
                </w14:textFill>
              </w:rPr>
              <w:t>37.640</w:t>
            </w:r>
            <w:r>
              <w:rPr>
                <w:rFonts w:hint="default"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秒）</w:t>
            </w:r>
          </w:p>
        </w:tc>
      </w:tr>
      <w:tr w14:paraId="2A3CF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626EE6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国民经济</w:t>
            </w:r>
          </w:p>
          <w:p w14:paraId="5F9E02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行业类别</w:t>
            </w:r>
          </w:p>
        </w:tc>
        <w:tc>
          <w:tcPr>
            <w:tcW w:w="1179" w:type="pct"/>
            <w:vAlign w:val="center"/>
          </w:tcPr>
          <w:p w14:paraId="27870B2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D4430热力生产和供应、A0514农产品初加工活动</w:t>
            </w:r>
          </w:p>
        </w:tc>
        <w:tc>
          <w:tcPr>
            <w:tcW w:w="1182" w:type="pct"/>
            <w:vAlign w:val="center"/>
          </w:tcPr>
          <w:p w14:paraId="6B94CF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建设项目</w:t>
            </w:r>
          </w:p>
          <w:p w14:paraId="625D81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行业类别</w:t>
            </w:r>
          </w:p>
        </w:tc>
        <w:tc>
          <w:tcPr>
            <w:tcW w:w="1743" w:type="pct"/>
            <w:vAlign w:val="center"/>
          </w:tcPr>
          <w:p w14:paraId="78A48A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 xml:space="preserve"> 91.热力生产和供应工程</w:t>
            </w:r>
          </w:p>
        </w:tc>
      </w:tr>
      <w:tr w14:paraId="3300A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17ED59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建设性质</w:t>
            </w:r>
          </w:p>
        </w:tc>
        <w:tc>
          <w:tcPr>
            <w:tcW w:w="1179" w:type="pct"/>
            <w:vAlign w:val="center"/>
          </w:tcPr>
          <w:p w14:paraId="469F2EB4">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kern w:val="21"/>
                <w:szCs w:val="21"/>
                <w:highlight w:val="none"/>
                <w14:textFill>
                  <w14:solidFill>
                    <w14:schemeClr w14:val="tx1"/>
                  </w14:solidFill>
                </w14:textFill>
              </w:rPr>
              <w:t>新建（迁建）</w:t>
            </w:r>
          </w:p>
          <w:p w14:paraId="2BC7E202">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21"/>
                <w:szCs w:val="21"/>
                <w:highlight w:val="none"/>
                <w14:textFill>
                  <w14:solidFill>
                    <w14:schemeClr w14:val="tx1"/>
                  </w14:solidFill>
                </w14:textFill>
              </w:rPr>
              <w:t>改建</w:t>
            </w:r>
          </w:p>
          <w:p w14:paraId="40E90639">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21"/>
                <w:szCs w:val="21"/>
                <w:highlight w:val="none"/>
                <w14:textFill>
                  <w14:solidFill>
                    <w14:schemeClr w14:val="tx1"/>
                  </w14:solidFill>
                </w14:textFill>
              </w:rPr>
              <w:t>扩建</w:t>
            </w:r>
          </w:p>
          <w:p w14:paraId="636DF1EF">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kern w:val="21"/>
                <w:szCs w:val="21"/>
                <w:highlight w:val="none"/>
                <w14:textFill>
                  <w14:solidFill>
                    <w14:schemeClr w14:val="tx1"/>
                  </w14:solidFill>
                </w14:textFill>
              </w:rPr>
              <w:t>技术改造</w:t>
            </w:r>
          </w:p>
        </w:tc>
        <w:tc>
          <w:tcPr>
            <w:tcW w:w="1182" w:type="pct"/>
            <w:vAlign w:val="center"/>
          </w:tcPr>
          <w:p w14:paraId="083499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建设项目</w:t>
            </w:r>
          </w:p>
          <w:p w14:paraId="6C68CF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申报情形</w:t>
            </w:r>
          </w:p>
        </w:tc>
        <w:tc>
          <w:tcPr>
            <w:tcW w:w="1743" w:type="pct"/>
            <w:vAlign w:val="center"/>
          </w:tcPr>
          <w:p w14:paraId="0209AA87">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21"/>
                <w:szCs w:val="21"/>
                <w:highlight w:val="none"/>
                <w14:textFill>
                  <w14:solidFill>
                    <w14:schemeClr w14:val="tx1"/>
                  </w14:solidFill>
                </w14:textFill>
              </w:rPr>
              <w:t>首次申报项目</w:t>
            </w:r>
          </w:p>
          <w:p w14:paraId="507CF5A2">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kern w:val="21"/>
                <w:szCs w:val="21"/>
                <w:highlight w:val="none"/>
                <w14:textFill>
                  <w14:solidFill>
                    <w14:schemeClr w14:val="tx1"/>
                  </w14:solidFill>
                </w14:textFill>
              </w:rPr>
              <w:t>不予批准后再次申报项目</w:t>
            </w:r>
          </w:p>
          <w:p w14:paraId="710BA242">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kern w:val="21"/>
                <w:szCs w:val="21"/>
                <w:highlight w:val="none"/>
                <w14:textFill>
                  <w14:solidFill>
                    <w14:schemeClr w14:val="tx1"/>
                  </w14:solidFill>
                </w14:textFill>
              </w:rPr>
              <w:t>超五年重新审核项目</w:t>
            </w:r>
          </w:p>
          <w:p w14:paraId="6CD08854">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kern w:val="21"/>
                <w:szCs w:val="21"/>
                <w:highlight w:val="none"/>
                <w14:textFill>
                  <w14:solidFill>
                    <w14:schemeClr w14:val="tx1"/>
                  </w14:solidFill>
                </w14:textFill>
              </w:rPr>
              <w:t>重大变动重新报批项目</w:t>
            </w:r>
          </w:p>
        </w:tc>
      </w:tr>
      <w:tr w14:paraId="66FBF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4789EE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项目审批（核准/</w:t>
            </w:r>
          </w:p>
          <w:p w14:paraId="384722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备案）部门（选填）</w:t>
            </w:r>
          </w:p>
        </w:tc>
        <w:tc>
          <w:tcPr>
            <w:tcW w:w="1179" w:type="pct"/>
            <w:vAlign w:val="center"/>
          </w:tcPr>
          <w:p w14:paraId="6604C0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t>无</w:t>
            </w:r>
          </w:p>
        </w:tc>
        <w:tc>
          <w:tcPr>
            <w:tcW w:w="1182" w:type="pct"/>
            <w:vAlign w:val="center"/>
          </w:tcPr>
          <w:p w14:paraId="1E72C9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项目审批（核准/</w:t>
            </w:r>
          </w:p>
          <w:p w14:paraId="328AC6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备案）文号（选填）</w:t>
            </w:r>
          </w:p>
        </w:tc>
        <w:tc>
          <w:tcPr>
            <w:tcW w:w="1743" w:type="pct"/>
            <w:vAlign w:val="center"/>
          </w:tcPr>
          <w:p w14:paraId="4B2A6E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t>无</w:t>
            </w:r>
          </w:p>
        </w:tc>
      </w:tr>
      <w:tr w14:paraId="4F164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59D099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总投资（万元）</w:t>
            </w:r>
          </w:p>
        </w:tc>
        <w:tc>
          <w:tcPr>
            <w:tcW w:w="1179" w:type="pct"/>
            <w:vAlign w:val="center"/>
          </w:tcPr>
          <w:p w14:paraId="757E7B78">
            <w:pPr>
              <w:pStyle w:val="84"/>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highlight w:val="none"/>
                <w:lang w:val="en-US" w:eastAsia="zh-CN"/>
                <w14:textFill>
                  <w14:solidFill>
                    <w14:schemeClr w14:val="tx1"/>
                  </w14:solidFill>
                </w14:textFill>
              </w:rPr>
              <w:t>280</w:t>
            </w:r>
          </w:p>
        </w:tc>
        <w:tc>
          <w:tcPr>
            <w:tcW w:w="1182" w:type="pct"/>
            <w:tcMar>
              <w:top w:w="16" w:type="dxa"/>
              <w:left w:w="16" w:type="dxa"/>
              <w:right w:w="16" w:type="dxa"/>
            </w:tcMar>
            <w:vAlign w:val="center"/>
          </w:tcPr>
          <w:p w14:paraId="3B0A01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环保投资（万元）</w:t>
            </w:r>
          </w:p>
        </w:tc>
        <w:tc>
          <w:tcPr>
            <w:tcW w:w="1743" w:type="pct"/>
            <w:vAlign w:val="center"/>
          </w:tcPr>
          <w:p w14:paraId="5D69EA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eastAsia" w:cs="Times New Roman"/>
                <w:color w:val="000000" w:themeColor="text1"/>
                <w:kern w:val="21"/>
                <w:szCs w:val="21"/>
                <w:highlight w:val="none"/>
                <w:lang w:val="en-US" w:eastAsia="zh-CN"/>
                <w14:textFill>
                  <w14:solidFill>
                    <w14:schemeClr w14:val="tx1"/>
                  </w14:solidFill>
                </w14:textFill>
              </w:rPr>
              <w:t>7.5</w:t>
            </w:r>
          </w:p>
        </w:tc>
      </w:tr>
      <w:tr w14:paraId="544C1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146FF4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环保投资占比（%）</w:t>
            </w:r>
          </w:p>
        </w:tc>
        <w:tc>
          <w:tcPr>
            <w:tcW w:w="1179" w:type="pct"/>
            <w:vAlign w:val="center"/>
          </w:tcPr>
          <w:p w14:paraId="37694C6A">
            <w:pPr>
              <w:pStyle w:val="84"/>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21"/>
                <w:highlight w:val="none"/>
                <w:lang w:val="en-US" w:eastAsia="zh-CN"/>
                <w14:textFill>
                  <w14:solidFill>
                    <w14:schemeClr w14:val="tx1"/>
                  </w14:solidFill>
                </w14:textFill>
              </w:rPr>
            </w:pPr>
            <w:r>
              <w:rPr>
                <w:rFonts w:hint="eastAsia" w:eastAsia="宋体" w:cs="Times New Roman"/>
                <w:color w:val="000000" w:themeColor="text1"/>
                <w:kern w:val="21"/>
                <w:highlight w:val="none"/>
                <w:lang w:val="en-US" w:eastAsia="zh-CN"/>
                <w14:textFill>
                  <w14:solidFill>
                    <w14:schemeClr w14:val="tx1"/>
                  </w14:solidFill>
                </w14:textFill>
              </w:rPr>
              <w:t>2.68</w:t>
            </w:r>
          </w:p>
        </w:tc>
        <w:tc>
          <w:tcPr>
            <w:tcW w:w="1182" w:type="pct"/>
            <w:tcMar>
              <w:top w:w="16" w:type="dxa"/>
              <w:left w:w="16" w:type="dxa"/>
              <w:right w:w="16" w:type="dxa"/>
            </w:tcMar>
            <w:vAlign w:val="center"/>
          </w:tcPr>
          <w:p w14:paraId="27588D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施工工期</w:t>
            </w:r>
          </w:p>
        </w:tc>
        <w:tc>
          <w:tcPr>
            <w:tcW w:w="1743" w:type="pct"/>
            <w:vAlign w:val="center"/>
          </w:tcPr>
          <w:p w14:paraId="17E736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t>2025年1</w:t>
            </w:r>
            <w:r>
              <w:rPr>
                <w:rFonts w:hint="eastAsia" w:cs="Times New Roman"/>
                <w:color w:val="000000" w:themeColor="text1"/>
                <w:kern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t>月-2025年1</w:t>
            </w:r>
            <w:r>
              <w:rPr>
                <w:rFonts w:hint="eastAsia" w:cs="Times New Roman"/>
                <w:color w:val="000000" w:themeColor="text1"/>
                <w:kern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t>月</w:t>
            </w:r>
          </w:p>
        </w:tc>
      </w:tr>
      <w:tr w14:paraId="62CA1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7763FE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是否开工建设</w:t>
            </w:r>
          </w:p>
        </w:tc>
        <w:tc>
          <w:tcPr>
            <w:tcW w:w="1179" w:type="pct"/>
            <w:vAlign w:val="center"/>
          </w:tcPr>
          <w:p w14:paraId="2D8BC91C">
            <w:pPr>
              <w:keepNext w:val="0"/>
              <w:keepLines w:val="0"/>
              <w:suppressLineNumbers w:val="0"/>
              <w:spacing w:before="0" w:beforeAutospacing="0" w:after="0" w:afterAutospacing="0"/>
              <w:ind w:left="0" w:right="0" w:firstLine="105"/>
              <w:jc w:val="left"/>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kern w:val="21"/>
                <w:szCs w:val="21"/>
                <w:highlight w:val="none"/>
                <w14:textFill>
                  <w14:solidFill>
                    <w14:schemeClr w14:val="tx1"/>
                  </w14:solidFill>
                </w14:textFill>
              </w:rPr>
              <w:t>否</w:t>
            </w:r>
          </w:p>
          <w:p w14:paraId="4CADEBA8">
            <w:pPr>
              <w:keepNext w:val="0"/>
              <w:keepLines w:val="0"/>
              <w:suppressLineNumbers w:val="0"/>
              <w:spacing w:before="0" w:beforeAutospacing="0" w:after="0" w:afterAutospacing="0"/>
              <w:ind w:left="0" w:right="0" w:firstLine="92"/>
              <w:jc w:val="left"/>
              <w:rPr>
                <w:rFonts w:hint="default" w:ascii="Times New Roman" w:hAnsi="Times New Roman" w:eastAsia="宋体" w:cs="Times New Roman"/>
                <w:color w:val="000000" w:themeColor="text1"/>
                <w:kern w:val="21"/>
                <w:szCs w:val="21"/>
                <w:highlight w:val="none"/>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kern w:val="21"/>
                <w:szCs w:val="21"/>
                <w:highlight w:val="none"/>
                <w14:textFill>
                  <w14:solidFill>
                    <w14:schemeClr w14:val="tx1"/>
                  </w14:solidFill>
                </w14:textFill>
              </w:rPr>
              <w:t>是：</w:t>
            </w:r>
            <w:r>
              <w:rPr>
                <w:rFonts w:hint="default" w:ascii="Times New Roman" w:hAnsi="Times New Roman" w:eastAsia="宋体" w:cs="Times New Roman"/>
                <w:color w:val="000000" w:themeColor="text1"/>
                <w:kern w:val="21"/>
                <w:szCs w:val="21"/>
                <w:highlight w:val="none"/>
                <w:u w:val="single"/>
                <w:lang w:val="en-US" w:eastAsia="zh-CN"/>
                <w14:textFill>
                  <w14:solidFill>
                    <w14:schemeClr w14:val="tx1"/>
                  </w14:solidFill>
                </w14:textFill>
              </w:rPr>
              <w:t xml:space="preserve">          </w:t>
            </w:r>
          </w:p>
        </w:tc>
        <w:tc>
          <w:tcPr>
            <w:tcW w:w="1182" w:type="pct"/>
            <w:vAlign w:val="center"/>
          </w:tcPr>
          <w:p w14:paraId="5F2CE106">
            <w:pPr>
              <w:keepNext w:val="0"/>
              <w:keepLines w:val="0"/>
              <w:suppressLineNumbers w:val="0"/>
              <w:spacing w:before="0" w:beforeAutospacing="0" w:after="0" w:afterAutospacing="0"/>
              <w:ind w:left="0" w:right="0" w:firstLine="92"/>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用地（用海）面积（m</w:t>
            </w:r>
            <w:r>
              <w:rPr>
                <w:rFonts w:hint="default" w:ascii="Times New Roman" w:hAnsi="Times New Roman" w:eastAsia="宋体" w:cs="Times New Roman"/>
                <w:color w:val="000000" w:themeColor="text1"/>
                <w:kern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21"/>
                <w:szCs w:val="21"/>
                <w:highlight w:val="none"/>
                <w14:textFill>
                  <w14:solidFill>
                    <w14:schemeClr w14:val="tx1"/>
                  </w14:solidFill>
                </w14:textFill>
              </w:rPr>
              <w:t>）</w:t>
            </w:r>
          </w:p>
        </w:tc>
        <w:tc>
          <w:tcPr>
            <w:tcW w:w="1743" w:type="pct"/>
            <w:vAlign w:val="center"/>
          </w:tcPr>
          <w:p w14:paraId="575C2DF2">
            <w:pPr>
              <w:pStyle w:val="2"/>
              <w:keepLines w:val="0"/>
              <w:suppressLineNumbers w:val="0"/>
              <w:spacing w:beforeAutospacing="0" w:afterAutospacing="0" w:line="240" w:lineRule="auto"/>
              <w:ind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eastAsia" w:eastAsia="宋体" w:cs="Times New Roman"/>
                <w:b w:val="0"/>
                <w:bCs w:val="0"/>
                <w:color w:val="000000" w:themeColor="text1"/>
                <w:kern w:val="21"/>
                <w:sz w:val="21"/>
                <w:szCs w:val="21"/>
                <w:highlight w:val="none"/>
                <w:lang w:val="en-US" w:eastAsia="zh-CN"/>
                <w14:textFill>
                  <w14:solidFill>
                    <w14:schemeClr w14:val="tx1"/>
                  </w14:solidFill>
                </w14:textFill>
              </w:rPr>
              <w:t>0</w:t>
            </w:r>
          </w:p>
        </w:tc>
      </w:tr>
      <w:tr w14:paraId="01558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895" w:type="pct"/>
            <w:tcMar>
              <w:top w:w="16" w:type="dxa"/>
              <w:left w:w="16" w:type="dxa"/>
              <w:right w:w="16" w:type="dxa"/>
            </w:tcMar>
            <w:vAlign w:val="center"/>
          </w:tcPr>
          <w:p w14:paraId="3FD187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专项评价设置情况</w:t>
            </w:r>
          </w:p>
        </w:tc>
        <w:tc>
          <w:tcPr>
            <w:tcW w:w="4104" w:type="pct"/>
            <w:gridSpan w:val="3"/>
            <w:tcMar>
              <w:top w:w="16" w:type="dxa"/>
              <w:left w:w="16" w:type="dxa"/>
              <w:right w:w="16" w:type="dxa"/>
            </w:tcMar>
            <w:vAlign w:val="center"/>
          </w:tcPr>
          <w:p w14:paraId="4F1D692F">
            <w:pPr>
              <w:keepNext w:val="0"/>
              <w:keepLines w:val="0"/>
              <w:suppressLineNumbers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根据《建设项目环境影响报告表编制技术指南（污染影响类）》可知，土壤、声环境</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Cs w:val="21"/>
                <w:highlight w:val="none"/>
                <w14:textFill>
                  <w14:solidFill>
                    <w14:schemeClr w14:val="tx1"/>
                  </w14:solidFill>
                </w14:textFill>
              </w:rPr>
              <w:t>地下水不开展专项评价，本项目大气、地表水、环境风险、生态和海洋专项评价设置情况详见下表1-1。</w:t>
            </w:r>
          </w:p>
          <w:p w14:paraId="008E5AB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表1-1本项目专项评价设置情况</w:t>
            </w:r>
          </w:p>
          <w:tbl>
            <w:tblPr>
              <w:tblStyle w:val="3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70"/>
              <w:gridCol w:w="4045"/>
            </w:tblGrid>
            <w:tr w14:paraId="23CB8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563FF1A9">
                  <w:pPr>
                    <w:pStyle w:val="26"/>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设置原则</w:t>
                  </w:r>
                </w:p>
              </w:tc>
              <w:tc>
                <w:tcPr>
                  <w:tcW w:w="2727" w:type="pct"/>
                  <w:noWrap w:val="0"/>
                  <w:vAlign w:val="center"/>
                </w:tcPr>
                <w:p w14:paraId="46CB8BFB">
                  <w:pPr>
                    <w:pStyle w:val="26"/>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本项目设置情况</w:t>
                  </w:r>
                </w:p>
              </w:tc>
            </w:tr>
            <w:tr w14:paraId="370D77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4272C1D6">
                  <w:pPr>
                    <w:pStyle w:val="26"/>
                    <w:keepNext w:val="0"/>
                    <w:keepLines w:val="0"/>
                    <w:suppressLineNumbers w:val="0"/>
                    <w:spacing w:before="0" w:beforeAutospacing="0" w:after="0" w:afterAutospacing="0"/>
                    <w:ind w:left="0" w:leftChars="0" w:right="0"/>
                    <w:jc w:val="both"/>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排放废气含有毒有害污染物、二噁英、苯并[</w:t>
                  </w:r>
                  <w:r>
                    <w:rPr>
                      <w:rFonts w:hint="default" w:ascii="Times New Roman" w:hAnsi="Times New Roman" w:eastAsia="宋体" w:cs="Times New Roman"/>
                      <w:i/>
                      <w:color w:val="000000" w:themeColor="text1"/>
                      <w:sz w:val="18"/>
                      <w:szCs w:val="18"/>
                      <w:highlight w:val="none"/>
                      <w14:textFill>
                        <w14:solidFill>
                          <w14:schemeClr w14:val="tx1"/>
                        </w14:solidFill>
                      </w14:textFill>
                    </w:rPr>
                    <w:t>a</w:t>
                  </w:r>
                  <w:r>
                    <w:rPr>
                      <w:rFonts w:hint="default" w:ascii="Times New Roman" w:hAnsi="Times New Roman" w:eastAsia="宋体" w:cs="Times New Roman"/>
                      <w:color w:val="000000" w:themeColor="text1"/>
                      <w:sz w:val="18"/>
                      <w:szCs w:val="18"/>
                      <w:highlight w:val="none"/>
                      <w14:textFill>
                        <w14:solidFill>
                          <w14:schemeClr w14:val="tx1"/>
                        </w14:solidFill>
                      </w14:textFill>
                    </w:rPr>
                    <w:t>]芘、氰化物、氯气且厂界外500米范围内有环境空气保护目标的建设项目</w:t>
                  </w:r>
                </w:p>
              </w:tc>
              <w:tc>
                <w:tcPr>
                  <w:tcW w:w="2727" w:type="pct"/>
                  <w:noWrap w:val="0"/>
                  <w:vAlign w:val="center"/>
                </w:tcPr>
                <w:p w14:paraId="0A4C2E60">
                  <w:pPr>
                    <w:pStyle w:val="26"/>
                    <w:keepNext w:val="0"/>
                    <w:keepLines w:val="0"/>
                    <w:suppressLineNumbers w:val="0"/>
                    <w:spacing w:before="0" w:beforeAutospacing="0" w:after="0" w:afterAutospacing="0"/>
                    <w:ind w:left="0" w:leftChars="0" w:right="0"/>
                    <w:jc w:val="both"/>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本项目排放废气中不含有毒有害污染物、二噁英、苯并[</w:t>
                  </w:r>
                  <w:r>
                    <w:rPr>
                      <w:rFonts w:hint="default" w:ascii="Times New Roman" w:hAnsi="Times New Roman" w:eastAsia="宋体" w:cs="Times New Roman"/>
                      <w:i/>
                      <w:color w:val="000000" w:themeColor="text1"/>
                      <w:sz w:val="18"/>
                      <w:szCs w:val="18"/>
                      <w:highlight w:val="none"/>
                      <w14:textFill>
                        <w14:solidFill>
                          <w14:schemeClr w14:val="tx1"/>
                        </w14:solidFill>
                      </w14:textFill>
                    </w:rPr>
                    <w:t>a</w:t>
                  </w:r>
                  <w:r>
                    <w:rPr>
                      <w:rFonts w:hint="default" w:ascii="Times New Roman" w:hAnsi="Times New Roman" w:eastAsia="宋体" w:cs="Times New Roman"/>
                      <w:color w:val="000000" w:themeColor="text1"/>
                      <w:sz w:val="18"/>
                      <w:szCs w:val="18"/>
                      <w:highlight w:val="none"/>
                      <w14:textFill>
                        <w14:solidFill>
                          <w14:schemeClr w14:val="tx1"/>
                        </w14:solidFill>
                      </w14:textFill>
                    </w:rPr>
                    <w:t>]芘、氰化物、氯气，不需设置大气专项评价。</w:t>
                  </w:r>
                </w:p>
              </w:tc>
            </w:tr>
            <w:tr w14:paraId="693485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4451D70B">
                  <w:pPr>
                    <w:pStyle w:val="26"/>
                    <w:keepNext w:val="0"/>
                    <w:keepLines w:val="0"/>
                    <w:suppressLineNumbers w:val="0"/>
                    <w:spacing w:before="0" w:beforeAutospacing="0" w:after="0" w:afterAutospacing="0"/>
                    <w:ind w:left="0" w:leftChars="0" w:right="0"/>
                    <w:jc w:val="both"/>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新增工业废水直排建设项目（槽罐车外送污水处理厂的除外）；新增废水直排的污水集中处理厂</w:t>
                  </w:r>
                </w:p>
              </w:tc>
              <w:tc>
                <w:tcPr>
                  <w:tcW w:w="2727" w:type="pct"/>
                  <w:noWrap w:val="0"/>
                  <w:vAlign w:val="center"/>
                </w:tcPr>
                <w:p w14:paraId="202F44AE">
                  <w:pPr>
                    <w:pStyle w:val="26"/>
                    <w:keepNext w:val="0"/>
                    <w:keepLines w:val="0"/>
                    <w:suppressLineNumbers w:val="0"/>
                    <w:spacing w:before="0" w:beforeAutospacing="0" w:after="0" w:afterAutospacing="0"/>
                    <w:ind w:left="0" w:leftChars="0" w:right="0"/>
                    <w:jc w:val="both"/>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本项目不属于新增工业废水直排建设项目，也不属于新增废水直排的污水集中处理厂，不需设置地表水专项评价。</w:t>
                  </w:r>
                </w:p>
              </w:tc>
            </w:tr>
            <w:tr w14:paraId="3E5471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269F141C">
                  <w:pPr>
                    <w:pStyle w:val="26"/>
                    <w:keepNext w:val="0"/>
                    <w:keepLines w:val="0"/>
                    <w:suppressLineNumbers w:val="0"/>
                    <w:spacing w:before="0" w:beforeAutospacing="0" w:after="0" w:afterAutospacing="0"/>
                    <w:ind w:left="0" w:leftChars="0" w:right="0"/>
                    <w:jc w:val="both"/>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有毒有害和易燃易爆危险物质存储量超过临界量的建设项目</w:t>
                  </w:r>
                </w:p>
              </w:tc>
              <w:tc>
                <w:tcPr>
                  <w:tcW w:w="2727" w:type="pct"/>
                  <w:noWrap w:val="0"/>
                  <w:vAlign w:val="center"/>
                </w:tcPr>
                <w:p w14:paraId="5D29897C">
                  <w:pPr>
                    <w:pStyle w:val="26"/>
                    <w:keepNext w:val="0"/>
                    <w:keepLines w:val="0"/>
                    <w:suppressLineNumbers w:val="0"/>
                    <w:spacing w:before="0" w:beforeAutospacing="0" w:after="0" w:afterAutospacing="0"/>
                    <w:ind w:left="0" w:leftChars="0" w:right="0"/>
                    <w:jc w:val="both"/>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本项目涉及危险物质存储量未超过临界量</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，因此无需开展环境风险专项评价。</w:t>
                  </w:r>
                </w:p>
              </w:tc>
            </w:tr>
            <w:tr w14:paraId="7EA53C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23E5215B">
                  <w:pPr>
                    <w:pStyle w:val="26"/>
                    <w:keepNext w:val="0"/>
                    <w:keepLines w:val="0"/>
                    <w:suppressLineNumbers w:val="0"/>
                    <w:spacing w:before="0" w:beforeAutospacing="0" w:after="0" w:afterAutospacing="0"/>
                    <w:ind w:left="0" w:leftChars="0" w:right="0"/>
                    <w:jc w:val="both"/>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取水口下游500米范围内有重要水生生物的自然产卵场、索饵场、越冬场和洄游通道的新增河道取水的污染类建设项目</w:t>
                  </w:r>
                </w:p>
              </w:tc>
              <w:tc>
                <w:tcPr>
                  <w:tcW w:w="2727" w:type="pct"/>
                  <w:noWrap w:val="0"/>
                  <w:vAlign w:val="center"/>
                </w:tcPr>
                <w:p w14:paraId="58BC765B">
                  <w:pPr>
                    <w:pStyle w:val="26"/>
                    <w:keepNext w:val="0"/>
                    <w:keepLines w:val="0"/>
                    <w:suppressLineNumbers w:val="0"/>
                    <w:spacing w:before="0" w:beforeAutospacing="0" w:after="0" w:afterAutospacing="0"/>
                    <w:ind w:left="0" w:leftChars="0" w:right="0"/>
                    <w:jc w:val="both"/>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本项目供水</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为外购水源，不属于</w:t>
                  </w:r>
                  <w:r>
                    <w:rPr>
                      <w:rFonts w:hint="default" w:ascii="Times New Roman" w:hAnsi="Times New Roman" w:eastAsia="宋体" w:cs="Times New Roman"/>
                      <w:color w:val="000000" w:themeColor="text1"/>
                      <w:sz w:val="18"/>
                      <w:szCs w:val="18"/>
                      <w:highlight w:val="none"/>
                      <w14:textFill>
                        <w14:solidFill>
                          <w14:schemeClr w14:val="tx1"/>
                        </w14:solidFill>
                      </w14:textFill>
                    </w:rPr>
                    <w:t>取水口下游500米范围内有重要水生生物的自然产卵场、索饵场、越冬场和洄游通道的新增河道取水的污染类建设项目，不需设置生态专项评价。</w:t>
                  </w:r>
                </w:p>
              </w:tc>
            </w:tr>
            <w:tr w14:paraId="14DC42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444CB8B5">
                  <w:pPr>
                    <w:pStyle w:val="26"/>
                    <w:keepNext w:val="0"/>
                    <w:keepLines w:val="0"/>
                    <w:suppressLineNumbers w:val="0"/>
                    <w:spacing w:before="0" w:beforeAutospacing="0" w:after="0" w:afterAutospacing="0"/>
                    <w:ind w:left="0" w:leftChars="0" w:right="0"/>
                    <w:jc w:val="both"/>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直接向海排放污染物的海洋工程建设项目</w:t>
                  </w:r>
                </w:p>
              </w:tc>
              <w:tc>
                <w:tcPr>
                  <w:tcW w:w="2727" w:type="pct"/>
                  <w:noWrap w:val="0"/>
                  <w:vAlign w:val="center"/>
                </w:tcPr>
                <w:p w14:paraId="143BAD82">
                  <w:pPr>
                    <w:pStyle w:val="26"/>
                    <w:keepNext w:val="0"/>
                    <w:keepLines w:val="0"/>
                    <w:suppressLineNumbers w:val="0"/>
                    <w:spacing w:before="0" w:beforeAutospacing="0" w:after="0" w:afterAutospacing="0"/>
                    <w:ind w:left="0" w:leftChars="0" w:right="0"/>
                    <w:jc w:val="both"/>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本项目不属于海洋工程，不需设置海洋专项评价。</w:t>
                  </w:r>
                </w:p>
              </w:tc>
            </w:tr>
          </w:tbl>
          <w:p w14:paraId="36D4F7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综上所述，本项目无需开展专项评价工作。</w:t>
            </w:r>
          </w:p>
        </w:tc>
      </w:tr>
      <w:tr w14:paraId="18E91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895" w:type="pct"/>
            <w:tcMar>
              <w:top w:w="16" w:type="dxa"/>
              <w:left w:w="16" w:type="dxa"/>
              <w:right w:w="16" w:type="dxa"/>
            </w:tcMar>
            <w:vAlign w:val="center"/>
          </w:tcPr>
          <w:p w14:paraId="7FF1C6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规划情况</w:t>
            </w:r>
          </w:p>
        </w:tc>
        <w:tc>
          <w:tcPr>
            <w:tcW w:w="4104" w:type="pct"/>
            <w:gridSpan w:val="3"/>
            <w:tcMar>
              <w:top w:w="16" w:type="dxa"/>
              <w:left w:w="16" w:type="dxa"/>
              <w:right w:w="16" w:type="dxa"/>
            </w:tcMar>
            <w:vAlign w:val="center"/>
          </w:tcPr>
          <w:p w14:paraId="7F2A474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无</w:t>
            </w:r>
          </w:p>
        </w:tc>
      </w:tr>
      <w:tr w14:paraId="23035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895" w:type="pct"/>
            <w:tcMar>
              <w:top w:w="16" w:type="dxa"/>
              <w:left w:w="16" w:type="dxa"/>
              <w:right w:w="16" w:type="dxa"/>
            </w:tcMar>
            <w:vAlign w:val="center"/>
          </w:tcPr>
          <w:p w14:paraId="24B7EA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规划环境影响</w:t>
            </w:r>
          </w:p>
          <w:p w14:paraId="0CFC87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评价情况</w:t>
            </w:r>
          </w:p>
        </w:tc>
        <w:tc>
          <w:tcPr>
            <w:tcW w:w="4104" w:type="pct"/>
            <w:gridSpan w:val="3"/>
            <w:tcMar>
              <w:top w:w="16" w:type="dxa"/>
              <w:left w:w="16" w:type="dxa"/>
              <w:right w:w="16" w:type="dxa"/>
            </w:tcMar>
            <w:vAlign w:val="center"/>
          </w:tcPr>
          <w:p w14:paraId="3E53300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无</w:t>
            </w:r>
          </w:p>
        </w:tc>
      </w:tr>
      <w:tr w14:paraId="5CA0F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895" w:type="pct"/>
            <w:tcMar>
              <w:top w:w="16" w:type="dxa"/>
              <w:left w:w="16" w:type="dxa"/>
              <w:right w:w="16" w:type="dxa"/>
            </w:tcMar>
            <w:vAlign w:val="center"/>
          </w:tcPr>
          <w:p w14:paraId="105B3E5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规划及规划环境影响评价符合性分析</w:t>
            </w:r>
          </w:p>
        </w:tc>
        <w:tc>
          <w:tcPr>
            <w:tcW w:w="4104" w:type="pct"/>
            <w:gridSpan w:val="3"/>
            <w:tcMar>
              <w:top w:w="16" w:type="dxa"/>
              <w:left w:w="16" w:type="dxa"/>
              <w:right w:w="16" w:type="dxa"/>
            </w:tcMar>
            <w:vAlign w:val="center"/>
          </w:tcPr>
          <w:p w14:paraId="72DA37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无</w:t>
            </w:r>
          </w:p>
        </w:tc>
      </w:tr>
      <w:tr w14:paraId="03CF3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74" w:hRule="atLeast"/>
          <w:jc w:val="center"/>
        </w:trPr>
        <w:tc>
          <w:tcPr>
            <w:tcW w:w="895" w:type="pct"/>
            <w:tcMar>
              <w:top w:w="16" w:type="dxa"/>
              <w:left w:w="16" w:type="dxa"/>
              <w:right w:w="16" w:type="dxa"/>
            </w:tcMar>
            <w:vAlign w:val="center"/>
          </w:tcPr>
          <w:p w14:paraId="6C11B6D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bookmarkStart w:id="3" w:name="_Hlk56690880"/>
            <w:r>
              <w:rPr>
                <w:rFonts w:hint="default" w:ascii="Times New Roman" w:hAnsi="Times New Roman" w:eastAsia="宋体" w:cs="Times New Roman"/>
                <w:color w:val="000000" w:themeColor="text1"/>
                <w:kern w:val="21"/>
                <w:szCs w:val="21"/>
                <w:highlight w:val="none"/>
                <w14:textFill>
                  <w14:solidFill>
                    <w14:schemeClr w14:val="tx1"/>
                  </w14:solidFill>
                </w14:textFill>
              </w:rPr>
              <w:t>其他符合性分析</w:t>
            </w:r>
          </w:p>
        </w:tc>
        <w:tc>
          <w:tcPr>
            <w:tcW w:w="4104" w:type="pct"/>
            <w:gridSpan w:val="3"/>
            <w:tcMar>
              <w:top w:w="16" w:type="dxa"/>
              <w:left w:w="16" w:type="dxa"/>
              <w:right w:w="16" w:type="dxa"/>
            </w:tcMar>
            <w:vAlign w:val="center"/>
          </w:tcPr>
          <w:p w14:paraId="5C3D0A04">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t>1、本项目与生态环境分区管控的符合性分析</w:t>
            </w:r>
          </w:p>
          <w:p w14:paraId="7BA6A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本项目位于</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黑龙江省</w:t>
            </w:r>
            <w:r>
              <w:rPr>
                <w:rFonts w:hint="default" w:ascii="Times New Roman" w:hAnsi="Times New Roman" w:eastAsia="宋体" w:cs="Times New Roman"/>
                <w:color w:val="000000" w:themeColor="text1"/>
                <w:highlight w:val="none"/>
                <w:lang w:val="en-US" w:eastAsia="zh-CN"/>
                <w14:textFill>
                  <w14:solidFill>
                    <w14:schemeClr w14:val="tx1"/>
                  </w14:solidFill>
                </w14:textFill>
              </w:rPr>
              <w:t>鸡西市滴道区兰岭乡兰岭村</w:t>
            </w:r>
            <w:r>
              <w:rPr>
                <w:rFonts w:hint="default" w:ascii="Times New Roman" w:hAnsi="Times New Roman" w:eastAsia="宋体" w:cs="Times New Roman"/>
                <w:color w:val="000000" w:themeColor="text1"/>
                <w:sz w:val="21"/>
                <w:szCs w:val="21"/>
                <w:highlight w:val="none"/>
                <w14:textFill>
                  <w14:solidFill>
                    <w14:schemeClr w14:val="tx1"/>
                  </w14:solidFill>
                </w14:textFill>
              </w:rPr>
              <w:t>，根据</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《黑龙江省人民政府关于实施“三线一单”生态环境分区管控的意见》（黑政发〔2020〕14号）、《</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鸡西</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市人民政府关于实施“三线一单”生态环境分区管控的意见》（</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鸡</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政发〔2021〕</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号），项目所在地为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重点</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管控单元</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p w14:paraId="4DADFA4F">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4699635" cy="2398395"/>
                  <wp:effectExtent l="0" t="0" r="5715" b="1905"/>
                  <wp:docPr id="1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
                          <pic:cNvPicPr>
                            <a:picLocks noChangeAspect="1"/>
                          </pic:cNvPicPr>
                        </pic:nvPicPr>
                        <pic:blipFill>
                          <a:blip r:embed="rId9"/>
                          <a:stretch>
                            <a:fillRect/>
                          </a:stretch>
                        </pic:blipFill>
                        <pic:spPr>
                          <a:xfrm>
                            <a:off x="0" y="0"/>
                            <a:ext cx="4699635" cy="2398395"/>
                          </a:xfrm>
                          <a:prstGeom prst="rect">
                            <a:avLst/>
                          </a:prstGeom>
                          <a:noFill/>
                          <a:ln>
                            <a:noFill/>
                          </a:ln>
                        </pic:spPr>
                      </pic:pic>
                    </a:graphicData>
                  </a:graphic>
                </wp:inline>
              </w:drawing>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图1-1 本项目与环境管控单元叠加图</w:t>
            </w:r>
          </w:p>
          <w:p w14:paraId="3025449D">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表1-2 本项目与生态环境分区管控符合性分析</w:t>
            </w:r>
          </w:p>
          <w:tbl>
            <w:tblPr>
              <w:tblStyle w:val="35"/>
              <w:tblW w:w="74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1950"/>
              <w:gridCol w:w="1905"/>
              <w:gridCol w:w="1635"/>
              <w:gridCol w:w="1546"/>
            </w:tblGrid>
            <w:tr w14:paraId="17DC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39AEB69B">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t>一、生态保护红线</w:t>
                  </w:r>
                </w:p>
              </w:tc>
            </w:tr>
            <w:tr w14:paraId="0F90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420C8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textAlignment w:val="auto"/>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根据《自然资源部办公厅关于辽宁等省（市）启用“三区三线”划定成果作为报批建设项目用地用海依据的函》（自然资办函〔2022〕2341 号）、《鸡西市人民政府关于实施“三线一单”生态环境分区管控的意见》（鸡政发〔2021〕7号）及黑龙江省生态环境分区管控数据应用平台的查询结果，项目与生态保护红线交集面积为0.00平方公里，与自然保护地整合优化方案数据交集面积为0.00平方公里，与自然保护地（现状管理数据）交集面积为0.00平方公里，与饮用水水源保护区交集面积为0.00平方公里，与环境管控单元优先保护单元交集面积为0.00平方公里。本项目位于黑龙江省鸡西市滴道区兰岭乡兰岭村，本项目选址不在生态保护红线内。</w:t>
                  </w:r>
                </w:p>
              </w:tc>
            </w:tr>
            <w:tr w14:paraId="10C8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5D3FC7A9">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t>二、环境质量底线</w:t>
                  </w:r>
                </w:p>
              </w:tc>
            </w:tr>
            <w:tr w14:paraId="1E1C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39EB0331">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t>大气环境</w:t>
                  </w:r>
                </w:p>
              </w:tc>
            </w:tr>
            <w:tr w14:paraId="2D61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25F00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textAlignment w:val="auto"/>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根据《2024年黑龙江省生态环境质量状况》（2025年1月），鸡西市空气质量级别达二级标准，PM</w:t>
                  </w:r>
                  <w:r>
                    <w:rPr>
                      <w:rFonts w:hint="default" w:ascii="Times New Roman" w:hAnsi="Times New Roman" w:eastAsia="宋体" w:cs="Times New Roman"/>
                      <w:b w:val="0"/>
                      <w:bCs w:val="0"/>
                      <w:color w:val="000000" w:themeColor="text1"/>
                      <w:sz w:val="18"/>
                      <w:szCs w:val="18"/>
                      <w:highlight w:val="none"/>
                      <w:vertAlign w:val="subscript"/>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、PM</w:t>
                  </w:r>
                  <w:r>
                    <w:rPr>
                      <w:rFonts w:hint="default" w:ascii="Times New Roman" w:hAnsi="Times New Roman" w:eastAsia="宋体" w:cs="Times New Roman"/>
                      <w:b w:val="0"/>
                      <w:bCs w:val="0"/>
                      <w:color w:val="000000" w:themeColor="text1"/>
                      <w:sz w:val="18"/>
                      <w:szCs w:val="18"/>
                      <w:highlight w:val="none"/>
                      <w:vertAlign w:val="sub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18"/>
                      <w:szCs w:val="18"/>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、NO</w:t>
                  </w:r>
                  <w:r>
                    <w:rPr>
                      <w:rFonts w:hint="default" w:ascii="Times New Roman" w:hAnsi="Times New Roman" w:eastAsia="宋体" w:cs="Times New Roman"/>
                      <w:b w:val="0"/>
                      <w:bCs w:val="0"/>
                      <w:color w:val="000000" w:themeColor="text1"/>
                      <w:sz w:val="18"/>
                      <w:szCs w:val="18"/>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、CO-95per、O</w:t>
                  </w:r>
                  <w:r>
                    <w:rPr>
                      <w:rFonts w:hint="default" w:ascii="Times New Roman" w:hAnsi="Times New Roman" w:eastAsia="宋体" w:cs="Times New Roman"/>
                      <w:b w:val="0"/>
                      <w:bCs w:val="0"/>
                      <w:color w:val="000000" w:themeColor="text1"/>
                      <w:sz w:val="18"/>
                      <w:szCs w:val="18"/>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-8h-90per年均浓度分别为27μg/m</w:t>
                  </w:r>
                  <w:r>
                    <w:rPr>
                      <w:rFonts w:hint="default" w:ascii="Times New Roman" w:hAnsi="Times New Roman" w:eastAsia="宋体" w:cs="Times New Roman"/>
                      <w:b w:val="0"/>
                      <w:bCs w:val="0"/>
                      <w:color w:val="000000" w:themeColor="text1"/>
                      <w:sz w:val="18"/>
                      <w:szCs w:val="18"/>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、46μg/m</w:t>
                  </w:r>
                  <w:r>
                    <w:rPr>
                      <w:rFonts w:hint="default" w:ascii="Times New Roman" w:hAnsi="Times New Roman" w:eastAsia="宋体" w:cs="Times New Roman"/>
                      <w:b w:val="0"/>
                      <w:bCs w:val="0"/>
                      <w:color w:val="000000" w:themeColor="text1"/>
                      <w:sz w:val="18"/>
                      <w:szCs w:val="18"/>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、8μg/m</w:t>
                  </w:r>
                  <w:r>
                    <w:rPr>
                      <w:rFonts w:hint="default" w:ascii="Times New Roman" w:hAnsi="Times New Roman" w:eastAsia="宋体" w:cs="Times New Roman"/>
                      <w:b w:val="0"/>
                      <w:bCs w:val="0"/>
                      <w:color w:val="000000" w:themeColor="text1"/>
                      <w:sz w:val="18"/>
                      <w:szCs w:val="18"/>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、17μg/m</w:t>
                  </w:r>
                  <w:r>
                    <w:rPr>
                      <w:rFonts w:hint="default" w:ascii="Times New Roman" w:hAnsi="Times New Roman" w:eastAsia="宋体" w:cs="Times New Roman"/>
                      <w:b w:val="0"/>
                      <w:bCs w:val="0"/>
                      <w:color w:val="000000" w:themeColor="text1"/>
                      <w:sz w:val="18"/>
                      <w:szCs w:val="18"/>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、1.0μg/m</w:t>
                  </w:r>
                  <w:r>
                    <w:rPr>
                      <w:rFonts w:hint="default" w:ascii="Times New Roman" w:hAnsi="Times New Roman" w:eastAsia="宋体" w:cs="Times New Roman"/>
                      <w:b w:val="0"/>
                      <w:bCs w:val="0"/>
                      <w:color w:val="000000" w:themeColor="text1"/>
                      <w:sz w:val="18"/>
                      <w:szCs w:val="18"/>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、和90μg/m</w:t>
                  </w:r>
                  <w:r>
                    <w:rPr>
                      <w:rFonts w:hint="default" w:ascii="Times New Roman" w:hAnsi="Times New Roman" w:eastAsia="宋体" w:cs="Times New Roman"/>
                      <w:b w:val="0"/>
                      <w:bCs w:val="0"/>
                      <w:color w:val="000000" w:themeColor="text1"/>
                      <w:sz w:val="18"/>
                      <w:szCs w:val="18"/>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，均满足《环境空气质量标准》（GB3095-2012）中的二级标准，项目所在区域为达标区。</w:t>
                  </w:r>
                </w:p>
                <w:p w14:paraId="0B45B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textAlignment w:val="auto"/>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本项目热风炉烟气通过布袋除尘器处理后经25m烟囱（DA001）高空排放，SO</w:t>
                  </w:r>
                  <w:r>
                    <w:rPr>
                      <w:rFonts w:hint="default" w:ascii="Times New Roman" w:hAnsi="Times New Roman" w:eastAsia="宋体" w:cs="Times New Roman"/>
                      <w:b w:val="0"/>
                      <w:bCs w:val="0"/>
                      <w:color w:val="000000" w:themeColor="text1"/>
                      <w:sz w:val="18"/>
                      <w:szCs w:val="18"/>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排放浓度符合《工业炉窑大气污染物排放标准》（GB9078-1996）中的表4中的二级标准，颗粒物排放浓度及烟气黑度符合《工业炉窑大气污染物排放标准》（GB9078-1996）中的表2中的二级标准；原料烘干、运输及筛分过程会有粉尘产生，此部分粉尘以无组织的形式排放。装卸工段采用密闭性良好的设备，全封闭输送机、原粮入仓采取封闭和减小装卸高度等降尘措施，运输过程中采用封闭输送；清粮采用全密闭筛分机，产生的粉尘经设备自带袋式除尘器处理后排放；烘干塔内部自带重力沉降室，烘干塔底部四周设置防尘挡板，粉尘受挡板格挡后受重力作用回落到烘干塔底部收尘设施中。热风炉房密闭并定期洒水抑尘，减少粉尘扩散。厂界颗粒物排放浓度符合《大气污染物综合排放标准》（GB16297-1996）表2无组织排放浓度限值要求。</w:t>
                  </w:r>
                </w:p>
              </w:tc>
            </w:tr>
            <w:tr w14:paraId="7116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48E549C2">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t>水环境</w:t>
                  </w:r>
                </w:p>
              </w:tc>
            </w:tr>
            <w:tr w14:paraId="2759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1D7FF5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本项目最近水体为穆棱河。根据《全国重要江河湖泊水功能区划（2011-2030）》，本项目起始断面为碱厂煤矿大桥，终止断面为206省道桥，水质标准为Ⅲ类，根据鸡西市人民政府发布的《2025年1月地表水国控考核断面水质信息公开》碱厂煤矿大桥、206省道桥断面均达到Ⅲ类水质类别标准。本项目生产过程中无废水产生，项目生活污水排入防渗旱厕，定期清掏，外运堆肥，不外排。</w:t>
                  </w:r>
                </w:p>
              </w:tc>
            </w:tr>
            <w:tr w14:paraId="5D1C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53EF5864">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t>声环境</w:t>
                  </w:r>
                </w:p>
              </w:tc>
            </w:tr>
            <w:tr w14:paraId="3E0D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3457CB0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360" w:firstLineChars="200"/>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18"/>
                      <w:szCs w:val="18"/>
                      <w:highlight w:val="none"/>
                      <w14:textFill>
                        <w14:solidFill>
                          <w14:schemeClr w14:val="tx1"/>
                        </w14:solidFill>
                      </w14:textFill>
                    </w:rPr>
                    <w:t>202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highlight w:val="none"/>
                      <w14:textFill>
                        <w14:solidFill>
                          <w14:schemeClr w14:val="tx1"/>
                        </w14:solidFill>
                      </w14:textFill>
                    </w:rPr>
                    <w:t>年黑龙江省生态环境</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sz w:val="18"/>
                      <w:szCs w:val="18"/>
                      <w:highlight w:val="none"/>
                      <w14:textFill>
                        <w14:solidFill>
                          <w14:schemeClr w14:val="tx1"/>
                        </w14:solidFill>
                      </w14:textFill>
                    </w:rPr>
                    <w:t>状况》（202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18"/>
                      <w:highlight w:val="none"/>
                      <w14:textFill>
                        <w14:solidFill>
                          <w14:schemeClr w14:val="tx1"/>
                        </w14:solidFill>
                      </w14:textFill>
                    </w:rPr>
                    <w:t>年</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18"/>
                      <w:highlight w:val="none"/>
                      <w14:textFill>
                        <w14:solidFill>
                          <w14:schemeClr w14:val="tx1"/>
                        </w14:solidFill>
                      </w14:textFill>
                    </w:rPr>
                    <w:t>月）</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鸡西市区域昼间声环境质量为二级，等效声级为53.6dB（A），道路交通昼间声环境质量为一级，等效声级为65.8dB（A），功能区昼间达标率100%，功能区夜间达标率100%。区域声环境满足《声环境质量标准》（GB3096-2008）2类标准</w:t>
                  </w: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选取低噪声设备，</w:t>
                  </w: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经过隔声及距离衰减后</w:t>
                  </w:r>
                  <w:r>
                    <w:rPr>
                      <w:rFonts w:hint="default" w:ascii="Times New Roman" w:hAnsi="Times New Roman" w:eastAsia="宋体" w:cs="Times New Roman"/>
                      <w:color w:val="000000" w:themeColor="text1"/>
                      <w:kern w:val="0"/>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厂界噪声满足</w:t>
                  </w:r>
                  <w:r>
                    <w:rPr>
                      <w:rFonts w:hint="default" w:ascii="Times New Roman" w:hAnsi="Times New Roman" w:eastAsia="宋体" w:cs="Times New Roman"/>
                      <w:color w:val="000000" w:themeColor="text1"/>
                      <w:kern w:val="0"/>
                      <w:sz w:val="18"/>
                      <w:szCs w:val="18"/>
                      <w:highlight w:val="none"/>
                      <w:lang w:eastAsia="zh-CN"/>
                      <w14:textFill>
                        <w14:solidFill>
                          <w14:schemeClr w14:val="tx1"/>
                        </w14:solidFill>
                      </w14:textFill>
                    </w:rPr>
                    <w:t>《工业企业厂界环境噪声排放标准》(GB12348-2008)表1中</w:t>
                  </w: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18"/>
                      <w:szCs w:val="18"/>
                      <w:highlight w:val="none"/>
                      <w:lang w:eastAsia="zh-CN"/>
                      <w14:textFill>
                        <w14:solidFill>
                          <w14:schemeClr w14:val="tx1"/>
                        </w14:solidFill>
                      </w14:textFill>
                    </w:rPr>
                    <w:t>类标准。</w:t>
                  </w:r>
                </w:p>
              </w:tc>
            </w:tr>
            <w:tr w14:paraId="36B3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044D9C58">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t>地下水环境</w:t>
                  </w:r>
                </w:p>
              </w:tc>
            </w:tr>
            <w:tr w14:paraId="131A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9" w:type="dxa"/>
                  <w:gridSpan w:val="2"/>
                </w:tcPr>
                <w:p w14:paraId="621C4DDF">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管控区类型</w:t>
                  </w:r>
                </w:p>
              </w:tc>
              <w:tc>
                <w:tcPr>
                  <w:tcW w:w="5086" w:type="dxa"/>
                  <w:gridSpan w:val="3"/>
                </w:tcPr>
                <w:p w14:paraId="47E53243">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一般管控区</w:t>
                  </w:r>
                </w:p>
              </w:tc>
            </w:tr>
            <w:tr w14:paraId="1F62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9" w:type="dxa"/>
                  <w:gridSpan w:val="4"/>
                </w:tcPr>
                <w:p w14:paraId="4107077F">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管控要求</w:t>
                  </w:r>
                </w:p>
              </w:tc>
              <w:tc>
                <w:tcPr>
                  <w:tcW w:w="1546" w:type="dxa"/>
                </w:tcPr>
                <w:p w14:paraId="0594B764">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符合性分析</w:t>
                  </w:r>
                </w:p>
              </w:tc>
            </w:tr>
            <w:tr w14:paraId="0F82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dxa"/>
                </w:tcPr>
                <w:p w14:paraId="2226B3C2">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环境风险管控</w:t>
                  </w:r>
                </w:p>
              </w:tc>
              <w:tc>
                <w:tcPr>
                  <w:tcW w:w="5490" w:type="dxa"/>
                  <w:gridSpan w:val="3"/>
                </w:tcPr>
                <w:p w14:paraId="2CFFF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textAlignment w:val="auto"/>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1.土壤污染重点监管单位应当履行下列义务:(一)严格控制有毒有害物质排放，并按年度向生态环境主管部门报告排放情况;(二)建立土壤污染隐患排查制度，保证持续有效防止有毒有害物质渗漏、流失、扬散;(三)制定、实施自行监测方案，并将监测数据报生态环境主管部门。2.重点单位新、改、扩建项目地下储罐储存有毒有害物质的，应当在项目投入生产或者使用之前，将地下储罐的信息报所在地设区的市级生态环境主管部门备案。3.重点单位应当建立土壤和地下水污染隐患排查治理制度，定期对重点区域、重点设施开展隐患排查。发现污染隐患的，应当制定整改方案，及时采取技术、管理措施消除隐患。隐患排查、治理情况应当如实记录并建立档案。重点区域包括涉及有毒有害物质的生产区，原材料及固体废物的堆存区、储放区和转运区等:重点设施包括涉及有毒有害物质的地下储罐、地下管线，以及污染治理设施等。4.化学品生产企业以及工业集聚区、矿山开采区、尾矿库、危险废物处置场、垃圾填埋场等的运营、管理单位，应当采取防渗漏等措施，并建设地下水水质监测井进行监测，防止地下水污染。5.重点单位通过新、改、扩建项目的土壤和地下水环境现状调查，发现项目用地污染物含量超过国家或者地方有关建设用地土壤污染风险管控标准的，土地使用权人或者污染责任人应当参照污染地块土壤环境管理有关规定开展详细调查、风险评估、风险管控、治理与修复等活动。</w:t>
                  </w:r>
                </w:p>
              </w:tc>
              <w:tc>
                <w:tcPr>
                  <w:tcW w:w="1546" w:type="dxa"/>
                </w:tcPr>
                <w:p w14:paraId="2E855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本项目不属于土壤污染重点监管单位，本项目不涉及地下储罐储存有毒有害物质，本项目不属于化学品生产企业以及工业集聚区、矿山开采区、尾矿库、危险废物处置场、垃圾填埋场等的运营、管理单位，本项目用水仅为生活用水及少量洒水降尘用水，用水量较少，生活用水及洒水降尘用水为外购水源。</w:t>
                  </w:r>
                </w:p>
              </w:tc>
            </w:tr>
            <w:tr w14:paraId="3AA4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59FDFA15">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t>三、资源利用上线</w:t>
                  </w:r>
                </w:p>
              </w:tc>
            </w:tr>
            <w:tr w14:paraId="0AAD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4" w:type="dxa"/>
                  <w:gridSpan w:val="3"/>
                </w:tcPr>
                <w:p w14:paraId="60F35B2A">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管控单元类别</w:t>
                  </w:r>
                </w:p>
              </w:tc>
              <w:tc>
                <w:tcPr>
                  <w:tcW w:w="3181" w:type="dxa"/>
                  <w:gridSpan w:val="2"/>
                </w:tcPr>
                <w:p w14:paraId="23FA96A9">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自然资源一般管控区</w:t>
                  </w:r>
                </w:p>
              </w:tc>
            </w:tr>
            <w:tr w14:paraId="42B2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04756FF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360" w:firstLineChars="200"/>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本项目运营期无生产废水，用水主要为员工生活用水及少量洒水降尘用水，用水量较少，不属于耗水工业项目，供电电源为当地供电电网，供电电源可靠，本项目不占用基本农田。资源消耗量相对于区域资源利用总量较小，本项目符合资源利用上线要求。</w:t>
                  </w:r>
                </w:p>
              </w:tc>
            </w:tr>
          </w:tbl>
          <w:p w14:paraId="4D1FF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环境准入清单：</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本项目属于</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重点</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管控单元，</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与</w:t>
            </w:r>
            <w:r>
              <w:rPr>
                <w:rFonts w:hint="default" w:ascii="Times New Roman" w:hAnsi="Times New Roman" w:eastAsia="宋体" w:cs="Times New Roman"/>
                <w:color w:val="000000" w:themeColor="text1"/>
                <w:kern w:val="0"/>
                <w:szCs w:val="21"/>
                <w:highlight w:val="none"/>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鸡西</w:t>
            </w:r>
            <w:r>
              <w:rPr>
                <w:rFonts w:hint="default" w:ascii="Times New Roman" w:hAnsi="Times New Roman" w:eastAsia="宋体" w:cs="Times New Roman"/>
                <w:color w:val="000000" w:themeColor="text1"/>
                <w:kern w:val="0"/>
                <w:szCs w:val="21"/>
                <w:highlight w:val="none"/>
                <w14:textFill>
                  <w14:solidFill>
                    <w14:schemeClr w14:val="tx1"/>
                  </w14:solidFill>
                </w14:textFill>
              </w:rPr>
              <w:t>市</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生态环境准入清单</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2023年版）</w:t>
            </w:r>
            <w:r>
              <w:rPr>
                <w:rFonts w:hint="default" w:ascii="Times New Roman" w:hAnsi="Times New Roman" w:eastAsia="宋体" w:cs="Times New Roman"/>
                <w:color w:val="000000" w:themeColor="text1"/>
                <w:kern w:val="0"/>
                <w:szCs w:val="21"/>
                <w:highlight w:val="none"/>
                <w14:textFill>
                  <w14:solidFill>
                    <w14:schemeClr w14:val="tx1"/>
                  </w14:solidFill>
                </w14:textFill>
              </w:rPr>
              <w:t>》对照情况见下表。</w:t>
            </w:r>
          </w:p>
          <w:p w14:paraId="780012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表1-</w:t>
            </w:r>
            <w: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生态环境准入清单符合性分析</w:t>
            </w:r>
          </w:p>
          <w:tbl>
            <w:tblPr>
              <w:tblStyle w:val="3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80"/>
              <w:gridCol w:w="745"/>
              <w:gridCol w:w="526"/>
              <w:gridCol w:w="2813"/>
              <w:gridCol w:w="1816"/>
            </w:tblGrid>
            <w:tr w14:paraId="43EB5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left w:val="nil"/>
                    <w:bottom w:val="single" w:color="auto" w:sz="4" w:space="0"/>
                    <w:right w:val="single" w:color="auto" w:sz="4" w:space="0"/>
                  </w:tcBorders>
                  <w:noWrap w:val="0"/>
                  <w:vAlign w:val="center"/>
                </w:tcPr>
                <w:p w14:paraId="7C637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环境管控单元编码</w:t>
                  </w:r>
                </w:p>
              </w:tc>
              <w:tc>
                <w:tcPr>
                  <w:tcW w:w="780" w:type="dxa"/>
                  <w:tcBorders>
                    <w:left w:val="single" w:color="auto" w:sz="4" w:space="0"/>
                    <w:bottom w:val="single" w:color="auto" w:sz="4" w:space="0"/>
                    <w:right w:val="single" w:color="auto" w:sz="4" w:space="0"/>
                  </w:tcBorders>
                  <w:noWrap w:val="0"/>
                  <w:vAlign w:val="center"/>
                </w:tcPr>
                <w:p w14:paraId="35A7B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环境管控单元名称</w:t>
                  </w:r>
                </w:p>
              </w:tc>
              <w:tc>
                <w:tcPr>
                  <w:tcW w:w="745" w:type="dxa"/>
                  <w:tcBorders>
                    <w:left w:val="single" w:color="auto" w:sz="4" w:space="0"/>
                    <w:bottom w:val="single" w:color="auto" w:sz="4" w:space="0"/>
                    <w:right w:val="single" w:color="auto" w:sz="4" w:space="0"/>
                  </w:tcBorders>
                  <w:noWrap w:val="0"/>
                  <w:vAlign w:val="center"/>
                </w:tcPr>
                <w:p w14:paraId="17218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管控单元类别</w:t>
                  </w:r>
                </w:p>
              </w:tc>
              <w:tc>
                <w:tcPr>
                  <w:tcW w:w="3339" w:type="dxa"/>
                  <w:gridSpan w:val="2"/>
                  <w:tcBorders>
                    <w:left w:val="single" w:color="auto" w:sz="4" w:space="0"/>
                    <w:bottom w:val="single" w:color="auto" w:sz="4" w:space="0"/>
                    <w:right w:val="single" w:color="auto" w:sz="4" w:space="0"/>
                  </w:tcBorders>
                  <w:noWrap w:val="0"/>
                  <w:vAlign w:val="center"/>
                </w:tcPr>
                <w:p w14:paraId="0384B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管控要求</w:t>
                  </w:r>
                </w:p>
              </w:tc>
              <w:tc>
                <w:tcPr>
                  <w:tcW w:w="1816" w:type="dxa"/>
                  <w:tcBorders>
                    <w:left w:val="single" w:color="auto" w:sz="4" w:space="0"/>
                    <w:bottom w:val="single" w:color="auto" w:sz="4" w:space="0"/>
                    <w:right w:val="nil"/>
                  </w:tcBorders>
                  <w:noWrap w:val="0"/>
                  <w:vAlign w:val="center"/>
                </w:tcPr>
                <w:p w14:paraId="3C7AB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符合性分析</w:t>
                  </w:r>
                </w:p>
              </w:tc>
            </w:tr>
            <w:tr w14:paraId="3401A7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tcBorders>
                    <w:top w:val="single" w:color="auto" w:sz="4" w:space="0"/>
                    <w:left w:val="nil"/>
                    <w:right w:val="single" w:color="auto" w:sz="4" w:space="0"/>
                  </w:tcBorders>
                  <w:noWrap w:val="0"/>
                  <w:vAlign w:val="center"/>
                </w:tcPr>
                <w:p w14:paraId="6CF61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ZH23030420003</w:t>
                  </w:r>
                </w:p>
                <w:p w14:paraId="47BFF4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80" w:type="dxa"/>
                  <w:vMerge w:val="restart"/>
                  <w:tcBorders>
                    <w:top w:val="single" w:color="auto" w:sz="4" w:space="0"/>
                    <w:left w:val="single" w:color="auto" w:sz="4" w:space="0"/>
                    <w:right w:val="single" w:color="auto" w:sz="4" w:space="0"/>
                  </w:tcBorders>
                  <w:noWrap w:val="0"/>
                  <w:vAlign w:val="center"/>
                </w:tcPr>
                <w:p w14:paraId="3E5C1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滴道区水环境城镇生活污染重点管控区</w:t>
                  </w:r>
                </w:p>
              </w:tc>
              <w:tc>
                <w:tcPr>
                  <w:tcW w:w="745" w:type="dxa"/>
                  <w:vMerge w:val="restart"/>
                  <w:tcBorders>
                    <w:top w:val="single" w:color="auto" w:sz="4" w:space="0"/>
                    <w:left w:val="single" w:color="auto" w:sz="4" w:space="0"/>
                    <w:right w:val="single" w:color="auto" w:sz="4" w:space="0"/>
                  </w:tcBorders>
                  <w:noWrap w:val="0"/>
                  <w:vAlign w:val="center"/>
                </w:tcPr>
                <w:p w14:paraId="3EA29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重点管控</w:t>
                  </w:r>
                </w:p>
                <w:p w14:paraId="49C06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单元</w:t>
                  </w:r>
                </w:p>
              </w:tc>
              <w:tc>
                <w:tcPr>
                  <w:tcW w:w="526" w:type="dxa"/>
                  <w:tcBorders>
                    <w:top w:val="single" w:color="auto" w:sz="4" w:space="0"/>
                    <w:left w:val="single" w:color="auto" w:sz="4" w:space="0"/>
                    <w:bottom w:val="single" w:color="auto" w:sz="4" w:space="0"/>
                    <w:right w:val="single" w:color="auto" w:sz="4" w:space="0"/>
                  </w:tcBorders>
                  <w:noWrap w:val="0"/>
                  <w:vAlign w:val="center"/>
                </w:tcPr>
                <w:p w14:paraId="0E4CD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空间布局约束</w:t>
                  </w:r>
                </w:p>
              </w:tc>
              <w:tc>
                <w:tcPr>
                  <w:tcW w:w="2813" w:type="dxa"/>
                  <w:tcBorders>
                    <w:top w:val="single" w:color="auto" w:sz="4" w:space="0"/>
                    <w:left w:val="single" w:color="auto" w:sz="4" w:space="0"/>
                    <w:bottom w:val="single" w:color="auto" w:sz="4" w:space="0"/>
                    <w:right w:val="single" w:color="auto" w:sz="4" w:space="0"/>
                  </w:tcBorders>
                  <w:noWrap w:val="0"/>
                  <w:vAlign w:val="center"/>
                </w:tcPr>
                <w:p w14:paraId="36966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1.除干旱地区外，新建城区应全面实行雨污分流，鼓励对初期雨水进行收集、处理和资源化利用。 2.大气环境布局敏感重点管控区同时执行(1)严控“两高”行业产能。严格执行钢铁、水泥、平板玻璃等行业产能置换实施办法。(2)利用水泥窑协同处置城市生活垃圾、危险废弃物、电石渣等固废伴生水泥项目，必须依托现有新型干法水泥熟料生产线进行不扩产能改造。</w:t>
                  </w:r>
                </w:p>
              </w:tc>
              <w:tc>
                <w:tcPr>
                  <w:tcW w:w="1816" w:type="dxa"/>
                  <w:tcBorders>
                    <w:top w:val="single" w:color="auto" w:sz="4" w:space="0"/>
                    <w:left w:val="single" w:color="auto" w:sz="4" w:space="0"/>
                    <w:bottom w:val="single" w:color="auto" w:sz="4" w:space="0"/>
                    <w:right w:val="nil"/>
                  </w:tcBorders>
                  <w:noWrap w:val="0"/>
                  <w:vAlign w:val="center"/>
                </w:tcPr>
                <w:p w14:paraId="3CB97DE7">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本项目不涉及“两高”行业。不属于钢铁、水泥、平板玻璃等行业，符合空间布局约束。</w:t>
                  </w:r>
                </w:p>
              </w:tc>
            </w:tr>
            <w:tr w14:paraId="651318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tcBorders>
                    <w:left w:val="nil"/>
                    <w:right w:val="single" w:color="auto" w:sz="4" w:space="0"/>
                  </w:tcBorders>
                  <w:noWrap w:val="0"/>
                  <w:vAlign w:val="center"/>
                </w:tcPr>
                <w:p w14:paraId="36F81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80" w:type="dxa"/>
                  <w:vMerge w:val="continue"/>
                  <w:tcBorders>
                    <w:left w:val="single" w:color="auto" w:sz="4" w:space="0"/>
                    <w:right w:val="single" w:color="auto" w:sz="4" w:space="0"/>
                  </w:tcBorders>
                  <w:noWrap w:val="0"/>
                  <w:vAlign w:val="center"/>
                </w:tcPr>
                <w:p w14:paraId="1FC210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45" w:type="dxa"/>
                  <w:vMerge w:val="continue"/>
                  <w:tcBorders>
                    <w:left w:val="single" w:color="auto" w:sz="4" w:space="0"/>
                    <w:right w:val="single" w:color="auto" w:sz="4" w:space="0"/>
                  </w:tcBorders>
                  <w:noWrap w:val="0"/>
                  <w:vAlign w:val="center"/>
                </w:tcPr>
                <w:p w14:paraId="7BA3B0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p>
              </w:tc>
              <w:tc>
                <w:tcPr>
                  <w:tcW w:w="526" w:type="dxa"/>
                  <w:tcBorders>
                    <w:top w:val="single" w:color="auto" w:sz="4" w:space="0"/>
                    <w:left w:val="single" w:color="auto" w:sz="4" w:space="0"/>
                    <w:bottom w:val="single" w:color="auto" w:sz="4" w:space="0"/>
                    <w:right w:val="single" w:color="auto" w:sz="4" w:space="0"/>
                  </w:tcBorders>
                  <w:noWrap w:val="0"/>
                  <w:vAlign w:val="center"/>
                </w:tcPr>
                <w:p w14:paraId="6B0E0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污染物排放管控</w:t>
                  </w:r>
                </w:p>
              </w:tc>
              <w:tc>
                <w:tcPr>
                  <w:tcW w:w="2813" w:type="dxa"/>
                  <w:tcBorders>
                    <w:top w:val="single" w:color="auto" w:sz="4" w:space="0"/>
                    <w:left w:val="single" w:color="auto" w:sz="4" w:space="0"/>
                    <w:bottom w:val="single" w:color="auto" w:sz="4" w:space="0"/>
                    <w:right w:val="single" w:color="auto" w:sz="4" w:space="0"/>
                  </w:tcBorders>
                  <w:noWrap w:val="0"/>
                  <w:vAlign w:val="center"/>
                </w:tcPr>
                <w:p w14:paraId="59A9C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同时执行:1.新区污水管网规划建设应当与城市开发同步推进，除干旱地区外均实行雨污分流。 2.强化城中村、老旧城区和城乡结合部污水截流、收集。3.推进合流制排水系统雨污分流改造，难以改造的，应采取截流、调蓄和治理等措施:推进现有污水处理设施配套管网建设;进一步提高城市、县城生活污水收集处理效能。4.县级以上人民政府应当根据国土空间、水污染防治、城镇排水与污水处理等规划，合理确定城镇排水与污水处理设施建设标准，统筹安排管网、泵站、污水处理厂以及污泥处理处置、再生水利用、雨水调蓄和排放等排水与污水处理设施建设和改造，提高城镇污水收集率和处理率。2.大气环境布局敏感重点管控区同时执行 (1)对以煤、石焦油、渣油、重油等为燃料的锅炉和工业炉窑，加快使用清洁低碳能源以及工厂余热、电力热力等进行替代。(2)到2025年，在用65 蒸吨/小时以上的燃煤锅炉(含电力)实现超低排放，钢铁企业基本实现超低排放。</w:t>
                  </w:r>
                </w:p>
              </w:tc>
              <w:tc>
                <w:tcPr>
                  <w:tcW w:w="1816" w:type="dxa"/>
                  <w:tcBorders>
                    <w:top w:val="single" w:color="auto" w:sz="4" w:space="0"/>
                    <w:left w:val="single" w:color="auto" w:sz="4" w:space="0"/>
                    <w:right w:val="nil"/>
                  </w:tcBorders>
                  <w:noWrap w:val="0"/>
                  <w:vAlign w:val="center"/>
                </w:tcPr>
                <w:p w14:paraId="0455AF99">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本项目用水仅为生活用水及少量洒水降尘用水，用水量较少，生活用水及洒水降尘用水来源为厂区外购，本项目不涉及</w:t>
                  </w:r>
                  <w:r>
                    <w:rPr>
                      <w:rFonts w:hint="default" w:ascii="Times New Roman" w:hAnsi="Times New Roman" w:eastAsia="宋体" w:cs="Times New Roman"/>
                      <w:color w:val="000000" w:themeColor="text1"/>
                      <w:sz w:val="18"/>
                      <w:szCs w:val="18"/>
                      <w:highlight w:val="none"/>
                      <w14:textFill>
                        <w14:solidFill>
                          <w14:schemeClr w14:val="tx1"/>
                        </w14:solidFill>
                      </w14:textFill>
                    </w:rPr>
                    <w:t>煤、石焦油、渣油、重油等燃料</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使用。</w:t>
                  </w:r>
                </w:p>
              </w:tc>
            </w:tr>
          </w:tbl>
          <w:p w14:paraId="2EDB3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由上表可知，本项目的建设符合《黑龙江省人民政府关于实施“三线一单”生态环境分区管控的意见》（黑政发〔2020〕14号）、《鸡西市人民政府关于实施“三线一单”生态环境分区管控的意见》（鸡政发〔2021〕7号）、《鸡西市生态环境准入清单（2023年版）》中的要求。根据《鸡西市龙广粮食农民专业合作社建设生态环境分区管控分析报告》分析成果，鸡西市龙广粮食农民专业合作社建设项目位置涉及鸡西市滴道区:项目占地总面积0.01平方公里，与生态保护红线交集面积为0.00平方公里，占项目占地面积的0.00%。与自然保护地整合优化方案数据交集面积为0.00平方公里，占项目占地面积的 0.00%。与自然保护地(现状管理数据)交集面积为0.00平方公里，占项目占地面积的0.00%。与饮用水水源保护区交集面积为0.00平方公里，占项目占地面积的0.00%。与国家级水产种质资源保护区交集面积为0.00平方公里，占项目占地面积的0.00%。与环境管控单元优先保护单元交集面积为0.00平方公里，占项目占地面积的 0.00%；与重点管控单元交集面积为0.01平方公里，占项目占地面积的100.00%；一般管控单元交集面积为0.00平方公里，占项目占地面积的0.00%。与地下水环境优先保护区交集面积为0.00平方公里，占项目占地面积的 0.00%；与地下水环境重点管控区交集面积为0.00平方公里，占项目占地面积的0.00%，与地下水环境一般管控区交集面积为0.01平方公里，占项目占地面积的 100.00%。</w:t>
            </w:r>
          </w:p>
          <w:p w14:paraId="35739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本项目的建设符合《黑龙江省人民政府关于实施“三线一单”生态环境分区管控的意见》（黑政发〔2020〕14号）、《鸡西市人民政府关于实施“三线一单”生态环境分区管控的意见》（鸡政发〔2021〕7号）、《鸡西市生态环境准入清单（2023年版）》的内容，《鸡西市龙广粮食农民专业合作社建设生态环境分区管控分析报告》中的相关要求。因此，本项目符合“三线一单”相关要求。</w:t>
            </w:r>
          </w:p>
          <w:p w14:paraId="7C2EBF34">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、选址合理性分析</w:t>
            </w:r>
          </w:p>
          <w:p w14:paraId="6D426BE8">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项目位于</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黑龙江省</w:t>
            </w:r>
            <w:r>
              <w:rPr>
                <w:rFonts w:hint="default" w:ascii="Times New Roman" w:hAnsi="Times New Roman" w:eastAsia="宋体" w:cs="Times New Roman"/>
                <w:color w:val="000000" w:themeColor="text1"/>
                <w:highlight w:val="none"/>
                <w:lang w:val="en-US" w:eastAsia="zh-CN"/>
                <w14:textFill>
                  <w14:solidFill>
                    <w14:schemeClr w14:val="tx1"/>
                  </w14:solidFill>
                </w14:textFill>
              </w:rPr>
              <w:t>鸡西市滴道区兰岭乡兰岭村</w:t>
            </w:r>
            <w:r>
              <w:rPr>
                <w:rFonts w:hint="default" w:ascii="Times New Roman" w:hAnsi="Times New Roman" w:eastAsia="宋体" w:cs="Times New Roman"/>
                <w:color w:val="000000" w:themeColor="text1"/>
                <w:kern w:val="0"/>
                <w:szCs w:val="21"/>
                <w:highlight w:val="none"/>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本项目位于农村区域，本项目所在地土地性质为设施农用地，厂区东</w:t>
            </w:r>
            <w:r>
              <w:rPr>
                <w:rFonts w:hint="default" w:ascii="Times New Roman" w:hAnsi="Times New Roman" w:eastAsia="宋体" w:cs="Times New Roman"/>
                <w:color w:val="000000" w:themeColor="text1"/>
                <w:kern w:val="0"/>
                <w:szCs w:val="21"/>
                <w:highlight w:val="none"/>
                <w14:textFill>
                  <w14:solidFill>
                    <w14:schemeClr w14:val="tx1"/>
                  </w14:solidFill>
                </w14:textFill>
              </w:rPr>
              <w:t>侧</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北侧、南侧均为林地，西侧隔道路为林地。</w:t>
            </w:r>
          </w:p>
          <w:p w14:paraId="62818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本项目无生产废水，</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项目</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生活污水排入防渗旱厕，定期清掏，外运堆肥，不外排</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本项目热风炉烟气通过布袋除尘器处理后经25m</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（DA001）高空排放，SO</w:t>
            </w:r>
            <w:r>
              <w:rPr>
                <w:rFonts w:hint="default"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排放浓度符合《工业炉窑大气污染物排放标准》（GB9078-1996）中的表4中的二级标准，颗粒物排放浓度及烟气黑度符合《工业炉窑大气污染物排放标准》（GB9078-1996）中的表2中的二级标准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原料烘干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、运输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及筛分</w:t>
            </w:r>
            <w:r>
              <w:rPr>
                <w:rFonts w:hint="default" w:ascii="Times New Roman" w:hAnsi="Times New Roman" w:eastAsia="宋体" w:cs="Times New Roman"/>
                <w:color w:val="000000" w:themeColor="text1"/>
                <w:sz w:val="21"/>
                <w:szCs w:val="21"/>
                <w:highlight w:val="none"/>
                <w14:textFill>
                  <w14:solidFill>
                    <w14:schemeClr w14:val="tx1"/>
                  </w14:solidFill>
                </w14:textFill>
              </w:rPr>
              <w:t>过程会有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产生，此部分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以无组织的形式排放。装卸工段</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采用密闭性良好的设备，全封闭输送机、原粮入仓采取封闭和减小装卸高度</w:t>
            </w:r>
            <w:r>
              <w:rPr>
                <w:rFonts w:hint="default" w:ascii="Times New Roman" w:hAnsi="Times New Roman" w:eastAsia="宋体" w:cs="Times New Roman"/>
                <w:color w:val="000000" w:themeColor="text1"/>
                <w:sz w:val="21"/>
                <w:szCs w:val="21"/>
                <w:highlight w:val="none"/>
                <w14:textFill>
                  <w14:solidFill>
                    <w14:schemeClr w14:val="tx1"/>
                  </w14:solidFill>
                </w14:textFill>
              </w:rPr>
              <w:t>等降尘措施，运输过程中采用封闭输送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；清粮采用全密闭筛</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处理后排放；烘干塔内部自带重力沉降室，烘干塔底部四周设置防尘挡板，粉尘受挡板格挡后受重力作用回落到烘干塔底部收尘设施中</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密闭并定期洒水抑尘，减少粉尘扩散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。采取低噪声设备、基础减振，隔声等措施</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使</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厂界噪声满足《工业企业厂界环境噪声排放标准》(GB12348-2008)2类标准要求。大</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气污染物及噪声达标排放，不会对周围居民生活造成明显影响。本项目生活垃圾交由市政部门统一处置；热风炉除尘器灰渣及回收粉尘，集中收集密封袋装存储于灰渣间，每10天清运1次，不在厂区长期储存，外售综合利用；废布袋，由除尘器厂家更换后直接带走；初清、输送装卸、筛分产生杂质外售砖厂综合利用，筛分过程产生劣质粮、烘干粉尘外售饲料厂家综合利用。废机油、废弃含油抹布手套暂存危废贮存点，定期委托有资质单位处置。</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固体废物合理处置。</w:t>
            </w:r>
          </w:p>
          <w:p w14:paraId="78AB8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本项目周边50米范围内无声环境保护目标，500米范围内存在大气环境保护目标，最近大气环境保护目标位于南侧约160米处，</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本项目生物质热风炉烟气经除尘效率为99%的布袋除尘器处理后经</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m高烟囱排放，颗粒物、烟气黑度排放浓度满足《工业炉窑大气污染物排放标准》（GB9078-1996）表2二级标准，SO</w:t>
            </w:r>
            <w:r>
              <w:rPr>
                <w:rFonts w:hint="default" w:ascii="Times New Roman" w:hAnsi="Times New Roman" w:eastAsia="宋体" w:cs="Times New Roman"/>
                <w:b w:val="0"/>
                <w:bCs/>
                <w:color w:val="000000" w:themeColor="text1"/>
                <w:sz w:val="21"/>
                <w:szCs w:val="21"/>
                <w:highlight w:val="none"/>
                <w:vertAlign w:val="subscript"/>
                <w:lang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排放浓度满足《工业炉窑大气污染物排放标准》（GB9078-1996）表4二级标准。厂界颗粒物排放满足《大气污染物综合排放标准》（GB16297-1996）标准的要求。</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对周边环境敏感目标影响较小。</w:t>
            </w:r>
          </w:p>
          <w:p w14:paraId="5C4DDA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Cs w:val="21"/>
                <w:highlight w:val="none"/>
                <w14:textFill>
                  <w14:solidFill>
                    <w14:schemeClr w14:val="tx1"/>
                  </w14:solidFill>
                </w14:textFill>
              </w:rPr>
              <w:t>厂区地理位置交通便利，基础设施齐全，与周边环境协调。项目不在风景名胜区、自然保护区、水源保护区及其他需要特别保护的区域内，没有明显的环境制约因素，项目选址合理。</w:t>
            </w:r>
          </w:p>
          <w:p w14:paraId="49F27D12">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、产业政策符合性</w:t>
            </w:r>
          </w:p>
          <w:p w14:paraId="67D56B94">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0" w:firstLineChars="200"/>
              <w:contextualSpacing/>
              <w:jc w:val="left"/>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《产业结构调整指导目录（</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2024年本</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本项目属于鼓励类中第一大类农林业第8条“农林牧渔产品储运、保鲜、加工与综合利用”，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本项目采用生物质热风炉，使用生物质颗粒作为燃料，不属于淘汰类中(七)机械-67.燃煤热风炉，不属于限制类“</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每小时35蒸吨及以下固定炉排式生物质锅炉。”</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因此，本项目</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符合国家产业政策。</w:t>
            </w:r>
          </w:p>
          <w:p w14:paraId="23C9A79A">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2" w:firstLineChars="200"/>
              <w:contextualSpacing/>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与《黑龙江省工业炉窑大气污染综合治理方案》（黑环发[2019]144号）符合性分析</w:t>
            </w:r>
          </w:p>
          <w:p w14:paraId="1CB41277">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0" w:firstLineChars="200"/>
              <w:contextualSpacing/>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根据《黑龙江省工业炉窑大气污染综合治理方案》（黑环发[2019]144号），</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推进工业炉窑全面达标排放。已有行业排放标准的工业炉窑，严格执行行业排放标准相关规定，配套建设高效脱硫脱硝除尘设施，确保稳定达标排放。已核发排污许可证的，应严格按照许可要求执行</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严格项目环境准入。新建涉工业炉窑的建设项目，原则上要入园区，配套建设高效环保治理设施。加大落后产能和不达标工业炉窑淘汰力度。分行业清理《产业结构调整指导目录</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（2024年本）</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》淘汰类工业炉窑。对热效率低下、敞开未封闭，装备简易落后、自动化程度低，无组织排放突出，以及无治理设施或治理设施工作落后等严重污染环境的工业炉窑，依法责令停业关闭。</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p>
          <w:p w14:paraId="0BFD98DD">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本项目</w:t>
            </w:r>
            <w:r>
              <w:rPr>
                <w:rFonts w:hint="eastAsia" w:cs="Times New Roman"/>
                <w:bCs/>
                <w:color w:val="000000" w:themeColor="text1"/>
                <w:kern w:val="0"/>
                <w:sz w:val="21"/>
                <w:szCs w:val="21"/>
                <w:highlight w:val="none"/>
                <w:lang w:val="en-US" w:eastAsia="zh-CN"/>
                <w14:textFill>
                  <w14:solidFill>
                    <w14:schemeClr w14:val="tx1"/>
                  </w14:solidFill>
                </w14:textFill>
              </w:rPr>
              <w:t>拆除原有一台4t/h燃煤热风炉，</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新建一台</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t/h燃生物质热风炉，</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热风炉</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烟气经除尘效率为9</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9</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%的布袋除尘器处理后经</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一</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根</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m高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排放，</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颗粒物</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排放浓度、烟气黑度满足《工业炉窑大气污染物排放标准》（GB9078-1996）表2</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中</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二级标准，SO</w:t>
            </w:r>
            <w:r>
              <w:rPr>
                <w:rFonts w:hint="default" w:ascii="Times New Roman" w:hAnsi="Times New Roman" w:eastAsia="宋体" w:cs="Times New Roman"/>
                <w:bCs/>
                <w:color w:val="000000" w:themeColor="text1"/>
                <w:kern w:val="0"/>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排放浓度满足《工业炉窑大气污染物排放标准》（GB9078-1996）表4</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中</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二级标准。</w:t>
            </w:r>
          </w:p>
          <w:p w14:paraId="3F49A73F">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本项目不属于《产业结构调整指导目录</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（2024年本）</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》淘汰类工业炉窑，热风炉布置于封闭的</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内，燃料</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及灰渣</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储存于</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内</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控制物料储存及输送的无组织排放。本项目</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生物质</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热风炉产生的烟气，经过环保治理设施污染物达标排放，对周围环境及敏感目标影响较小。</w:t>
            </w:r>
            <w:r>
              <w:rPr>
                <w:rFonts w:hint="default" w:ascii="Times New Roman" w:hAnsi="Times New Roman" w:eastAsia="宋体" w:cs="Times New Roman"/>
                <w:color w:val="000000" w:themeColor="text1"/>
                <w:sz w:val="21"/>
                <w:szCs w:val="21"/>
                <w:highlight w:val="none"/>
                <w14:textFill>
                  <w14:solidFill>
                    <w14:schemeClr w14:val="tx1"/>
                  </w14:solidFill>
                </w14:textFill>
              </w:rPr>
              <w:t>本项目作为农村特有的为粮食安全提供的烘干服务企业，结合黑龙江省现有粮食烘干企业的情况，目前均未要求粮食烘干企业进驻工业园区的要求。</w:t>
            </w:r>
          </w:p>
          <w:p w14:paraId="549E55E4">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本项目建设符合《黑龙江省工业炉窑大气污染综合治理方案》（黑环发[2019]144号）相关要求。</w:t>
            </w:r>
          </w:p>
          <w:p w14:paraId="6C0ED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与</w:t>
            </w:r>
            <w:r>
              <w:rPr>
                <w:rFonts w:hint="default" w:ascii="Times New Roman" w:hAnsi="Times New Roman" w:eastAsia="宋体" w:cs="Times New Roman"/>
                <w:b/>
                <w:bCs/>
                <w:color w:val="000000" w:themeColor="text1"/>
                <w:szCs w:val="21"/>
                <w:highlight w:val="none"/>
                <w14:textFill>
                  <w14:solidFill>
                    <w14:schemeClr w14:val="tx1"/>
                  </w14:solidFill>
                </w14:textFill>
              </w:rPr>
              <w:t>《黑龙江省大气污染防治条例》（2018年修订）符合性分析</w:t>
            </w:r>
          </w:p>
          <w:p w14:paraId="2EDB4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根据条例“第三十三条设区的市级城市建成区内，禁止新建额定蒸发量低于每小时二十吨或者额定功率低于十四兆瓦的燃煤锅炉；已经建成的额定蒸发量每小时十吨以下或者额定功率七兆瓦以下的燃煤锅炉，应当在国家规定的期限内淘汰”。</w:t>
            </w:r>
          </w:p>
          <w:p w14:paraId="20FB91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本项目</w:t>
            </w:r>
            <w:r>
              <w:rPr>
                <w:rFonts w:hint="eastAsia" w:cs="Times New Roman"/>
                <w:color w:val="000000" w:themeColor="text1"/>
                <w:szCs w:val="21"/>
                <w:highlight w:val="none"/>
                <w:lang w:eastAsia="zh-CN"/>
                <w14:textFill>
                  <w14:solidFill>
                    <w14:schemeClr w14:val="tx1"/>
                  </w14:solidFill>
                </w14:textFill>
              </w:rPr>
              <w:t>拆除原有一台4t/h燃煤热风炉，新建一台8t/h燃生物质热风炉</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，为粮食烘干提供热源，配套设置布袋除尘器，燃料为生物质成型颗粒</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，因此，</w:t>
            </w:r>
            <w:r>
              <w:rPr>
                <w:rFonts w:hint="default" w:ascii="Times New Roman" w:hAnsi="Times New Roman" w:eastAsia="宋体" w:cs="Times New Roman"/>
                <w:color w:val="000000" w:themeColor="text1"/>
                <w:szCs w:val="21"/>
                <w:highlight w:val="none"/>
                <w14:textFill>
                  <w14:solidFill>
                    <w14:schemeClr w14:val="tx1"/>
                  </w14:solidFill>
                </w14:textFill>
              </w:rPr>
              <w:t>本项目建设符合《黑龙江省大气污染防治条例》（2018年修订）的环境管理要求。</w:t>
            </w:r>
          </w:p>
          <w:p w14:paraId="071A38EC">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与</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《环境空气细颗粒物污染综合防治技术政策》</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符合性分析</w:t>
            </w:r>
          </w:p>
          <w:p w14:paraId="5004D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根据《环境空气细颗粒物污染综合防治技术政策》，“三、防治工业污染，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细颗粒物污染防治技术简要说明中，一、工业污染防治技术，（一）有组织排放颗粒物（烟、粉尘）污染防治技术，包括袋式除尘、湿式电除尘技术、电袋复合除尘技术。（二）前体污染物（NO、SO</w:t>
            </w:r>
            <w:r>
              <w:rPr>
                <w:rFonts w:hint="default"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、VOCs、NH</w:t>
            </w:r>
            <w:r>
              <w:rPr>
                <w:rFonts w:hint="default"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等）净化技术，包括各种脱硫技术、氮氧化物的催化还原技术及烟气脱硝技术、挥发性有机物的燃烧净化与吸附回收技术、氨的水洗涤净化技术。（三）无组织排放颗粒物和前体污染物治理技术，包括适用于大气颗粒物及其前体物污染控制的密闭生产技术、粉状物料堆放场的遮风与抑尘技术”。</w:t>
            </w:r>
          </w:p>
          <w:p w14:paraId="31A9487A">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本项目热风炉烟气通过布袋除尘器处理后经25m</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（DA001）高空排放，SO</w:t>
            </w:r>
            <w:r>
              <w:rPr>
                <w:rFonts w:hint="default"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排放浓度符合《工业炉窑大气污染物排放标准》（GB9078-1996）中的表4中的二级标准，颗粒物排放浓度及烟气黑度符合《工业炉窑大气污染物排放标准》（GB9078-1996）中的表2中的二级标准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原料烘干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、运输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及筛分</w:t>
            </w:r>
            <w:r>
              <w:rPr>
                <w:rFonts w:hint="default" w:ascii="Times New Roman" w:hAnsi="Times New Roman" w:eastAsia="宋体" w:cs="Times New Roman"/>
                <w:color w:val="000000" w:themeColor="text1"/>
                <w:sz w:val="21"/>
                <w:szCs w:val="21"/>
                <w:highlight w:val="none"/>
                <w14:textFill>
                  <w14:solidFill>
                    <w14:schemeClr w14:val="tx1"/>
                  </w14:solidFill>
                </w14:textFill>
              </w:rPr>
              <w:t>过程会有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产生，此部分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以无组织的形式排放。装卸工段</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采用密闭性良好的设备，全封闭输送机、原粮入仓采取封闭和减小装卸高度</w:t>
            </w:r>
            <w:r>
              <w:rPr>
                <w:rFonts w:hint="default" w:ascii="Times New Roman" w:hAnsi="Times New Roman" w:eastAsia="宋体" w:cs="Times New Roman"/>
                <w:color w:val="000000" w:themeColor="text1"/>
                <w:sz w:val="21"/>
                <w:szCs w:val="21"/>
                <w:highlight w:val="none"/>
                <w14:textFill>
                  <w14:solidFill>
                    <w14:schemeClr w14:val="tx1"/>
                  </w14:solidFill>
                </w14:textFill>
              </w:rPr>
              <w:t>等降尘措施，运输过程中采用封闭输送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；清粮采用全密闭筛</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处理后排放；烘干塔内部自带重力沉降室，烘干塔底部四周设置防尘挡板，粉尘受挡板格挡后受重力作用回落到烘干塔底部收尘设施中</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密闭并定期洒水抑尘，减少粉尘扩散。厂界颗粒物排放浓度符合《大气污染物综合排放标准》（GB16297-1996）表2无组织排放浓度限值要求。</w:t>
            </w:r>
            <w:r>
              <w:rPr>
                <w:rFonts w:hint="default" w:ascii="Times New Roman" w:hAnsi="Times New Roman" w:eastAsia="宋体" w:cs="Times New Roman"/>
                <w:color w:val="000000" w:themeColor="text1"/>
                <w:sz w:val="21"/>
                <w:szCs w:val="21"/>
                <w:highlight w:val="none"/>
                <w14:textFill>
                  <w14:solidFill>
                    <w14:schemeClr w14:val="tx1"/>
                  </w14:solidFill>
                </w14:textFill>
              </w:rPr>
              <w:t>因此本项目符合《</w:t>
            </w: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环境空气细颗粒物污染综合防治技术政策</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p>
          <w:p w14:paraId="2C2454CB">
            <w:pPr>
              <w:pStyle w:val="145"/>
              <w:keepNext w:val="0"/>
              <w:keepLines w:val="0"/>
              <w:pageBreakBefore w:val="0"/>
              <w:widowControl w:val="0"/>
              <w:suppressLineNumbers w:val="0"/>
              <w:kinsoku/>
              <w:wordWrap/>
              <w:overflowPunct/>
              <w:topLinePunct w:val="0"/>
              <w:bidi w:val="0"/>
              <w:spacing w:before="0" w:beforeAutospacing="0" w:after="0" w:afterAutospacing="0"/>
              <w:ind w:left="0" w:right="0"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、与《“黑龙江省“十四五”生态环境保护规划》符合</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性</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分析</w:t>
            </w:r>
          </w:p>
          <w:p w14:paraId="7FDA7AA4">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本项目</w:t>
            </w:r>
            <w:r>
              <w:rPr>
                <w:rFonts w:hint="eastAsia" w:cs="Times New Roman"/>
                <w:color w:val="000000" w:themeColor="text1"/>
                <w:sz w:val="21"/>
                <w:szCs w:val="21"/>
                <w:highlight w:val="none"/>
                <w:lang w:eastAsia="zh-CN"/>
                <w14:textFill>
                  <w14:solidFill>
                    <w14:schemeClr w14:val="tx1"/>
                  </w14:solidFill>
                </w14:textFill>
              </w:rPr>
              <w:t>拆除原有一台4t/h燃煤热风炉，新建一台8t/h燃生物质热风炉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，采用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生物质成型颗粒</w:t>
            </w:r>
            <w:r>
              <w:rPr>
                <w:rFonts w:hint="default" w:ascii="Times New Roman" w:hAnsi="Times New Roman" w:eastAsia="宋体" w:cs="Times New Roman"/>
                <w:color w:val="000000" w:themeColor="text1"/>
                <w:sz w:val="21"/>
                <w:szCs w:val="21"/>
                <w:highlight w:val="none"/>
                <w14:textFill>
                  <w14:solidFill>
                    <w14:schemeClr w14:val="tx1"/>
                  </w14:solidFill>
                </w14:textFill>
              </w:rPr>
              <w:t>，不涉及燃煤燃料使用，可以达标排放，属于可行技术，确保污染物稳定达标排放；运营期</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无生产废水，</w:t>
            </w:r>
            <w:r>
              <w:rPr>
                <w:rFonts w:hint="default" w:ascii="Times New Roman" w:hAnsi="Times New Roman" w:eastAsia="宋体" w:cs="Times New Roman"/>
                <w:bCs/>
                <w:color w:val="000000" w:themeColor="text1"/>
                <w:szCs w:val="21"/>
                <w:highlight w:val="none"/>
                <w:lang w:eastAsia="zh-CN"/>
                <w14:textFill>
                  <w14:solidFill>
                    <w14:schemeClr w14:val="tx1"/>
                  </w14:solidFill>
                </w14:textFill>
              </w:rPr>
              <w:t>项目生活污水排入防渗旱厕，定期清掏，外运堆肥，不外排</w:t>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属于《黑龙江省“十四五”生态环境保护规划》中“重点行业大气污染治理工程、水生态环境提升重大工程、土壤和地下水污染治理重大工程”中要求内容，项目建设符合《黑龙江省“十四五”生态环境保护规划》要求。</w:t>
            </w:r>
          </w:p>
          <w:p w14:paraId="031EEC6A">
            <w:pPr>
              <w:keepNext w:val="0"/>
              <w:keepLines w:val="0"/>
              <w:pageBreakBefore w:val="0"/>
              <w:numPr>
                <w:ilvl w:val="0"/>
                <w:numId w:val="3"/>
              </w:numPr>
              <w:suppressLineNumbers w:val="0"/>
              <w:kinsoku/>
              <w:wordWrap/>
              <w:overflowPunct/>
              <w:topLinePunct w:val="0"/>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与《鸡西市“十四五”生态环境保护规划》的符合性分析</w:t>
            </w:r>
          </w:p>
          <w:p w14:paraId="64B5FA99">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实施大气环境质量目标管理。对照 2035 年远景目标,开展形势分析,逐步提高大气环境质量目标，持续改善城市大气环境质量。开展工业炉窑深度治理。分类建立超低排放改造以外的重点涉工业炉窑行业清单，制定工业炉窑深度治理工作方案。严格排放标准要求，加强不达标工业炉窑的淘汰力度，加快淘汰中小型煤气发生炉。鼓励工业炉窑使用电、天然气等清洁能源或由周边热电厂供热。</w:t>
            </w:r>
          </w:p>
          <w:p w14:paraId="47066D55">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加大燃煤污染治理力度。深入实施散煤污染治理“三重一改”攻坚行动，统筹全市棚户区、城中村、城乡结合部、商户和农村地区散煤污染治理，按照“煤炭集中使用、清洁利用”原则，重点削减散煤、工业锅炉、工业炉窑等非电用煤，以“煤改气”“煤改电”为主要方式，降低煤炭在能源消费中的比重。持续推进清洁取暖，加快生物质成型颗粒供暖，构建绿色、节约、高效、协调、适用的清洁供暖体系。市主城区建成区基本实现散煤清零。加快淘汰全市建成区10-35 蒸吨/小时燃煤锅炉，推进 65 蒸吨/小时及以上燃煤锅炉(含电力)超低排放改造，实现 20 蒸吨/小时及以上锅炉稳定达标排放全覆盖。</w:t>
            </w:r>
          </w:p>
          <w:p w14:paraId="30BB08AC">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强化秸秆综合利用和禁烧。推进秸秆综合利用实施，合理安排“五化”利用，完善秸秆收储运体系，研发推广综合利用先进技术和设备。加强试点示范，拓宽利用路径，完善扶持政策，探索建立政府、企业与农民三方共赢的秸秆综合利用利益链接机制，实现秸秆综合利用水平全面提升。强化各级网格责任单位秸秆禁烧主体责任，健全市县乡村“四级”网格化监管体系，强化秸秆禁烧督查巡查，综合运用卫星遥感、高清视频监控等手段,不断提高禁烧监管水平,严格落实奖惩制度。到 2025年，全市秸秆还田率达到60%以上，秸秆综合利用率达到90%。</w:t>
            </w:r>
          </w:p>
          <w:p w14:paraId="7F73C8AF">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推进扬尘精细化管控。全面推行绿色施工，严格落实施工工地扬尘管控责任，加强施工扬尘监管执法。推进低尘机械化湿式清扫作业，加大城市出入口、城乡结合部等重要路段冲洗保洁力度，渣土车实施全闭运输，强化绿化用地扬尘治理。城市裸露地面、粉粒类物料堆放以及大型煤炭物料堆场，全面完成抑尘设施建设和物料输送系统封闭改造鼓励有条件的堆场实施全封闭改造</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210EC79E">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本项目</w:t>
            </w:r>
            <w:r>
              <w:rPr>
                <w:rFonts w:hint="eastAsia" w:cs="Times New Roman"/>
                <w:b w:val="0"/>
                <w:bCs/>
                <w:color w:val="000000" w:themeColor="text1"/>
                <w:sz w:val="21"/>
                <w:szCs w:val="21"/>
                <w:highlight w:val="none"/>
                <w:lang w:eastAsia="zh-CN"/>
                <w14:textFill>
                  <w14:solidFill>
                    <w14:schemeClr w14:val="tx1"/>
                  </w14:solidFill>
                </w14:textFill>
              </w:rPr>
              <w:t>拆除原有一台4t/h燃煤热风炉，新建一台8t/h燃生物质热风炉</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采用生物质成型颗粒，不涉及燃煤燃料使用，可以达标排放，属于可行技术，确保污染物稳定达标排放；运营期</w:t>
            </w:r>
            <w:r>
              <w:rPr>
                <w:rFonts w:hint="default" w:ascii="Times New Roman" w:hAnsi="Times New Roman" w:eastAsia="宋体" w:cs="Times New Roman"/>
                <w:color w:val="000000" w:themeColor="text1"/>
                <w:highlight w:val="none"/>
                <w:lang w:val="en-US" w:eastAsia="zh-CN"/>
                <w14:textFill>
                  <w14:solidFill>
                    <w14:schemeClr w14:val="tx1"/>
                  </w14:solidFill>
                </w14:textFill>
              </w:rPr>
              <w:t>无生产废水，生活污水</w:t>
            </w:r>
            <w:r>
              <w:rPr>
                <w:rFonts w:hint="default" w:ascii="Times New Roman" w:hAnsi="Times New Roman" w:eastAsia="宋体" w:cs="Times New Roman"/>
                <w:color w:val="000000" w:themeColor="text1"/>
                <w:highlight w:val="none"/>
                <w:lang w:eastAsia="zh-CN"/>
                <w14:textFill>
                  <w14:solidFill>
                    <w14:schemeClr w14:val="tx1"/>
                  </w14:solidFill>
                </w14:textFill>
              </w:rPr>
              <w:t>排入</w:t>
            </w:r>
            <w:r>
              <w:rPr>
                <w:rFonts w:hint="default" w:ascii="Times New Roman" w:hAnsi="Times New Roman" w:eastAsia="宋体" w:cs="Times New Roman"/>
                <w:color w:val="000000" w:themeColor="text1"/>
                <w:highlight w:val="none"/>
                <w:lang w:val="en-US" w:eastAsia="zh-CN"/>
                <w14:textFill>
                  <w14:solidFill>
                    <w14:schemeClr w14:val="tx1"/>
                  </w14:solidFill>
                </w14:textFill>
              </w:rPr>
              <w:t>防渗旱厕</w:t>
            </w:r>
            <w:r>
              <w:rPr>
                <w:rFonts w:hint="default" w:ascii="Times New Roman" w:hAnsi="Times New Roman" w:eastAsia="宋体" w:cs="Times New Roman"/>
                <w:color w:val="000000" w:themeColor="text1"/>
                <w:highlight w:val="none"/>
                <w:lang w:eastAsia="zh-CN"/>
                <w14:textFill>
                  <w14:solidFill>
                    <w14:schemeClr w14:val="tx1"/>
                  </w14:solidFill>
                </w14:textFill>
              </w:rPr>
              <w:t>，定期清掏，外运堆肥，</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不外排。</w:t>
            </w:r>
            <w:r>
              <w:rPr>
                <w:rFonts w:hint="default" w:ascii="Times New Roman" w:hAnsi="Times New Roman" w:eastAsia="宋体" w:cs="Times New Roman"/>
                <w:color w:val="000000" w:themeColor="text1"/>
                <w:sz w:val="21"/>
                <w:szCs w:val="21"/>
                <w:highlight w:val="none"/>
                <w14:textFill>
                  <w14:solidFill>
                    <w14:schemeClr w14:val="tx1"/>
                  </w14:solidFill>
                </w14:textFill>
              </w:rPr>
              <w:t>项目建设符合《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鸡西市</w:t>
            </w:r>
            <w:r>
              <w:rPr>
                <w:rFonts w:hint="default" w:ascii="Times New Roman" w:hAnsi="Times New Roman" w:eastAsia="宋体" w:cs="Times New Roman"/>
                <w:color w:val="000000" w:themeColor="text1"/>
                <w:sz w:val="21"/>
                <w:szCs w:val="21"/>
                <w:highlight w:val="none"/>
                <w14:textFill>
                  <w14:solidFill>
                    <w14:schemeClr w14:val="tx1"/>
                  </w14:solidFill>
                </w14:textFill>
              </w:rPr>
              <w:t>“十四五”生态环境保护规划》要求。</w:t>
            </w:r>
          </w:p>
          <w:p w14:paraId="0E1B4635">
            <w:pPr>
              <w:keepNext w:val="0"/>
              <w:keepLines w:val="0"/>
              <w:pageBreakBefore w:val="0"/>
              <w:suppressLineNumbers w:val="0"/>
              <w:kinsoku/>
              <w:wordWrap/>
              <w:overflowPunct/>
              <w:topLinePunct w:val="0"/>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、与《工业炉窑大气污染综合治理方案》（环大气[2019]56号）符合性分析</w:t>
            </w:r>
          </w:p>
          <w:p w14:paraId="3DDD7958">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根据</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炉窑大气污染综合治理方案》（环大气[2019]56号）“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p w14:paraId="7DB99418">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14:paraId="711FFF97">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本项目</w:t>
            </w:r>
            <w:r>
              <w:rPr>
                <w:rFonts w:hint="eastAsia" w:cs="Times New Roman"/>
                <w:b w:val="0"/>
                <w:bCs/>
                <w:color w:val="000000" w:themeColor="text1"/>
                <w:sz w:val="21"/>
                <w:szCs w:val="21"/>
                <w:highlight w:val="none"/>
                <w:lang w:eastAsia="zh-CN"/>
                <w14:textFill>
                  <w14:solidFill>
                    <w14:schemeClr w14:val="tx1"/>
                  </w14:solidFill>
                </w14:textFill>
              </w:rPr>
              <w:t>拆除原有一台4t/h燃煤热风炉，新建一台8t/h燃生物质热风炉</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，用于粮食烘干，本项目厂址位于</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鸡西市滴道区兰岭乡兰岭村</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，不属于《工业炉窑大气污染综合治理方案》重点区域，也不属于其附件4中的重点行业工业炉窑。</w:t>
            </w:r>
          </w:p>
          <w:p w14:paraId="593B3041">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本项目生物质热风炉烟气经除尘效率为99%的布袋除尘器处理后经</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m高烟囱排放，颗粒物、烟气黑度排放浓度满足《工业炉窑大气污染物排放标准》（GB9078-1996）表2二级标准，SO</w:t>
            </w:r>
            <w:r>
              <w:rPr>
                <w:rFonts w:hint="default" w:ascii="Times New Roman" w:hAnsi="Times New Roman" w:eastAsia="宋体" w:cs="Times New Roman"/>
                <w:b w:val="0"/>
                <w:bCs/>
                <w:color w:val="000000" w:themeColor="text1"/>
                <w:sz w:val="21"/>
                <w:szCs w:val="21"/>
                <w:highlight w:val="none"/>
                <w:vertAlign w:val="subscript"/>
                <w:lang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排放浓度满足《工业炉窑大气污染物排放标准》（GB9078-1996）表4二级标准。厂界颗粒物排放满足《大气污染物综合排放标准》（GB16297-1996）标准的要求。因此本项目建设符合《工业炉窑大气污染综合治理方案》（环大气[2019]56号）相关要求。</w:t>
            </w:r>
          </w:p>
          <w:p w14:paraId="15089A87">
            <w:pPr>
              <w:keepNext w:val="0"/>
              <w:keepLines w:val="0"/>
              <w:pageBreakBefore w:val="0"/>
              <w:suppressLineNumbers w:val="0"/>
              <w:kinsoku/>
              <w:wordWrap/>
              <w:overflowPunct/>
              <w:topLinePunct w:val="0"/>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10、与</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《黑龙江省大气污染防治行动计划实施细则》</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符合性分析</w:t>
            </w:r>
          </w:p>
          <w:p w14:paraId="774F3137">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根据</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黑龙江省大气污染防治行动计划实施细则》“加强对燃煤锅炉及窑炉等治理。规模在20蒸吨及以上的燃煤锅炉要实施烟气脱硫，确保达标排放。循环硫化床锅炉要全部安装静电、布袋等高效除尘设施，实现达标排放，抛煤机和往复炉排等层燃锅炉要使用含硫量低于</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5%、灰分小于27%、全水分15%以下、低位发热量不低于4700千卡/公斤的洁净配煤，并综合考虑加大动力煤洗选力度、清洁能源替代等多种措施。冲天炉完成电炉改造，或实施每小时5吨以上热风炉和湿式除尘器改造，实现稳定达标排放。燃煤窑炉完成煤气发生炉、水煤浆燃烧器等技术改造或使用清洁能源，实现达标排放。”</w:t>
            </w:r>
          </w:p>
          <w:p w14:paraId="71DB4EEF">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扩大高污染燃料禁燃区范围。到2014年年底，各地要完成高污染燃料禁燃区划定和调整工作，并向社会公布。禁燃区面积不低于建成区面积的80%，并根据城市建成区的发展不断调整划定范围。禁燃区内禁止散烧原煤以及煤焦油、重油、渣油等燃料，禁止燃烧各种可燃废物，禁止燃用生物质燃料及污染物含量超过国家规定限值的柴油、煤油等高污染燃料。已建成的使用高污染燃料的各类设施要限期拆除或改造成使用管道天然气、液化石油气、电等清洁能源。”</w:t>
            </w:r>
          </w:p>
          <w:p w14:paraId="04FA282B">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本项目</w:t>
            </w:r>
            <w:r>
              <w:rPr>
                <w:rFonts w:hint="eastAsia" w:cs="Times New Roman"/>
                <w:b w:val="0"/>
                <w:bCs/>
                <w:color w:val="000000" w:themeColor="text1"/>
                <w:sz w:val="21"/>
                <w:szCs w:val="21"/>
                <w:highlight w:val="none"/>
                <w:lang w:val="en-US" w:eastAsia="zh-CN"/>
                <w14:textFill>
                  <w14:solidFill>
                    <w14:schemeClr w14:val="tx1"/>
                  </w14:solidFill>
                </w14:textFill>
              </w:rPr>
              <w:t>拆除原有一台4t/h燃煤热风炉，新建一台8t/h燃生物质热风炉</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，燃料为生物质成型颗粒，配套设置布袋除尘器，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不属于高污染燃料。</w:t>
            </w:r>
          </w:p>
          <w:p w14:paraId="57248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11、与《黑龙江省空气质量持续改善行动计划实施方案》</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（黑政发【2023】19号）</w:t>
            </w:r>
            <w:r>
              <w:rPr>
                <w:rFonts w:hint="default" w:ascii="Times New Roman" w:hAnsi="Times New Roman" w:eastAsia="宋体" w:cs="Times New Roman"/>
                <w:b/>
                <w:bCs/>
                <w:color w:val="000000" w:themeColor="text1"/>
                <w:kern w:val="0"/>
                <w:sz w:val="21"/>
                <w:szCs w:val="21"/>
                <w:highlight w:val="none"/>
                <w:u w:val="none"/>
                <w14:textFill>
                  <w14:solidFill>
                    <w14:schemeClr w14:val="tx1"/>
                  </w14:solidFill>
                </w14:textFill>
              </w:rPr>
              <w:t>符合性分析</w:t>
            </w:r>
          </w:p>
          <w:p w14:paraId="169369CA">
            <w:pPr>
              <w:pStyle w:val="4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i w:val="0"/>
                <w:iCs w:val="0"/>
                <w:caps w:val="0"/>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《黑龙江省空气质量持续改善行动计划实施方案》</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（黑政发【2023】19号）</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中指出“</w:t>
            </w:r>
            <w:r>
              <w:rPr>
                <w:rFonts w:hint="default" w:ascii="Times New Roman" w:hAnsi="Times New Roman" w:eastAsia="宋体" w:cs="Times New Roman"/>
                <w:b w:val="0"/>
                <w:bCs w:val="0"/>
                <w:i w:val="0"/>
                <w:iCs w:val="0"/>
                <w:caps w:val="0"/>
                <w:color w:val="000000" w:themeColor="text1"/>
                <w:spacing w:val="0"/>
                <w:sz w:val="21"/>
                <w:szCs w:val="21"/>
                <w:highlight w:val="none"/>
                <w14:textFill>
                  <w14:solidFill>
                    <w14:schemeClr w14:val="tx1"/>
                  </w14:solidFill>
                </w14:textFill>
              </w:rPr>
              <w:t>在持续优化改善能源结构方面，加快推进能源结构优化，严格控制煤炭消费总量，积极推进燃煤锅炉淘汰改造，加快工业炉窑燃料清洁替代，以试点城市为引领持续推进清洁取暖，积极推进散煤污染治理</w:t>
            </w:r>
            <w:r>
              <w:rPr>
                <w:rFonts w:hint="default" w:ascii="Times New Roman" w:hAnsi="Times New Roman" w:eastAsia="宋体" w:cs="Times New Roman"/>
                <w:b w:val="0"/>
                <w:bCs w:val="0"/>
                <w:i w:val="0"/>
                <w:iCs w:val="0"/>
                <w:caps w:val="0"/>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i w:val="0"/>
                <w:iCs w:val="0"/>
                <w:caps w:val="0"/>
                <w:color w:val="000000" w:themeColor="text1"/>
                <w:spacing w:val="0"/>
                <w:sz w:val="21"/>
                <w:szCs w:val="21"/>
                <w:highlight w:val="none"/>
                <w14:textFill>
                  <w14:solidFill>
                    <w14:schemeClr w14:val="tx1"/>
                  </w14:solidFill>
                </w14:textFill>
              </w:rPr>
              <w:t>在持续加强面源污染治理方面，深化扬尘污染综合治理，推进矿山生态环境综合整治，加强秸秆综合利用和禁烧管控，加强秸秆综合利用和禁烧管控。</w:t>
            </w:r>
            <w:r>
              <w:rPr>
                <w:rFonts w:hint="default" w:ascii="Times New Roman" w:hAnsi="Times New Roman" w:eastAsia="宋体" w:cs="Times New Roman"/>
                <w:b w:val="0"/>
                <w:bCs w:val="0"/>
                <w:i w:val="0"/>
                <w:iCs w:val="0"/>
                <w:caps w:val="0"/>
                <w:color w:val="000000" w:themeColor="text1"/>
                <w:spacing w:val="0"/>
                <w:sz w:val="21"/>
                <w:szCs w:val="21"/>
                <w:highlight w:val="none"/>
                <w:lang w:eastAsia="zh-CN"/>
                <w14:textFill>
                  <w14:solidFill>
                    <w14:schemeClr w14:val="tx1"/>
                  </w14:solidFill>
                </w14:textFill>
              </w:rPr>
              <w:t>”</w:t>
            </w:r>
          </w:p>
          <w:p w14:paraId="5A3D9C1C">
            <w:pPr>
              <w:pStyle w:val="4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位于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鸡西市滴道区兰岭乡兰岭村</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热风炉房内为1台8t/h</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生物质</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热风炉</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，用于粮食烘干</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燃料为生物质成型颗粒，</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生物质热风炉烟气经除尘效率为99%的布袋除尘器处理后经</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m高烟囱排放，颗粒物、烟气黑度排放浓度满足《工业炉窑大气污染物排放标准》（GB9078-1996）表2二级标准，SO</w:t>
            </w:r>
            <w:r>
              <w:rPr>
                <w:rFonts w:hint="default" w:ascii="Times New Roman" w:hAnsi="Times New Roman" w:eastAsia="宋体" w:cs="Times New Roman"/>
                <w:b w:val="0"/>
                <w:bCs/>
                <w:color w:val="000000" w:themeColor="text1"/>
                <w:sz w:val="21"/>
                <w:szCs w:val="21"/>
                <w:highlight w:val="none"/>
                <w:vertAlign w:val="subscript"/>
                <w:lang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排放浓度满足《工业炉窑大气污染物排放标准》（GB9078-1996）表4二级标准。</w:t>
            </w:r>
          </w:p>
          <w:p w14:paraId="67A13FA4">
            <w:pPr>
              <w:pStyle w:val="4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14:textFill>
                  <w14:solidFill>
                    <w14:schemeClr w14:val="tx1"/>
                  </w14:solidFill>
                </w14:textFill>
              </w:rPr>
              <w:t>原料烘干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、运输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及筛分</w:t>
            </w:r>
            <w:r>
              <w:rPr>
                <w:rFonts w:hint="default" w:ascii="Times New Roman" w:hAnsi="Times New Roman" w:eastAsia="宋体" w:cs="Times New Roman"/>
                <w:color w:val="000000" w:themeColor="text1"/>
                <w:sz w:val="21"/>
                <w:szCs w:val="21"/>
                <w:highlight w:val="none"/>
                <w14:textFill>
                  <w14:solidFill>
                    <w14:schemeClr w14:val="tx1"/>
                  </w14:solidFill>
                </w14:textFill>
              </w:rPr>
              <w:t>过程会有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产生，此部分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以无组织的形式排放。装卸工段</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采用密闭性良好的设备，全封闭输送机、原粮入仓采取封闭和减小装卸高度</w:t>
            </w:r>
            <w:r>
              <w:rPr>
                <w:rFonts w:hint="default" w:ascii="Times New Roman" w:hAnsi="Times New Roman" w:eastAsia="宋体" w:cs="Times New Roman"/>
                <w:color w:val="000000" w:themeColor="text1"/>
                <w:sz w:val="21"/>
                <w:szCs w:val="21"/>
                <w:highlight w:val="none"/>
                <w14:textFill>
                  <w14:solidFill>
                    <w14:schemeClr w14:val="tx1"/>
                  </w14:solidFill>
                </w14:textFill>
              </w:rPr>
              <w:t>等降尘措施，运输过程中采用封闭输送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；清粮采用全密闭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处理后排放；烘干塔内部自带重力沉降室，烘干塔底部四周设置防尘挡板，粉尘受挡板格挡后受重力作用回落到烘干塔底部收尘设施中</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。燃料库、</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密闭并定期洒水抑尘，减少粉尘扩散；</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生物质热风炉所用燃料生物质颗粒</w:t>
            </w:r>
            <w:r>
              <w:rPr>
                <w:rFonts w:hint="default" w:ascii="Times New Roman" w:hAnsi="Times New Roman" w:eastAsia="宋体" w:cs="Times New Roman"/>
                <w:color w:val="000000" w:themeColor="text1"/>
                <w:sz w:val="21"/>
                <w:szCs w:val="21"/>
                <w:highlight w:val="none"/>
                <w14:textFill>
                  <w14:solidFill>
                    <w14:schemeClr w14:val="tx1"/>
                  </w14:solidFill>
                </w14:textFill>
              </w:rPr>
              <w:t>随用随存，不长时间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储存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生物质颗粒、热风炉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灰渣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14:textFill>
                  <w14:solidFill>
                    <w14:schemeClr w14:val="tx1"/>
                  </w14:solidFill>
                </w14:textFill>
              </w:rPr>
              <w:t>除尘器收集的除尘灰储存于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灰渣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间</w:t>
            </w:r>
            <w:r>
              <w:rPr>
                <w:rFonts w:hint="default" w:ascii="Times New Roman" w:hAnsi="Times New Roman" w:eastAsia="宋体" w:cs="Times New Roman"/>
                <w:color w:val="000000" w:themeColor="text1"/>
                <w:sz w:val="21"/>
                <w:szCs w:val="21"/>
                <w:highlight w:val="none"/>
                <w14:textFill>
                  <w14:solidFill>
                    <w14:schemeClr w14:val="tx1"/>
                  </w14:solidFill>
                </w14:textFill>
              </w:rPr>
              <w:t>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灰渣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间</w:t>
            </w:r>
            <w:r>
              <w:rPr>
                <w:rFonts w:hint="default" w:ascii="Times New Roman" w:hAnsi="Times New Roman" w:eastAsia="宋体" w:cs="Times New Roman"/>
                <w:color w:val="000000" w:themeColor="text1"/>
                <w:sz w:val="21"/>
                <w:szCs w:val="21"/>
                <w:highlight w:val="none"/>
                <w14:textFill>
                  <w14:solidFill>
                    <w14:schemeClr w14:val="tx1"/>
                  </w14:solidFill>
                </w14:textFill>
              </w:rPr>
              <w:t>地面做防渗处理，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灰渣间</w:t>
            </w:r>
            <w:r>
              <w:rPr>
                <w:rFonts w:hint="default" w:ascii="Times New Roman" w:hAnsi="Times New Roman" w:eastAsia="宋体" w:cs="Times New Roman"/>
                <w:color w:val="000000" w:themeColor="text1"/>
                <w:sz w:val="21"/>
                <w:szCs w:val="21"/>
                <w:highlight w:val="none"/>
                <w14:textFill>
                  <w14:solidFill>
                    <w14:schemeClr w14:val="tx1"/>
                  </w14:solidFill>
                </w14:textFill>
              </w:rPr>
              <w:t>密闭</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杜绝露天堆放，并配合表面洒水降尘不会形成动力起尘的粉尘影响。</w:t>
            </w:r>
          </w:p>
          <w:p w14:paraId="229C70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i w:val="0"/>
                <w:iCs w:val="0"/>
                <w: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项目施工期</w:t>
            </w:r>
            <w:r>
              <w:rPr>
                <w:rFonts w:hint="default" w:ascii="Times New Roman" w:hAnsi="Times New Roman" w:eastAsia="宋体" w:cs="Times New Roman"/>
                <w:color w:val="000000" w:themeColor="text1"/>
                <w:sz w:val="21"/>
                <w:szCs w:val="21"/>
                <w:highlight w:val="none"/>
                <w14:textFill>
                  <w14:solidFill>
                    <w14:schemeClr w14:val="tx1"/>
                  </w14:solidFill>
                </w14:textFill>
              </w:rPr>
              <w:t>施工车辆采取篷布加盖措施，施工车辆运输弃土、垃圾的车辆装载高度应低于车辆上沿，不得超高超载。实行封闭运输，以免车辆颠簸撒漏。坚持文明装卸，运输车辆装卸完货后应清洗车厢</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在施工场地上设置专人负责弃土、建筑垃圾、建筑材料的处置、清运和堆放，堆放场地加盖蓬布或洒水，防止二次扬尘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对建筑垃圾及弃土应及时处理、清运、以减少占地，防止扬尘污染，在施工现场周围，连续设置不低于1.5m高的围挡，在施工场地安排员工定期对施工场地洒水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施工结束后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对场区内的裸露地面进行绿化、硬化工作</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等措施，施工期</w:t>
            </w:r>
            <w:r>
              <w:rPr>
                <w:rFonts w:hint="default" w:ascii="Times New Roman" w:hAnsi="Times New Roman" w:eastAsia="宋体" w:cs="Times New Roman"/>
                <w:color w:val="000000" w:themeColor="text1"/>
                <w:sz w:val="21"/>
                <w:szCs w:val="21"/>
                <w:highlight w:val="none"/>
                <w14:textFill>
                  <w14:solidFill>
                    <w14:schemeClr w14:val="tx1"/>
                  </w14:solidFill>
                </w14:textFill>
              </w:rPr>
              <w:t>减少扬尘的产生量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r>
              <w:rPr>
                <w:rFonts w:hint="default" w:ascii="Times New Roman" w:hAnsi="Times New Roman" w:eastAsia="宋体" w:cs="Times New Roman"/>
                <w:b w:val="0"/>
                <w:bCs w:val="0"/>
                <w:i w:val="0"/>
                <w:iCs w:val="0"/>
                <w:caps w:val="0"/>
                <w:color w:val="000000" w:themeColor="text1"/>
                <w:spacing w:val="0"/>
                <w:sz w:val="21"/>
                <w:szCs w:val="21"/>
                <w:highlight w:val="none"/>
                <w14:textFill>
                  <w14:solidFill>
                    <w14:schemeClr w14:val="tx1"/>
                  </w14:solidFill>
                </w14:textFill>
              </w:rPr>
              <w:t>秸秆</w:t>
            </w:r>
            <w:r>
              <w:rPr>
                <w:rFonts w:hint="default" w:ascii="Times New Roman" w:hAnsi="Times New Roman" w:eastAsia="宋体" w:cs="Times New Roman"/>
                <w:b w:val="0"/>
                <w:bCs w:val="0"/>
                <w:i w:val="0"/>
                <w:iCs w:val="0"/>
                <w:caps w:val="0"/>
                <w:color w:val="000000" w:themeColor="text1"/>
                <w:spacing w:val="0"/>
                <w:sz w:val="21"/>
                <w:szCs w:val="21"/>
                <w:highlight w:val="none"/>
                <w:lang w:val="en-US" w:eastAsia="zh-CN"/>
                <w14:textFill>
                  <w14:solidFill>
                    <w14:schemeClr w14:val="tx1"/>
                  </w14:solidFill>
                </w14:textFill>
              </w:rPr>
              <w:t>利用及燃烧。</w:t>
            </w:r>
          </w:p>
          <w:p w14:paraId="48F15925">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sz w:val="21"/>
                <w:szCs w:val="21"/>
                <w:highlight w:val="none"/>
                <w:lang w:val="en-US" w:eastAsia="zh-CN"/>
                <w14:textFill>
                  <w14:solidFill>
                    <w14:schemeClr w14:val="tx1"/>
                  </w14:solidFill>
                </w14:textFill>
              </w:rPr>
              <w:t>综上所述，本项目</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符合《黑龙江省空气质量持续改善行动计划实施方案》</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（黑政发【2023】19号）</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中要求。</w:t>
            </w:r>
          </w:p>
          <w:p w14:paraId="09292815">
            <w:pPr>
              <w:keepNext w:val="0"/>
              <w:keepLines w:val="0"/>
              <w:pageBreakBefore w:val="0"/>
              <w:suppressLineNumbers w:val="0"/>
              <w:kinsoku/>
              <w:wordWrap/>
              <w:overflowPunct/>
              <w:topLinePunct w:val="0"/>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12</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、与《鸡西市空气质量持续改善行动计划贯彻落实方案（鸡政发〔2024〕6号）》符合性分析</w:t>
            </w:r>
          </w:p>
          <w:p w14:paraId="39C20CF2">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《鸡西市空气质量持续改善行动计划贯彻落实方案（鸡政发〔2024〕6号）》中二、持续推进产业结构调整：（五）加快退出重点行业落后产能。严格执行《产业结构调整指导目录</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（2024年本）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要求，加快退出淘汰类产能、工艺、装备，提高限制类产能、工艺、装备淘汰改造引导力度。三、持续优化改善能源结构：（十）严格合理控制煤炭消费总量。全市原则上不再新增自备燃煤机组，按要求支持自备燃煤机组实施清洁能源替代。合理保障支撑电力稳定供应、电网安全运行、清洁能源大规模并网消纳的煤电项目及其用煤量。鼓励锅炉生产制造企业优化锅炉设计，应用新材料、新技术、新工艺，通过优化参数和燃料结构、采用新型热力循环等方式，从源头提高锅炉绿色低碳水平。到2025年，全市煤炭消费比重在2020年基础上下降4%左右。</w:t>
            </w:r>
          </w:p>
          <w:p w14:paraId="7D59C03A">
            <w:pPr>
              <w:pStyle w:val="4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根据《产业结构调整指导目录(2024年本)》中鼓励类“一、农林牧渔业8、农产品仓储运输：农林牧渔产品储运、保鲜、加工与综合利用”，不属于淘汰类、限值类产能、工艺、装备。</w:t>
            </w:r>
          </w:p>
          <w:p w14:paraId="0DA508F6">
            <w:pPr>
              <w:pStyle w:val="4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位于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鸡西市滴道区兰岭乡兰岭村</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热风炉房内为1台8t/h</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生物质</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热风炉</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，用于粮食烘干</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燃料为生物质成型颗粒，</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生物质热风炉烟气经除尘效率为99%的布袋除尘器处理后经</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m高烟囱排放，颗粒物、烟气黑度排放浓度满足《工业炉窑大气污染物排放标准》（GB9078-1996）表2二级标准，SO</w:t>
            </w:r>
            <w:r>
              <w:rPr>
                <w:rFonts w:hint="default" w:ascii="Times New Roman" w:hAnsi="Times New Roman" w:eastAsia="宋体" w:cs="Times New Roman"/>
                <w:b w:val="0"/>
                <w:bCs/>
                <w:color w:val="000000" w:themeColor="text1"/>
                <w:sz w:val="21"/>
                <w:szCs w:val="21"/>
                <w:highlight w:val="none"/>
                <w:vertAlign w:val="subscript"/>
                <w:lang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排放浓度满足《工业炉窑大气污染物排放标准》（GB9078-1996）表4二级标准。</w:t>
            </w:r>
          </w:p>
          <w:p w14:paraId="1855A40B">
            <w:pPr>
              <w:pStyle w:val="4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14:textFill>
                  <w14:solidFill>
                    <w14:schemeClr w14:val="tx1"/>
                  </w14:solidFill>
                </w14:textFill>
              </w:rPr>
              <w:t>原料烘干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、运输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及筛分</w:t>
            </w:r>
            <w:r>
              <w:rPr>
                <w:rFonts w:hint="default" w:ascii="Times New Roman" w:hAnsi="Times New Roman" w:eastAsia="宋体" w:cs="Times New Roman"/>
                <w:color w:val="000000" w:themeColor="text1"/>
                <w:sz w:val="21"/>
                <w:szCs w:val="21"/>
                <w:highlight w:val="none"/>
                <w14:textFill>
                  <w14:solidFill>
                    <w14:schemeClr w14:val="tx1"/>
                  </w14:solidFill>
                </w14:textFill>
              </w:rPr>
              <w:t>过程会有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产生，此部分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以无组织的形式排放。装卸工段</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采用密闭性良好的设备，全封闭输送机、原粮入仓采取封闭和减小装卸高度</w:t>
            </w:r>
            <w:r>
              <w:rPr>
                <w:rFonts w:hint="default" w:ascii="Times New Roman" w:hAnsi="Times New Roman" w:eastAsia="宋体" w:cs="Times New Roman"/>
                <w:color w:val="000000" w:themeColor="text1"/>
                <w:sz w:val="21"/>
                <w:szCs w:val="21"/>
                <w:highlight w:val="none"/>
                <w14:textFill>
                  <w14:solidFill>
                    <w14:schemeClr w14:val="tx1"/>
                  </w14:solidFill>
                </w14:textFill>
              </w:rPr>
              <w:t>等降尘措施，运输过程中采用封闭输送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；清粮采用全密闭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处理后排放；烘干塔内部自带重力沉降室，烘干塔底部四周设置防尘挡板，粉尘受挡板格挡后受重力作用回落到烘干塔底部收尘设施中</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密闭并定期洒水抑尘，减少粉尘扩散；</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生物质热风炉所用燃料生物质颗粒</w:t>
            </w:r>
            <w:r>
              <w:rPr>
                <w:rFonts w:hint="default" w:ascii="Times New Roman" w:hAnsi="Times New Roman" w:eastAsia="宋体" w:cs="Times New Roman"/>
                <w:color w:val="000000" w:themeColor="text1"/>
                <w:sz w:val="21"/>
                <w:szCs w:val="21"/>
                <w:highlight w:val="none"/>
                <w14:textFill>
                  <w14:solidFill>
                    <w14:schemeClr w14:val="tx1"/>
                  </w14:solidFill>
                </w14:textFill>
              </w:rPr>
              <w:t>随用随存，不长时间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储存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生物质颗粒、热风炉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灰渣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14:textFill>
                  <w14:solidFill>
                    <w14:schemeClr w14:val="tx1"/>
                  </w14:solidFill>
                </w14:textFill>
              </w:rPr>
              <w:t>除尘器收集的除尘灰储存于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灰渣间</w:t>
            </w:r>
            <w:r>
              <w:rPr>
                <w:rFonts w:hint="default" w:ascii="Times New Roman" w:hAnsi="Times New Roman" w:eastAsia="宋体" w:cs="Times New Roman"/>
                <w:color w:val="000000" w:themeColor="text1"/>
                <w:sz w:val="21"/>
                <w:szCs w:val="21"/>
                <w:highlight w:val="none"/>
                <w14:textFill>
                  <w14:solidFill>
                    <w14:schemeClr w14:val="tx1"/>
                  </w14:solidFill>
                </w14:textFill>
              </w:rPr>
              <w:t>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灰渣间</w:t>
            </w:r>
            <w:r>
              <w:rPr>
                <w:rFonts w:hint="default" w:ascii="Times New Roman" w:hAnsi="Times New Roman" w:eastAsia="宋体" w:cs="Times New Roman"/>
                <w:color w:val="000000" w:themeColor="text1"/>
                <w:sz w:val="21"/>
                <w:szCs w:val="21"/>
                <w:highlight w:val="none"/>
                <w14:textFill>
                  <w14:solidFill>
                    <w14:schemeClr w14:val="tx1"/>
                  </w14:solidFill>
                </w14:textFill>
              </w:rPr>
              <w:t>地面做防渗处理，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灰渣间</w:t>
            </w:r>
            <w:r>
              <w:rPr>
                <w:rFonts w:hint="default" w:ascii="Times New Roman" w:hAnsi="Times New Roman" w:eastAsia="宋体" w:cs="Times New Roman"/>
                <w:color w:val="000000" w:themeColor="text1"/>
                <w:sz w:val="21"/>
                <w:szCs w:val="21"/>
                <w:highlight w:val="none"/>
                <w14:textFill>
                  <w14:solidFill>
                    <w14:schemeClr w14:val="tx1"/>
                  </w14:solidFill>
                </w14:textFill>
              </w:rPr>
              <w:t>密闭</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杜绝露天堆放，并配合表面洒水降尘不会形成动力起尘的粉尘影响。</w:t>
            </w:r>
          </w:p>
          <w:p w14:paraId="6CDE05AB">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综上所述本项目符合《鸡西市空气质量持续改善行动计划贯彻落实方案（鸡政发〔2024〕6号）》关要求。</w:t>
            </w:r>
          </w:p>
          <w:p w14:paraId="373A1B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7A56498A">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p w14:paraId="627D94BC">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bookmarkEnd w:id="3"/>
    </w:tbl>
    <w:p w14:paraId="5799338C">
      <w:pPr>
        <w:spacing w:line="360" w:lineRule="auto"/>
        <w:outlineLvl w:val="0"/>
        <w:rPr>
          <w:rFonts w:hint="default" w:ascii="Times New Roman" w:hAnsi="Times New Roman" w:eastAsia="宋体" w:cs="Times New Roman"/>
          <w:color w:val="000000" w:themeColor="text1"/>
          <w:sz w:val="30"/>
          <w:highlight w:val="none"/>
          <w14:textFill>
            <w14:solidFill>
              <w14:schemeClr w14:val="tx1"/>
            </w14:solidFill>
          </w14:textFill>
        </w:rPr>
        <w:sectPr>
          <w:footerReference r:id="rId4" w:type="default"/>
          <w:pgSz w:w="11850" w:h="16783"/>
          <w:pgMar w:top="1701" w:right="1531" w:bottom="1701" w:left="1531" w:header="851" w:footer="1077" w:gutter="0"/>
          <w:pgBorders>
            <w:top w:val="none" w:sz="0" w:space="0"/>
            <w:left w:val="none" w:sz="0" w:space="0"/>
            <w:bottom w:val="none" w:sz="0" w:space="0"/>
            <w:right w:val="none" w:sz="0" w:space="0"/>
          </w:pgBorders>
          <w:pgNumType w:fmt="numberInDash" w:start="1"/>
          <w:cols w:space="0" w:num="1"/>
          <w:docGrid w:type="lines" w:linePitch="312" w:charSpace="0"/>
        </w:sectPr>
      </w:pPr>
    </w:p>
    <w:p w14:paraId="19C7008E">
      <w:pPr>
        <w:pStyle w:val="28"/>
        <w:spacing w:before="0" w:beforeAutospacing="0" w:after="0" w:afterAutospacing="0"/>
        <w:jc w:val="center"/>
        <w:outlineLvl w:val="0"/>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pPr>
      <w:bookmarkStart w:id="4" w:name="_Toc20676"/>
      <w:r>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t>二、建设项目工程分析</w:t>
      </w:r>
      <w:bookmarkEnd w:id="4"/>
    </w:p>
    <w:tbl>
      <w:tblPr>
        <w:tblStyle w:val="3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246"/>
      </w:tblGrid>
      <w:tr w14:paraId="4C2C5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22" w:type="dxa"/>
            <w:vAlign w:val="center"/>
          </w:tcPr>
          <w:p w14:paraId="1FB2D6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1"/>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建设内容</w:t>
            </w:r>
          </w:p>
        </w:tc>
        <w:tc>
          <w:tcPr>
            <w:tcW w:w="8220" w:type="dxa"/>
            <w:vAlign w:val="center"/>
          </w:tcPr>
          <w:p w14:paraId="7ABEA87F">
            <w:pPr>
              <w:pStyle w:val="7"/>
              <w:keepNext w:val="0"/>
              <w:keepLines w:val="0"/>
              <w:widowControl w:val="0"/>
              <w:suppressLineNumbers w:val="0"/>
              <w:snapToGrid/>
              <w:spacing w:before="0" w:beforeAutospacing="0" w:after="0" w:afterAutospacing="0" w:line="360" w:lineRule="auto"/>
              <w:ind w:left="0" w:right="0" w:firstLine="422"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1、建设内容及规模</w:t>
            </w:r>
          </w:p>
          <w:p w14:paraId="681220D7">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本项目为</w:t>
            </w:r>
            <w:r>
              <w:rPr>
                <w:rFonts w:hint="eastAsia" w:cs="Times New Roman"/>
                <w:color w:val="000000" w:themeColor="text1"/>
                <w:kern w:val="21"/>
                <w:sz w:val="21"/>
                <w:szCs w:val="21"/>
                <w:highlight w:val="none"/>
                <w:lang w:val="en-US" w:eastAsia="zh-CN"/>
                <w14:textFill>
                  <w14:solidFill>
                    <w14:schemeClr w14:val="tx1"/>
                  </w14:solidFill>
                </w14:textFill>
              </w:rPr>
              <w:t>改扩</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建项目，本项目</w:t>
            </w:r>
            <w:r>
              <w:rPr>
                <w:rFonts w:hint="eastAsia" w:cs="Times New Roman"/>
                <w:color w:val="000000" w:themeColor="text1"/>
                <w:kern w:val="21"/>
                <w:sz w:val="21"/>
                <w:szCs w:val="21"/>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新增</w:t>
            </w:r>
            <w:r>
              <w:rPr>
                <w:rFonts w:hint="eastAsia" w:cs="Times New Roman"/>
                <w:color w:val="000000" w:themeColor="text1"/>
                <w:kern w:val="21"/>
                <w:sz w:val="21"/>
                <w:szCs w:val="21"/>
                <w:highlight w:val="none"/>
                <w:lang w:val="en-US" w:eastAsia="zh-CN"/>
                <w14:textFill>
                  <w14:solidFill>
                    <w14:schemeClr w14:val="tx1"/>
                  </w14:solidFill>
                </w14:textFill>
              </w:rPr>
              <w:t>占地，</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总占地面积9916m</w:t>
            </w:r>
            <w:r>
              <w:rPr>
                <w:rFonts w:hint="default"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。本项目主要建设内容为</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拆除原有4t/h燃煤热风炉</w:t>
            </w:r>
            <w:r>
              <w:rPr>
                <w:rFonts w:hint="default" w:ascii="Times New Roman" w:hAnsi="Times New Roman" w:eastAsia="宋体" w:cs="Times New Roman"/>
                <w:color w:val="000000" w:themeColor="text1"/>
                <w:kern w:val="21"/>
                <w:sz w:val="21"/>
                <w:szCs w:val="21"/>
                <w:highlight w:val="none"/>
                <w:vertAlign w:val="baseline"/>
                <w:lang w:val="en-US" w:eastAsia="zh-CN"/>
                <w14:textFill>
                  <w14:solidFill>
                    <w14:schemeClr w14:val="tx1"/>
                  </w14:solidFill>
                </w14:textFill>
              </w:rPr>
              <w:t>，</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新建</w:t>
            </w:r>
            <w:r>
              <w:rPr>
                <w:rFonts w:hint="default" w:ascii="Times New Roman" w:hAnsi="Times New Roman" w:eastAsia="宋体" w:cs="Times New Roman"/>
                <w:color w:val="000000" w:themeColor="text1"/>
                <w:kern w:val="21"/>
                <w:sz w:val="21"/>
                <w:szCs w:val="21"/>
                <w:highlight w:val="none"/>
                <w:vertAlign w:val="baseline"/>
                <w:lang w:val="en-US" w:eastAsia="zh-CN"/>
                <w14:textFill>
                  <w14:solidFill>
                    <w14:schemeClr w14:val="tx1"/>
                  </w14:solidFill>
                </w14:textFill>
              </w:rPr>
              <w:t>一台8t/h燃生物质热风炉，</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利旧原</w:t>
            </w:r>
            <w:r>
              <w:rPr>
                <w:rFonts w:hint="default" w:ascii="Times New Roman" w:hAnsi="Times New Roman" w:eastAsia="宋体" w:cs="Times New Roman"/>
                <w:color w:val="000000" w:themeColor="text1"/>
                <w:kern w:val="21"/>
                <w:sz w:val="21"/>
                <w:szCs w:val="21"/>
                <w:highlight w:val="none"/>
                <w:vertAlign w:val="baseline"/>
                <w:lang w:val="en-US" w:eastAsia="zh-CN"/>
                <w14:textFill>
                  <w14:solidFill>
                    <w14:schemeClr w14:val="tx1"/>
                  </w14:solidFill>
                </w14:textFill>
              </w:rPr>
              <w:t>布袋除尘器，拆除原有一座日烘干能力200t/d烘干塔，新建一座日烘干能力400t/d烘干塔</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，依托其它原有建筑</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。本项目建成后全厂年烘干总量为玉米60000t</w:t>
            </w:r>
            <w:r>
              <w:rPr>
                <w:rFonts w:hint="default" w:ascii="Times New Roman" w:hAnsi="Times New Roman" w:eastAsia="宋体" w:cs="Times New Roman"/>
                <w:color w:val="000000" w:themeColor="text1"/>
                <w:kern w:val="2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主要建设内容见表2-1。</w:t>
            </w:r>
          </w:p>
          <w:p w14:paraId="09C14A2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sz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表2-1主要建设内容及规模一览表</w:t>
            </w:r>
          </w:p>
          <w:tbl>
            <w:tblPr>
              <w:tblStyle w:val="3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150"/>
              <w:gridCol w:w="5391"/>
              <w:gridCol w:w="832"/>
            </w:tblGrid>
            <w:tr w14:paraId="4AAF62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noWrap w:val="0"/>
                  <w:vAlign w:val="center"/>
                </w:tcPr>
                <w:p w14:paraId="703EC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工程组成</w:t>
                  </w:r>
                </w:p>
              </w:tc>
              <w:tc>
                <w:tcPr>
                  <w:tcW w:w="716" w:type="pct"/>
                  <w:noWrap w:val="0"/>
                  <w:vAlign w:val="center"/>
                </w:tcPr>
                <w:p w14:paraId="1E8DB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建设内容</w:t>
                  </w:r>
                </w:p>
              </w:tc>
              <w:tc>
                <w:tcPr>
                  <w:tcW w:w="3357" w:type="pct"/>
                  <w:noWrap w:val="0"/>
                  <w:vAlign w:val="center"/>
                </w:tcPr>
                <w:p w14:paraId="199B4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建设规模及内容</w:t>
                  </w:r>
                </w:p>
              </w:tc>
              <w:tc>
                <w:tcPr>
                  <w:tcW w:w="518" w:type="pct"/>
                  <w:noWrap w:val="0"/>
                  <w:vAlign w:val="center"/>
                </w:tcPr>
                <w:p w14:paraId="20C20B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备注</w:t>
                  </w:r>
                </w:p>
              </w:tc>
            </w:tr>
            <w:tr w14:paraId="07F12B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restart"/>
                  <w:noWrap w:val="0"/>
                  <w:vAlign w:val="center"/>
                </w:tcPr>
                <w:p w14:paraId="4944A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主体工程</w:t>
                  </w:r>
                </w:p>
              </w:tc>
              <w:tc>
                <w:tcPr>
                  <w:tcW w:w="716" w:type="pct"/>
                  <w:noWrap w:val="0"/>
                  <w:vAlign w:val="center"/>
                </w:tcPr>
                <w:p w14:paraId="3A00B35F">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烘干塔</w:t>
                  </w:r>
                </w:p>
              </w:tc>
              <w:tc>
                <w:tcPr>
                  <w:tcW w:w="3357" w:type="pct"/>
                  <w:noWrap w:val="0"/>
                  <w:vAlign w:val="center"/>
                </w:tcPr>
                <w:p w14:paraId="0E407FDC">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18"/>
                      <w:highlight w:val="none"/>
                      <w14:textFill>
                        <w14:solidFill>
                          <w14:schemeClr w14:val="tx1"/>
                        </w14:solidFill>
                      </w14:textFill>
                    </w:rPr>
                    <w:t>座烘干塔，</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拆除原有一座日烘干能力200t/d烘干塔，</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新建一座日烘干能力400t/d烘干塔</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21"/>
                      <w:sz w:val="18"/>
                      <w:szCs w:val="18"/>
                      <w:highlight w:val="none"/>
                      <w:lang w:val="en-US" w:eastAsia="zh-CN"/>
                      <w14:textFill>
                        <w14:solidFill>
                          <w14:schemeClr w14:val="tx1"/>
                        </w14:solidFill>
                      </w14:textFill>
                    </w:rPr>
                    <w:t>年烘干玉米60000t</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p>
              </w:tc>
              <w:tc>
                <w:tcPr>
                  <w:tcW w:w="518" w:type="pct"/>
                  <w:noWrap w:val="0"/>
                  <w:vAlign w:val="center"/>
                </w:tcPr>
                <w:p w14:paraId="5520E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新建</w:t>
                  </w:r>
                </w:p>
              </w:tc>
            </w:tr>
            <w:tr w14:paraId="6BCBA9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353C1B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16" w:type="pct"/>
                  <w:noWrap w:val="0"/>
                  <w:vAlign w:val="center"/>
                </w:tcPr>
                <w:p w14:paraId="2586CA04">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热风炉房</w:t>
                  </w:r>
                </w:p>
              </w:tc>
              <w:tc>
                <w:tcPr>
                  <w:tcW w:w="3357" w:type="pct"/>
                  <w:noWrap w:val="0"/>
                  <w:vAlign w:val="center"/>
                </w:tcPr>
                <w:p w14:paraId="15AD30AE">
                  <w:pPr>
                    <w:pStyle w:val="14"/>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高4m，</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建筑</w:t>
                  </w:r>
                  <w:r>
                    <w:rPr>
                      <w:rFonts w:hint="default" w:ascii="Times New Roman" w:hAnsi="Times New Roman" w:eastAsia="宋体" w:cs="Times New Roman"/>
                      <w:color w:val="000000" w:themeColor="text1"/>
                      <w:sz w:val="18"/>
                      <w:szCs w:val="18"/>
                      <w:highlight w:val="none"/>
                      <w14:textFill>
                        <w14:solidFill>
                          <w14:schemeClr w14:val="tx1"/>
                        </w14:solidFill>
                      </w14:textFill>
                    </w:rPr>
                    <w:t>面积</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18"/>
                      <w:szCs w:val="18"/>
                      <w:highlight w:val="none"/>
                      <w14:textFill>
                        <w14:solidFill>
                          <w14:schemeClr w14:val="tx1"/>
                        </w14:solidFill>
                      </w14:textFill>
                    </w:rPr>
                    <w:t>m</w:t>
                  </w:r>
                  <w:r>
                    <w:rPr>
                      <w:rFonts w:hint="default" w:ascii="Times New Roman" w:hAnsi="Times New Roman" w:eastAsia="宋体" w:cs="Times New Roman"/>
                      <w:color w:val="000000" w:themeColor="text1"/>
                      <w:sz w:val="18"/>
                      <w:szCs w:val="18"/>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拆除原有一台4t/h燃煤热风炉，新建</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一</w:t>
                  </w: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台8t/h</w:t>
                  </w:r>
                  <w:r>
                    <w:rPr>
                      <w:rFonts w:hint="default" w:ascii="Times New Roman" w:hAnsi="Times New Roman" w:eastAsia="宋体" w:cs="Times New Roman"/>
                      <w:bCs/>
                      <w:color w:val="000000" w:themeColor="text1"/>
                      <w:kern w:val="0"/>
                      <w:sz w:val="18"/>
                      <w:szCs w:val="18"/>
                      <w:highlight w:val="none"/>
                      <w:lang w:eastAsia="zh-CN"/>
                      <w14:textFill>
                        <w14:solidFill>
                          <w14:schemeClr w14:val="tx1"/>
                        </w14:solidFill>
                      </w14:textFill>
                    </w:rPr>
                    <w:t>生物质</w:t>
                  </w: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热风炉</w:t>
                  </w:r>
                  <w:r>
                    <w:rPr>
                      <w:rFonts w:hint="default" w:ascii="Times New Roman" w:hAnsi="Times New Roman" w:eastAsia="宋体" w:cs="Times New Roman"/>
                      <w:bCs/>
                      <w:color w:val="000000" w:themeColor="text1"/>
                      <w:kern w:val="0"/>
                      <w:sz w:val="18"/>
                      <w:szCs w:val="18"/>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用于粮食烘干。</w:t>
                  </w:r>
                </w:p>
              </w:tc>
              <w:tc>
                <w:tcPr>
                  <w:tcW w:w="518" w:type="pct"/>
                  <w:noWrap w:val="0"/>
                  <w:vAlign w:val="center"/>
                </w:tcPr>
                <w:p w14:paraId="6775C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厂房依托，设备新建</w:t>
                  </w:r>
                </w:p>
              </w:tc>
            </w:tr>
            <w:tr w14:paraId="5D4759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7" w:type="pct"/>
                  <w:vMerge w:val="restart"/>
                  <w:noWrap w:val="0"/>
                  <w:vAlign w:val="center"/>
                </w:tcPr>
                <w:p w14:paraId="6C23E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辅助工程</w:t>
                  </w:r>
                </w:p>
              </w:tc>
              <w:tc>
                <w:tcPr>
                  <w:tcW w:w="716" w:type="pct"/>
                  <w:noWrap w:val="0"/>
                  <w:vAlign w:val="center"/>
                </w:tcPr>
                <w:p w14:paraId="7D555316">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办公室</w:t>
                  </w:r>
                </w:p>
              </w:tc>
              <w:tc>
                <w:tcPr>
                  <w:tcW w:w="3357" w:type="pct"/>
                  <w:noWrap w:val="0"/>
                  <w:vAlign w:val="center"/>
                </w:tcPr>
                <w:p w14:paraId="4E077546">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1座，高4m，建筑面积180m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。主要用于工作人员办公和休息。</w:t>
                  </w:r>
                </w:p>
              </w:tc>
              <w:tc>
                <w:tcPr>
                  <w:tcW w:w="518" w:type="pct"/>
                  <w:noWrap w:val="0"/>
                  <w:vAlign w:val="center"/>
                </w:tcPr>
                <w:p w14:paraId="45D396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依托</w:t>
                  </w:r>
                </w:p>
              </w:tc>
            </w:tr>
            <w:tr w14:paraId="7479D1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07" w:type="pct"/>
                  <w:vMerge w:val="continue"/>
                  <w:noWrap w:val="0"/>
                  <w:vAlign w:val="center"/>
                </w:tcPr>
                <w:p w14:paraId="1B9E7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p>
              </w:tc>
              <w:tc>
                <w:tcPr>
                  <w:tcW w:w="716" w:type="pct"/>
                  <w:noWrap w:val="0"/>
                  <w:vAlign w:val="center"/>
                </w:tcPr>
                <w:p w14:paraId="1B946451">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车库</w:t>
                  </w:r>
                </w:p>
              </w:tc>
              <w:tc>
                <w:tcPr>
                  <w:tcW w:w="3357" w:type="pct"/>
                  <w:noWrap w:val="0"/>
                  <w:vAlign w:val="center"/>
                </w:tcPr>
                <w:p w14:paraId="1A29CBAE">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1座，高4m，建筑面积140m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。主要用于停置车辆及存放杂物。</w:t>
                  </w:r>
                </w:p>
              </w:tc>
              <w:tc>
                <w:tcPr>
                  <w:tcW w:w="518" w:type="pct"/>
                  <w:noWrap w:val="0"/>
                  <w:vAlign w:val="center"/>
                </w:tcPr>
                <w:p w14:paraId="16CE04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依托</w:t>
                  </w:r>
                </w:p>
              </w:tc>
            </w:tr>
            <w:tr w14:paraId="10D743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07" w:type="pct"/>
                  <w:vMerge w:val="restart"/>
                  <w:noWrap w:val="0"/>
                  <w:vAlign w:val="center"/>
                </w:tcPr>
                <w:p w14:paraId="4425C9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储运工程</w:t>
                  </w:r>
                </w:p>
              </w:tc>
              <w:tc>
                <w:tcPr>
                  <w:tcW w:w="716" w:type="pct"/>
                  <w:noWrap w:val="0"/>
                  <w:vAlign w:val="center"/>
                </w:tcPr>
                <w:p w14:paraId="317E5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潮粮仓</w:t>
                  </w:r>
                </w:p>
              </w:tc>
              <w:tc>
                <w:tcPr>
                  <w:tcW w:w="3357" w:type="pct"/>
                  <w:noWrap w:val="0"/>
                  <w:vAlign w:val="center"/>
                </w:tcPr>
                <w:p w14:paraId="4D1CCD54">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1座，高13m，全封闭，用于存放玉米湿粮，最大储存量为150t。</w:t>
                  </w:r>
                </w:p>
              </w:tc>
              <w:tc>
                <w:tcPr>
                  <w:tcW w:w="518" w:type="pct"/>
                  <w:noWrap w:val="0"/>
                  <w:vAlign w:val="center"/>
                </w:tcPr>
                <w:p w14:paraId="2B20A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依托</w:t>
                  </w:r>
                </w:p>
              </w:tc>
            </w:tr>
            <w:tr w14:paraId="205DAA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07" w:type="pct"/>
                  <w:vMerge w:val="continue"/>
                  <w:noWrap w:val="0"/>
                  <w:vAlign w:val="center"/>
                </w:tcPr>
                <w:p w14:paraId="2C229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5CE7EB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干粮仓</w:t>
                  </w:r>
                </w:p>
              </w:tc>
              <w:tc>
                <w:tcPr>
                  <w:tcW w:w="3357" w:type="pct"/>
                  <w:noWrap w:val="0"/>
                  <w:vAlign w:val="center"/>
                </w:tcPr>
                <w:p w14:paraId="14C82C51">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1座，高18m，全封闭，用于存放玉米干粮，最大储存量为450t。</w:t>
                  </w:r>
                </w:p>
              </w:tc>
              <w:tc>
                <w:tcPr>
                  <w:tcW w:w="518" w:type="pct"/>
                  <w:noWrap w:val="0"/>
                  <w:vAlign w:val="center"/>
                </w:tcPr>
                <w:p w14:paraId="6A6AC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依托</w:t>
                  </w:r>
                </w:p>
              </w:tc>
            </w:tr>
            <w:tr w14:paraId="1BDDF0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07" w:type="pct"/>
                  <w:vMerge w:val="continue"/>
                  <w:noWrap w:val="0"/>
                  <w:vAlign w:val="center"/>
                </w:tcPr>
                <w:p w14:paraId="4AF51C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091492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干粮仓</w:t>
                  </w:r>
                </w:p>
              </w:tc>
              <w:tc>
                <w:tcPr>
                  <w:tcW w:w="3357" w:type="pct"/>
                  <w:noWrap w:val="0"/>
                  <w:vAlign w:val="center"/>
                </w:tcPr>
                <w:p w14:paraId="79437025">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1座，高8m，全封闭，用于存放玉米干粮，最大储存量为130t。</w:t>
                  </w:r>
                </w:p>
              </w:tc>
              <w:tc>
                <w:tcPr>
                  <w:tcW w:w="518" w:type="pct"/>
                  <w:noWrap w:val="0"/>
                  <w:vAlign w:val="center"/>
                </w:tcPr>
                <w:p w14:paraId="62209F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依托</w:t>
                  </w:r>
                </w:p>
              </w:tc>
            </w:tr>
            <w:tr w14:paraId="2AD2C9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07" w:type="pct"/>
                  <w:vMerge w:val="continue"/>
                  <w:noWrap w:val="0"/>
                  <w:vAlign w:val="center"/>
                </w:tcPr>
                <w:p w14:paraId="572E03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474798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干粮仓</w:t>
                  </w:r>
                </w:p>
              </w:tc>
              <w:tc>
                <w:tcPr>
                  <w:tcW w:w="3357" w:type="pct"/>
                  <w:noWrap w:val="0"/>
                  <w:vAlign w:val="center"/>
                </w:tcPr>
                <w:p w14:paraId="2D79A50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2座，高10m，全封闭，用于存放玉米干粮，最大储存量均为900t。</w:t>
                  </w:r>
                </w:p>
              </w:tc>
              <w:tc>
                <w:tcPr>
                  <w:tcW w:w="518" w:type="pct"/>
                  <w:noWrap w:val="0"/>
                  <w:vAlign w:val="center"/>
                </w:tcPr>
                <w:p w14:paraId="400AE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依托</w:t>
                  </w:r>
                </w:p>
              </w:tc>
            </w:tr>
            <w:tr w14:paraId="2D6E10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07" w:type="pct"/>
                  <w:vMerge w:val="continue"/>
                  <w:noWrap w:val="0"/>
                  <w:vAlign w:val="center"/>
                </w:tcPr>
                <w:p w14:paraId="2BF79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0A30E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平房仓</w:t>
                  </w:r>
                </w:p>
              </w:tc>
              <w:tc>
                <w:tcPr>
                  <w:tcW w:w="3357" w:type="pct"/>
                  <w:noWrap w:val="0"/>
                  <w:vAlign w:val="center"/>
                </w:tcPr>
                <w:p w14:paraId="2E71698C">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1座，高8m，建筑面积110m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用于存放玉米干粮，最大储存量为700t。</w:t>
                  </w:r>
                </w:p>
              </w:tc>
              <w:tc>
                <w:tcPr>
                  <w:tcW w:w="518" w:type="pct"/>
                  <w:noWrap w:val="0"/>
                  <w:vAlign w:val="center"/>
                </w:tcPr>
                <w:p w14:paraId="7FA90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依托</w:t>
                  </w:r>
                </w:p>
              </w:tc>
            </w:tr>
            <w:tr w14:paraId="73CC00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24F13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4751FFDF">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成品库房</w:t>
                  </w:r>
                </w:p>
              </w:tc>
              <w:tc>
                <w:tcPr>
                  <w:tcW w:w="3357" w:type="pct"/>
                  <w:shd w:val="clear" w:color="auto" w:fill="auto"/>
                  <w:noWrap w:val="0"/>
                  <w:vAlign w:val="center"/>
                </w:tcPr>
                <w:p w14:paraId="6A49F244">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1座，高12m，建筑面积为2200m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用于存放玉米干粮，最大储存量为6000t。</w:t>
                  </w:r>
                </w:p>
              </w:tc>
              <w:tc>
                <w:tcPr>
                  <w:tcW w:w="518" w:type="pct"/>
                  <w:shd w:val="clear" w:color="auto" w:fill="auto"/>
                  <w:noWrap w:val="0"/>
                  <w:vAlign w:val="center"/>
                </w:tcPr>
                <w:p w14:paraId="256F6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依托</w:t>
                  </w:r>
                </w:p>
              </w:tc>
            </w:tr>
            <w:tr w14:paraId="473D1A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5E4D2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60EEB6EF">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冷藏库房</w:t>
                  </w:r>
                </w:p>
              </w:tc>
              <w:tc>
                <w:tcPr>
                  <w:tcW w:w="3357" w:type="pct"/>
                  <w:shd w:val="clear" w:color="auto" w:fill="auto"/>
                  <w:noWrap w:val="0"/>
                  <w:vAlign w:val="center"/>
                </w:tcPr>
                <w:p w14:paraId="23156A14">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1座，高6m，建筑面积400m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，最大储存量为600t，用于存放鲜玉米，鲜玉米由厂区外购（不计入烘干玉米60000t中），仅进行储存，不进行加工，直接外售。</w:t>
                  </w:r>
                </w:p>
              </w:tc>
              <w:tc>
                <w:tcPr>
                  <w:tcW w:w="518" w:type="pct"/>
                  <w:shd w:val="clear" w:color="auto" w:fill="auto"/>
                  <w:noWrap w:val="0"/>
                  <w:vAlign w:val="center"/>
                </w:tcPr>
                <w:p w14:paraId="47A33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依托</w:t>
                  </w:r>
                </w:p>
              </w:tc>
            </w:tr>
            <w:tr w14:paraId="5C5C6E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23F3F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72BD9E89">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秤房</w:t>
                  </w:r>
                </w:p>
              </w:tc>
              <w:tc>
                <w:tcPr>
                  <w:tcW w:w="3357" w:type="pct"/>
                  <w:shd w:val="clear" w:color="auto" w:fill="auto"/>
                  <w:noWrap w:val="0"/>
                  <w:vAlign w:val="center"/>
                </w:tcPr>
                <w:p w14:paraId="25C9340F">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1座，高3m，建筑面积300m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518" w:type="pct"/>
                  <w:shd w:val="clear" w:color="auto" w:fill="auto"/>
                  <w:noWrap w:val="0"/>
                  <w:vAlign w:val="center"/>
                </w:tcPr>
                <w:p w14:paraId="43474C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依托</w:t>
                  </w:r>
                </w:p>
              </w:tc>
            </w:tr>
            <w:tr w14:paraId="301FBA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764500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74D8F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燃料</w:t>
                  </w:r>
                </w:p>
              </w:tc>
              <w:tc>
                <w:tcPr>
                  <w:tcW w:w="3357" w:type="pct"/>
                  <w:noWrap w:val="0"/>
                  <w:vAlign w:val="center"/>
                </w:tcPr>
                <w:p w14:paraId="1F97AF0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本项目燃料密封袋装，运输车辆全部采用苦布覆盖，每10天运输一次，运输至厂内热风炉房暂存，最大储存能力20t。</w:t>
                  </w:r>
                </w:p>
              </w:tc>
              <w:tc>
                <w:tcPr>
                  <w:tcW w:w="518" w:type="pct"/>
                  <w:noWrap w:val="0"/>
                  <w:vAlign w:val="center"/>
                </w:tcPr>
                <w:p w14:paraId="6EE54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依托</w:t>
                  </w:r>
                </w:p>
              </w:tc>
            </w:tr>
            <w:tr w14:paraId="479179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pct"/>
                  <w:vMerge w:val="continue"/>
                  <w:noWrap w:val="0"/>
                  <w:vAlign w:val="center"/>
                </w:tcPr>
                <w:p w14:paraId="19682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67979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18"/>
                      <w:szCs w:val="18"/>
                      <w:highlight w:val="none"/>
                      <w:lang w:eastAsia="zh-CN"/>
                      <w14:textFill>
                        <w14:solidFill>
                          <w14:schemeClr w14:val="tx1"/>
                        </w14:solidFill>
                      </w14:textFill>
                    </w:rPr>
                    <w:t>灰渣间</w:t>
                  </w:r>
                </w:p>
              </w:tc>
              <w:tc>
                <w:tcPr>
                  <w:tcW w:w="3357" w:type="pct"/>
                  <w:noWrap w:val="0"/>
                  <w:vAlign w:val="center"/>
                </w:tcPr>
                <w:p w14:paraId="5822F51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热风炉房</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内设一个密闭灰渣间，占地面积约15m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，地面硬化，</w:t>
                  </w:r>
                  <w:r>
                    <w:rPr>
                      <w:rFonts w:hint="default" w:ascii="Times New Roman" w:hAnsi="Times New Roman" w:eastAsia="宋体" w:cs="Times New Roman"/>
                      <w:snapToGrid w:val="0"/>
                      <w:color w:val="000000" w:themeColor="text1"/>
                      <w:kern w:val="0"/>
                      <w:sz w:val="18"/>
                      <w:szCs w:val="18"/>
                      <w:highlight w:val="none"/>
                      <w:lang w:eastAsia="zh-CN"/>
                      <w14:textFill>
                        <w14:solidFill>
                          <w14:schemeClr w14:val="tx1"/>
                        </w14:solidFill>
                      </w14:textFill>
                    </w:rPr>
                    <w:t>储存能力</w:t>
                  </w:r>
                  <w:r>
                    <w:rPr>
                      <w:rFonts w:hint="default" w:ascii="Times New Roman" w:hAnsi="Times New Roman" w:eastAsia="宋体" w:cs="Times New Roman"/>
                      <w:snapToGrid w:val="0"/>
                      <w:color w:val="000000" w:themeColor="text1"/>
                      <w:kern w:val="0"/>
                      <w:sz w:val="18"/>
                      <w:szCs w:val="18"/>
                      <w:highlight w:val="none"/>
                      <w:lang w:val="en-US" w:eastAsia="zh-CN"/>
                      <w14:textFill>
                        <w14:solidFill>
                          <w14:schemeClr w14:val="tx1"/>
                        </w14:solidFill>
                      </w14:textFill>
                    </w:rPr>
                    <w:t>30t，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热风炉灰渣及</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回收粉尘</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袋装存储于灰渣间，每10天清运1次，不在厂区长期储存，外售综合利用</w:t>
                  </w:r>
                  <w:r>
                    <w:rPr>
                      <w:rFonts w:hint="default" w:ascii="Times New Roman" w:hAnsi="Times New Roman" w:eastAsia="宋体" w:cs="Times New Roman"/>
                      <w:snapToGrid w:val="0"/>
                      <w:color w:val="000000" w:themeColor="text1"/>
                      <w:kern w:val="0"/>
                      <w:sz w:val="18"/>
                      <w:szCs w:val="18"/>
                      <w:highlight w:val="none"/>
                      <w:lang w:val="en-US" w:eastAsia="zh-CN"/>
                      <w14:textFill>
                        <w14:solidFill>
                          <w14:schemeClr w14:val="tx1"/>
                        </w14:solidFill>
                      </w14:textFill>
                    </w:rPr>
                    <w:t>。</w:t>
                  </w:r>
                </w:p>
              </w:tc>
              <w:tc>
                <w:tcPr>
                  <w:tcW w:w="518" w:type="pct"/>
                  <w:noWrap w:val="0"/>
                  <w:vAlign w:val="center"/>
                </w:tcPr>
                <w:p w14:paraId="7020F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依托</w:t>
                  </w:r>
                </w:p>
              </w:tc>
            </w:tr>
            <w:tr w14:paraId="7621D1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pct"/>
                  <w:vMerge w:val="continue"/>
                  <w:noWrap w:val="0"/>
                  <w:vAlign w:val="center"/>
                </w:tcPr>
                <w:p w14:paraId="34BDC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11361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18"/>
                      <w:szCs w:val="18"/>
                      <w:highlight w:val="none"/>
                      <w:lang w:val="en-US" w:eastAsia="zh-CN"/>
                      <w14:textFill>
                        <w14:solidFill>
                          <w14:schemeClr w14:val="tx1"/>
                        </w14:solidFill>
                      </w14:textFill>
                    </w:rPr>
                    <w:t>危废贮存点</w:t>
                  </w:r>
                </w:p>
              </w:tc>
              <w:tc>
                <w:tcPr>
                  <w:tcW w:w="3357" w:type="pct"/>
                  <w:noWrap w:val="0"/>
                  <w:vAlign w:val="center"/>
                </w:tcPr>
                <w:p w14:paraId="07CEDE9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0"/>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位于车库存放杂物区域内，建筑面积3m</w:t>
                  </w:r>
                  <w:r>
                    <w:rPr>
                      <w:rFonts w:hint="default" w:ascii="Times New Roman" w:hAnsi="Times New Roman" w:eastAsia="宋体" w:cs="Times New Roman"/>
                      <w:bCs/>
                      <w:color w:val="000000" w:themeColor="text1"/>
                      <w:kern w:val="0"/>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 w:val="18"/>
                      <w:szCs w:val="18"/>
                      <w:highlight w:val="none"/>
                      <w:vertAlign w:val="baseline"/>
                      <w:lang w:val="en-US" w:eastAsia="zh-CN"/>
                      <w14:textFill>
                        <w14:solidFill>
                          <w14:schemeClr w14:val="tx1"/>
                        </w14:solidFill>
                      </w14:textFill>
                    </w:rPr>
                    <w:t>，最大储存量为1t，每年清运1次。防渗层为2mm厚的防渗人工材料，防渗系数≤10</w:t>
                  </w:r>
                  <w:r>
                    <w:rPr>
                      <w:rFonts w:hint="default" w:ascii="Times New Roman" w:hAnsi="Times New Roman" w:eastAsia="宋体" w:cs="Times New Roman"/>
                      <w:bCs/>
                      <w:color w:val="000000" w:themeColor="text1"/>
                      <w:kern w:val="0"/>
                      <w:sz w:val="18"/>
                      <w:szCs w:val="18"/>
                      <w:highlight w:val="none"/>
                      <w:vertAlign w:val="superscript"/>
                      <w:lang w:val="en-US" w:eastAsia="zh-CN"/>
                      <w14:textFill>
                        <w14:solidFill>
                          <w14:schemeClr w14:val="tx1"/>
                        </w14:solidFill>
                      </w14:textFill>
                    </w:rPr>
                    <w:t>-10</w:t>
                  </w:r>
                  <w:r>
                    <w:rPr>
                      <w:rFonts w:hint="default" w:ascii="Times New Roman" w:hAnsi="Times New Roman" w:eastAsia="宋体" w:cs="Times New Roman"/>
                      <w:bCs/>
                      <w:color w:val="000000" w:themeColor="text1"/>
                      <w:kern w:val="0"/>
                      <w:sz w:val="18"/>
                      <w:szCs w:val="18"/>
                      <w:highlight w:val="none"/>
                      <w:vertAlign w:val="baseline"/>
                      <w:lang w:val="en-US" w:eastAsia="zh-CN"/>
                      <w14:textFill>
                        <w14:solidFill>
                          <w14:schemeClr w14:val="tx1"/>
                        </w14:solidFill>
                      </w14:textFill>
                    </w:rPr>
                    <w:t>cm/s</w:t>
                  </w:r>
                  <w:r>
                    <w:rPr>
                      <w:rFonts w:hint="eastAsia" w:cs="Times New Roman"/>
                      <w:bCs/>
                      <w:color w:val="000000" w:themeColor="text1"/>
                      <w:kern w:val="0"/>
                      <w:sz w:val="18"/>
                      <w:szCs w:val="18"/>
                      <w:highlight w:val="none"/>
                      <w:vertAlign w:val="baseline"/>
                      <w:lang w:val="en-US" w:eastAsia="zh-CN"/>
                      <w14:textFill>
                        <w14:solidFill>
                          <w14:schemeClr w14:val="tx1"/>
                        </w14:solidFill>
                      </w14:textFill>
                    </w:rPr>
                    <w:t>，</w:t>
                  </w: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地面与裙脚表面防渗处理</w:t>
                  </w:r>
                  <w:r>
                    <w:rPr>
                      <w:rFonts w:hint="default" w:ascii="Times New Roman" w:hAnsi="Times New Roman" w:eastAsia="宋体" w:cs="Times New Roman"/>
                      <w:bCs/>
                      <w:color w:val="000000" w:themeColor="text1"/>
                      <w:kern w:val="0"/>
                      <w:sz w:val="18"/>
                      <w:szCs w:val="18"/>
                      <w:highlight w:val="none"/>
                      <w:vertAlign w:val="baseline"/>
                      <w:lang w:val="en-US" w:eastAsia="zh-CN"/>
                      <w14:textFill>
                        <w14:solidFill>
                          <w14:schemeClr w14:val="tx1"/>
                        </w14:solidFill>
                      </w14:textFill>
                    </w:rPr>
                    <w:t>。</w:t>
                  </w:r>
                </w:p>
              </w:tc>
              <w:tc>
                <w:tcPr>
                  <w:tcW w:w="518" w:type="pct"/>
                  <w:noWrap w:val="0"/>
                  <w:vAlign w:val="center"/>
                </w:tcPr>
                <w:p w14:paraId="61A516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新建</w:t>
                  </w:r>
                </w:p>
              </w:tc>
            </w:tr>
            <w:tr w14:paraId="27B95B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restart"/>
                  <w:noWrap w:val="0"/>
                  <w:vAlign w:val="center"/>
                </w:tcPr>
                <w:p w14:paraId="34610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公用工程</w:t>
                  </w:r>
                </w:p>
              </w:tc>
              <w:tc>
                <w:tcPr>
                  <w:tcW w:w="716" w:type="pct"/>
                  <w:noWrap w:val="0"/>
                  <w:vAlign w:val="center"/>
                </w:tcPr>
                <w:p w14:paraId="6ADF2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供</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水</w:t>
                  </w:r>
                </w:p>
              </w:tc>
              <w:tc>
                <w:tcPr>
                  <w:tcW w:w="3357" w:type="pct"/>
                  <w:noWrap w:val="0"/>
                  <w:vAlign w:val="center"/>
                </w:tcPr>
                <w:p w14:paraId="61D0FF18">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本项目</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供水由厂区外购桶装水，</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主要为生活用水</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及少量洒水降尘用水</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518" w:type="pct"/>
                  <w:noWrap w:val="0"/>
                  <w:vAlign w:val="center"/>
                </w:tcPr>
                <w:p w14:paraId="1FE79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依托</w:t>
                  </w:r>
                </w:p>
              </w:tc>
            </w:tr>
            <w:tr w14:paraId="16DA70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77775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16" w:type="pct"/>
                  <w:noWrap w:val="0"/>
                  <w:vAlign w:val="center"/>
                </w:tcPr>
                <w:p w14:paraId="721A4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排</w:t>
                  </w:r>
                  <w:r>
                    <w:rPr>
                      <w:rFonts w:hint="default" w:ascii="Times New Roman" w:hAnsi="Times New Roman" w:eastAsia="宋体" w:cs="Times New Roman"/>
                      <w:color w:val="000000" w:themeColor="text1"/>
                      <w:sz w:val="18"/>
                      <w:szCs w:val="18"/>
                      <w:highlight w:val="none"/>
                      <w14:textFill>
                        <w14:solidFill>
                          <w14:schemeClr w14:val="tx1"/>
                        </w14:solidFill>
                      </w14:textFill>
                    </w:rPr>
                    <w:t>水</w:t>
                  </w:r>
                </w:p>
              </w:tc>
              <w:tc>
                <w:tcPr>
                  <w:tcW w:w="3357" w:type="pct"/>
                  <w:noWrap w:val="0"/>
                  <w:vAlign w:val="center"/>
                </w:tcPr>
                <w:p w14:paraId="26B37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生活污水排入防渗旱厕，定期清掏，外运堆肥，不外排。</w:t>
                  </w:r>
                </w:p>
              </w:tc>
              <w:tc>
                <w:tcPr>
                  <w:tcW w:w="518" w:type="pct"/>
                  <w:noWrap w:val="0"/>
                  <w:vAlign w:val="center"/>
                </w:tcPr>
                <w:p w14:paraId="7CA95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依托</w:t>
                  </w:r>
                </w:p>
              </w:tc>
            </w:tr>
            <w:tr w14:paraId="7A5A28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1426B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16" w:type="pct"/>
                  <w:noWrap w:val="0"/>
                  <w:vAlign w:val="center"/>
                </w:tcPr>
                <w:p w14:paraId="629F1F34">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供电</w:t>
                  </w:r>
                </w:p>
              </w:tc>
              <w:tc>
                <w:tcPr>
                  <w:tcW w:w="3357" w:type="pct"/>
                  <w:noWrap w:val="0"/>
                  <w:vAlign w:val="center"/>
                </w:tcPr>
                <w:p w14:paraId="0C4E0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由</w:t>
                  </w:r>
                  <w:r>
                    <w:rPr>
                      <w:rFonts w:hint="default" w:ascii="Times New Roman" w:hAnsi="Times New Roman" w:eastAsia="宋体" w:cs="Times New Roman"/>
                      <w:color w:val="000000" w:themeColor="text1"/>
                      <w:sz w:val="18"/>
                      <w:szCs w:val="18"/>
                      <w:highlight w:val="none"/>
                      <w14:textFill>
                        <w14:solidFill>
                          <w14:schemeClr w14:val="tx1"/>
                        </w14:solidFill>
                      </w14:textFill>
                    </w:rPr>
                    <w:t>当地电业局供给</w:t>
                  </w:r>
                </w:p>
              </w:tc>
              <w:tc>
                <w:tcPr>
                  <w:tcW w:w="518" w:type="pct"/>
                  <w:noWrap w:val="0"/>
                  <w:vAlign w:val="center"/>
                </w:tcPr>
                <w:p w14:paraId="6D9C6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依托</w:t>
                  </w:r>
                </w:p>
              </w:tc>
            </w:tr>
            <w:tr w14:paraId="4B35E3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6219FF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16" w:type="pct"/>
                  <w:noWrap w:val="0"/>
                  <w:vAlign w:val="center"/>
                </w:tcPr>
                <w:p w14:paraId="61236CED">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供热</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供暖</w:t>
                  </w:r>
                </w:p>
              </w:tc>
              <w:tc>
                <w:tcPr>
                  <w:tcW w:w="3357" w:type="pct"/>
                  <w:noWrap w:val="0"/>
                  <w:vAlign w:val="center"/>
                </w:tcPr>
                <w:p w14:paraId="58B30857">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项目生产用热由热风炉提供，</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供暖为电取暖。</w:t>
                  </w:r>
                </w:p>
              </w:tc>
              <w:tc>
                <w:tcPr>
                  <w:tcW w:w="518" w:type="pct"/>
                  <w:noWrap w:val="0"/>
                  <w:vAlign w:val="center"/>
                </w:tcPr>
                <w:p w14:paraId="75D68F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依托</w:t>
                  </w:r>
                </w:p>
              </w:tc>
            </w:tr>
            <w:tr w14:paraId="30821F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restart"/>
                  <w:noWrap w:val="0"/>
                  <w:vAlign w:val="center"/>
                </w:tcPr>
                <w:p w14:paraId="24847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环保工程</w:t>
                  </w:r>
                </w:p>
              </w:tc>
              <w:tc>
                <w:tcPr>
                  <w:tcW w:w="716" w:type="pct"/>
                  <w:vMerge w:val="restart"/>
                  <w:noWrap w:val="0"/>
                  <w:vAlign w:val="center"/>
                </w:tcPr>
                <w:p w14:paraId="139B6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废</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气</w:t>
                  </w:r>
                </w:p>
              </w:tc>
              <w:tc>
                <w:tcPr>
                  <w:tcW w:w="3357" w:type="pct"/>
                  <w:noWrap w:val="0"/>
                  <w:vAlign w:val="center"/>
                </w:tcPr>
                <w:p w14:paraId="12F78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生物质热风炉烟气经1套除尘效率为99%的布袋除尘器处理达到《工业炉窑大气污染物排放标准》(GB9078-1996)表2和表4中二级标准要求后，由一根出口内径0.4m，</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25</w:t>
                  </w:r>
                  <w:r>
                    <w:rPr>
                      <w:rFonts w:hint="default" w:ascii="Times New Roman" w:hAnsi="Times New Roman" w:eastAsia="宋体" w:cs="Times New Roman"/>
                      <w:color w:val="000000" w:themeColor="text1"/>
                      <w:sz w:val="18"/>
                      <w:szCs w:val="18"/>
                      <w:highlight w:val="none"/>
                      <w14:textFill>
                        <w14:solidFill>
                          <w14:schemeClr w14:val="tx1"/>
                        </w14:solidFill>
                      </w14:textFill>
                    </w:rPr>
                    <w:t>m 高烟囱排放。</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热风炉周边无组织排放颗粒物浓度执行</w:t>
                  </w:r>
                  <w:r>
                    <w:rPr>
                      <w:rFonts w:hint="default" w:ascii="Times New Roman" w:hAnsi="Times New Roman" w:eastAsia="宋体" w:cs="Times New Roman"/>
                      <w:color w:val="000000" w:themeColor="text1"/>
                      <w:sz w:val="18"/>
                      <w:szCs w:val="18"/>
                      <w:highlight w:val="none"/>
                      <w14:textFill>
                        <w14:solidFill>
                          <w14:schemeClr w14:val="tx1"/>
                        </w14:solidFill>
                      </w14:textFill>
                    </w:rPr>
                    <w:t>《工业炉窑大气污染物排放标准》（GB9078-1996）中的表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3中标准限值</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518" w:type="pct"/>
                  <w:noWrap w:val="0"/>
                  <w:vAlign w:val="center"/>
                </w:tcPr>
                <w:p w14:paraId="7CE4F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依托</w:t>
                  </w:r>
                </w:p>
              </w:tc>
            </w:tr>
            <w:tr w14:paraId="339BB7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53C58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16" w:type="pct"/>
                  <w:vMerge w:val="continue"/>
                  <w:noWrap w:val="0"/>
                  <w:vAlign w:val="center"/>
                </w:tcPr>
                <w:p w14:paraId="07F52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3357" w:type="pct"/>
                  <w:noWrap w:val="0"/>
                  <w:vAlign w:val="center"/>
                </w:tcPr>
                <w:p w14:paraId="277E5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原粮装卸工段采取粮囤全封闭、减小装卸高度等降尘措施，输送过程中采用封闭输送</w:t>
                  </w:r>
                  <w:r>
                    <w:rPr>
                      <w:rFonts w:hint="eastAsia"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筛选粉尘经全封闭设备自带布袋除尘器处理后无组织排放，处理效率为99%</w:t>
                  </w:r>
                  <w:r>
                    <w:rPr>
                      <w:rFonts w:hint="eastAsia" w:cs="Times New Roman"/>
                      <w:color w:val="000000" w:themeColor="text1"/>
                      <w:sz w:val="18"/>
                      <w:szCs w:val="18"/>
                      <w:highlight w:val="none"/>
                      <w:lang w:val="en-US" w:eastAsia="zh-CN"/>
                      <w14:textFill>
                        <w14:solidFill>
                          <w14:schemeClr w14:val="tx1"/>
                        </w14:solidFill>
                      </w14:textFill>
                    </w:rPr>
                    <w:t>；</w:t>
                  </w:r>
                  <w:r>
                    <w:rPr>
                      <w:rFonts w:hint="eastAsia" w:eastAsia="宋体"/>
                      <w:color w:val="000000" w:themeColor="text1"/>
                      <w:sz w:val="18"/>
                      <w:szCs w:val="18"/>
                      <w:highlight w:val="none"/>
                      <w:lang w:val="en-US" w:eastAsia="zh-CN"/>
                      <w14:textFill>
                        <w14:solidFill>
                          <w14:schemeClr w14:val="tx1"/>
                        </w14:solidFill>
                      </w14:textFill>
                    </w:rPr>
                    <w:t>烘干塔内部自带重力沉降室，烘干塔底部四周设置防尘挡板，粉尘受挡板格挡后受重力作用回落到烘干塔底部收尘设施中。</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无组织粉尘通过上述措施处理后可满足《大气污染物综合排放标准》(GB16297-1996)表2无组织排放浓度限值要求。</w:t>
                  </w:r>
                </w:p>
              </w:tc>
              <w:tc>
                <w:tcPr>
                  <w:tcW w:w="518" w:type="pct"/>
                  <w:noWrap w:val="0"/>
                  <w:vAlign w:val="center"/>
                </w:tcPr>
                <w:p w14:paraId="395AB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依托</w:t>
                  </w:r>
                </w:p>
              </w:tc>
            </w:tr>
            <w:tr w14:paraId="27D9DD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79EF8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16" w:type="pct"/>
                  <w:noWrap w:val="0"/>
                  <w:vAlign w:val="center"/>
                </w:tcPr>
                <w:p w14:paraId="0C62F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废</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水</w:t>
                  </w:r>
                </w:p>
              </w:tc>
              <w:tc>
                <w:tcPr>
                  <w:tcW w:w="3357" w:type="pct"/>
                  <w:noWrap w:val="0"/>
                  <w:vAlign w:val="center"/>
                </w:tcPr>
                <w:p w14:paraId="18097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本项目生产过程中无废水产生，</w:t>
                  </w:r>
                  <w:r>
                    <w:rPr>
                      <w:rFonts w:hint="default" w:ascii="Times New Roman" w:hAnsi="Times New Roman" w:eastAsia="宋体" w:cs="Times New Roman"/>
                      <w:bCs/>
                      <w:color w:val="000000" w:themeColor="text1"/>
                      <w:sz w:val="18"/>
                      <w:szCs w:val="18"/>
                      <w:highlight w:val="none"/>
                      <w:lang w:eastAsia="zh-CN"/>
                      <w14:textFill>
                        <w14:solidFill>
                          <w14:schemeClr w14:val="tx1"/>
                        </w14:solidFill>
                      </w14:textFill>
                    </w:rPr>
                    <w:t>项目生活污水排入防渗旱厕，定期清掏，外运堆肥，不外排</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w:t>
                  </w:r>
                </w:p>
              </w:tc>
              <w:tc>
                <w:tcPr>
                  <w:tcW w:w="518" w:type="pct"/>
                  <w:noWrap w:val="0"/>
                  <w:vAlign w:val="center"/>
                </w:tcPr>
                <w:p w14:paraId="7E5FB0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依托</w:t>
                  </w:r>
                </w:p>
              </w:tc>
            </w:tr>
            <w:tr w14:paraId="0E978D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3A92E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16" w:type="pct"/>
                  <w:noWrap w:val="0"/>
                  <w:vAlign w:val="center"/>
                </w:tcPr>
                <w:p w14:paraId="7DDC1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噪声</w:t>
                  </w:r>
                </w:p>
              </w:tc>
              <w:tc>
                <w:tcPr>
                  <w:tcW w:w="3357" w:type="pct"/>
                  <w:noWrap w:val="0"/>
                  <w:vAlign w:val="center"/>
                </w:tcPr>
                <w:p w14:paraId="1578B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采取低噪声设备、基础减振，隔声等措施厂界噪声满足《工业企业厂界环境噪声排放标准》(GB12348-2008)2类标准要求。</w:t>
                  </w:r>
                </w:p>
              </w:tc>
              <w:tc>
                <w:tcPr>
                  <w:tcW w:w="518" w:type="pct"/>
                  <w:noWrap w:val="0"/>
                  <w:vAlign w:val="center"/>
                </w:tcPr>
                <w:p w14:paraId="6E2A89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依托</w:t>
                  </w:r>
                </w:p>
              </w:tc>
            </w:tr>
            <w:tr w14:paraId="2859E2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24D9C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16" w:type="pct"/>
                  <w:noWrap w:val="0"/>
                  <w:vAlign w:val="center"/>
                </w:tcPr>
                <w:p w14:paraId="23085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固体废物</w:t>
                  </w:r>
                </w:p>
              </w:tc>
              <w:tc>
                <w:tcPr>
                  <w:tcW w:w="3357" w:type="pct"/>
                  <w:noWrap w:val="0"/>
                  <w:vAlign w:val="center"/>
                </w:tcPr>
                <w:p w14:paraId="0E220F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本项目</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生活垃圾交由市政部门统一处置；热风炉</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除尘器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灰渣及</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回收粉尘</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集中收集</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密封袋装存储于灰渣间，每10天清运1次，不在厂区长期储存，外售综合利用</w:t>
                  </w:r>
                  <w:r>
                    <w:rPr>
                      <w:rFonts w:hint="default" w:ascii="Times New Roman" w:hAnsi="Times New Roman" w:eastAsia="宋体" w:cs="Times New Roman"/>
                      <w:color w:val="000000" w:themeColor="text1"/>
                      <w:kern w:val="21"/>
                      <w:sz w:val="18"/>
                      <w:szCs w:val="18"/>
                      <w:highlight w:val="none"/>
                      <w:lang w:val="en-US" w:eastAsia="zh-CN"/>
                      <w14:textFill>
                        <w14:solidFill>
                          <w14:schemeClr w14:val="tx1"/>
                        </w14:solidFill>
                      </w14:textFill>
                    </w:rPr>
                    <w:t>；废布袋，由除尘器厂家更换后直接带走；</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初清、输送装卸、筛分产生杂质外售砖厂综合利用，筛分过程产生劣质粮、烘干粉尘外售饲料厂家综合利用。</w:t>
                  </w:r>
                  <w:r>
                    <w:rPr>
                      <w:rFonts w:hint="default" w:ascii="Times New Roman" w:hAnsi="Times New Roman" w:eastAsia="宋体" w:cs="Times New Roman"/>
                      <w:color w:val="000000" w:themeColor="text1"/>
                      <w:sz w:val="18"/>
                      <w:szCs w:val="18"/>
                      <w:highlight w:val="none"/>
                      <w14:textFill>
                        <w14:solidFill>
                          <w14:schemeClr w14:val="tx1"/>
                        </w14:solidFill>
                      </w14:textFill>
                    </w:rPr>
                    <w:t>废机</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油、废弃含油抹布手套暂存危废贮存点</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定期</w:t>
                  </w:r>
                  <w:r>
                    <w:rPr>
                      <w:rFonts w:hint="default" w:ascii="Times New Roman" w:hAnsi="Times New Roman" w:eastAsia="宋体" w:cs="Times New Roman"/>
                      <w:color w:val="000000" w:themeColor="text1"/>
                      <w:sz w:val="18"/>
                      <w:szCs w:val="18"/>
                      <w:highlight w:val="none"/>
                      <w14:textFill>
                        <w14:solidFill>
                          <w14:schemeClr w14:val="tx1"/>
                        </w14:solidFill>
                      </w14:textFill>
                    </w:rPr>
                    <w:t>委托有资质单位处置。</w:t>
                  </w:r>
                </w:p>
              </w:tc>
              <w:tc>
                <w:tcPr>
                  <w:tcW w:w="518" w:type="pct"/>
                  <w:noWrap w:val="0"/>
                  <w:vAlign w:val="center"/>
                </w:tcPr>
                <w:p w14:paraId="7D53E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依托</w:t>
                  </w:r>
                </w:p>
              </w:tc>
            </w:tr>
            <w:tr w14:paraId="58B701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36398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16" w:type="pct"/>
                  <w:noWrap w:val="0"/>
                  <w:vAlign w:val="center"/>
                </w:tcPr>
                <w:p w14:paraId="70C0F9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分区防渗</w:t>
                  </w:r>
                </w:p>
              </w:tc>
              <w:tc>
                <w:tcPr>
                  <w:tcW w:w="3357" w:type="pct"/>
                  <w:noWrap w:val="0"/>
                  <w:vAlign w:val="center"/>
                </w:tcPr>
                <w:p w14:paraId="42354BE6">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危险废物贮存点采取重点防渗，采用</w:t>
                  </w: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至少2mm厚的防渗人工材料，防渗系数≤10</w:t>
                  </w:r>
                  <w:r>
                    <w:rPr>
                      <w:rFonts w:hint="default" w:ascii="Times New Roman" w:hAnsi="Times New Roman" w:eastAsia="宋体" w:cs="Times New Roman"/>
                      <w:bCs/>
                      <w:color w:val="000000" w:themeColor="text1"/>
                      <w:sz w:val="18"/>
                      <w:szCs w:val="18"/>
                      <w:highlight w:val="none"/>
                      <w:vertAlign w:val="superscript"/>
                      <w:lang w:val="en-US" w:eastAsia="zh-CN"/>
                      <w14:textFill>
                        <w14:solidFill>
                          <w14:schemeClr w14:val="tx1"/>
                        </w14:solidFill>
                      </w14:textFill>
                    </w:rPr>
                    <w:t>-10</w:t>
                  </w: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cm/s，地面与裙脚表面防渗处理</w:t>
                  </w:r>
                  <w:r>
                    <w:rPr>
                      <w:rFonts w:hint="eastAsia" w:cs="Times New Roman"/>
                      <w:bCs/>
                      <w:color w:val="000000" w:themeColor="text1"/>
                      <w:sz w:val="18"/>
                      <w:szCs w:val="18"/>
                      <w:highlight w:val="none"/>
                      <w:lang w:val="en-US" w:eastAsia="zh-CN"/>
                      <w14:textFill>
                        <w14:solidFill>
                          <w14:schemeClr w14:val="tx1"/>
                        </w14:solidFill>
                      </w14:textFill>
                    </w:rPr>
                    <w:t>，防渗旱厕采取一般防渗（等效黏土防渗层Mb≥1.5m，渗透系数≤10</w:t>
                  </w:r>
                  <w:r>
                    <w:rPr>
                      <w:rFonts w:hint="eastAsia" w:cs="Times New Roman"/>
                      <w:bCs/>
                      <w:color w:val="000000" w:themeColor="text1"/>
                      <w:sz w:val="18"/>
                      <w:szCs w:val="18"/>
                      <w:highlight w:val="none"/>
                      <w:vertAlign w:val="superscript"/>
                      <w:lang w:val="en-US" w:eastAsia="zh-CN"/>
                      <w14:textFill>
                        <w14:solidFill>
                          <w14:schemeClr w14:val="tx1"/>
                        </w14:solidFill>
                      </w14:textFill>
                    </w:rPr>
                    <w:t>-7</w:t>
                  </w:r>
                  <w:r>
                    <w:rPr>
                      <w:rFonts w:hint="eastAsia" w:cs="Times New Roman"/>
                      <w:bCs/>
                      <w:color w:val="000000" w:themeColor="text1"/>
                      <w:sz w:val="18"/>
                      <w:szCs w:val="18"/>
                      <w:highlight w:val="none"/>
                      <w:lang w:val="en-US" w:eastAsia="zh-CN"/>
                      <w14:textFill>
                        <w14:solidFill>
                          <w14:schemeClr w14:val="tx1"/>
                        </w14:solidFill>
                      </w14:textFill>
                    </w:rPr>
                    <w:t>cm/s），</w:t>
                  </w: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厂区内其他区域采取简单防渗，采用水泥硬化。</w:t>
                  </w:r>
                </w:p>
              </w:tc>
              <w:tc>
                <w:tcPr>
                  <w:tcW w:w="518" w:type="pct"/>
                  <w:noWrap w:val="0"/>
                  <w:vAlign w:val="center"/>
                </w:tcPr>
                <w:p w14:paraId="6ACD8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新建</w:t>
                  </w:r>
                </w:p>
              </w:tc>
            </w:tr>
          </w:tbl>
          <w:p w14:paraId="7D885F03">
            <w:pPr>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2、</w:t>
            </w:r>
            <w:r>
              <w:rPr>
                <w:rFonts w:hint="default" w:ascii="Times New Roman" w:hAnsi="Times New Roman" w:eastAsia="宋体" w:cs="Times New Roman"/>
                <w:b/>
                <w:color w:val="000000" w:themeColor="text1"/>
                <w:szCs w:val="21"/>
                <w:highlight w:val="none"/>
                <w14:textFill>
                  <w14:solidFill>
                    <w14:schemeClr w14:val="tx1"/>
                  </w14:solidFill>
                </w14:textFill>
              </w:rPr>
              <w:t>主要产品及产能</w:t>
            </w:r>
          </w:p>
          <w:p w14:paraId="73AAF2C6">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本项目产品方案详见表2-2。</w:t>
            </w:r>
          </w:p>
          <w:p w14:paraId="0F9EE5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表2-2主要产品及产能</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073"/>
              <w:gridCol w:w="1211"/>
              <w:gridCol w:w="2066"/>
              <w:gridCol w:w="1200"/>
              <w:gridCol w:w="577"/>
              <w:gridCol w:w="1259"/>
            </w:tblGrid>
            <w:tr w14:paraId="552169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14:paraId="3B20262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序号</w:t>
                  </w:r>
                </w:p>
              </w:tc>
              <w:tc>
                <w:tcPr>
                  <w:tcW w:w="668" w:type="pct"/>
                  <w:vAlign w:val="center"/>
                </w:tcPr>
                <w:p w14:paraId="703CF99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产品名称</w:t>
                  </w:r>
                </w:p>
              </w:tc>
              <w:tc>
                <w:tcPr>
                  <w:tcW w:w="754" w:type="pct"/>
                  <w:vAlign w:val="center"/>
                </w:tcPr>
                <w:p w14:paraId="2C4571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eastAsia" w:cs="Times New Roman"/>
                      <w:b w:val="0"/>
                      <w:bCs w:val="0"/>
                      <w:color w:val="000000" w:themeColor="text1"/>
                      <w:sz w:val="18"/>
                      <w:szCs w:val="18"/>
                      <w:highlight w:val="none"/>
                      <w:vertAlign w:val="baseline"/>
                      <w:lang w:val="en-US" w:eastAsia="zh-CN"/>
                      <w14:textFill>
                        <w14:solidFill>
                          <w14:schemeClr w14:val="tx1"/>
                        </w14:solidFill>
                      </w14:textFill>
                    </w:rPr>
                    <w:t>现有</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年产量</w:t>
                  </w:r>
                </w:p>
              </w:tc>
              <w:tc>
                <w:tcPr>
                  <w:tcW w:w="1286" w:type="pct"/>
                  <w:vAlign w:val="center"/>
                </w:tcPr>
                <w:p w14:paraId="5F3F15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eastAsia" w:cs="Times New Roman"/>
                      <w:b w:val="0"/>
                      <w:bCs w:val="0"/>
                      <w:color w:val="000000" w:themeColor="text1"/>
                      <w:sz w:val="18"/>
                      <w:szCs w:val="18"/>
                      <w:highlight w:val="none"/>
                      <w:vertAlign w:val="baseline"/>
                      <w:lang w:val="en-US" w:eastAsia="zh-CN"/>
                      <w14:textFill>
                        <w14:solidFill>
                          <w14:schemeClr w14:val="tx1"/>
                        </w14:solidFill>
                      </w14:textFill>
                    </w:rPr>
                    <w:t>本次项目新增年产量</w:t>
                  </w:r>
                </w:p>
              </w:tc>
              <w:tc>
                <w:tcPr>
                  <w:tcW w:w="747" w:type="pct"/>
                  <w:vAlign w:val="center"/>
                </w:tcPr>
                <w:p w14:paraId="0EF0E41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全厂年产量</w:t>
                  </w:r>
                </w:p>
              </w:tc>
              <w:tc>
                <w:tcPr>
                  <w:tcW w:w="359" w:type="pct"/>
                  <w:vAlign w:val="center"/>
                </w:tcPr>
                <w:p w14:paraId="6353848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t>单位</w:t>
                  </w:r>
                </w:p>
              </w:tc>
              <w:tc>
                <w:tcPr>
                  <w:tcW w:w="784" w:type="pct"/>
                  <w:vAlign w:val="center"/>
                </w:tcPr>
                <w:p w14:paraId="69CAD51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t>备注</w:t>
                  </w:r>
                </w:p>
              </w:tc>
            </w:tr>
            <w:tr w14:paraId="2C63E2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14:paraId="5989206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1</w:t>
                  </w:r>
                </w:p>
              </w:tc>
              <w:tc>
                <w:tcPr>
                  <w:tcW w:w="668" w:type="pct"/>
                  <w:vAlign w:val="center"/>
                </w:tcPr>
                <w:p w14:paraId="5A44A29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玉米</w:t>
                  </w:r>
                </w:p>
              </w:tc>
              <w:tc>
                <w:tcPr>
                  <w:tcW w:w="754" w:type="pct"/>
                  <w:vAlign w:val="center"/>
                </w:tcPr>
                <w:p w14:paraId="1B8171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eastAsia" w:cs="Times New Roman"/>
                      <w:b w:val="0"/>
                      <w:bCs w:val="0"/>
                      <w:color w:val="000000" w:themeColor="text1"/>
                      <w:sz w:val="18"/>
                      <w:szCs w:val="18"/>
                      <w:highlight w:val="none"/>
                      <w:lang w:val="en-US" w:eastAsia="zh-CN"/>
                      <w14:textFill>
                        <w14:solidFill>
                          <w14:schemeClr w14:val="tx1"/>
                        </w14:solidFill>
                      </w14:textFill>
                    </w:rPr>
                    <w:t>16245.103</w:t>
                  </w:r>
                </w:p>
              </w:tc>
              <w:tc>
                <w:tcPr>
                  <w:tcW w:w="1286" w:type="pct"/>
                  <w:vAlign w:val="center"/>
                </w:tcPr>
                <w:p w14:paraId="5B42F6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eastAsia" w:cs="Times New Roman"/>
                      <w:b w:val="0"/>
                      <w:bCs w:val="0"/>
                      <w:color w:val="000000" w:themeColor="text1"/>
                      <w:sz w:val="18"/>
                      <w:szCs w:val="18"/>
                      <w:highlight w:val="none"/>
                      <w:lang w:val="en-US" w:eastAsia="zh-CN"/>
                      <w14:textFill>
                        <w14:solidFill>
                          <w14:schemeClr w14:val="tx1"/>
                        </w14:solidFill>
                      </w14:textFill>
                    </w:rPr>
                    <w:t>32490.107</w:t>
                  </w:r>
                </w:p>
              </w:tc>
              <w:tc>
                <w:tcPr>
                  <w:tcW w:w="747" w:type="pct"/>
                  <w:vAlign w:val="center"/>
                </w:tcPr>
                <w:p w14:paraId="5F124D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48735.21</w:t>
                  </w:r>
                </w:p>
              </w:tc>
              <w:tc>
                <w:tcPr>
                  <w:tcW w:w="359" w:type="pct"/>
                  <w:vAlign w:val="center"/>
                </w:tcPr>
                <w:p w14:paraId="21D786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t>t/a</w:t>
                  </w:r>
                </w:p>
              </w:tc>
              <w:tc>
                <w:tcPr>
                  <w:tcW w:w="784" w:type="pct"/>
                  <w:vAlign w:val="center"/>
                </w:tcPr>
                <w:p w14:paraId="3C7DC5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含水率14%</w:t>
                  </w:r>
                </w:p>
              </w:tc>
            </w:tr>
            <w:tr w14:paraId="7FC46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 w:type="pct"/>
                  <w:vAlign w:val="center"/>
                </w:tcPr>
                <w:p w14:paraId="1097A3A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2</w:t>
                  </w:r>
                </w:p>
              </w:tc>
              <w:tc>
                <w:tcPr>
                  <w:tcW w:w="668" w:type="pct"/>
                  <w:vAlign w:val="center"/>
                </w:tcPr>
                <w:p w14:paraId="189CAAB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鲜玉米</w:t>
                  </w:r>
                </w:p>
              </w:tc>
              <w:tc>
                <w:tcPr>
                  <w:tcW w:w="754" w:type="pct"/>
                  <w:vAlign w:val="center"/>
                </w:tcPr>
                <w:p w14:paraId="4D2FBF8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600</w:t>
                  </w:r>
                </w:p>
              </w:tc>
              <w:tc>
                <w:tcPr>
                  <w:tcW w:w="1286" w:type="pct"/>
                  <w:vAlign w:val="center"/>
                </w:tcPr>
                <w:p w14:paraId="4333BF0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eastAsia" w:cs="Times New Roman"/>
                      <w:b w:val="0"/>
                      <w:bCs w:val="0"/>
                      <w:color w:val="000000" w:themeColor="text1"/>
                      <w:sz w:val="18"/>
                      <w:szCs w:val="18"/>
                      <w:highlight w:val="none"/>
                      <w:lang w:val="en-US" w:eastAsia="zh-CN"/>
                      <w14:textFill>
                        <w14:solidFill>
                          <w14:schemeClr w14:val="tx1"/>
                        </w14:solidFill>
                      </w14:textFill>
                    </w:rPr>
                    <w:t>0</w:t>
                  </w:r>
                </w:p>
              </w:tc>
              <w:tc>
                <w:tcPr>
                  <w:tcW w:w="747" w:type="pct"/>
                  <w:vAlign w:val="center"/>
                </w:tcPr>
                <w:p w14:paraId="38D3BB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600</w:t>
                  </w:r>
                </w:p>
              </w:tc>
              <w:tc>
                <w:tcPr>
                  <w:tcW w:w="359" w:type="pct"/>
                  <w:vAlign w:val="center"/>
                </w:tcPr>
                <w:p w14:paraId="5E6C75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t>t/a</w:t>
                  </w:r>
                </w:p>
              </w:tc>
              <w:tc>
                <w:tcPr>
                  <w:tcW w:w="784" w:type="pct"/>
                  <w:vAlign w:val="center"/>
                </w:tcPr>
                <w:p w14:paraId="20CDE0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w:t>
                  </w:r>
                </w:p>
              </w:tc>
            </w:tr>
          </w:tbl>
          <w:p w14:paraId="2CF7F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主要设备</w:t>
            </w:r>
          </w:p>
          <w:p w14:paraId="7C7EA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snapToGrid w:val="0"/>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主要设备见表2-</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p w14:paraId="10AF400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表2-</w:t>
            </w:r>
            <w:r>
              <w:rPr>
                <w:rFonts w:hint="default" w:ascii="Times New Roman" w:hAnsi="Times New Roman" w:eastAsia="宋体" w:cs="Times New Roman"/>
                <w:b/>
                <w:bCs/>
                <w:snapToGrid w:val="0"/>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主要设备一览表</w:t>
            </w:r>
          </w:p>
          <w:tbl>
            <w:tblPr>
              <w:tblStyle w:val="35"/>
              <w:tblW w:w="4998" w:type="pct"/>
              <w:tblInd w:w="-1"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63"/>
              <w:gridCol w:w="875"/>
              <w:gridCol w:w="1450"/>
              <w:gridCol w:w="1750"/>
              <w:gridCol w:w="1362"/>
              <w:gridCol w:w="613"/>
            </w:tblGrid>
            <w:tr w14:paraId="1DB0D4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dxa"/>
                  <w:vAlign w:val="center"/>
                </w:tcPr>
                <w:p w14:paraId="369F7E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序号</w:t>
                  </w:r>
                </w:p>
              </w:tc>
              <w:tc>
                <w:tcPr>
                  <w:tcW w:w="1363" w:type="dxa"/>
                  <w:vAlign w:val="center"/>
                </w:tcPr>
                <w:p w14:paraId="57BC99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设备名称</w:t>
                  </w:r>
                </w:p>
              </w:tc>
              <w:tc>
                <w:tcPr>
                  <w:tcW w:w="875" w:type="dxa"/>
                  <w:vAlign w:val="center"/>
                </w:tcPr>
                <w:p w14:paraId="7C576F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型号</w:t>
                  </w:r>
                </w:p>
              </w:tc>
              <w:tc>
                <w:tcPr>
                  <w:tcW w:w="1450" w:type="dxa"/>
                  <w:vAlign w:val="center"/>
                </w:tcPr>
                <w:p w14:paraId="25D0425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现有设备数量</w:t>
                  </w:r>
                </w:p>
              </w:tc>
              <w:tc>
                <w:tcPr>
                  <w:tcW w:w="1750" w:type="dxa"/>
                  <w:vAlign w:val="center"/>
                </w:tcPr>
                <w:p w14:paraId="373307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本项目新增设备数量</w:t>
                  </w:r>
                </w:p>
              </w:tc>
              <w:tc>
                <w:tcPr>
                  <w:tcW w:w="1362" w:type="dxa"/>
                  <w:vAlign w:val="center"/>
                </w:tcPr>
                <w:p w14:paraId="52B0CA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全厂设备数量</w:t>
                  </w:r>
                </w:p>
              </w:tc>
              <w:tc>
                <w:tcPr>
                  <w:tcW w:w="613" w:type="dxa"/>
                  <w:vAlign w:val="center"/>
                </w:tcPr>
                <w:p w14:paraId="30D1A6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单位</w:t>
                  </w:r>
                </w:p>
              </w:tc>
            </w:tr>
            <w:tr w14:paraId="1A5AAE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dxa"/>
                  <w:vAlign w:val="center"/>
                </w:tcPr>
                <w:p w14:paraId="7E16FF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1</w:t>
                  </w:r>
                </w:p>
              </w:tc>
              <w:tc>
                <w:tcPr>
                  <w:tcW w:w="1363" w:type="dxa"/>
                  <w:vAlign w:val="center"/>
                </w:tcPr>
                <w:p w14:paraId="70B47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烘干塔</w:t>
                  </w:r>
                </w:p>
              </w:tc>
              <w:tc>
                <w:tcPr>
                  <w:tcW w:w="875" w:type="dxa"/>
                  <w:vAlign w:val="center"/>
                </w:tcPr>
                <w:p w14:paraId="5E382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400t/d</w:t>
                  </w:r>
                </w:p>
              </w:tc>
              <w:tc>
                <w:tcPr>
                  <w:tcW w:w="1450" w:type="dxa"/>
                  <w:vAlign w:val="center"/>
                </w:tcPr>
                <w:p w14:paraId="30543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1座日烘干能力200t/d烘干塔</w:t>
                  </w:r>
                </w:p>
              </w:tc>
              <w:tc>
                <w:tcPr>
                  <w:tcW w:w="1750" w:type="dxa"/>
                  <w:vAlign w:val="center"/>
                </w:tcPr>
                <w:p w14:paraId="63E8E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1座日烘干能力400t/d烘干塔</w:t>
                  </w:r>
                </w:p>
              </w:tc>
              <w:tc>
                <w:tcPr>
                  <w:tcW w:w="1362" w:type="dxa"/>
                  <w:vAlign w:val="center"/>
                </w:tcPr>
                <w:p w14:paraId="5284B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1</w:t>
                  </w:r>
                </w:p>
              </w:tc>
              <w:tc>
                <w:tcPr>
                  <w:tcW w:w="613" w:type="dxa"/>
                  <w:vAlign w:val="center"/>
                </w:tcPr>
                <w:p w14:paraId="1628B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座</w:t>
                  </w:r>
                </w:p>
              </w:tc>
            </w:tr>
            <w:tr w14:paraId="0E2B3E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dxa"/>
                  <w:vAlign w:val="center"/>
                </w:tcPr>
                <w:p w14:paraId="4626EB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2</w:t>
                  </w:r>
                </w:p>
              </w:tc>
              <w:tc>
                <w:tcPr>
                  <w:tcW w:w="1363" w:type="dxa"/>
                  <w:vAlign w:val="center"/>
                </w:tcPr>
                <w:p w14:paraId="10291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热风炉</w:t>
                  </w:r>
                </w:p>
              </w:tc>
              <w:tc>
                <w:tcPr>
                  <w:tcW w:w="875" w:type="dxa"/>
                  <w:vAlign w:val="center"/>
                </w:tcPr>
                <w:p w14:paraId="485BE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8t/h</w:t>
                  </w:r>
                </w:p>
              </w:tc>
              <w:tc>
                <w:tcPr>
                  <w:tcW w:w="1450" w:type="dxa"/>
                  <w:vAlign w:val="center"/>
                </w:tcPr>
                <w:p w14:paraId="1EF6D6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1台4t/h燃煤热风炉</w:t>
                  </w:r>
                </w:p>
              </w:tc>
              <w:tc>
                <w:tcPr>
                  <w:tcW w:w="1750" w:type="dxa"/>
                  <w:vAlign w:val="center"/>
                </w:tcPr>
                <w:p w14:paraId="401CB9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1台8t/h燃生物质热风炉</w:t>
                  </w:r>
                </w:p>
              </w:tc>
              <w:tc>
                <w:tcPr>
                  <w:tcW w:w="1362" w:type="dxa"/>
                  <w:vAlign w:val="center"/>
                </w:tcPr>
                <w:p w14:paraId="6B5A57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p>
              </w:tc>
              <w:tc>
                <w:tcPr>
                  <w:tcW w:w="613" w:type="dxa"/>
                  <w:vAlign w:val="center"/>
                </w:tcPr>
                <w:p w14:paraId="12FBB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台</w:t>
                  </w:r>
                </w:p>
              </w:tc>
            </w:tr>
            <w:tr w14:paraId="3CF2FF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dxa"/>
                  <w:vAlign w:val="center"/>
                </w:tcPr>
                <w:p w14:paraId="6CE550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3</w:t>
                  </w:r>
                </w:p>
              </w:tc>
              <w:tc>
                <w:tcPr>
                  <w:tcW w:w="1363" w:type="dxa"/>
                  <w:vAlign w:val="center"/>
                </w:tcPr>
                <w:p w14:paraId="1E774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布袋除尘器</w:t>
                  </w:r>
                </w:p>
              </w:tc>
              <w:tc>
                <w:tcPr>
                  <w:tcW w:w="875" w:type="dxa"/>
                  <w:vAlign w:val="center"/>
                </w:tcPr>
                <w:p w14:paraId="6707A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450" w:type="dxa"/>
                  <w:vAlign w:val="center"/>
                </w:tcPr>
                <w:p w14:paraId="149CEF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p>
              </w:tc>
              <w:tc>
                <w:tcPr>
                  <w:tcW w:w="1750" w:type="dxa"/>
                  <w:vAlign w:val="center"/>
                </w:tcPr>
                <w:p w14:paraId="5104B1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w:t>
                  </w:r>
                </w:p>
              </w:tc>
              <w:tc>
                <w:tcPr>
                  <w:tcW w:w="1362" w:type="dxa"/>
                  <w:vAlign w:val="center"/>
                </w:tcPr>
                <w:p w14:paraId="0D74D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p>
              </w:tc>
              <w:tc>
                <w:tcPr>
                  <w:tcW w:w="613" w:type="dxa"/>
                  <w:vAlign w:val="center"/>
                </w:tcPr>
                <w:p w14:paraId="2209B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套</w:t>
                  </w:r>
                </w:p>
              </w:tc>
            </w:tr>
            <w:tr w14:paraId="312297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dxa"/>
                  <w:vAlign w:val="center"/>
                </w:tcPr>
                <w:p w14:paraId="083ED8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4</w:t>
                  </w:r>
                </w:p>
              </w:tc>
              <w:tc>
                <w:tcPr>
                  <w:tcW w:w="1363" w:type="dxa"/>
                  <w:vAlign w:val="center"/>
                </w:tcPr>
                <w:p w14:paraId="69DB1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筛选机</w:t>
                  </w:r>
                </w:p>
              </w:tc>
              <w:tc>
                <w:tcPr>
                  <w:tcW w:w="875" w:type="dxa"/>
                  <w:vAlign w:val="center"/>
                </w:tcPr>
                <w:p w14:paraId="2F0E7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450" w:type="dxa"/>
                  <w:vAlign w:val="center"/>
                </w:tcPr>
                <w:p w14:paraId="3A408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p>
              </w:tc>
              <w:tc>
                <w:tcPr>
                  <w:tcW w:w="1750" w:type="dxa"/>
                  <w:vAlign w:val="center"/>
                </w:tcPr>
                <w:p w14:paraId="02064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w:t>
                  </w:r>
                </w:p>
              </w:tc>
              <w:tc>
                <w:tcPr>
                  <w:tcW w:w="1362" w:type="dxa"/>
                  <w:vAlign w:val="center"/>
                </w:tcPr>
                <w:p w14:paraId="4C07B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p>
              </w:tc>
              <w:tc>
                <w:tcPr>
                  <w:tcW w:w="613" w:type="dxa"/>
                  <w:vAlign w:val="center"/>
                </w:tcPr>
                <w:p w14:paraId="5D0BB6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台</w:t>
                  </w:r>
                </w:p>
              </w:tc>
            </w:tr>
            <w:tr w14:paraId="4DF591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dxa"/>
                  <w:vAlign w:val="center"/>
                </w:tcPr>
                <w:p w14:paraId="38CB79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5</w:t>
                  </w:r>
                </w:p>
              </w:tc>
              <w:tc>
                <w:tcPr>
                  <w:tcW w:w="1363" w:type="dxa"/>
                  <w:vAlign w:val="center"/>
                </w:tcPr>
                <w:p w14:paraId="213686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提升机</w:t>
                  </w:r>
                </w:p>
              </w:tc>
              <w:tc>
                <w:tcPr>
                  <w:tcW w:w="875" w:type="dxa"/>
                  <w:vAlign w:val="center"/>
                </w:tcPr>
                <w:p w14:paraId="55EE7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450" w:type="dxa"/>
                  <w:vAlign w:val="center"/>
                </w:tcPr>
                <w:p w14:paraId="16E87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w:t>
                  </w:r>
                </w:p>
              </w:tc>
              <w:tc>
                <w:tcPr>
                  <w:tcW w:w="1750" w:type="dxa"/>
                  <w:vAlign w:val="center"/>
                </w:tcPr>
                <w:p w14:paraId="07AAC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w:t>
                  </w:r>
                </w:p>
              </w:tc>
              <w:tc>
                <w:tcPr>
                  <w:tcW w:w="1362" w:type="dxa"/>
                  <w:vAlign w:val="center"/>
                </w:tcPr>
                <w:p w14:paraId="3F9BF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w:t>
                  </w:r>
                </w:p>
              </w:tc>
              <w:tc>
                <w:tcPr>
                  <w:tcW w:w="613" w:type="dxa"/>
                  <w:vAlign w:val="center"/>
                </w:tcPr>
                <w:p w14:paraId="05994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台</w:t>
                  </w:r>
                </w:p>
              </w:tc>
            </w:tr>
            <w:tr w14:paraId="6729C7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dxa"/>
                  <w:vAlign w:val="center"/>
                </w:tcPr>
                <w:p w14:paraId="6B6491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6</w:t>
                  </w:r>
                </w:p>
              </w:tc>
              <w:tc>
                <w:tcPr>
                  <w:tcW w:w="1363" w:type="dxa"/>
                  <w:vAlign w:val="center"/>
                </w:tcPr>
                <w:p w14:paraId="54BCF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输送机</w:t>
                  </w:r>
                </w:p>
              </w:tc>
              <w:tc>
                <w:tcPr>
                  <w:tcW w:w="875" w:type="dxa"/>
                  <w:vAlign w:val="center"/>
                </w:tcPr>
                <w:p w14:paraId="0B280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450" w:type="dxa"/>
                  <w:vAlign w:val="center"/>
                </w:tcPr>
                <w:p w14:paraId="678C19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23</w:t>
                  </w:r>
                </w:p>
              </w:tc>
              <w:tc>
                <w:tcPr>
                  <w:tcW w:w="1750" w:type="dxa"/>
                  <w:vAlign w:val="center"/>
                </w:tcPr>
                <w:p w14:paraId="446BF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w:t>
                  </w:r>
                </w:p>
              </w:tc>
              <w:tc>
                <w:tcPr>
                  <w:tcW w:w="1362" w:type="dxa"/>
                  <w:vAlign w:val="center"/>
                </w:tcPr>
                <w:p w14:paraId="008DD4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23</w:t>
                  </w:r>
                </w:p>
              </w:tc>
              <w:tc>
                <w:tcPr>
                  <w:tcW w:w="613" w:type="dxa"/>
                  <w:vAlign w:val="center"/>
                </w:tcPr>
                <w:p w14:paraId="2DD65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台</w:t>
                  </w:r>
                </w:p>
              </w:tc>
            </w:tr>
            <w:tr w14:paraId="23CC1B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dxa"/>
                  <w:vAlign w:val="center"/>
                </w:tcPr>
                <w:p w14:paraId="3051DE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7</w:t>
                  </w:r>
                </w:p>
              </w:tc>
              <w:tc>
                <w:tcPr>
                  <w:tcW w:w="1363" w:type="dxa"/>
                  <w:vAlign w:val="center"/>
                </w:tcPr>
                <w:p w14:paraId="10FB4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制冷设备外机</w:t>
                  </w:r>
                </w:p>
              </w:tc>
              <w:tc>
                <w:tcPr>
                  <w:tcW w:w="875" w:type="dxa"/>
                  <w:vAlign w:val="center"/>
                </w:tcPr>
                <w:p w14:paraId="53969D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450" w:type="dxa"/>
                  <w:vAlign w:val="center"/>
                </w:tcPr>
                <w:p w14:paraId="5E0D74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w:t>
                  </w:r>
                </w:p>
              </w:tc>
              <w:tc>
                <w:tcPr>
                  <w:tcW w:w="1750" w:type="dxa"/>
                  <w:vAlign w:val="center"/>
                </w:tcPr>
                <w:p w14:paraId="1263F6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w:t>
                  </w:r>
                </w:p>
              </w:tc>
              <w:tc>
                <w:tcPr>
                  <w:tcW w:w="1362" w:type="dxa"/>
                  <w:vAlign w:val="center"/>
                </w:tcPr>
                <w:p w14:paraId="02A48B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w:t>
                  </w:r>
                </w:p>
              </w:tc>
              <w:tc>
                <w:tcPr>
                  <w:tcW w:w="613" w:type="dxa"/>
                  <w:vAlign w:val="center"/>
                </w:tcPr>
                <w:p w14:paraId="3DE4D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台</w:t>
                  </w:r>
                </w:p>
              </w:tc>
            </w:tr>
            <w:tr w14:paraId="5718CE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dxa"/>
                  <w:vAlign w:val="center"/>
                </w:tcPr>
                <w:p w14:paraId="093844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8</w:t>
                  </w:r>
                </w:p>
              </w:tc>
              <w:tc>
                <w:tcPr>
                  <w:tcW w:w="1363" w:type="dxa"/>
                  <w:vAlign w:val="center"/>
                </w:tcPr>
                <w:p w14:paraId="62A7F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风机</w:t>
                  </w:r>
                </w:p>
              </w:tc>
              <w:tc>
                <w:tcPr>
                  <w:tcW w:w="875" w:type="dxa"/>
                  <w:vAlign w:val="center"/>
                </w:tcPr>
                <w:p w14:paraId="1090B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450" w:type="dxa"/>
                  <w:vAlign w:val="center"/>
                </w:tcPr>
                <w:p w14:paraId="48E436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6</w:t>
                  </w:r>
                </w:p>
              </w:tc>
              <w:tc>
                <w:tcPr>
                  <w:tcW w:w="1750" w:type="dxa"/>
                  <w:vAlign w:val="center"/>
                </w:tcPr>
                <w:p w14:paraId="48CE3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w:t>
                  </w:r>
                </w:p>
              </w:tc>
              <w:tc>
                <w:tcPr>
                  <w:tcW w:w="1362" w:type="dxa"/>
                  <w:vAlign w:val="center"/>
                </w:tcPr>
                <w:p w14:paraId="75B46C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6</w:t>
                  </w:r>
                </w:p>
              </w:tc>
              <w:tc>
                <w:tcPr>
                  <w:tcW w:w="613" w:type="dxa"/>
                  <w:vAlign w:val="center"/>
                </w:tcPr>
                <w:p w14:paraId="65E6F1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台</w:t>
                  </w:r>
                </w:p>
              </w:tc>
            </w:tr>
          </w:tbl>
          <w:p w14:paraId="7D4905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、原辅材料</w:t>
            </w:r>
          </w:p>
          <w:p w14:paraId="465B747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表2-</w:t>
            </w:r>
            <w:r>
              <w:rPr>
                <w:rFonts w:hint="default" w:ascii="Times New Roman" w:hAnsi="Times New Roman" w:eastAsia="宋体" w:cs="Times New Roman"/>
                <w:b/>
                <w:bCs/>
                <w:snapToGrid w:val="0"/>
                <w:color w:val="000000" w:themeColor="text1"/>
                <w:szCs w:val="21"/>
                <w:highlight w:val="none"/>
                <w:lang w:val="en-US" w:eastAsia="zh-CN"/>
                <w14:textFill>
                  <w14:solidFill>
                    <w14:schemeClr w14:val="tx1"/>
                  </w14:solidFill>
                </w14:textFill>
              </w:rPr>
              <w:t>4</w:t>
            </w: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原辅材料消耗一览表</w:t>
            </w:r>
          </w:p>
          <w:tbl>
            <w:tblPr>
              <w:tblStyle w:val="35"/>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650"/>
              <w:gridCol w:w="981"/>
              <w:gridCol w:w="1350"/>
              <w:gridCol w:w="2169"/>
              <w:gridCol w:w="634"/>
              <w:gridCol w:w="632"/>
            </w:tblGrid>
            <w:tr w14:paraId="39EFF4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dxa"/>
                  <w:vAlign w:val="center"/>
                </w:tcPr>
                <w:p w14:paraId="7DCCCB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序号</w:t>
                  </w:r>
                </w:p>
              </w:tc>
              <w:tc>
                <w:tcPr>
                  <w:tcW w:w="1650" w:type="dxa"/>
                  <w:vAlign w:val="center"/>
                </w:tcPr>
                <w:p w14:paraId="308B95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原辅材料名称</w:t>
                  </w:r>
                </w:p>
              </w:tc>
              <w:tc>
                <w:tcPr>
                  <w:tcW w:w="981" w:type="dxa"/>
                  <w:vAlign w:val="center"/>
                </w:tcPr>
                <w:p w14:paraId="2B007F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现有用量</w:t>
                  </w:r>
                </w:p>
              </w:tc>
              <w:tc>
                <w:tcPr>
                  <w:tcW w:w="1350" w:type="dxa"/>
                  <w:vAlign w:val="center"/>
                </w:tcPr>
                <w:p w14:paraId="10B165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本次增减用量</w:t>
                  </w:r>
                </w:p>
              </w:tc>
              <w:tc>
                <w:tcPr>
                  <w:tcW w:w="2169" w:type="dxa"/>
                  <w:vAlign w:val="center"/>
                </w:tcPr>
                <w:p w14:paraId="6AA25E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全厂用量</w:t>
                  </w:r>
                </w:p>
              </w:tc>
              <w:tc>
                <w:tcPr>
                  <w:tcW w:w="634" w:type="dxa"/>
                  <w:vAlign w:val="center"/>
                </w:tcPr>
                <w:p w14:paraId="5B5C1D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单位</w:t>
                  </w:r>
                </w:p>
              </w:tc>
              <w:tc>
                <w:tcPr>
                  <w:tcW w:w="632" w:type="dxa"/>
                  <w:vAlign w:val="center"/>
                </w:tcPr>
                <w:p w14:paraId="1E2725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来源</w:t>
                  </w:r>
                </w:p>
              </w:tc>
            </w:tr>
            <w:tr w14:paraId="7146E1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dxa"/>
                  <w:vAlign w:val="center"/>
                </w:tcPr>
                <w:p w14:paraId="67FDD5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1</w:t>
                  </w:r>
                </w:p>
              </w:tc>
              <w:tc>
                <w:tcPr>
                  <w:tcW w:w="1650" w:type="dxa"/>
                  <w:vAlign w:val="center"/>
                </w:tcPr>
                <w:p w14:paraId="3D3277B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玉米（含水率30%）</w:t>
                  </w:r>
                </w:p>
              </w:tc>
              <w:tc>
                <w:tcPr>
                  <w:tcW w:w="981" w:type="dxa"/>
                  <w:vAlign w:val="center"/>
                </w:tcPr>
                <w:p w14:paraId="324AFFA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20000</w:t>
                  </w:r>
                </w:p>
              </w:tc>
              <w:tc>
                <w:tcPr>
                  <w:tcW w:w="1350" w:type="dxa"/>
                  <w:vAlign w:val="center"/>
                </w:tcPr>
                <w:p w14:paraId="48BAD55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+40000</w:t>
                  </w:r>
                </w:p>
              </w:tc>
              <w:tc>
                <w:tcPr>
                  <w:tcW w:w="2169" w:type="dxa"/>
                  <w:vAlign w:val="center"/>
                </w:tcPr>
                <w:p w14:paraId="5904BA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60000</w:t>
                  </w:r>
                </w:p>
              </w:tc>
              <w:tc>
                <w:tcPr>
                  <w:tcW w:w="634" w:type="dxa"/>
                  <w:vAlign w:val="center"/>
                </w:tcPr>
                <w:p w14:paraId="6CC18FB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t/a</w:t>
                  </w:r>
                </w:p>
              </w:tc>
              <w:tc>
                <w:tcPr>
                  <w:tcW w:w="632" w:type="dxa"/>
                  <w:vAlign w:val="center"/>
                </w:tcPr>
                <w:p w14:paraId="4901DB4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当地</w:t>
                  </w:r>
                </w:p>
              </w:tc>
            </w:tr>
            <w:tr w14:paraId="7B9FBD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dxa"/>
                  <w:vAlign w:val="center"/>
                </w:tcPr>
                <w:p w14:paraId="7FFEF0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2</w:t>
                  </w:r>
                </w:p>
              </w:tc>
              <w:tc>
                <w:tcPr>
                  <w:tcW w:w="1650" w:type="dxa"/>
                  <w:vAlign w:val="center"/>
                </w:tcPr>
                <w:p w14:paraId="53C0EA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生物质成型颗粒</w:t>
                  </w:r>
                </w:p>
              </w:tc>
              <w:tc>
                <w:tcPr>
                  <w:tcW w:w="981" w:type="dxa"/>
                  <w:vAlign w:val="center"/>
                </w:tcPr>
                <w:p w14:paraId="40D86F6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0</w:t>
                  </w:r>
                </w:p>
              </w:tc>
              <w:tc>
                <w:tcPr>
                  <w:tcW w:w="1350" w:type="dxa"/>
                  <w:vAlign w:val="center"/>
                </w:tcPr>
                <w:p w14:paraId="1124FB8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0</w:t>
                  </w:r>
                </w:p>
              </w:tc>
              <w:tc>
                <w:tcPr>
                  <w:tcW w:w="2169" w:type="dxa"/>
                  <w:vAlign w:val="center"/>
                </w:tcPr>
                <w:p w14:paraId="4D63987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4300.7</w:t>
                  </w:r>
                </w:p>
              </w:tc>
              <w:tc>
                <w:tcPr>
                  <w:tcW w:w="634" w:type="dxa"/>
                  <w:vAlign w:val="center"/>
                </w:tcPr>
                <w:p w14:paraId="5677DE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t/a</w:t>
                  </w:r>
                </w:p>
              </w:tc>
              <w:tc>
                <w:tcPr>
                  <w:tcW w:w="632" w:type="dxa"/>
                  <w:vAlign w:val="center"/>
                </w:tcPr>
                <w:p w14:paraId="2276768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外购</w:t>
                  </w:r>
                </w:p>
              </w:tc>
            </w:tr>
            <w:tr w14:paraId="41A1D5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dxa"/>
                  <w:vAlign w:val="center"/>
                </w:tcPr>
                <w:p w14:paraId="4EFCCD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3</w:t>
                  </w:r>
                </w:p>
              </w:tc>
              <w:tc>
                <w:tcPr>
                  <w:tcW w:w="1650" w:type="dxa"/>
                  <w:vAlign w:val="center"/>
                </w:tcPr>
                <w:p w14:paraId="5EA3F7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煤</w:t>
                  </w:r>
                </w:p>
              </w:tc>
              <w:tc>
                <w:tcPr>
                  <w:tcW w:w="981" w:type="dxa"/>
                  <w:vAlign w:val="center"/>
                </w:tcPr>
                <w:p w14:paraId="31872F05">
                  <w:pPr>
                    <w:keepNext w:val="0"/>
                    <w:keepLines w:val="0"/>
                    <w:widowControl/>
                    <w:suppressLineNumbers w:val="0"/>
                    <w:spacing w:before="0" w:beforeAutospacing="0" w:after="0" w:afterAutospacing="0"/>
                    <w:ind w:left="0" w:leftChars="0" w:right="0" w:rightChars="0"/>
                    <w:jc w:val="center"/>
                    <w:rPr>
                      <w:rFonts w:hint="default"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600</w:t>
                  </w:r>
                </w:p>
              </w:tc>
              <w:tc>
                <w:tcPr>
                  <w:tcW w:w="1350" w:type="dxa"/>
                  <w:vAlign w:val="center"/>
                </w:tcPr>
                <w:p w14:paraId="7BAB71A6">
                  <w:pPr>
                    <w:keepNext w:val="0"/>
                    <w:keepLines w:val="0"/>
                    <w:widowControl/>
                    <w:suppressLineNumbers w:val="0"/>
                    <w:spacing w:before="0" w:beforeAutospacing="0" w:after="0" w:afterAutospacing="0"/>
                    <w:ind w:left="0" w:leftChars="0" w:right="0" w:rightChars="0"/>
                    <w:jc w:val="center"/>
                    <w:rPr>
                      <w:rFonts w:hint="default"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-600</w:t>
                  </w:r>
                </w:p>
              </w:tc>
              <w:tc>
                <w:tcPr>
                  <w:tcW w:w="2169" w:type="dxa"/>
                  <w:vAlign w:val="center"/>
                </w:tcPr>
                <w:p w14:paraId="3BB64F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0</w:t>
                  </w:r>
                </w:p>
              </w:tc>
              <w:tc>
                <w:tcPr>
                  <w:tcW w:w="634" w:type="dxa"/>
                  <w:vAlign w:val="center"/>
                </w:tcPr>
                <w:p w14:paraId="15302E7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t/a</w:t>
                  </w:r>
                </w:p>
              </w:tc>
              <w:tc>
                <w:tcPr>
                  <w:tcW w:w="632" w:type="dxa"/>
                  <w:vAlign w:val="center"/>
                </w:tcPr>
                <w:p w14:paraId="09F08E6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外购</w:t>
                  </w:r>
                </w:p>
              </w:tc>
            </w:tr>
            <w:tr w14:paraId="57F5A2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dxa"/>
                  <w:vAlign w:val="center"/>
                </w:tcPr>
                <w:p w14:paraId="36B4C5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4</w:t>
                  </w:r>
                </w:p>
              </w:tc>
              <w:tc>
                <w:tcPr>
                  <w:tcW w:w="1650" w:type="dxa"/>
                  <w:vAlign w:val="center"/>
                </w:tcPr>
                <w:p w14:paraId="088373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鲜玉米</w:t>
                  </w:r>
                </w:p>
              </w:tc>
              <w:tc>
                <w:tcPr>
                  <w:tcW w:w="981" w:type="dxa"/>
                  <w:vAlign w:val="center"/>
                </w:tcPr>
                <w:p w14:paraId="21F42E9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600</w:t>
                  </w:r>
                </w:p>
              </w:tc>
              <w:tc>
                <w:tcPr>
                  <w:tcW w:w="1350" w:type="dxa"/>
                  <w:vAlign w:val="center"/>
                </w:tcPr>
                <w:p w14:paraId="1A6CEC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0</w:t>
                  </w:r>
                </w:p>
              </w:tc>
              <w:tc>
                <w:tcPr>
                  <w:tcW w:w="2169" w:type="dxa"/>
                  <w:vAlign w:val="center"/>
                </w:tcPr>
                <w:p w14:paraId="28F8045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600</w:t>
                  </w:r>
                </w:p>
              </w:tc>
              <w:tc>
                <w:tcPr>
                  <w:tcW w:w="634" w:type="dxa"/>
                  <w:vAlign w:val="center"/>
                </w:tcPr>
                <w:p w14:paraId="072DD8A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t/a</w:t>
                  </w:r>
                </w:p>
              </w:tc>
              <w:tc>
                <w:tcPr>
                  <w:tcW w:w="632" w:type="dxa"/>
                  <w:vAlign w:val="center"/>
                </w:tcPr>
                <w:p w14:paraId="5F5F9B7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当地</w:t>
                  </w:r>
                </w:p>
              </w:tc>
            </w:tr>
            <w:tr w14:paraId="05E0DD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dxa"/>
                  <w:vAlign w:val="center"/>
                </w:tcPr>
                <w:p w14:paraId="046DE0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5</w:t>
                  </w:r>
                </w:p>
              </w:tc>
              <w:tc>
                <w:tcPr>
                  <w:tcW w:w="1650" w:type="dxa"/>
                  <w:vAlign w:val="center"/>
                </w:tcPr>
                <w:p w14:paraId="6F8042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环保制冷剂(R404a)</w:t>
                  </w:r>
                </w:p>
              </w:tc>
              <w:tc>
                <w:tcPr>
                  <w:tcW w:w="981" w:type="dxa"/>
                  <w:vAlign w:val="center"/>
                </w:tcPr>
                <w:p w14:paraId="6468FC3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1.5</w:t>
                  </w:r>
                </w:p>
              </w:tc>
              <w:tc>
                <w:tcPr>
                  <w:tcW w:w="1350" w:type="dxa"/>
                  <w:vAlign w:val="center"/>
                </w:tcPr>
                <w:p w14:paraId="2CBBF8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0</w:t>
                  </w:r>
                </w:p>
              </w:tc>
              <w:tc>
                <w:tcPr>
                  <w:tcW w:w="2169" w:type="dxa"/>
                  <w:vAlign w:val="center"/>
                </w:tcPr>
                <w:p w14:paraId="441DFFA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1.5(一次加入后，根据需求再进行添加)</w:t>
                  </w:r>
                </w:p>
              </w:tc>
              <w:tc>
                <w:tcPr>
                  <w:tcW w:w="634" w:type="dxa"/>
                  <w:vAlign w:val="center"/>
                </w:tcPr>
                <w:p w14:paraId="40B478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t/a</w:t>
                  </w:r>
                </w:p>
              </w:tc>
              <w:tc>
                <w:tcPr>
                  <w:tcW w:w="632" w:type="dxa"/>
                  <w:vAlign w:val="center"/>
                </w:tcPr>
                <w:p w14:paraId="6E29CA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外购</w:t>
                  </w:r>
                </w:p>
              </w:tc>
            </w:tr>
          </w:tbl>
          <w:p w14:paraId="53F567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制冷剂理化性质：本项目使用的制冷剂为R404A，由五氟乙烷/三氟乙烷/四氟乙烷混合而成，在常温下为无色气体，在自身压力下为无色透明液体，R-404A适用于中低温的新型商用制冷设备、交通运输制冷设备或更新设备。R404A主要由氢、氟和碳元素组成，由于不含氯元素，故不会与臭氧发生反应，不会破坏臭氧层，臭氧层破坏潜能值(ODP)为0。R404A外观无色，不浑浊，易挥发，沸点-46.1℃，25℃液体密度1.045g/cm</w:t>
            </w:r>
            <w:r>
              <w:rPr>
                <w:rFonts w:hint="default" w:ascii="Times New Roman" w:hAnsi="Times New Roman" w:eastAsia="宋体" w:cs="Times New Roman"/>
                <w:color w:val="000000" w:themeColor="text1"/>
                <w:kern w:val="2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，具有稳定、无毒、不可燃、与空气混合不会爆炸、性能优越等特点。</w:t>
            </w:r>
          </w:p>
          <w:p w14:paraId="5E6285AE">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 xml:space="preserve">表2-5  </w:t>
            </w:r>
            <w:r>
              <w:rPr>
                <w:rFonts w:hint="default" w:ascii="Times New Roman" w:hAnsi="Times New Roman" w:eastAsia="宋体" w:cs="Times New Roman"/>
                <w:color w:val="000000" w:themeColor="text1"/>
                <w:highlight w:val="none"/>
                <w:lang w:val="en-US" w:eastAsia="zh-CN"/>
                <w14:textFill>
                  <w14:solidFill>
                    <w14:schemeClr w14:val="tx1"/>
                  </w14:solidFill>
                </w14:textFill>
              </w:rPr>
              <w:t>燃料成分分析</w:t>
            </w:r>
            <w:r>
              <w:rPr>
                <w:rFonts w:hint="default" w:ascii="Times New Roman" w:hAnsi="Times New Roman" w:eastAsia="宋体" w:cs="Times New Roman"/>
                <w:color w:val="000000" w:themeColor="text1"/>
                <w:highlight w:val="none"/>
                <w14:textFill>
                  <w14:solidFill>
                    <w14:schemeClr w14:val="tx1"/>
                  </w14:solidFill>
                </w14:textFill>
              </w:rPr>
              <w:t>表</w:t>
            </w:r>
          </w:p>
          <w:tbl>
            <w:tblPr>
              <w:tblStyle w:val="35"/>
              <w:tblW w:w="0" w:type="auto"/>
              <w:tblInd w:w="0" w:type="dxa"/>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1770"/>
              <w:gridCol w:w="1640"/>
              <w:gridCol w:w="2257"/>
            </w:tblGrid>
            <w:tr w14:paraId="65AA8EE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0614D7E2">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名称</w:t>
                  </w:r>
                </w:p>
              </w:tc>
              <w:tc>
                <w:tcPr>
                  <w:tcW w:w="1770" w:type="dxa"/>
                  <w:tcBorders>
                    <w:tl2br w:val="nil"/>
                    <w:tr2bl w:val="nil"/>
                  </w:tcBorders>
                </w:tcPr>
                <w:p w14:paraId="19471A74">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符号</w:t>
                  </w:r>
                </w:p>
              </w:tc>
              <w:tc>
                <w:tcPr>
                  <w:tcW w:w="1640" w:type="dxa"/>
                  <w:tcBorders>
                    <w:tl2br w:val="nil"/>
                    <w:tr2bl w:val="nil"/>
                  </w:tcBorders>
                </w:tcPr>
                <w:p w14:paraId="429007A3">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单位</w:t>
                  </w:r>
                </w:p>
              </w:tc>
              <w:tc>
                <w:tcPr>
                  <w:tcW w:w="2257" w:type="dxa"/>
                  <w:tcBorders>
                    <w:tl2br w:val="nil"/>
                    <w:tr2bl w:val="nil"/>
                  </w:tcBorders>
                </w:tcPr>
                <w:p w14:paraId="1C70371E">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数值</w:t>
                  </w:r>
                </w:p>
              </w:tc>
            </w:tr>
            <w:tr w14:paraId="4B0D3CE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60FE7847">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空气于燥基水分</w:t>
                  </w: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 xml:space="preserve"> </w:t>
                  </w:r>
                </w:p>
              </w:tc>
              <w:tc>
                <w:tcPr>
                  <w:tcW w:w="1770" w:type="dxa"/>
                  <w:tcBorders>
                    <w:tl2br w:val="nil"/>
                    <w:tr2bl w:val="nil"/>
                  </w:tcBorders>
                </w:tcPr>
                <w:p w14:paraId="7259D144">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Mad</w:t>
                  </w:r>
                </w:p>
              </w:tc>
              <w:tc>
                <w:tcPr>
                  <w:tcW w:w="1640" w:type="dxa"/>
                  <w:tcBorders>
                    <w:tl2br w:val="nil"/>
                    <w:tr2bl w:val="nil"/>
                  </w:tcBorders>
                </w:tcPr>
                <w:p w14:paraId="496C737C">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5580428B">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3.14</w:t>
                  </w:r>
                </w:p>
              </w:tc>
            </w:tr>
            <w:tr w14:paraId="3C3A2DB0">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75D96FFC">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全水分</w:t>
                  </w:r>
                </w:p>
              </w:tc>
              <w:tc>
                <w:tcPr>
                  <w:tcW w:w="1770" w:type="dxa"/>
                  <w:tcBorders>
                    <w:tl2br w:val="nil"/>
                    <w:tr2bl w:val="nil"/>
                  </w:tcBorders>
                </w:tcPr>
                <w:p w14:paraId="3158A898">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Mt</w:t>
                  </w:r>
                </w:p>
              </w:tc>
              <w:tc>
                <w:tcPr>
                  <w:tcW w:w="1640" w:type="dxa"/>
                  <w:tcBorders>
                    <w:tl2br w:val="nil"/>
                    <w:tr2bl w:val="nil"/>
                  </w:tcBorders>
                </w:tcPr>
                <w:p w14:paraId="3751F72C">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034F847E">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30.6</w:t>
                  </w:r>
                </w:p>
              </w:tc>
            </w:tr>
            <w:tr w14:paraId="3DB934D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211F25E1">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空气干燥基挥发分</w:t>
                  </w:r>
                </w:p>
              </w:tc>
              <w:tc>
                <w:tcPr>
                  <w:tcW w:w="1770" w:type="dxa"/>
                  <w:tcBorders>
                    <w:tl2br w:val="nil"/>
                    <w:tr2bl w:val="nil"/>
                  </w:tcBorders>
                </w:tcPr>
                <w:p w14:paraId="14A1D5F4">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Vad</w:t>
                  </w:r>
                </w:p>
              </w:tc>
              <w:tc>
                <w:tcPr>
                  <w:tcW w:w="1640" w:type="dxa"/>
                  <w:tcBorders>
                    <w:tl2br w:val="nil"/>
                    <w:tr2bl w:val="nil"/>
                  </w:tcBorders>
                </w:tcPr>
                <w:p w14:paraId="0A3875FC">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1798B3D8">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13.77</w:t>
                  </w:r>
                </w:p>
              </w:tc>
            </w:tr>
            <w:tr w14:paraId="751C31F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4601114C">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干燥无灰基挥发分</w:t>
                  </w: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 xml:space="preserve"> </w:t>
                  </w:r>
                </w:p>
              </w:tc>
              <w:tc>
                <w:tcPr>
                  <w:tcW w:w="1770" w:type="dxa"/>
                  <w:tcBorders>
                    <w:tl2br w:val="nil"/>
                    <w:tr2bl w:val="nil"/>
                  </w:tcBorders>
                </w:tcPr>
                <w:p w14:paraId="0F031D61">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Vdaf</w:t>
                  </w:r>
                </w:p>
              </w:tc>
              <w:tc>
                <w:tcPr>
                  <w:tcW w:w="1640" w:type="dxa"/>
                  <w:tcBorders>
                    <w:tl2br w:val="nil"/>
                    <w:tr2bl w:val="nil"/>
                  </w:tcBorders>
                </w:tcPr>
                <w:p w14:paraId="0D673A49">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2CD7DF64">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80.46</w:t>
                  </w:r>
                </w:p>
              </w:tc>
            </w:tr>
            <w:tr w14:paraId="701C918D">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52CC2F71">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空气干燥基灰分</w:t>
                  </w:r>
                </w:p>
              </w:tc>
              <w:tc>
                <w:tcPr>
                  <w:tcW w:w="1770" w:type="dxa"/>
                  <w:tcBorders>
                    <w:tl2br w:val="nil"/>
                    <w:tr2bl w:val="nil"/>
                  </w:tcBorders>
                </w:tcPr>
                <w:p w14:paraId="16CFB96B">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Aad</w:t>
                  </w:r>
                </w:p>
              </w:tc>
              <w:tc>
                <w:tcPr>
                  <w:tcW w:w="1640" w:type="dxa"/>
                  <w:tcBorders>
                    <w:tl2br w:val="nil"/>
                    <w:tr2bl w:val="nil"/>
                  </w:tcBorders>
                </w:tcPr>
                <w:p w14:paraId="63208B2B">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32E37D96">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5.18</w:t>
                  </w:r>
                </w:p>
              </w:tc>
            </w:tr>
            <w:tr w14:paraId="373B5F8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2496C5E0">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收到基灰分</w:t>
                  </w:r>
                </w:p>
              </w:tc>
              <w:tc>
                <w:tcPr>
                  <w:tcW w:w="1770" w:type="dxa"/>
                  <w:tcBorders>
                    <w:tl2br w:val="nil"/>
                    <w:tr2bl w:val="nil"/>
                  </w:tcBorders>
                </w:tcPr>
                <w:p w14:paraId="0F0B6404">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Aar</w:t>
                  </w:r>
                </w:p>
              </w:tc>
              <w:tc>
                <w:tcPr>
                  <w:tcW w:w="1640" w:type="dxa"/>
                  <w:tcBorders>
                    <w:tl2br w:val="nil"/>
                    <w:tr2bl w:val="nil"/>
                  </w:tcBorders>
                </w:tcPr>
                <w:p w14:paraId="6F264AEE">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0A2C9C44">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3.71</w:t>
                  </w:r>
                </w:p>
              </w:tc>
            </w:tr>
            <w:tr w14:paraId="3CD6A9DE">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0B6941C7">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空气干燥基全硫</w:t>
                  </w:r>
                </w:p>
              </w:tc>
              <w:tc>
                <w:tcPr>
                  <w:tcW w:w="1770" w:type="dxa"/>
                  <w:tcBorders>
                    <w:tl2br w:val="nil"/>
                    <w:tr2bl w:val="nil"/>
                  </w:tcBorders>
                </w:tcPr>
                <w:p w14:paraId="3230C10A">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St</w:t>
                  </w: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ad</w:t>
                  </w:r>
                </w:p>
              </w:tc>
              <w:tc>
                <w:tcPr>
                  <w:tcW w:w="1640" w:type="dxa"/>
                  <w:tcBorders>
                    <w:tl2br w:val="nil"/>
                    <w:tr2bl w:val="nil"/>
                  </w:tcBorders>
                </w:tcPr>
                <w:p w14:paraId="38F8611B">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7828F1D9">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0.04</w:t>
                  </w:r>
                </w:p>
              </w:tc>
            </w:tr>
            <w:tr w14:paraId="646A3AF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756740EB">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收到基全硫</w:t>
                  </w:r>
                </w:p>
              </w:tc>
              <w:tc>
                <w:tcPr>
                  <w:tcW w:w="1770" w:type="dxa"/>
                  <w:tcBorders>
                    <w:tl2br w:val="nil"/>
                    <w:tr2bl w:val="nil"/>
                  </w:tcBorders>
                </w:tcPr>
                <w:p w14:paraId="2CA4812E">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St,ar</w:t>
                  </w:r>
                </w:p>
              </w:tc>
              <w:tc>
                <w:tcPr>
                  <w:tcW w:w="1640" w:type="dxa"/>
                  <w:tcBorders>
                    <w:tl2br w:val="nil"/>
                    <w:tr2bl w:val="nil"/>
                  </w:tcBorders>
                </w:tcPr>
                <w:p w14:paraId="71F27F60">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434841E2">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0.03</w:t>
                  </w:r>
                </w:p>
              </w:tc>
            </w:tr>
            <w:tr w14:paraId="19A8AFB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353" w:type="dxa"/>
                  <w:vMerge w:val="restart"/>
                  <w:tcBorders>
                    <w:tl2br w:val="nil"/>
                    <w:tr2bl w:val="nil"/>
                  </w:tcBorders>
                </w:tcPr>
                <w:p w14:paraId="4F528D97">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空气干燥基高位发热量</w:t>
                  </w:r>
                </w:p>
              </w:tc>
              <w:tc>
                <w:tcPr>
                  <w:tcW w:w="1770" w:type="dxa"/>
                  <w:vMerge w:val="restart"/>
                  <w:tcBorders>
                    <w:tl2br w:val="nil"/>
                    <w:tr2bl w:val="nil"/>
                  </w:tcBorders>
                </w:tcPr>
                <w:p w14:paraId="198F5EF5">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Qgr</w:t>
                  </w: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ad</w:t>
                  </w:r>
                </w:p>
              </w:tc>
              <w:tc>
                <w:tcPr>
                  <w:tcW w:w="1640" w:type="dxa"/>
                  <w:tcBorders>
                    <w:tl2br w:val="nil"/>
                    <w:tr2bl w:val="nil"/>
                  </w:tcBorders>
                </w:tcPr>
                <w:p w14:paraId="64FC8CA6">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MJ/kg</w:t>
                  </w:r>
                </w:p>
              </w:tc>
              <w:tc>
                <w:tcPr>
                  <w:tcW w:w="2257" w:type="dxa"/>
                  <w:tcBorders>
                    <w:tl2br w:val="nil"/>
                    <w:tr2bl w:val="nil"/>
                  </w:tcBorders>
                </w:tcPr>
                <w:p w14:paraId="4D37BA3D">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19.75</w:t>
                  </w:r>
                </w:p>
              </w:tc>
            </w:tr>
            <w:tr w14:paraId="77257149">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353" w:type="dxa"/>
                  <w:vMerge w:val="continue"/>
                  <w:tcBorders>
                    <w:tl2br w:val="nil"/>
                    <w:tr2bl w:val="nil"/>
                  </w:tcBorders>
                </w:tcPr>
                <w:p w14:paraId="05A4A9EA">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14:textFill>
                        <w14:solidFill>
                          <w14:schemeClr w14:val="tx1"/>
                        </w14:solidFill>
                      </w14:textFill>
                    </w:rPr>
                  </w:pPr>
                </w:p>
              </w:tc>
              <w:tc>
                <w:tcPr>
                  <w:tcW w:w="1770" w:type="dxa"/>
                  <w:vMerge w:val="continue"/>
                  <w:tcBorders>
                    <w:tl2br w:val="nil"/>
                    <w:tr2bl w:val="nil"/>
                  </w:tcBorders>
                </w:tcPr>
                <w:p w14:paraId="78F67528">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14:textFill>
                        <w14:solidFill>
                          <w14:schemeClr w14:val="tx1"/>
                        </w14:solidFill>
                      </w14:textFill>
                    </w:rPr>
                  </w:pPr>
                </w:p>
              </w:tc>
              <w:tc>
                <w:tcPr>
                  <w:tcW w:w="1640" w:type="dxa"/>
                  <w:tcBorders>
                    <w:tl2br w:val="nil"/>
                    <w:tr2bl w:val="nil"/>
                  </w:tcBorders>
                </w:tcPr>
                <w:p w14:paraId="276B2584">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kc/kg</w:t>
                  </w:r>
                </w:p>
              </w:tc>
              <w:tc>
                <w:tcPr>
                  <w:tcW w:w="2257" w:type="dxa"/>
                  <w:tcBorders>
                    <w:tl2br w:val="nil"/>
                    <w:tr2bl w:val="nil"/>
                  </w:tcBorders>
                </w:tcPr>
                <w:p w14:paraId="704B5D84">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4726</w:t>
                  </w:r>
                </w:p>
              </w:tc>
            </w:tr>
            <w:tr w14:paraId="02F0DBA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353" w:type="dxa"/>
                  <w:vMerge w:val="restart"/>
                  <w:tcBorders>
                    <w:tl2br w:val="nil"/>
                    <w:tr2bl w:val="nil"/>
                  </w:tcBorders>
                </w:tcPr>
                <w:p w14:paraId="2A362465">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14:textFill>
                        <w14:solidFill>
                          <w14:schemeClr w14:val="tx1"/>
                        </w14:solidFill>
                      </w14:textFill>
                    </w:rPr>
                    <w:t>收到基低位发热量</w:t>
                  </w: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 xml:space="preserve"> </w:t>
                  </w:r>
                </w:p>
              </w:tc>
              <w:tc>
                <w:tcPr>
                  <w:tcW w:w="1770" w:type="dxa"/>
                  <w:vMerge w:val="restart"/>
                  <w:tcBorders>
                    <w:tl2br w:val="nil"/>
                    <w:tr2bl w:val="nil"/>
                  </w:tcBorders>
                </w:tcPr>
                <w:p w14:paraId="6878E011">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Qnet,ar</w:t>
                  </w:r>
                </w:p>
              </w:tc>
              <w:tc>
                <w:tcPr>
                  <w:tcW w:w="1640" w:type="dxa"/>
                  <w:tcBorders>
                    <w:tl2br w:val="nil"/>
                    <w:tr2bl w:val="nil"/>
                  </w:tcBorders>
                  <w:vAlign w:val="top"/>
                </w:tcPr>
                <w:p w14:paraId="5D6E36F3">
                  <w:pPr>
                    <w:pStyle w:val="156"/>
                    <w:keepNext w:val="0"/>
                    <w:keepLines w:val="0"/>
                    <w:suppressLineNumbers w:val="0"/>
                    <w:spacing w:before="0" w:beforeAutospacing="0" w:after="0" w:afterAutospacing="0" w:line="240" w:lineRule="auto"/>
                    <w:ind w:left="0" w:right="0" w:rightChars="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MJ/kg</w:t>
                  </w:r>
                </w:p>
              </w:tc>
              <w:tc>
                <w:tcPr>
                  <w:tcW w:w="2257" w:type="dxa"/>
                  <w:tcBorders>
                    <w:tl2br w:val="nil"/>
                    <w:tr2bl w:val="nil"/>
                  </w:tcBorders>
                </w:tcPr>
                <w:p w14:paraId="1A8C43F4">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17.25</w:t>
                  </w:r>
                </w:p>
              </w:tc>
            </w:tr>
            <w:tr w14:paraId="022F93C9">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353" w:type="dxa"/>
                  <w:vMerge w:val="continue"/>
                  <w:tcBorders>
                    <w:tl2br w:val="nil"/>
                    <w:tr2bl w:val="nil"/>
                  </w:tcBorders>
                </w:tcPr>
                <w:p w14:paraId="52A5C66A">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14:textFill>
                        <w14:solidFill>
                          <w14:schemeClr w14:val="tx1"/>
                        </w14:solidFill>
                      </w14:textFill>
                    </w:rPr>
                  </w:pPr>
                </w:p>
              </w:tc>
              <w:tc>
                <w:tcPr>
                  <w:tcW w:w="1770" w:type="dxa"/>
                  <w:vMerge w:val="continue"/>
                  <w:tcBorders>
                    <w:tl2br w:val="nil"/>
                    <w:tr2bl w:val="nil"/>
                  </w:tcBorders>
                </w:tcPr>
                <w:p w14:paraId="76328D05">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14:textFill>
                        <w14:solidFill>
                          <w14:schemeClr w14:val="tx1"/>
                        </w14:solidFill>
                      </w14:textFill>
                    </w:rPr>
                  </w:pPr>
                </w:p>
              </w:tc>
              <w:tc>
                <w:tcPr>
                  <w:tcW w:w="1640" w:type="dxa"/>
                  <w:tcBorders>
                    <w:tl2br w:val="nil"/>
                    <w:tr2bl w:val="nil"/>
                  </w:tcBorders>
                  <w:vAlign w:val="top"/>
                </w:tcPr>
                <w:p w14:paraId="2099C5C9">
                  <w:pPr>
                    <w:pStyle w:val="156"/>
                    <w:keepNext w:val="0"/>
                    <w:keepLines w:val="0"/>
                    <w:suppressLineNumbers w:val="0"/>
                    <w:spacing w:before="0" w:beforeAutospacing="0" w:after="0" w:afterAutospacing="0" w:line="240" w:lineRule="auto"/>
                    <w:ind w:left="0" w:right="0" w:rightChars="0"/>
                    <w:rPr>
                      <w:rFonts w:hint="default" w:ascii="Times New Roman" w:hAnsi="Times New Roman" w:eastAsia="宋体" w:cs="Times New Roman"/>
                      <w:b w:val="0"/>
                      <w:bCs/>
                      <w:color w:val="000000" w:themeColor="text1"/>
                      <w:highlight w:val="none"/>
                      <w:vertAlign w:val="baseline"/>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kc/kg</w:t>
                  </w:r>
                </w:p>
              </w:tc>
              <w:tc>
                <w:tcPr>
                  <w:tcW w:w="2257" w:type="dxa"/>
                  <w:tcBorders>
                    <w:tl2br w:val="nil"/>
                    <w:tr2bl w:val="nil"/>
                  </w:tcBorders>
                </w:tcPr>
                <w:p w14:paraId="1C10AF0E">
                  <w:pPr>
                    <w:pStyle w:val="156"/>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vertAlign w:val="baseline"/>
                      <w:lang w:val="en-US" w:eastAsia="zh-CN"/>
                      <w14:textFill>
                        <w14:solidFill>
                          <w14:schemeClr w14:val="tx1"/>
                        </w14:solidFill>
                      </w14:textFill>
                    </w:rPr>
                    <w:t>4193</w:t>
                  </w:r>
                </w:p>
              </w:tc>
            </w:tr>
          </w:tbl>
          <w:p w14:paraId="143AA565">
            <w:pPr>
              <w:pStyle w:val="15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表2-</w:t>
            </w:r>
            <w:r>
              <w:rPr>
                <w:rFonts w:hint="default" w:ascii="Times New Roman" w:hAnsi="Times New Roman" w:eastAsia="宋体" w:cs="Times New Roman"/>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highlight w:val="none"/>
                <w14:textFill>
                  <w14:solidFill>
                    <w14:schemeClr w14:val="tx1"/>
                  </w14:solidFill>
                </w14:textFill>
              </w:rPr>
              <w:t xml:space="preserve">  物料平衡表</w:t>
            </w:r>
          </w:p>
          <w:tbl>
            <w:tblPr>
              <w:tblStyle w:val="34"/>
              <w:tblW w:w="499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1192"/>
              <w:gridCol w:w="2879"/>
              <w:gridCol w:w="1846"/>
            </w:tblGrid>
            <w:tr w14:paraId="2A2485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10" w:type="pct"/>
                  <w:tcBorders>
                    <w:left w:val="nil"/>
                    <w:bottom w:val="single" w:color="auto" w:sz="4" w:space="0"/>
                    <w:right w:val="single" w:color="auto" w:sz="4" w:space="0"/>
                  </w:tcBorders>
                  <w:vAlign w:val="center"/>
                </w:tcPr>
                <w:p w14:paraId="3D4756BD">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原料</w:t>
                  </w:r>
                </w:p>
              </w:tc>
              <w:tc>
                <w:tcPr>
                  <w:tcW w:w="743" w:type="pct"/>
                  <w:tcBorders>
                    <w:left w:val="single" w:color="auto" w:sz="4" w:space="0"/>
                    <w:bottom w:val="single" w:color="auto" w:sz="4" w:space="0"/>
                    <w:right w:val="single" w:color="auto" w:sz="4" w:space="0"/>
                  </w:tcBorders>
                  <w:vAlign w:val="center"/>
                </w:tcPr>
                <w:p w14:paraId="05A06B88">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进料量（t/a）</w:t>
                  </w:r>
                </w:p>
              </w:tc>
              <w:tc>
                <w:tcPr>
                  <w:tcW w:w="1795" w:type="pct"/>
                  <w:tcBorders>
                    <w:left w:val="single" w:color="auto" w:sz="4" w:space="0"/>
                    <w:bottom w:val="single" w:color="auto" w:sz="4" w:space="0"/>
                    <w:right w:val="single" w:color="auto" w:sz="4" w:space="0"/>
                  </w:tcBorders>
                  <w:vAlign w:val="center"/>
                </w:tcPr>
                <w:p w14:paraId="3181B618">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产生</w:t>
                  </w:r>
                </w:p>
              </w:tc>
              <w:tc>
                <w:tcPr>
                  <w:tcW w:w="1151" w:type="pct"/>
                  <w:tcBorders>
                    <w:left w:val="single" w:color="auto" w:sz="4" w:space="0"/>
                    <w:bottom w:val="single" w:color="auto" w:sz="4" w:space="0"/>
                    <w:right w:val="nil"/>
                  </w:tcBorders>
                  <w:vAlign w:val="center"/>
                </w:tcPr>
                <w:p w14:paraId="375DC257">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产生量（t/a）</w:t>
                  </w:r>
                </w:p>
              </w:tc>
            </w:tr>
            <w:tr w14:paraId="64E618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10" w:type="pct"/>
                  <w:vMerge w:val="restart"/>
                  <w:tcBorders>
                    <w:top w:val="single" w:color="auto" w:sz="4" w:space="0"/>
                    <w:left w:val="nil"/>
                    <w:right w:val="single" w:color="auto" w:sz="4" w:space="0"/>
                  </w:tcBorders>
                  <w:vAlign w:val="center"/>
                </w:tcPr>
                <w:p w14:paraId="6DD6D854">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玉米</w:t>
                  </w:r>
                  <w:r>
                    <w:rPr>
                      <w:rFonts w:hint="default" w:ascii="Times New Roman" w:hAnsi="Times New Roman" w:eastAsia="宋体" w:cs="Times New Roman"/>
                      <w:color w:val="000000" w:themeColor="text1"/>
                      <w:kern w:val="0"/>
                      <w:sz w:val="18"/>
                      <w:szCs w:val="18"/>
                      <w:highlight w:val="none"/>
                      <w:lang w:val="fr-FR" w:eastAsia="zh-CN" w:bidi="ar-SA"/>
                      <w14:textFill>
                        <w14:solidFill>
                          <w14:schemeClr w14:val="tx1"/>
                        </w14:solidFill>
                      </w14:textFill>
                    </w:rPr>
                    <w:t>（</w:t>
                  </w: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含水率30%</w:t>
                  </w:r>
                  <w:r>
                    <w:rPr>
                      <w:rFonts w:hint="default" w:ascii="Times New Roman" w:hAnsi="Times New Roman" w:eastAsia="宋体" w:cs="Times New Roman"/>
                      <w:color w:val="000000" w:themeColor="text1"/>
                      <w:kern w:val="0"/>
                      <w:sz w:val="18"/>
                      <w:szCs w:val="18"/>
                      <w:highlight w:val="none"/>
                      <w:lang w:val="fr-FR" w:eastAsia="zh-CN" w:bidi="ar-SA"/>
                      <w14:textFill>
                        <w14:solidFill>
                          <w14:schemeClr w14:val="tx1"/>
                        </w14:solidFill>
                      </w14:textFill>
                    </w:rPr>
                    <w:t>）</w:t>
                  </w:r>
                </w:p>
              </w:tc>
              <w:tc>
                <w:tcPr>
                  <w:tcW w:w="743" w:type="pct"/>
                  <w:vMerge w:val="restart"/>
                  <w:tcBorders>
                    <w:top w:val="single" w:color="auto" w:sz="4" w:space="0"/>
                    <w:left w:val="single" w:color="auto" w:sz="4" w:space="0"/>
                    <w:right w:val="single" w:color="auto" w:sz="4" w:space="0"/>
                  </w:tcBorders>
                  <w:vAlign w:val="center"/>
                </w:tcPr>
                <w:p w14:paraId="7DEFBF32">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60000</w:t>
                  </w:r>
                </w:p>
              </w:tc>
              <w:tc>
                <w:tcPr>
                  <w:tcW w:w="1795" w:type="pct"/>
                  <w:tcBorders>
                    <w:top w:val="single" w:color="auto" w:sz="4" w:space="0"/>
                    <w:left w:val="single" w:color="auto" w:sz="4" w:space="0"/>
                    <w:bottom w:val="single" w:color="auto" w:sz="4" w:space="0"/>
                    <w:right w:val="single" w:color="auto" w:sz="4" w:space="0"/>
                  </w:tcBorders>
                  <w:vAlign w:val="center"/>
                </w:tcPr>
                <w:p w14:paraId="7C91A2CB">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玉米（烘干后含水率为14%）</w:t>
                  </w:r>
                </w:p>
              </w:tc>
              <w:tc>
                <w:tcPr>
                  <w:tcW w:w="1151" w:type="pct"/>
                  <w:tcBorders>
                    <w:top w:val="single" w:color="auto" w:sz="4" w:space="0"/>
                    <w:left w:val="single" w:color="auto" w:sz="4" w:space="0"/>
                    <w:bottom w:val="single" w:color="auto" w:sz="4" w:space="0"/>
                    <w:right w:val="nil"/>
                  </w:tcBorders>
                  <w:vAlign w:val="center"/>
                </w:tcPr>
                <w:p w14:paraId="4220B4F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48735.21</w:t>
                  </w:r>
                </w:p>
              </w:tc>
            </w:tr>
            <w:tr w14:paraId="572B17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10" w:type="pct"/>
                  <w:vMerge w:val="continue"/>
                  <w:tcBorders>
                    <w:left w:val="nil"/>
                    <w:right w:val="single" w:color="auto" w:sz="4" w:space="0"/>
                  </w:tcBorders>
                  <w:vAlign w:val="center"/>
                </w:tcPr>
                <w:p w14:paraId="54C2BB9E">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743" w:type="pct"/>
                  <w:vMerge w:val="continue"/>
                  <w:tcBorders>
                    <w:left w:val="single" w:color="auto" w:sz="4" w:space="0"/>
                    <w:right w:val="single" w:color="auto" w:sz="4" w:space="0"/>
                  </w:tcBorders>
                  <w:vAlign w:val="center"/>
                </w:tcPr>
                <w:p w14:paraId="58A6B87F">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1795" w:type="pct"/>
                  <w:tcBorders>
                    <w:top w:val="single" w:color="auto" w:sz="4" w:space="0"/>
                    <w:left w:val="single" w:color="auto" w:sz="4" w:space="0"/>
                    <w:bottom w:val="single" w:color="auto" w:sz="4" w:space="0"/>
                    <w:right w:val="single" w:color="auto" w:sz="4" w:space="0"/>
                  </w:tcBorders>
                  <w:vAlign w:val="center"/>
                </w:tcPr>
                <w:p w14:paraId="060888C5">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蒸发水分</w:t>
                  </w:r>
                </w:p>
              </w:tc>
              <w:tc>
                <w:tcPr>
                  <w:tcW w:w="1151" w:type="pct"/>
                  <w:tcBorders>
                    <w:top w:val="single" w:color="auto" w:sz="4" w:space="0"/>
                    <w:left w:val="single" w:color="auto" w:sz="4" w:space="0"/>
                    <w:bottom w:val="single" w:color="auto" w:sz="4" w:space="0"/>
                    <w:right w:val="nil"/>
                  </w:tcBorders>
                  <w:vAlign w:val="center"/>
                </w:tcPr>
                <w:p w14:paraId="6A0F336A">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11162.8</w:t>
                  </w:r>
                </w:p>
              </w:tc>
            </w:tr>
            <w:tr w14:paraId="6F9FAF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10" w:type="pct"/>
                  <w:vMerge w:val="continue"/>
                  <w:tcBorders>
                    <w:left w:val="nil"/>
                    <w:right w:val="single" w:color="auto" w:sz="4" w:space="0"/>
                  </w:tcBorders>
                  <w:vAlign w:val="center"/>
                </w:tcPr>
                <w:p w14:paraId="5C41C879">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743" w:type="pct"/>
                  <w:vMerge w:val="continue"/>
                  <w:tcBorders>
                    <w:left w:val="single" w:color="auto" w:sz="4" w:space="0"/>
                    <w:right w:val="single" w:color="auto" w:sz="4" w:space="0"/>
                  </w:tcBorders>
                  <w:vAlign w:val="center"/>
                </w:tcPr>
                <w:p w14:paraId="33064CF1">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1795" w:type="pct"/>
                  <w:tcBorders>
                    <w:top w:val="single" w:color="auto" w:sz="4" w:space="0"/>
                    <w:left w:val="single" w:color="auto" w:sz="4" w:space="0"/>
                    <w:bottom w:val="single" w:color="auto" w:sz="4" w:space="0"/>
                    <w:right w:val="single" w:color="auto" w:sz="4" w:space="0"/>
                  </w:tcBorders>
                  <w:vAlign w:val="center"/>
                </w:tcPr>
                <w:p w14:paraId="460A5143">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无组织粉尘</w:t>
                  </w:r>
                </w:p>
              </w:tc>
              <w:tc>
                <w:tcPr>
                  <w:tcW w:w="1151" w:type="pct"/>
                  <w:tcBorders>
                    <w:top w:val="single" w:color="auto" w:sz="4" w:space="0"/>
                    <w:left w:val="single" w:color="auto" w:sz="4" w:space="0"/>
                    <w:bottom w:val="single" w:color="auto" w:sz="4" w:space="0"/>
                    <w:right w:val="nil"/>
                  </w:tcBorders>
                  <w:vAlign w:val="center"/>
                </w:tcPr>
                <w:p w14:paraId="75A8B51E">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2.099</w:t>
                  </w:r>
                </w:p>
              </w:tc>
            </w:tr>
            <w:tr w14:paraId="345CF5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10" w:type="pct"/>
                  <w:vMerge w:val="continue"/>
                  <w:tcBorders>
                    <w:left w:val="nil"/>
                    <w:right w:val="single" w:color="auto" w:sz="4" w:space="0"/>
                  </w:tcBorders>
                  <w:vAlign w:val="center"/>
                </w:tcPr>
                <w:p w14:paraId="24A5463E">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743" w:type="pct"/>
                  <w:vMerge w:val="continue"/>
                  <w:tcBorders>
                    <w:left w:val="single" w:color="auto" w:sz="4" w:space="0"/>
                    <w:right w:val="single" w:color="auto" w:sz="4" w:space="0"/>
                  </w:tcBorders>
                  <w:vAlign w:val="center"/>
                </w:tcPr>
                <w:p w14:paraId="3B1F05D3">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1795" w:type="pct"/>
                  <w:tcBorders>
                    <w:top w:val="single" w:color="auto" w:sz="4" w:space="0"/>
                    <w:left w:val="single" w:color="auto" w:sz="4" w:space="0"/>
                    <w:bottom w:val="single" w:color="auto" w:sz="4" w:space="0"/>
                    <w:right w:val="single" w:color="auto" w:sz="4" w:space="0"/>
                  </w:tcBorders>
                  <w:vAlign w:val="center"/>
                </w:tcPr>
                <w:p w14:paraId="49EBF2C6">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初清杂质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及输送装卸、筛分、烘干</w:t>
                  </w:r>
                  <w:r>
                    <w:rPr>
                      <w:rFonts w:hint="default" w:ascii="Times New Roman" w:hAnsi="Times New Roman" w:eastAsia="宋体" w:cs="Times New Roman"/>
                      <w:color w:val="000000" w:themeColor="text1"/>
                      <w:sz w:val="18"/>
                      <w:szCs w:val="18"/>
                      <w:highlight w:val="none"/>
                      <w14:textFill>
                        <w14:solidFill>
                          <w14:schemeClr w14:val="tx1"/>
                        </w14:solidFill>
                      </w14:textFill>
                    </w:rPr>
                    <w:t>粉尘</w:t>
                  </w:r>
                </w:p>
              </w:tc>
              <w:tc>
                <w:tcPr>
                  <w:tcW w:w="1151" w:type="pct"/>
                  <w:tcBorders>
                    <w:top w:val="single" w:color="auto" w:sz="4" w:space="0"/>
                    <w:left w:val="single" w:color="auto" w:sz="4" w:space="0"/>
                    <w:bottom w:val="single" w:color="auto" w:sz="4" w:space="0"/>
                    <w:right w:val="nil"/>
                  </w:tcBorders>
                  <w:vAlign w:val="center"/>
                </w:tcPr>
                <w:p w14:paraId="64154471">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99.891</w:t>
                  </w:r>
                </w:p>
              </w:tc>
            </w:tr>
            <w:tr w14:paraId="0B3483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10" w:type="pct"/>
                  <w:tcBorders>
                    <w:left w:val="nil"/>
                    <w:right w:val="single" w:color="auto" w:sz="4" w:space="0"/>
                  </w:tcBorders>
                  <w:vAlign w:val="center"/>
                </w:tcPr>
                <w:p w14:paraId="1D01B600">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鲜玉米</w:t>
                  </w:r>
                </w:p>
              </w:tc>
              <w:tc>
                <w:tcPr>
                  <w:tcW w:w="743" w:type="pct"/>
                  <w:tcBorders>
                    <w:left w:val="single" w:color="auto" w:sz="4" w:space="0"/>
                    <w:right w:val="single" w:color="auto" w:sz="4" w:space="0"/>
                  </w:tcBorders>
                  <w:vAlign w:val="center"/>
                </w:tcPr>
                <w:p w14:paraId="28AAB5B5">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600</w:t>
                  </w:r>
                </w:p>
              </w:tc>
              <w:tc>
                <w:tcPr>
                  <w:tcW w:w="1795" w:type="pct"/>
                  <w:tcBorders>
                    <w:top w:val="single" w:color="auto" w:sz="4" w:space="0"/>
                    <w:left w:val="single" w:color="auto" w:sz="4" w:space="0"/>
                    <w:bottom w:val="single" w:color="auto" w:sz="4" w:space="0"/>
                    <w:right w:val="single" w:color="auto" w:sz="4" w:space="0"/>
                  </w:tcBorders>
                  <w:vAlign w:val="center"/>
                </w:tcPr>
                <w:p w14:paraId="4F36FD21">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鲜玉米</w:t>
                  </w:r>
                </w:p>
              </w:tc>
              <w:tc>
                <w:tcPr>
                  <w:tcW w:w="1151" w:type="pct"/>
                  <w:tcBorders>
                    <w:top w:val="single" w:color="auto" w:sz="4" w:space="0"/>
                    <w:left w:val="single" w:color="auto" w:sz="4" w:space="0"/>
                    <w:bottom w:val="single" w:color="auto" w:sz="4" w:space="0"/>
                    <w:right w:val="nil"/>
                  </w:tcBorders>
                  <w:vAlign w:val="center"/>
                </w:tcPr>
                <w:p w14:paraId="3307D39E">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600</w:t>
                  </w:r>
                </w:p>
              </w:tc>
            </w:tr>
            <w:tr w14:paraId="21729D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1310" w:type="pct"/>
                  <w:tcBorders>
                    <w:top w:val="single" w:color="auto" w:sz="4" w:space="0"/>
                    <w:left w:val="nil"/>
                    <w:right w:val="single" w:color="auto" w:sz="4" w:space="0"/>
                  </w:tcBorders>
                  <w:vAlign w:val="center"/>
                </w:tcPr>
                <w:p w14:paraId="26CF5A8C">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总计</w:t>
                  </w:r>
                </w:p>
              </w:tc>
              <w:tc>
                <w:tcPr>
                  <w:tcW w:w="743" w:type="pct"/>
                  <w:tcBorders>
                    <w:top w:val="single" w:color="auto" w:sz="4" w:space="0"/>
                    <w:left w:val="single" w:color="auto" w:sz="4" w:space="0"/>
                    <w:right w:val="single" w:color="auto" w:sz="4" w:space="0"/>
                  </w:tcBorders>
                  <w:vAlign w:val="center"/>
                </w:tcPr>
                <w:p w14:paraId="255600B5">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60000</w:t>
                  </w:r>
                </w:p>
              </w:tc>
              <w:tc>
                <w:tcPr>
                  <w:tcW w:w="1795" w:type="pct"/>
                  <w:tcBorders>
                    <w:top w:val="single" w:color="auto" w:sz="4" w:space="0"/>
                    <w:left w:val="single" w:color="auto" w:sz="4" w:space="0"/>
                    <w:right w:val="single" w:color="auto" w:sz="4" w:space="0"/>
                  </w:tcBorders>
                  <w:vAlign w:val="center"/>
                </w:tcPr>
                <w:p w14:paraId="22929BEB">
                  <w:pPr>
                    <w:pStyle w:val="14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总计</w:t>
                  </w:r>
                </w:p>
              </w:tc>
              <w:tc>
                <w:tcPr>
                  <w:tcW w:w="1151" w:type="pct"/>
                  <w:tcBorders>
                    <w:top w:val="single" w:color="auto" w:sz="4" w:space="0"/>
                    <w:left w:val="single" w:color="auto" w:sz="4" w:space="0"/>
                    <w:right w:val="nil"/>
                  </w:tcBorders>
                  <w:vAlign w:val="center"/>
                </w:tcPr>
                <w:p w14:paraId="56BE6F97">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60000</w:t>
                  </w:r>
                </w:p>
              </w:tc>
            </w:tr>
          </w:tbl>
          <w:p w14:paraId="5BAF93D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textAlignment w:val="auto"/>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5、劳动定员及工作制度</w:t>
            </w:r>
          </w:p>
          <w:p w14:paraId="0D8B34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本项目劳动定员</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15人，年工作150天（10月-次年4月内不定期生产150天），2班制，每班12小时，年工作时间3600h，本项目不设置食堂及宿舍。</w:t>
            </w:r>
          </w:p>
          <w:p w14:paraId="324D3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、公</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用</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工程</w:t>
            </w:r>
          </w:p>
          <w:p w14:paraId="3DF25F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（1）给水</w:t>
            </w:r>
          </w:p>
          <w:p w14:paraId="63E22E69">
            <w:pPr>
              <w:keepNext w:val="0"/>
              <w:keepLines w:val="0"/>
              <w:widowControl/>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①生活用水：项目劳动定员15人。年运行150天</w:t>
            </w:r>
            <w:r>
              <w:rPr>
                <w:rFonts w:hint="eastAsia" w:cs="Times New Roman"/>
                <w:color w:val="000000" w:themeColor="text1"/>
                <w:highlight w:val="none"/>
                <w:lang w:val="en-US" w:eastAsia="zh-CN"/>
                <w14:textFill>
                  <w14:solidFill>
                    <w14:schemeClr w14:val="tx1"/>
                  </w14:solidFill>
                </w14:textFill>
              </w:rPr>
              <w:t>（新增运行时间60天）</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职工生活用水参照《黑龙江省地方标准 用水定额》（DB23/T727-20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zCs w:val="21"/>
                <w:highlight w:val="none"/>
                <w14:textFill>
                  <w14:solidFill>
                    <w14:schemeClr w14:val="tx1"/>
                  </w14:solidFill>
                </w14:textFill>
              </w:rPr>
              <w:t>），员工生活用水按</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Cs w:val="21"/>
                <w:highlight w:val="none"/>
                <w14:textFill>
                  <w14:solidFill>
                    <w14:schemeClr w14:val="tx1"/>
                  </w14:solidFill>
                </w14:textFill>
              </w:rPr>
              <w:t>0L/人·d计，</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则</w:t>
            </w:r>
            <w:r>
              <w:rPr>
                <w:rFonts w:hint="eastAsia" w:cs="Times New Roman"/>
                <w:color w:val="000000" w:themeColor="text1"/>
                <w:szCs w:val="21"/>
                <w:highlight w:val="none"/>
                <w:lang w:val="en-US" w:eastAsia="zh-CN"/>
                <w14:textFill>
                  <w14:solidFill>
                    <w14:schemeClr w14:val="tx1"/>
                  </w14:solidFill>
                </w14:textFill>
              </w:rPr>
              <w:t>新增</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生活用水量为1.2</w:t>
            </w:r>
            <w:r>
              <w:rPr>
                <w:rFonts w:hint="default" w:ascii="Times New Roman" w:hAnsi="Times New Roman" w:eastAsia="宋体" w:cs="Times New Roman"/>
                <w:color w:val="000000" w:themeColor="text1"/>
                <w:szCs w:val="21"/>
                <w:highlight w:val="none"/>
                <w14:textFill>
                  <w14:solidFill>
                    <w14:schemeClr w14:val="tx1"/>
                  </w14:solidFill>
                </w14:textFill>
              </w:rPr>
              <w:t>t/d，</w:t>
            </w:r>
            <w:r>
              <w:rPr>
                <w:rFonts w:hint="eastAsia" w:cs="Times New Roman"/>
                <w:color w:val="000000" w:themeColor="text1"/>
                <w:szCs w:val="21"/>
                <w:highlight w:val="none"/>
                <w:lang w:val="en-US" w:eastAsia="zh-CN"/>
                <w14:textFill>
                  <w14:solidFill>
                    <w14:schemeClr w14:val="tx1"/>
                  </w14:solidFill>
                </w14:textFill>
              </w:rPr>
              <w:t>72</w:t>
            </w:r>
            <w:r>
              <w:rPr>
                <w:rFonts w:hint="default" w:ascii="Times New Roman" w:hAnsi="Times New Roman" w:eastAsia="宋体" w:cs="Times New Roman"/>
                <w:color w:val="000000" w:themeColor="text1"/>
                <w:szCs w:val="21"/>
                <w:highlight w:val="none"/>
                <w14:textFill>
                  <w14:solidFill>
                    <w14:schemeClr w14:val="tx1"/>
                  </w14:solidFill>
                </w14:textFill>
              </w:rPr>
              <w:t>t/a</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p w14:paraId="0B827D52">
            <w:pPr>
              <w:pStyle w:val="29"/>
              <w:keepNext w:val="0"/>
              <w:keepLines w:val="0"/>
              <w:widowControl/>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②洒水降尘用水：本项目原料堆场及卸料过程中洒水抑尘用水，项目喷洒抑尘用水约为</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t/d，</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t/a，全部自然蒸发损耗，不外排。</w:t>
            </w:r>
          </w:p>
          <w:p w14:paraId="6DF22C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（2）排水</w:t>
            </w:r>
          </w:p>
          <w:p w14:paraId="78B52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生活污水按用水的</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80%计，则本项目建成后污水排水量为0.96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highlight w:val="none"/>
                <w14:textFill>
                  <w14:solidFill>
                    <w14:schemeClr w14:val="tx1"/>
                  </w14:solidFill>
                </w14:textFill>
              </w:rPr>
              <w:t>/d</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57.6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20197A0">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4594225" cy="840740"/>
                  <wp:effectExtent l="0" t="0" r="15875" b="1651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0"/>
                          <a:stretch>
                            <a:fillRect/>
                          </a:stretch>
                        </pic:blipFill>
                        <pic:spPr>
                          <a:xfrm>
                            <a:off x="0" y="0"/>
                            <a:ext cx="4594225" cy="840740"/>
                          </a:xfrm>
                          <a:prstGeom prst="rect">
                            <a:avLst/>
                          </a:prstGeom>
                          <a:noFill/>
                          <a:ln>
                            <a:noFill/>
                          </a:ln>
                        </pic:spPr>
                      </pic:pic>
                    </a:graphicData>
                  </a:graphic>
                </wp:inline>
              </w:drawing>
            </w:r>
          </w:p>
          <w:p w14:paraId="549F09A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2" w:firstLineChars="200"/>
              <w:jc w:val="center"/>
              <w:textAlignment w:val="auto"/>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14:textFill>
                  <w14:solidFill>
                    <w14:schemeClr w14:val="tx1"/>
                  </w14:solidFill>
                </w14:textFill>
              </w:rPr>
              <w:t>图2-</w:t>
            </w: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bCs/>
                <w:snapToGrid w:val="0"/>
                <w:color w:val="000000" w:themeColor="text1"/>
                <w:sz w:val="21"/>
                <w:szCs w:val="21"/>
                <w:highlight w:val="none"/>
                <w14:textFill>
                  <w14:solidFill>
                    <w14:schemeClr w14:val="tx1"/>
                  </w14:solidFill>
                </w14:textFill>
              </w:rPr>
              <w:t>本项目水平衡图（单位：</w:t>
            </w: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t</w:t>
            </w:r>
            <w:r>
              <w:rPr>
                <w:rFonts w:hint="default" w:ascii="Times New Roman" w:hAnsi="Times New Roman" w:eastAsia="宋体" w:cs="Times New Roman"/>
                <w:b/>
                <w:bCs/>
                <w:snapToGrid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d</w:t>
            </w:r>
            <w:r>
              <w:rPr>
                <w:rFonts w:hint="default" w:ascii="Times New Roman" w:hAnsi="Times New Roman" w:eastAsia="宋体" w:cs="Times New Roman"/>
                <w:b/>
                <w:bCs/>
                <w:snapToGrid w:val="0"/>
                <w:color w:val="000000" w:themeColor="text1"/>
                <w:sz w:val="21"/>
                <w:szCs w:val="21"/>
                <w:highlight w:val="none"/>
                <w14:textFill>
                  <w14:solidFill>
                    <w14:schemeClr w14:val="tx1"/>
                  </w14:solidFill>
                </w14:textFill>
              </w:rPr>
              <w:t>）</w:t>
            </w:r>
          </w:p>
          <w:p w14:paraId="5A25D5C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供热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供暖</w:t>
            </w:r>
            <w:r>
              <w:rPr>
                <w:rFonts w:hint="default" w:ascii="Times New Roman" w:hAnsi="Times New Roman" w:eastAsia="宋体" w:cs="Times New Roman"/>
                <w:color w:val="000000" w:themeColor="text1"/>
                <w:szCs w:val="21"/>
                <w:highlight w:val="none"/>
                <w14:textFill>
                  <w14:solidFill>
                    <w14:schemeClr w14:val="tx1"/>
                  </w14:solidFill>
                </w14:textFill>
              </w:rPr>
              <w:t>：</w:t>
            </w:r>
          </w:p>
          <w:p w14:paraId="5617D2FF">
            <w:pPr>
              <w:pStyle w:val="68"/>
              <w:keepLines w:val="0"/>
              <w:suppressLineNumbers w:val="0"/>
              <w:spacing w:before="0" w:beforeAutospacing="0" w:after="0" w:afterAutospacing="0" w:line="360" w:lineRule="auto"/>
              <w:ind w:left="0" w:firstLineChars="200"/>
              <w:jc w:val="both"/>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本项目</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采用电取暖。本项目生产用热由1台8t/h生物质热风炉提供，年运行共计150天，每天运行24小时，一年共3600h。</w:t>
            </w:r>
          </w:p>
          <w:p w14:paraId="164604F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1"/>
                <w:highlight w:val="none"/>
                <w14:textFill>
                  <w14:solidFill>
                    <w14:schemeClr w14:val="tx1"/>
                  </w14:solidFill>
                </w14:textFill>
              </w:rPr>
              <w:t>）供电：本项目供电由当地电网供给</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p w14:paraId="739D074B">
            <w:pPr>
              <w:pStyle w:val="7"/>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、本项目平面布置</w:t>
            </w:r>
          </w:p>
          <w:p w14:paraId="7C1E30A1">
            <w:pPr>
              <w:keepNext w:val="0"/>
              <w:keepLines w:val="0"/>
              <w:widowControl/>
              <w:suppressLineNumbers w:val="0"/>
              <w:spacing w:before="0" w:beforeAutospacing="0" w:after="0" w:afterAutospacing="0" w:line="360" w:lineRule="auto"/>
              <w:ind w:left="0" w:right="0" w:firstLine="420" w:firstLineChars="200"/>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本项目办公室位于项目厂区西北角，车库位于办公室东侧，秤房位于车库南侧，冷藏库房位于秤房南侧，热风炉房位于冷藏库房南侧，热风炉房西南侧为烘干塔，热风炉房东南侧为两座干粮仓，烘干塔南侧为潮粮仓，厂区中部东侧为干粮仓，中部东侧干粮仓南侧为成品仓，成品仓南侧为干粮仓，厂区南侧为成品库房。项目平面布置功能分区合理、布局紧凑，各个建筑物的布置均满足工艺需要。项目所在地道路系统完善，有利于原料及产品的运输。因此，本项目平面布置合</w:t>
            </w: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理。</w:t>
            </w:r>
          </w:p>
          <w:p w14:paraId="40451FA6">
            <w:pPr>
              <w:keepNext w:val="0"/>
              <w:keepLines w:val="0"/>
              <w:widowControl/>
              <w:suppressLineNumbers w:val="0"/>
              <w:spacing w:before="0" w:beforeAutospacing="0" w:after="0" w:afterAutospacing="0" w:line="360" w:lineRule="auto"/>
              <w:ind w:left="0" w:right="0" w:firstLine="422"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bidi="ar"/>
                <w14:textFill>
                  <w14:solidFill>
                    <w14:schemeClr w14:val="tx1"/>
                  </w14:solidFill>
                </w14:textFill>
              </w:rPr>
              <w:t>8</w:t>
            </w:r>
            <w:r>
              <w:rPr>
                <w:rFonts w:hint="default" w:ascii="Times New Roman" w:hAnsi="Times New Roman" w:eastAsia="宋体" w:cs="Times New Roman"/>
                <w:b/>
                <w:color w:val="000000" w:themeColor="text1"/>
                <w:kern w:val="0"/>
                <w:sz w:val="21"/>
                <w:szCs w:val="21"/>
                <w:highlight w:val="none"/>
                <w:lang w:bidi="ar"/>
                <w14:textFill>
                  <w14:solidFill>
                    <w14:schemeClr w14:val="tx1"/>
                  </w14:solidFill>
                </w14:textFill>
              </w:rPr>
              <w:t>、环保投资</w:t>
            </w:r>
          </w:p>
          <w:p w14:paraId="6C7AD449">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环保投资</w:t>
            </w:r>
            <w:r>
              <w:rPr>
                <w:rFonts w:hint="default" w:ascii="Times New Roman" w:hAnsi="Times New Roman" w:eastAsia="宋体" w:cs="Times New Roman"/>
                <w:color w:val="000000" w:themeColor="text1"/>
                <w:sz w:val="21"/>
                <w:szCs w:val="21"/>
                <w:highlight w:val="none"/>
                <w14:textFill>
                  <w14:solidFill>
                    <w14:schemeClr w14:val="tx1"/>
                  </w14:solidFill>
                </w14:textFill>
              </w:rPr>
              <w:t>详见表2-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40F69CA1">
            <w:pPr>
              <w:keepNext w:val="0"/>
              <w:keepLines w:val="0"/>
              <w:suppressLineNumbers w:val="0"/>
              <w:spacing w:before="0" w:beforeAutospacing="0" w:after="0" w:afterAutospacing="0"/>
              <w:ind w:left="0" w:right="0" w:firstLine="422" w:firstLineChars="200"/>
              <w:jc w:val="center"/>
              <w:rPr>
                <w:rFonts w:hint="default" w:ascii="Times New Roman" w:hAnsi="Times New Roman" w:eastAsia="宋体" w:cs="Times New Roman"/>
                <w:b/>
                <w:color w:val="000000" w:themeColor="text1"/>
                <w:sz w:val="24"/>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表2-</w:t>
            </w: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 xml:space="preserve">7 </w:t>
            </w:r>
            <w:r>
              <w:rPr>
                <w:rFonts w:hint="default" w:ascii="Times New Roman" w:hAnsi="Times New Roman" w:eastAsia="宋体" w:cs="Times New Roman"/>
                <w:b/>
                <w:color w:val="000000" w:themeColor="text1"/>
                <w:szCs w:val="21"/>
                <w:highlight w:val="none"/>
                <w14:textFill>
                  <w14:solidFill>
                    <w14:schemeClr w14:val="tx1"/>
                  </w14:solidFill>
                </w14:textFill>
              </w:rPr>
              <w:t>环保投资一览表</w:t>
            </w:r>
          </w:p>
          <w:tbl>
            <w:tblPr>
              <w:tblStyle w:val="34"/>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865"/>
              <w:gridCol w:w="1198"/>
              <w:gridCol w:w="3822"/>
              <w:gridCol w:w="1490"/>
            </w:tblGrid>
            <w:tr w14:paraId="5CBF66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512" w:type="dxa"/>
                  <w:gridSpan w:val="2"/>
                  <w:noWrap w:val="0"/>
                  <w:vAlign w:val="center"/>
                </w:tcPr>
                <w:p w14:paraId="487D88B9">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序号</w:t>
                  </w:r>
                </w:p>
              </w:tc>
              <w:tc>
                <w:tcPr>
                  <w:tcW w:w="1198" w:type="dxa"/>
                  <w:noWrap w:val="0"/>
                  <w:vAlign w:val="center"/>
                </w:tcPr>
                <w:p w14:paraId="1D1153A6">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处理项目</w:t>
                  </w:r>
                </w:p>
              </w:tc>
              <w:tc>
                <w:tcPr>
                  <w:tcW w:w="3822" w:type="dxa"/>
                  <w:noWrap w:val="0"/>
                  <w:vAlign w:val="center"/>
                </w:tcPr>
                <w:p w14:paraId="063D76F4">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处理措施</w:t>
                  </w:r>
                </w:p>
              </w:tc>
              <w:tc>
                <w:tcPr>
                  <w:tcW w:w="1490" w:type="dxa"/>
                  <w:noWrap w:val="0"/>
                  <w:vAlign w:val="center"/>
                </w:tcPr>
                <w:p w14:paraId="5981A92A">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投资（万元）</w:t>
                  </w:r>
                </w:p>
              </w:tc>
            </w:tr>
            <w:tr w14:paraId="626C42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47" w:type="dxa"/>
                  <w:noWrap w:val="0"/>
                  <w:vAlign w:val="center"/>
                </w:tcPr>
                <w:p w14:paraId="113296A1">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w:t>
                  </w:r>
                </w:p>
              </w:tc>
              <w:tc>
                <w:tcPr>
                  <w:tcW w:w="865" w:type="dxa"/>
                  <w:vMerge w:val="restart"/>
                  <w:noWrap w:val="0"/>
                  <w:vAlign w:val="center"/>
                </w:tcPr>
                <w:p w14:paraId="0AB191DF">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运营期</w:t>
                  </w:r>
                </w:p>
              </w:tc>
              <w:tc>
                <w:tcPr>
                  <w:tcW w:w="1198" w:type="dxa"/>
                  <w:noWrap w:val="0"/>
                  <w:vAlign w:val="center"/>
                </w:tcPr>
                <w:p w14:paraId="34205A78">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固废治理</w:t>
                  </w:r>
                </w:p>
              </w:tc>
              <w:tc>
                <w:tcPr>
                  <w:tcW w:w="3822" w:type="dxa"/>
                  <w:noWrap w:val="0"/>
                  <w:vAlign w:val="center"/>
                </w:tcPr>
                <w:p w14:paraId="1DE61E7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危废贮存点防渗</w:t>
                  </w:r>
                </w:p>
              </w:tc>
              <w:tc>
                <w:tcPr>
                  <w:tcW w:w="1490" w:type="dxa"/>
                  <w:noWrap w:val="0"/>
                  <w:vAlign w:val="center"/>
                </w:tcPr>
                <w:p w14:paraId="63C71DDA">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0.5</w:t>
                  </w:r>
                </w:p>
              </w:tc>
            </w:tr>
            <w:tr w14:paraId="5C49E0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47" w:type="dxa"/>
                  <w:noWrap w:val="0"/>
                  <w:vAlign w:val="center"/>
                </w:tcPr>
                <w:p w14:paraId="31EFA765">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w:t>
                  </w:r>
                </w:p>
              </w:tc>
              <w:tc>
                <w:tcPr>
                  <w:tcW w:w="865" w:type="dxa"/>
                  <w:vMerge w:val="continue"/>
                  <w:noWrap w:val="0"/>
                  <w:vAlign w:val="center"/>
                </w:tcPr>
                <w:p w14:paraId="753807F0">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198" w:type="dxa"/>
                  <w:noWrap w:val="0"/>
                  <w:vAlign w:val="center"/>
                </w:tcPr>
                <w:p w14:paraId="175C348D">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t>噪声</w:t>
                  </w:r>
                </w:p>
              </w:tc>
              <w:tc>
                <w:tcPr>
                  <w:tcW w:w="3822" w:type="dxa"/>
                  <w:noWrap w:val="0"/>
                  <w:vAlign w:val="center"/>
                </w:tcPr>
                <w:p w14:paraId="5D6264DE">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选用低噪声设备、基础减振</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隔声等</w:t>
                  </w:r>
                  <w:r>
                    <w:rPr>
                      <w:rFonts w:hint="default" w:ascii="Times New Roman" w:hAnsi="Times New Roman" w:eastAsia="宋体" w:cs="Times New Roman"/>
                      <w:color w:val="000000" w:themeColor="text1"/>
                      <w:sz w:val="18"/>
                      <w:szCs w:val="18"/>
                      <w:highlight w:val="none"/>
                      <w14:textFill>
                        <w14:solidFill>
                          <w14:schemeClr w14:val="tx1"/>
                        </w14:solidFill>
                      </w14:textFill>
                    </w:rPr>
                    <w:t>措施</w:t>
                  </w:r>
                </w:p>
              </w:tc>
              <w:tc>
                <w:tcPr>
                  <w:tcW w:w="1490" w:type="dxa"/>
                  <w:noWrap w:val="0"/>
                  <w:vAlign w:val="center"/>
                </w:tcPr>
                <w:p w14:paraId="1AC83A0D">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w:t>
                  </w:r>
                </w:p>
              </w:tc>
            </w:tr>
            <w:tr w14:paraId="4716EA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47" w:type="dxa"/>
                  <w:noWrap w:val="0"/>
                  <w:vAlign w:val="center"/>
                </w:tcPr>
                <w:p w14:paraId="52E4E8BD">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3</w:t>
                  </w:r>
                </w:p>
              </w:tc>
              <w:tc>
                <w:tcPr>
                  <w:tcW w:w="865" w:type="dxa"/>
                  <w:vMerge w:val="continue"/>
                  <w:noWrap w:val="0"/>
                  <w:vAlign w:val="center"/>
                </w:tcPr>
                <w:p w14:paraId="50B75164">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198" w:type="dxa"/>
                  <w:noWrap w:val="0"/>
                  <w:vAlign w:val="center"/>
                </w:tcPr>
                <w:p w14:paraId="3E0EAFD4">
                  <w:pPr>
                    <w:pStyle w:val="8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环境管理</w:t>
                  </w:r>
                </w:p>
              </w:tc>
              <w:tc>
                <w:tcPr>
                  <w:tcW w:w="3822" w:type="dxa"/>
                  <w:noWrap w:val="0"/>
                  <w:vAlign w:val="center"/>
                </w:tcPr>
                <w:p w14:paraId="06DE8283">
                  <w:pPr>
                    <w:pStyle w:val="8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厂区环境管理</w:t>
                  </w:r>
                </w:p>
              </w:tc>
              <w:tc>
                <w:tcPr>
                  <w:tcW w:w="1490" w:type="dxa"/>
                  <w:noWrap w:val="0"/>
                  <w:vAlign w:val="center"/>
                </w:tcPr>
                <w:p w14:paraId="37383B18">
                  <w:pPr>
                    <w:pStyle w:val="8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w:t>
                  </w:r>
                </w:p>
              </w:tc>
            </w:tr>
            <w:tr w14:paraId="4A7D1E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532" w:type="dxa"/>
                  <w:gridSpan w:val="4"/>
                  <w:noWrap w:val="0"/>
                  <w:vAlign w:val="center"/>
                </w:tcPr>
                <w:p w14:paraId="4997F8AD">
                  <w:pPr>
                    <w:pStyle w:val="8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环保投资（万元）</w:t>
                  </w:r>
                </w:p>
              </w:tc>
              <w:tc>
                <w:tcPr>
                  <w:tcW w:w="1490" w:type="dxa"/>
                  <w:noWrap w:val="0"/>
                  <w:vAlign w:val="center"/>
                </w:tcPr>
                <w:p w14:paraId="57D2E46C">
                  <w:pPr>
                    <w:pStyle w:val="8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7.5</w:t>
                  </w:r>
                </w:p>
              </w:tc>
            </w:tr>
            <w:tr w14:paraId="1F04A6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532" w:type="dxa"/>
                  <w:gridSpan w:val="4"/>
                  <w:noWrap w:val="0"/>
                  <w:vAlign w:val="center"/>
                </w:tcPr>
                <w:p w14:paraId="6A7CD913">
                  <w:pPr>
                    <w:pStyle w:val="8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总投资（万元）</w:t>
                  </w:r>
                </w:p>
              </w:tc>
              <w:tc>
                <w:tcPr>
                  <w:tcW w:w="1490" w:type="dxa"/>
                  <w:noWrap w:val="0"/>
                  <w:vAlign w:val="center"/>
                </w:tcPr>
                <w:p w14:paraId="1C898643">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280</w:t>
                  </w:r>
                </w:p>
              </w:tc>
            </w:tr>
            <w:tr w14:paraId="27F868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532" w:type="dxa"/>
                  <w:gridSpan w:val="4"/>
                  <w:noWrap w:val="0"/>
                  <w:vAlign w:val="center"/>
                </w:tcPr>
                <w:p w14:paraId="09C41AEB">
                  <w:pPr>
                    <w:pStyle w:val="8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占总投资比例（%）</w:t>
                  </w:r>
                </w:p>
              </w:tc>
              <w:tc>
                <w:tcPr>
                  <w:tcW w:w="1490" w:type="dxa"/>
                  <w:noWrap w:val="0"/>
                  <w:vAlign w:val="center"/>
                </w:tcPr>
                <w:p w14:paraId="5E251DA7">
                  <w:pPr>
                    <w:pStyle w:val="98"/>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2.68</w:t>
                  </w:r>
                </w:p>
              </w:tc>
            </w:tr>
          </w:tbl>
          <w:p w14:paraId="67AF2C58">
            <w:pPr>
              <w:pStyle w:val="7"/>
              <w:keepNext w:val="0"/>
              <w:keepLines w:val="0"/>
              <w:widowControl w:val="0"/>
              <w:suppressLineNumbers w:val="0"/>
              <w:snapToGrid/>
              <w:spacing w:before="0" w:beforeAutospacing="0" w:after="0" w:afterAutospacing="0" w:line="360" w:lineRule="auto"/>
              <w:ind w:left="0" w:right="0"/>
              <w:rPr>
                <w:rFonts w:hint="default" w:ascii="Times New Roman" w:hAnsi="Times New Roman" w:eastAsia="宋体" w:cs="Times New Roman"/>
                <w:color w:val="000000" w:themeColor="text1"/>
                <w:kern w:val="21"/>
                <w:sz w:val="24"/>
                <w:szCs w:val="21"/>
                <w:highlight w:val="none"/>
                <w:lang w:val="en-US" w:eastAsia="zh-CN"/>
                <w14:textFill>
                  <w14:solidFill>
                    <w14:schemeClr w14:val="tx1"/>
                  </w14:solidFill>
                </w14:textFill>
              </w:rPr>
            </w:pPr>
          </w:p>
        </w:tc>
      </w:tr>
      <w:tr w14:paraId="58277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22" w:type="dxa"/>
            <w:vAlign w:val="center"/>
          </w:tcPr>
          <w:p w14:paraId="182DBB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p>
          <w:p w14:paraId="129024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工艺流程和产排污环节</w:t>
            </w:r>
          </w:p>
        </w:tc>
        <w:tc>
          <w:tcPr>
            <w:tcW w:w="8220" w:type="dxa"/>
            <w:vAlign w:val="center"/>
          </w:tcPr>
          <w:p w14:paraId="092FD35E">
            <w:pPr>
              <w:keepNext w:val="0"/>
              <w:keepLines w:val="0"/>
              <w:numPr>
                <w:ilvl w:val="0"/>
                <w:numId w:val="4"/>
              </w:numPr>
              <w:suppressLineNumbers w:val="0"/>
              <w:spacing w:before="0" w:beforeAutospacing="0" w:after="0" w:afterAutospacing="0" w:line="360" w:lineRule="auto"/>
              <w:ind w:right="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施工期工艺流程分析</w:t>
            </w:r>
          </w:p>
          <w:p w14:paraId="2162DA31">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color w:val="000000" w:themeColor="text1"/>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本项目主要施工内容为拆除</w:t>
            </w:r>
            <w:r>
              <w:rPr>
                <w:rFonts w:hint="eastAsia" w:cs="Times New Roman"/>
                <w:bCs/>
                <w:color w:val="000000" w:themeColor="text1"/>
                <w:kern w:val="0"/>
                <w:sz w:val="21"/>
                <w:szCs w:val="21"/>
                <w:highlight w:val="none"/>
                <w:lang w:val="en-US" w:eastAsia="zh-CN"/>
                <w14:textFill>
                  <w14:solidFill>
                    <w14:schemeClr w14:val="tx1"/>
                  </w14:solidFill>
                </w14:textFill>
              </w:rPr>
              <w:t>现有1台4t/h燃煤热风炉，新建一台8t/h生物质热风炉，使用生物质成型燃料</w:t>
            </w: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，拆除原有一座日烘干能力200t/d烘干塔，新建一座日烘干能力400t/d烘干塔，</w:t>
            </w:r>
            <w:r>
              <w:rPr>
                <w:rFonts w:hint="eastAsia"/>
                <w:color w:val="000000" w:themeColor="text1"/>
                <w:sz w:val="21"/>
                <w:szCs w:val="24"/>
                <w:highlight w:val="none"/>
                <w:lang w:val="en-US" w:eastAsia="zh-CN"/>
                <w14:textFill>
                  <w14:solidFill>
                    <w14:schemeClr w14:val="tx1"/>
                  </w14:solidFill>
                </w14:textFill>
              </w:rPr>
              <w:t>施工期仅</w:t>
            </w:r>
            <w:r>
              <w:rPr>
                <w:rFonts w:hint="eastAsia" w:cs="Times New Roman"/>
                <w:color w:val="000000" w:themeColor="text1"/>
                <w:highlight w:val="none"/>
                <w14:textFill>
                  <w14:solidFill>
                    <w14:schemeClr w14:val="tx1"/>
                  </w14:solidFill>
                </w14:textFill>
              </w:rPr>
              <w:t>为简单室内装修、</w:t>
            </w:r>
            <w:r>
              <w:rPr>
                <w:rFonts w:hint="eastAsia" w:cs="Times New Roman"/>
                <w:color w:val="000000" w:themeColor="text1"/>
                <w:highlight w:val="none"/>
                <w:lang w:eastAsia="zh-CN"/>
                <w14:textFill>
                  <w14:solidFill>
                    <w14:schemeClr w14:val="tx1"/>
                  </w14:solidFill>
                </w14:textFill>
              </w:rPr>
              <w:t>热风炉</w:t>
            </w:r>
            <w:r>
              <w:rPr>
                <w:rFonts w:hint="eastAsia" w:cs="Times New Roman"/>
                <w:color w:val="000000" w:themeColor="text1"/>
                <w:highlight w:val="none"/>
                <w:lang w:val="en-US" w:eastAsia="zh-CN"/>
                <w14:textFill>
                  <w14:solidFill>
                    <w14:schemeClr w14:val="tx1"/>
                  </w14:solidFill>
                </w14:textFill>
              </w:rPr>
              <w:t>更换</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烘干塔更换</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施工期无大型土建工程，</w:t>
            </w:r>
            <w:r>
              <w:rPr>
                <w:rFonts w:hint="eastAsia" w:cs="Times New Roman"/>
                <w:color w:val="000000" w:themeColor="text1"/>
                <w:highlight w:val="none"/>
                <w14:textFill>
                  <w14:solidFill>
                    <w14:schemeClr w14:val="tx1"/>
                  </w14:solidFill>
                </w14:textFill>
              </w:rPr>
              <w:t>对周围环境影响较小。随着施工期的结束而消失，不会对周边环境产生明显及长远影响，因此，本项目主要针对营运期进行分析</w:t>
            </w:r>
            <w:r>
              <w:rPr>
                <w:rFonts w:hint="default"/>
                <w:color w:val="000000" w:themeColor="text1"/>
                <w:szCs w:val="24"/>
                <w:highlight w:val="none"/>
                <w14:textFill>
                  <w14:solidFill>
                    <w14:schemeClr w14:val="tx1"/>
                  </w14:solidFill>
                </w14:textFill>
              </w:rPr>
              <w:t>。</w:t>
            </w:r>
          </w:p>
          <w:p w14:paraId="13C8DBD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二、</w:t>
            </w:r>
            <w:r>
              <w:rPr>
                <w:rFonts w:hint="default" w:ascii="Times New Roman" w:hAnsi="Times New Roman" w:eastAsia="宋体" w:cs="Times New Roman"/>
                <w:b/>
                <w:color w:val="000000" w:themeColor="text1"/>
                <w:kern w:val="21"/>
                <w:sz w:val="21"/>
                <w:szCs w:val="21"/>
                <w:highlight w:val="none"/>
                <w14:textFill>
                  <w14:solidFill>
                    <w14:schemeClr w14:val="tx1"/>
                  </w14:solidFill>
                </w14:textFill>
              </w:rPr>
              <w:t>运营期工艺流程</w:t>
            </w:r>
            <w:r>
              <w:rPr>
                <w:rFonts w:hint="default" w:ascii="Times New Roman" w:hAnsi="Times New Roman" w:eastAsia="宋体" w:cs="Times New Roman"/>
                <w:b/>
                <w:color w:val="000000" w:themeColor="text1"/>
                <w:kern w:val="21"/>
                <w:sz w:val="21"/>
                <w:szCs w:val="21"/>
                <w:highlight w:val="none"/>
                <w:lang w:val="en-US" w:eastAsia="zh-CN"/>
                <w14:textFill>
                  <w14:solidFill>
                    <w14:schemeClr w14:val="tx1"/>
                  </w14:solidFill>
                </w14:textFill>
              </w:rPr>
              <w:t>分析</w:t>
            </w:r>
          </w:p>
          <w:p w14:paraId="5605639B">
            <w:pPr>
              <w:pStyle w:val="7"/>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113" w:rightChars="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运营期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玉米烘干</w:t>
            </w:r>
            <w:r>
              <w:rPr>
                <w:rFonts w:hint="default" w:ascii="Times New Roman" w:hAnsi="Times New Roman" w:eastAsia="宋体" w:cs="Times New Roman"/>
                <w:color w:val="000000" w:themeColor="text1"/>
                <w:sz w:val="21"/>
                <w:szCs w:val="21"/>
                <w:highlight w:val="none"/>
                <w14:textFill>
                  <w14:solidFill>
                    <w14:schemeClr w14:val="tx1"/>
                  </w14:solidFill>
                </w14:textFill>
              </w:rPr>
              <w:t>工艺流程及产污节点</w:t>
            </w:r>
          </w:p>
          <w:p w14:paraId="40DE638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mc:AlternateContent>
                <mc:Choice Requires="wpc">
                  <w:drawing>
                    <wp:inline distT="0" distB="0" distL="114300" distR="114300">
                      <wp:extent cx="4768215" cy="4042410"/>
                      <wp:effectExtent l="0" t="0" r="0" b="0"/>
                      <wp:docPr id="153" name="画布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4" name="直接箭头连接符 11"/>
                              <wps:cNvCnPr>
                                <a:cxnSpLocks noChangeShapeType="1"/>
                              </wps:cNvCnPr>
                              <wps:spPr bwMode="auto">
                                <a:xfrm>
                                  <a:off x="2923540" y="1419860"/>
                                  <a:ext cx="0" cy="292100"/>
                                </a:xfrm>
                                <a:prstGeom prst="straightConnector1">
                                  <a:avLst/>
                                </a:prstGeom>
                                <a:noFill/>
                                <a:ln w="9525">
                                  <a:solidFill>
                                    <a:srgbClr val="000000"/>
                                  </a:solidFill>
                                  <a:round/>
                                  <a:tailEnd type="triangle" w="med" len="med"/>
                                </a:ln>
                                <a:effectLst/>
                              </wps:spPr>
                              <wps:bodyPr/>
                            </wps:wsp>
                            <wps:wsp>
                              <wps:cNvPr id="155" name="矩形 40"/>
                              <wps:cNvSpPr/>
                              <wps:spPr>
                                <a:xfrm>
                                  <a:off x="1151255" y="3442970"/>
                                  <a:ext cx="781050" cy="280035"/>
                                </a:xfrm>
                                <a:prstGeom prst="rect">
                                  <a:avLst/>
                                </a:prstGeom>
                                <a:noFill/>
                                <a:ln>
                                  <a:noFill/>
                                </a:ln>
                              </wps:spPr>
                              <wps:txbx>
                                <w:txbxContent>
                                  <w:p w14:paraId="22E5C6A0">
                                    <w:pPr>
                                      <w:adjustRightInd w:val="0"/>
                                      <w:snapToGrid w:val="0"/>
                                      <w:jc w:val="center"/>
                                      <w:rPr>
                                        <w:rFonts w:ascii="仿宋" w:hAnsi="仿宋" w:eastAsia="仿宋"/>
                                        <w:szCs w:val="21"/>
                                      </w:rPr>
                                    </w:pPr>
                                    <w:r>
                                      <w:rPr>
                                        <w:rFonts w:ascii="仿宋" w:hAnsi="仿宋" w:eastAsia="仿宋"/>
                                        <w:szCs w:val="21"/>
                                      </w:rPr>
                                      <w:t>空气</w:t>
                                    </w:r>
                                  </w:p>
                                </w:txbxContent>
                              </wps:txbx>
                              <wps:bodyPr anchor="ctr" anchorCtr="0" upright="1"/>
                            </wps:wsp>
                            <wps:wsp>
                              <wps:cNvPr id="156" name="直接箭头连接符 41"/>
                              <wps:cNvCnPr>
                                <a:cxnSpLocks noChangeShapeType="1"/>
                              </wps:cNvCnPr>
                              <wps:spPr bwMode="auto">
                                <a:xfrm>
                                  <a:off x="2923540" y="2606675"/>
                                  <a:ext cx="0" cy="292100"/>
                                </a:xfrm>
                                <a:prstGeom prst="straightConnector1">
                                  <a:avLst/>
                                </a:prstGeom>
                                <a:noFill/>
                                <a:ln w="9525">
                                  <a:solidFill>
                                    <a:srgbClr val="000000"/>
                                  </a:solidFill>
                                  <a:round/>
                                  <a:tailEnd type="triangle" w="med" len="med"/>
                                </a:ln>
                                <a:effectLst/>
                              </wps:spPr>
                              <wps:bodyPr/>
                            </wps:wsp>
                            <wps:wsp>
                              <wps:cNvPr id="157" name="直接箭头连接符 42"/>
                              <wps:cNvCnPr>
                                <a:cxnSpLocks noChangeShapeType="1"/>
                              </wps:cNvCnPr>
                              <wps:spPr bwMode="auto">
                                <a:xfrm>
                                  <a:off x="2933065" y="2013585"/>
                                  <a:ext cx="0" cy="292100"/>
                                </a:xfrm>
                                <a:prstGeom prst="straightConnector1">
                                  <a:avLst/>
                                </a:prstGeom>
                                <a:noFill/>
                                <a:ln w="9525">
                                  <a:solidFill>
                                    <a:srgbClr val="000000"/>
                                  </a:solidFill>
                                  <a:round/>
                                  <a:tailEnd type="triangle" w="med" len="med"/>
                                </a:ln>
                                <a:effectLst/>
                              </wps:spPr>
                              <wps:bodyPr/>
                            </wps:wsp>
                            <wps:wsp>
                              <wps:cNvPr id="158" name="矩形 43"/>
                              <wps:cNvSpPr/>
                              <wps:spPr>
                                <a:xfrm>
                                  <a:off x="2329815" y="1713865"/>
                                  <a:ext cx="1149350" cy="283845"/>
                                </a:xfrm>
                                <a:prstGeom prst="rect">
                                  <a:avLst/>
                                </a:prstGeom>
                                <a:noFill/>
                                <a:ln w="25400" cap="flat" cmpd="sng">
                                  <a:solidFill>
                                    <a:srgbClr val="000000"/>
                                  </a:solidFill>
                                  <a:prstDash val="solid"/>
                                  <a:round/>
                                  <a:headEnd type="none" w="med" len="med"/>
                                  <a:tailEnd type="none" w="med" len="med"/>
                                </a:ln>
                              </wps:spPr>
                              <wps:txbx>
                                <w:txbxContent>
                                  <w:p w14:paraId="23A9D505">
                                    <w:pPr>
                                      <w:adjustRightInd w:val="0"/>
                                      <w:snapToGrid w:val="0"/>
                                      <w:rPr>
                                        <w:rFonts w:ascii="仿宋" w:hAnsi="仿宋" w:eastAsia="仿宋"/>
                                        <w:szCs w:val="21"/>
                                      </w:rPr>
                                    </w:pPr>
                                    <w:r>
                                      <w:rPr>
                                        <w:rFonts w:hint="eastAsia" w:ascii="仿宋" w:hAnsi="仿宋" w:eastAsia="仿宋"/>
                                        <w:szCs w:val="21"/>
                                      </w:rPr>
                                      <w:t>输送</w:t>
                                    </w:r>
                                    <w:r>
                                      <w:rPr>
                                        <w:rFonts w:ascii="仿宋" w:hAnsi="仿宋" w:eastAsia="仿宋"/>
                                        <w:szCs w:val="21"/>
                                      </w:rPr>
                                      <w:t>工</w:t>
                                    </w:r>
                                    <w:r>
                                      <w:rPr>
                                        <w:rFonts w:hint="eastAsia" w:ascii="仿宋" w:hAnsi="仿宋" w:eastAsia="仿宋"/>
                                        <w:szCs w:val="21"/>
                                      </w:rPr>
                                      <w:t>段（烘</w:t>
                                    </w:r>
                                    <w:r>
                                      <w:rPr>
                                        <w:rFonts w:ascii="仿宋" w:hAnsi="仿宋" w:eastAsia="仿宋"/>
                                        <w:szCs w:val="21"/>
                                      </w:rPr>
                                      <w:t>前</w:t>
                                    </w:r>
                                    <w:r>
                                      <w:rPr>
                                        <w:rFonts w:hint="eastAsia" w:ascii="仿宋" w:hAnsi="仿宋" w:eastAsia="仿宋"/>
                                        <w:szCs w:val="21"/>
                                      </w:rPr>
                                      <w:t>）</w:t>
                                    </w:r>
                                  </w:p>
                                </w:txbxContent>
                              </wps:txbx>
                              <wps:bodyPr anchor="ctr" anchorCtr="0" upright="1"/>
                            </wps:wsp>
                            <wps:wsp>
                              <wps:cNvPr id="159" name="矩形 45"/>
                              <wps:cNvSpPr/>
                              <wps:spPr>
                                <a:xfrm>
                                  <a:off x="2338705" y="2893695"/>
                                  <a:ext cx="1149350" cy="293370"/>
                                </a:xfrm>
                                <a:prstGeom prst="rect">
                                  <a:avLst/>
                                </a:prstGeom>
                                <a:noFill/>
                                <a:ln w="25400" cap="flat" cmpd="sng">
                                  <a:solidFill>
                                    <a:srgbClr val="000000"/>
                                  </a:solidFill>
                                  <a:prstDash val="solid"/>
                                  <a:round/>
                                  <a:headEnd type="none" w="med" len="med"/>
                                  <a:tailEnd type="none" w="med" len="med"/>
                                </a:ln>
                              </wps:spPr>
                              <wps:txbx>
                                <w:txbxContent>
                                  <w:p w14:paraId="34C20CD1">
                                    <w:pPr>
                                      <w:adjustRightInd w:val="0"/>
                                      <w:snapToGrid w:val="0"/>
                                      <w:rPr>
                                        <w:rFonts w:ascii="仿宋" w:hAnsi="仿宋" w:eastAsia="仿宋"/>
                                        <w:szCs w:val="21"/>
                                      </w:rPr>
                                    </w:pPr>
                                    <w:r>
                                      <w:rPr>
                                        <w:rFonts w:hint="eastAsia" w:ascii="仿宋" w:hAnsi="仿宋" w:eastAsia="仿宋"/>
                                        <w:szCs w:val="21"/>
                                      </w:rPr>
                                      <w:t>输送</w:t>
                                    </w:r>
                                    <w:r>
                                      <w:rPr>
                                        <w:rFonts w:ascii="仿宋" w:hAnsi="仿宋" w:eastAsia="仿宋"/>
                                        <w:szCs w:val="21"/>
                                      </w:rPr>
                                      <w:t>工</w:t>
                                    </w:r>
                                    <w:r>
                                      <w:rPr>
                                        <w:rFonts w:hint="eastAsia" w:ascii="仿宋" w:hAnsi="仿宋" w:eastAsia="仿宋"/>
                                        <w:szCs w:val="21"/>
                                      </w:rPr>
                                      <w:t>段（烘后）</w:t>
                                    </w:r>
                                  </w:p>
                                </w:txbxContent>
                              </wps:txbx>
                              <wps:bodyPr anchor="ctr" anchorCtr="0" upright="1"/>
                            </wps:wsp>
                            <wps:wsp>
                              <wps:cNvPr id="160" name="矩形 46"/>
                              <wps:cNvSpPr/>
                              <wps:spPr>
                                <a:xfrm>
                                  <a:off x="2312035" y="2296795"/>
                                  <a:ext cx="1148715" cy="296545"/>
                                </a:xfrm>
                                <a:prstGeom prst="rect">
                                  <a:avLst/>
                                </a:prstGeom>
                                <a:noFill/>
                                <a:ln w="25400" cap="flat" cmpd="sng">
                                  <a:solidFill>
                                    <a:srgbClr val="000000"/>
                                  </a:solidFill>
                                  <a:prstDash val="solid"/>
                                  <a:round/>
                                  <a:headEnd type="none" w="med" len="med"/>
                                  <a:tailEnd type="none" w="med" len="med"/>
                                </a:ln>
                              </wps:spPr>
                              <wps:txbx>
                                <w:txbxContent>
                                  <w:p w14:paraId="3C1ECAD8">
                                    <w:pPr>
                                      <w:adjustRightInd w:val="0"/>
                                      <w:snapToGrid w:val="0"/>
                                      <w:jc w:val="center"/>
                                      <w:rPr>
                                        <w:rFonts w:ascii="仿宋" w:hAnsi="仿宋" w:eastAsia="仿宋"/>
                                        <w:szCs w:val="21"/>
                                      </w:rPr>
                                    </w:pPr>
                                    <w:r>
                                      <w:rPr>
                                        <w:rFonts w:hint="eastAsia" w:ascii="仿宋" w:hAnsi="仿宋" w:eastAsia="仿宋"/>
                                        <w:szCs w:val="21"/>
                                      </w:rPr>
                                      <w:t>烘干</w:t>
                                    </w:r>
                                  </w:p>
                                </w:txbxContent>
                              </wps:txbx>
                              <wps:bodyPr anchor="ctr" anchorCtr="0" upright="1"/>
                            </wps:wsp>
                            <wps:wsp>
                              <wps:cNvPr id="161" name="矩形 47"/>
                              <wps:cNvSpPr/>
                              <wps:spPr>
                                <a:xfrm>
                                  <a:off x="2622550" y="3471545"/>
                                  <a:ext cx="617855" cy="276225"/>
                                </a:xfrm>
                                <a:prstGeom prst="rect">
                                  <a:avLst/>
                                </a:prstGeom>
                                <a:noFill/>
                                <a:ln>
                                  <a:noFill/>
                                </a:ln>
                              </wps:spPr>
                              <wps:txbx>
                                <w:txbxContent>
                                  <w:p w14:paraId="0224AF33">
                                    <w:pPr>
                                      <w:jc w:val="center"/>
                                      <w:rPr>
                                        <w:rFonts w:ascii="仿宋" w:hAnsi="仿宋" w:eastAsia="仿宋"/>
                                        <w:szCs w:val="21"/>
                                      </w:rPr>
                                    </w:pPr>
                                    <w:r>
                                      <w:rPr>
                                        <w:rFonts w:hint="eastAsia" w:ascii="仿宋" w:hAnsi="仿宋" w:eastAsia="仿宋"/>
                                        <w:szCs w:val="21"/>
                                      </w:rPr>
                                      <w:t>产品</w:t>
                                    </w:r>
                                  </w:p>
                                </w:txbxContent>
                              </wps:txbx>
                              <wps:bodyPr anchor="ctr" anchorCtr="0" upright="1"/>
                            </wps:wsp>
                            <wps:wsp>
                              <wps:cNvPr id="162" name="矩形 51"/>
                              <wps:cNvSpPr/>
                              <wps:spPr>
                                <a:xfrm>
                                  <a:off x="2329815" y="1109980"/>
                                  <a:ext cx="1148715" cy="296545"/>
                                </a:xfrm>
                                <a:prstGeom prst="rect">
                                  <a:avLst/>
                                </a:prstGeom>
                                <a:noFill/>
                                <a:ln w="28575" cap="flat" cmpd="sng">
                                  <a:solidFill>
                                    <a:srgbClr val="000000"/>
                                  </a:solidFill>
                                  <a:prstDash val="solid"/>
                                  <a:round/>
                                  <a:headEnd type="none" w="med" len="med"/>
                                  <a:tailEnd type="none" w="med" len="med"/>
                                </a:ln>
                              </wps:spPr>
                              <wps:txbx>
                                <w:txbxContent>
                                  <w:p w14:paraId="7DBB91F1">
                                    <w:pPr>
                                      <w:adjustRightInd w:val="0"/>
                                      <w:snapToGrid w:val="0"/>
                                      <w:jc w:val="center"/>
                                      <w:rPr>
                                        <w:rFonts w:eastAsia="仿宋"/>
                                        <w:szCs w:val="21"/>
                                      </w:rPr>
                                    </w:pPr>
                                    <w:r>
                                      <w:rPr>
                                        <w:rFonts w:eastAsia="仿宋"/>
                                        <w:szCs w:val="21"/>
                                      </w:rPr>
                                      <w:t>筛选</w:t>
                                    </w:r>
                                  </w:p>
                                </w:txbxContent>
                              </wps:txbx>
                              <wps:bodyPr anchor="ctr" anchorCtr="0" upright="1"/>
                            </wps:wsp>
                            <wps:wsp>
                              <wps:cNvPr id="163" name="直接箭头连接符 52"/>
                              <wps:cNvCnPr>
                                <a:cxnSpLocks noChangeShapeType="1"/>
                              </wps:cNvCnPr>
                              <wps:spPr bwMode="auto">
                                <a:xfrm>
                                  <a:off x="2923540" y="3178175"/>
                                  <a:ext cx="0" cy="292100"/>
                                </a:xfrm>
                                <a:prstGeom prst="straightConnector1">
                                  <a:avLst/>
                                </a:prstGeom>
                                <a:noFill/>
                                <a:ln w="9525">
                                  <a:solidFill>
                                    <a:srgbClr val="000000"/>
                                  </a:solidFill>
                                  <a:round/>
                                  <a:tailEnd type="triangle" w="med" len="med"/>
                                </a:ln>
                                <a:effectLst/>
                              </wps:spPr>
                              <wps:bodyPr/>
                            </wps:wsp>
                            <wps:wsp>
                              <wps:cNvPr id="164" name="矩形 53"/>
                              <wps:cNvSpPr/>
                              <wps:spPr>
                                <a:xfrm>
                                  <a:off x="1030605" y="2924175"/>
                                  <a:ext cx="958215" cy="290830"/>
                                </a:xfrm>
                                <a:prstGeom prst="rect">
                                  <a:avLst/>
                                </a:prstGeom>
                                <a:noFill/>
                                <a:ln w="25400" cap="flat" cmpd="sng">
                                  <a:solidFill>
                                    <a:srgbClr val="000000"/>
                                  </a:solidFill>
                                  <a:prstDash val="solid"/>
                                  <a:round/>
                                  <a:headEnd type="none" w="med" len="med"/>
                                  <a:tailEnd type="none" w="med" len="med"/>
                                </a:ln>
                              </wps:spPr>
                              <wps:txbx>
                                <w:txbxContent>
                                  <w:p w14:paraId="0BB0ECC1">
                                    <w:pPr>
                                      <w:adjustRightInd w:val="0"/>
                                      <w:snapToGrid w:val="0"/>
                                      <w:jc w:val="center"/>
                                      <w:rPr>
                                        <w:sz w:val="15"/>
                                        <w:szCs w:val="15"/>
                                      </w:rPr>
                                    </w:pPr>
                                    <w:r>
                                      <w:rPr>
                                        <w:rFonts w:ascii="仿宋" w:hAnsi="仿宋" w:eastAsia="仿宋"/>
                                        <w:szCs w:val="21"/>
                                      </w:rPr>
                                      <w:t>热风炉</w:t>
                                    </w:r>
                                    <w:r>
                                      <w:rPr>
                                        <w:rFonts w:hint="eastAsia" w:ascii="仿宋" w:hAnsi="仿宋" w:eastAsia="仿宋" w:cs="仿宋"/>
                                        <w:sz w:val="21"/>
                                        <w:szCs w:val="21"/>
                                      </w:rPr>
                                      <w:t>供热</w:t>
                                    </w:r>
                                  </w:p>
                                </w:txbxContent>
                              </wps:txbx>
                              <wps:bodyPr anchor="ctr" anchorCtr="0" upright="1"/>
                            </wps:wsp>
                            <wps:wsp>
                              <wps:cNvPr id="165" name="直接箭头连接符 225"/>
                              <wps:cNvCnPr>
                                <a:cxnSpLocks noChangeShapeType="1"/>
                              </wps:cNvCnPr>
                              <wps:spPr bwMode="auto">
                                <a:xfrm>
                                  <a:off x="2006600" y="2456180"/>
                                  <a:ext cx="325755" cy="0"/>
                                </a:xfrm>
                                <a:prstGeom prst="straightConnector1">
                                  <a:avLst/>
                                </a:prstGeom>
                                <a:noFill/>
                                <a:ln w="9525">
                                  <a:solidFill>
                                    <a:srgbClr val="000000"/>
                                  </a:solidFill>
                                  <a:round/>
                                  <a:tailEnd type="triangle" w="med" len="med"/>
                                </a:ln>
                                <a:effectLst/>
                              </wps:spPr>
                              <wps:bodyPr/>
                            </wps:wsp>
                            <wps:wsp>
                              <wps:cNvPr id="166" name="矩形 226"/>
                              <wps:cNvSpPr>
                                <a:spLocks noChangeArrowheads="1"/>
                              </wps:cNvSpPr>
                              <wps:spPr bwMode="auto">
                                <a:xfrm>
                                  <a:off x="2995295" y="3746500"/>
                                  <a:ext cx="1703705" cy="254635"/>
                                </a:xfrm>
                                <a:prstGeom prst="rect">
                                  <a:avLst/>
                                </a:prstGeom>
                                <a:noFill/>
                                <a:ln>
                                  <a:noFill/>
                                </a:ln>
                                <a:effectLst/>
                              </wps:spPr>
                              <wps:txbx>
                                <w:txbxContent>
                                  <w:p w14:paraId="71F220BF">
                                    <w:pPr>
                                      <w:jc w:val="center"/>
                                      <w:rPr>
                                        <w:szCs w:val="21"/>
                                      </w:rPr>
                                    </w:pPr>
                                    <w:r>
                                      <w:rPr>
                                        <w:szCs w:val="21"/>
                                      </w:rPr>
                                      <w:t>注：G废气 S固废 N噪声</w:t>
                                    </w:r>
                                  </w:p>
                                </w:txbxContent>
                              </wps:txbx>
                              <wps:bodyPr rot="0" vert="horz" wrap="square" lIns="91440" tIns="45720" rIns="91440" bIns="45720" anchor="ctr" anchorCtr="0" upright="1">
                                <a:noAutofit/>
                              </wps:bodyPr>
                            </wps:wsp>
                            <wps:wsp>
                              <wps:cNvPr id="167" name="直接箭头连接符 230"/>
                              <wps:cNvCnPr>
                                <a:cxnSpLocks noChangeShapeType="1"/>
                              </wps:cNvCnPr>
                              <wps:spPr bwMode="auto">
                                <a:xfrm flipV="1">
                                  <a:off x="1515110" y="3214370"/>
                                  <a:ext cx="0" cy="292100"/>
                                </a:xfrm>
                                <a:prstGeom prst="straightConnector1">
                                  <a:avLst/>
                                </a:prstGeom>
                                <a:noFill/>
                                <a:ln w="9525">
                                  <a:solidFill>
                                    <a:srgbClr val="000000"/>
                                  </a:solidFill>
                                  <a:round/>
                                  <a:tailEnd type="triangle" w="med" len="med"/>
                                </a:ln>
                                <a:effectLst/>
                              </wps:spPr>
                              <wps:bodyPr/>
                            </wps:wsp>
                            <wps:wsp>
                              <wps:cNvPr id="168" name="矩形 231"/>
                              <wps:cNvSpPr>
                                <a:spLocks noChangeArrowheads="1"/>
                              </wps:cNvSpPr>
                              <wps:spPr bwMode="auto">
                                <a:xfrm>
                                  <a:off x="1030605" y="1686560"/>
                                  <a:ext cx="958215" cy="332105"/>
                                </a:xfrm>
                                <a:prstGeom prst="rect">
                                  <a:avLst/>
                                </a:prstGeom>
                                <a:noFill/>
                                <a:ln w="25400">
                                  <a:solidFill>
                                    <a:srgbClr val="000000"/>
                                  </a:solidFill>
                                  <a:round/>
                                </a:ln>
                                <a:effectLst/>
                              </wps:spPr>
                              <wps:txbx>
                                <w:txbxContent>
                                  <w:p w14:paraId="6FB98F75">
                                    <w:pPr>
                                      <w:adjustRightInd w:val="0"/>
                                      <w:snapToGrid w:val="0"/>
                                      <w:jc w:val="center"/>
                                      <w:rPr>
                                        <w:rFonts w:eastAsia="仿宋"/>
                                        <w:szCs w:val="21"/>
                                      </w:rPr>
                                    </w:pPr>
                                    <w:r>
                                      <w:rPr>
                                        <w:rFonts w:eastAsia="仿宋"/>
                                        <w:szCs w:val="21"/>
                                      </w:rPr>
                                      <w:t>布袋除尘器</w:t>
                                    </w:r>
                                  </w:p>
                                </w:txbxContent>
                              </wps:txbx>
                              <wps:bodyPr rot="0" vert="horz" wrap="square" lIns="91440" tIns="45720" rIns="91440" bIns="45720" anchor="ctr" anchorCtr="0" upright="1">
                                <a:noAutofit/>
                              </wps:bodyPr>
                            </wps:wsp>
                            <wps:wsp>
                              <wps:cNvPr id="169" name="直接箭头连接符 237"/>
                              <wps:cNvCnPr>
                                <a:cxnSpLocks noChangeShapeType="1"/>
                              </wps:cNvCnPr>
                              <wps:spPr bwMode="auto">
                                <a:xfrm>
                                  <a:off x="3522345" y="1864995"/>
                                  <a:ext cx="187325" cy="6985"/>
                                </a:xfrm>
                                <a:prstGeom prst="straightConnector1">
                                  <a:avLst/>
                                </a:prstGeom>
                                <a:noFill/>
                                <a:ln w="9525">
                                  <a:solidFill>
                                    <a:srgbClr val="000000"/>
                                  </a:solidFill>
                                  <a:round/>
                                  <a:tailEnd type="triangle" w="med" len="med"/>
                                </a:ln>
                                <a:effectLst/>
                              </wps:spPr>
                              <wps:bodyPr/>
                            </wps:wsp>
                            <wps:wsp>
                              <wps:cNvPr id="170" name="直接箭头连接符 240"/>
                              <wps:cNvCnPr>
                                <a:cxnSpLocks noChangeShapeType="1"/>
                              </wps:cNvCnPr>
                              <wps:spPr bwMode="auto">
                                <a:xfrm>
                                  <a:off x="3486785" y="2437765"/>
                                  <a:ext cx="187325" cy="6350"/>
                                </a:xfrm>
                                <a:prstGeom prst="straightConnector1">
                                  <a:avLst/>
                                </a:prstGeom>
                                <a:noFill/>
                                <a:ln w="9525">
                                  <a:solidFill>
                                    <a:srgbClr val="000000"/>
                                  </a:solidFill>
                                  <a:round/>
                                  <a:tailEnd type="triangle" w="med" len="med"/>
                                </a:ln>
                                <a:effectLst/>
                              </wps:spPr>
                              <wps:bodyPr/>
                            </wps:wsp>
                            <wps:wsp>
                              <wps:cNvPr id="171" name="矩形 244"/>
                              <wps:cNvSpPr>
                                <a:spLocks noChangeArrowheads="1"/>
                              </wps:cNvSpPr>
                              <wps:spPr bwMode="auto">
                                <a:xfrm>
                                  <a:off x="3618865" y="1751330"/>
                                  <a:ext cx="708025" cy="283845"/>
                                </a:xfrm>
                                <a:prstGeom prst="rect">
                                  <a:avLst/>
                                </a:prstGeom>
                                <a:noFill/>
                                <a:ln>
                                  <a:noFill/>
                                </a:ln>
                                <a:effectLst/>
                              </wps:spPr>
                              <wps:txbx>
                                <w:txbxContent>
                                  <w:p w14:paraId="0A1D77C8">
                                    <w:pPr>
                                      <w:adjustRightInd w:val="0"/>
                                      <w:snapToGrid w:val="0"/>
                                      <w:jc w:val="center"/>
                                      <w:rPr>
                                        <w:szCs w:val="21"/>
                                      </w:rPr>
                                    </w:pPr>
                                    <w:r>
                                      <w:rPr>
                                        <w:szCs w:val="21"/>
                                      </w:rPr>
                                      <w:t>N、</w:t>
                                    </w:r>
                                    <w:r>
                                      <w:rPr>
                                        <w:rFonts w:eastAsia="Arial Unicode MS"/>
                                        <w:sz w:val="18"/>
                                        <w:szCs w:val="18"/>
                                      </w:rPr>
                                      <w:t>G</w:t>
                                    </w:r>
                                  </w:p>
                                  <w:p w14:paraId="02B01CC4">
                                    <w:pPr>
                                      <w:adjustRightInd w:val="0"/>
                                      <w:snapToGrid w:val="0"/>
                                      <w:jc w:val="center"/>
                                      <w:rPr>
                                        <w:szCs w:val="21"/>
                                      </w:rPr>
                                    </w:pPr>
                                  </w:p>
                                </w:txbxContent>
                              </wps:txbx>
                              <wps:bodyPr rot="0" vert="horz" wrap="square" lIns="91440" tIns="45720" rIns="91440" bIns="45720" anchor="ctr" anchorCtr="0" upright="1">
                                <a:noAutofit/>
                              </wps:bodyPr>
                            </wps:wsp>
                            <wps:wsp>
                              <wps:cNvPr id="172" name="矩形 252"/>
                              <wps:cNvSpPr>
                                <a:spLocks noChangeArrowheads="1"/>
                              </wps:cNvSpPr>
                              <wps:spPr bwMode="auto">
                                <a:xfrm>
                                  <a:off x="95250" y="1732915"/>
                                  <a:ext cx="848995" cy="288290"/>
                                </a:xfrm>
                                <a:prstGeom prst="rect">
                                  <a:avLst/>
                                </a:prstGeom>
                                <a:noFill/>
                                <a:ln>
                                  <a:noFill/>
                                </a:ln>
                                <a:effectLst/>
                              </wps:spPr>
                              <wps:txbx>
                                <w:txbxContent>
                                  <w:p w14:paraId="74D5AFAA">
                                    <w:pPr>
                                      <w:adjustRightInd w:val="0"/>
                                      <w:snapToGrid w:val="0"/>
                                      <w:jc w:val="center"/>
                                      <w:rPr>
                                        <w:szCs w:val="21"/>
                                      </w:rPr>
                                    </w:pPr>
                                    <w:r>
                                      <w:rPr>
                                        <w:szCs w:val="21"/>
                                      </w:rPr>
                                      <w:t>G、S、N</w:t>
                                    </w:r>
                                  </w:p>
                                </w:txbxContent>
                              </wps:txbx>
                              <wps:bodyPr rot="0" vert="horz" wrap="square" lIns="91440" tIns="45720" rIns="91440" bIns="45720" anchor="ctr" anchorCtr="0" upright="1">
                                <a:noAutofit/>
                              </wps:bodyPr>
                            </wps:wsp>
                            <wps:wsp>
                              <wps:cNvPr id="173" name="矩形 3167"/>
                              <wps:cNvSpPr>
                                <a:spLocks noChangeArrowheads="1"/>
                              </wps:cNvSpPr>
                              <wps:spPr bwMode="auto">
                                <a:xfrm>
                                  <a:off x="3728720" y="2894965"/>
                                  <a:ext cx="587375" cy="295910"/>
                                </a:xfrm>
                                <a:prstGeom prst="rect">
                                  <a:avLst/>
                                </a:prstGeom>
                                <a:noFill/>
                                <a:ln>
                                  <a:noFill/>
                                </a:ln>
                                <a:effectLst/>
                              </wps:spPr>
                              <wps:txbx>
                                <w:txbxContent>
                                  <w:p w14:paraId="5069A2F6">
                                    <w:pPr>
                                      <w:adjustRightInd w:val="0"/>
                                      <w:snapToGrid w:val="0"/>
                                      <w:rPr>
                                        <w:szCs w:val="21"/>
                                      </w:rPr>
                                    </w:pPr>
                                    <w:r>
                                      <w:rPr>
                                        <w:szCs w:val="21"/>
                                      </w:rPr>
                                      <w:t>N</w:t>
                                    </w:r>
                                    <w:r>
                                      <w:rPr>
                                        <w:rFonts w:hint="eastAsia"/>
                                        <w:szCs w:val="21"/>
                                      </w:rPr>
                                      <w:t>、G</w:t>
                                    </w:r>
                                  </w:p>
                                </w:txbxContent>
                              </wps:txbx>
                              <wps:bodyPr rot="0" vert="horz" wrap="square" lIns="91440" tIns="45720" rIns="91440" bIns="45720" anchor="ctr" anchorCtr="0" upright="1">
                                <a:noAutofit/>
                              </wps:bodyPr>
                            </wps:wsp>
                            <wps:wsp>
                              <wps:cNvPr id="174" name="矩形 54"/>
                              <wps:cNvSpPr>
                                <a:spLocks noChangeArrowheads="1"/>
                              </wps:cNvSpPr>
                              <wps:spPr bwMode="auto">
                                <a:xfrm>
                                  <a:off x="307975" y="2943225"/>
                                  <a:ext cx="593090" cy="314325"/>
                                </a:xfrm>
                                <a:prstGeom prst="rect">
                                  <a:avLst/>
                                </a:prstGeom>
                                <a:noFill/>
                                <a:ln>
                                  <a:noFill/>
                                </a:ln>
                                <a:effectLst/>
                              </wps:spPr>
                              <wps:txbx>
                                <w:txbxContent>
                                  <w:p w14:paraId="23384F47">
                                    <w:pPr>
                                      <w:jc w:val="center"/>
                                      <w:rPr>
                                        <w:szCs w:val="21"/>
                                      </w:rPr>
                                    </w:pPr>
                                    <w:r>
                                      <w:rPr>
                                        <w:szCs w:val="21"/>
                                      </w:rPr>
                                      <w:t>S、N</w:t>
                                    </w:r>
                                  </w:p>
                                </w:txbxContent>
                              </wps:txbx>
                              <wps:bodyPr rot="0" vert="horz" wrap="square" lIns="91440" tIns="45720" rIns="91440" bIns="45720" anchor="ctr" anchorCtr="0" upright="1">
                                <a:noAutofit/>
                              </wps:bodyPr>
                            </wps:wsp>
                            <wps:wsp>
                              <wps:cNvPr id="175" name="矩形 55"/>
                              <wps:cNvSpPr>
                                <a:spLocks noChangeArrowheads="1"/>
                              </wps:cNvSpPr>
                              <wps:spPr bwMode="auto">
                                <a:xfrm>
                                  <a:off x="3710305" y="2343785"/>
                                  <a:ext cx="708025" cy="290830"/>
                                </a:xfrm>
                                <a:prstGeom prst="rect">
                                  <a:avLst/>
                                </a:prstGeom>
                                <a:noFill/>
                                <a:ln>
                                  <a:noFill/>
                                </a:ln>
                                <a:effectLst/>
                              </wps:spPr>
                              <wps:txbx>
                                <w:txbxContent>
                                  <w:p w14:paraId="29DB37C6">
                                    <w:pPr>
                                      <w:adjustRightInd w:val="0"/>
                                      <w:snapToGrid w:val="0"/>
                                      <w:rPr>
                                        <w:szCs w:val="21"/>
                                      </w:rPr>
                                    </w:pPr>
                                    <w:r>
                                      <w:rPr>
                                        <w:szCs w:val="21"/>
                                      </w:rPr>
                                      <w:t>N、G</w:t>
                                    </w:r>
                                  </w:p>
                                </w:txbxContent>
                              </wps:txbx>
                              <wps:bodyPr rot="0" vert="horz" wrap="square" lIns="91440" tIns="45720" rIns="91440" bIns="45720" anchor="ctr" anchorCtr="0" upright="1">
                                <a:noAutofit/>
                              </wps:bodyPr>
                            </wps:wsp>
                            <wps:wsp>
                              <wps:cNvPr id="176" name="直接箭头连接符 56"/>
                              <wps:cNvCnPr>
                                <a:cxnSpLocks noChangeShapeType="1"/>
                              </wps:cNvCnPr>
                              <wps:spPr bwMode="auto">
                                <a:xfrm>
                                  <a:off x="3505835" y="3034665"/>
                                  <a:ext cx="186690" cy="6350"/>
                                </a:xfrm>
                                <a:prstGeom prst="straightConnector1">
                                  <a:avLst/>
                                </a:prstGeom>
                                <a:noFill/>
                                <a:ln w="9525">
                                  <a:solidFill>
                                    <a:srgbClr val="000000"/>
                                  </a:solidFill>
                                  <a:round/>
                                  <a:tailEnd type="triangle" w="med" len="med"/>
                                </a:ln>
                                <a:effectLst/>
                              </wps:spPr>
                              <wps:bodyPr/>
                            </wps:wsp>
                            <wps:wsp>
                              <wps:cNvPr id="177" name="直接箭头连接符 57"/>
                              <wps:cNvCnPr>
                                <a:cxnSpLocks noChangeShapeType="1"/>
                              </wps:cNvCnPr>
                              <wps:spPr bwMode="auto">
                                <a:xfrm flipH="1">
                                  <a:off x="849630" y="3074035"/>
                                  <a:ext cx="160020" cy="0"/>
                                </a:xfrm>
                                <a:prstGeom prst="straightConnector1">
                                  <a:avLst/>
                                </a:prstGeom>
                                <a:noFill/>
                                <a:ln w="9525">
                                  <a:solidFill>
                                    <a:srgbClr val="000000"/>
                                  </a:solidFill>
                                  <a:round/>
                                  <a:tailEnd type="triangle" w="med" len="med"/>
                                </a:ln>
                                <a:effectLst/>
                              </wps:spPr>
                              <wps:bodyPr/>
                            </wps:wsp>
                            <wps:wsp>
                              <wps:cNvPr id="178" name="直接箭头连接符 38"/>
                              <wps:cNvCnPr>
                                <a:cxnSpLocks noChangeShapeType="1"/>
                              </wps:cNvCnPr>
                              <wps:spPr bwMode="auto">
                                <a:xfrm flipH="1">
                                  <a:off x="846455" y="1859915"/>
                                  <a:ext cx="159385" cy="0"/>
                                </a:xfrm>
                                <a:prstGeom prst="straightConnector1">
                                  <a:avLst/>
                                </a:prstGeom>
                                <a:noFill/>
                                <a:ln w="9525">
                                  <a:solidFill>
                                    <a:srgbClr val="000000"/>
                                  </a:solidFill>
                                  <a:round/>
                                  <a:tailEnd type="triangle" w="med" len="med"/>
                                </a:ln>
                                <a:effectLst/>
                              </wps:spPr>
                              <wps:bodyPr/>
                            </wps:wsp>
                            <wps:wsp>
                              <wps:cNvPr id="179" name="矩形 58"/>
                              <wps:cNvSpPr/>
                              <wps:spPr>
                                <a:xfrm>
                                  <a:off x="2513330" y="121285"/>
                                  <a:ext cx="845185" cy="276225"/>
                                </a:xfrm>
                                <a:prstGeom prst="rect">
                                  <a:avLst/>
                                </a:prstGeom>
                                <a:noFill/>
                                <a:ln>
                                  <a:noFill/>
                                </a:ln>
                              </wps:spPr>
                              <wps:txbx>
                                <w:txbxContent>
                                  <w:p w14:paraId="40398D18">
                                    <w:pPr>
                                      <w:pStyle w:val="28"/>
                                      <w:adjustRightInd w:val="0"/>
                                      <w:snapToGrid w:val="0"/>
                                      <w:spacing w:before="0" w:beforeAutospacing="0" w:after="0" w:afterAutospacing="0"/>
                                      <w:jc w:val="center"/>
                                      <w:rPr>
                                        <w:rFonts w:ascii="仿宋" w:hAnsi="仿宋" w:eastAsia="仿宋"/>
                                        <w:sz w:val="21"/>
                                        <w:szCs w:val="21"/>
                                      </w:rPr>
                                    </w:pPr>
                                    <w:r>
                                      <w:rPr>
                                        <w:rFonts w:hint="eastAsia" w:ascii="仿宋" w:hAnsi="仿宋" w:eastAsia="仿宋"/>
                                        <w:color w:val="000000"/>
                                        <w:sz w:val="21"/>
                                        <w:szCs w:val="21"/>
                                      </w:rPr>
                                      <w:t>原料</w:t>
                                    </w:r>
                                  </w:p>
                                </w:txbxContent>
                              </wps:txbx>
                              <wps:bodyPr anchor="ctr" anchorCtr="0" upright="1"/>
                            </wps:wsp>
                            <wps:wsp>
                              <wps:cNvPr id="180" name="直接箭头连接符 59"/>
                              <wps:cNvCnPr/>
                              <wps:spPr>
                                <a:xfrm>
                                  <a:off x="2940685" y="398145"/>
                                  <a:ext cx="0" cy="183515"/>
                                </a:xfrm>
                                <a:prstGeom prst="straightConnector1">
                                  <a:avLst/>
                                </a:prstGeom>
                                <a:ln w="9525" cap="flat" cmpd="sng">
                                  <a:solidFill>
                                    <a:srgbClr val="000000"/>
                                  </a:solidFill>
                                  <a:prstDash val="solid"/>
                                  <a:round/>
                                  <a:headEnd type="none" w="med" len="med"/>
                                  <a:tailEnd type="triangle" w="med" len="med"/>
                                </a:ln>
                              </wps:spPr>
                              <wps:bodyPr/>
                            </wps:wsp>
                            <wps:wsp>
                              <wps:cNvPr id="181" name="矩形 60"/>
                              <wps:cNvSpPr>
                                <a:spLocks noChangeArrowheads="1"/>
                              </wps:cNvSpPr>
                              <wps:spPr bwMode="auto">
                                <a:xfrm>
                                  <a:off x="3678555" y="1060450"/>
                                  <a:ext cx="746760" cy="379095"/>
                                </a:xfrm>
                                <a:prstGeom prst="rect">
                                  <a:avLst/>
                                </a:prstGeom>
                                <a:noFill/>
                                <a:ln>
                                  <a:noFill/>
                                </a:ln>
                                <a:effectLst/>
                              </wps:spPr>
                              <wps:txbx>
                                <w:txbxContent>
                                  <w:p w14:paraId="39A6CFA2">
                                    <w:pPr>
                                      <w:pStyle w:val="28"/>
                                      <w:adjustRightInd w:val="0"/>
                                      <w:snapToGrid w:val="0"/>
                                      <w:spacing w:before="0" w:beforeAutospacing="0" w:after="0" w:afterAutospacing="0"/>
                                      <w:rPr>
                                        <w:rFonts w:ascii="Times New Roman" w:hAnsi="Times New Roman" w:eastAsia="Arial Unicode MS"/>
                                        <w:color w:val="FF0000"/>
                                        <w:sz w:val="21"/>
                                        <w:szCs w:val="21"/>
                                      </w:rPr>
                                    </w:pPr>
                                    <w:r>
                                      <w:rPr>
                                        <w:rFonts w:ascii="Times New Roman" w:hAnsi="Times New Roman" w:eastAsia="Arial Unicode MS"/>
                                        <w:color w:val="000000"/>
                                        <w:sz w:val="21"/>
                                        <w:szCs w:val="21"/>
                                      </w:rPr>
                                      <w:t>N</w:t>
                                    </w:r>
                                    <w:r>
                                      <w:rPr>
                                        <w:rFonts w:ascii="Times New Roman" w:hAnsi="Times New Roman" w:eastAsia="Arial Unicode MS"/>
                                        <w:sz w:val="21"/>
                                        <w:szCs w:val="21"/>
                                      </w:rPr>
                                      <w:t>、S、G</w:t>
                                    </w:r>
                                  </w:p>
                                </w:txbxContent>
                              </wps:txbx>
                              <wps:bodyPr rot="0" vert="horz" wrap="square" lIns="91440" tIns="45720" rIns="91440" bIns="45720" anchor="ctr" anchorCtr="0" upright="1">
                                <a:noAutofit/>
                              </wps:bodyPr>
                            </wps:wsp>
                            <wps:wsp>
                              <wps:cNvPr id="182" name="直接箭头连接符 61"/>
                              <wps:cNvCnPr>
                                <a:cxnSpLocks noChangeShapeType="1"/>
                              </wps:cNvCnPr>
                              <wps:spPr bwMode="auto">
                                <a:xfrm>
                                  <a:off x="3502025" y="1270635"/>
                                  <a:ext cx="187325" cy="6350"/>
                                </a:xfrm>
                                <a:prstGeom prst="straightConnector1">
                                  <a:avLst/>
                                </a:prstGeom>
                                <a:noFill/>
                                <a:ln w="9525">
                                  <a:solidFill>
                                    <a:srgbClr val="000000"/>
                                  </a:solidFill>
                                  <a:round/>
                                  <a:tailEnd type="triangle" w="med" len="med"/>
                                </a:ln>
                                <a:effectLst/>
                              </wps:spPr>
                              <wps:bodyPr/>
                            </wps:wsp>
                            <wps:wsp>
                              <wps:cNvPr id="183" name="矩形 62"/>
                              <wps:cNvSpPr>
                                <a:spLocks noChangeArrowheads="1"/>
                              </wps:cNvSpPr>
                              <wps:spPr bwMode="auto">
                                <a:xfrm>
                                  <a:off x="1030605" y="2296795"/>
                                  <a:ext cx="958215" cy="303530"/>
                                </a:xfrm>
                                <a:prstGeom prst="rect">
                                  <a:avLst/>
                                </a:prstGeom>
                                <a:noFill/>
                                <a:ln w="25400">
                                  <a:solidFill>
                                    <a:srgbClr val="000000"/>
                                  </a:solidFill>
                                  <a:round/>
                                </a:ln>
                                <a:effectLst/>
                              </wps:spPr>
                              <wps:txbx>
                                <w:txbxContent>
                                  <w:p w14:paraId="387D1A3F">
                                    <w:pPr>
                                      <w:adjustRightInd w:val="0"/>
                                      <w:snapToGrid w:val="0"/>
                                      <w:jc w:val="center"/>
                                      <w:rPr>
                                        <w:rFonts w:eastAsia="仿宋"/>
                                        <w:szCs w:val="21"/>
                                      </w:rPr>
                                    </w:pPr>
                                    <w:r>
                                      <w:rPr>
                                        <w:rFonts w:hint="eastAsia" w:eastAsia="仿宋"/>
                                        <w:szCs w:val="21"/>
                                      </w:rPr>
                                      <w:t>换热器</w:t>
                                    </w:r>
                                  </w:p>
                                </w:txbxContent>
                              </wps:txbx>
                              <wps:bodyPr rot="0" vert="horz" wrap="square" lIns="91440" tIns="45720" rIns="91440" bIns="45720" anchor="ctr" anchorCtr="0" upright="1">
                                <a:noAutofit/>
                              </wps:bodyPr>
                            </wps:wsp>
                            <wps:wsp>
                              <wps:cNvPr id="184" name="直接箭头连接符 63"/>
                              <wps:cNvCnPr>
                                <a:cxnSpLocks noChangeShapeType="1"/>
                              </wps:cNvCnPr>
                              <wps:spPr bwMode="auto">
                                <a:xfrm flipV="1">
                                  <a:off x="1505585" y="2016760"/>
                                  <a:ext cx="0" cy="292100"/>
                                </a:xfrm>
                                <a:prstGeom prst="straightConnector1">
                                  <a:avLst/>
                                </a:prstGeom>
                                <a:noFill/>
                                <a:ln w="9525">
                                  <a:solidFill>
                                    <a:srgbClr val="000000"/>
                                  </a:solidFill>
                                  <a:round/>
                                  <a:tailEnd type="triangle" w="med" len="med"/>
                                </a:ln>
                                <a:effectLst/>
                              </wps:spPr>
                              <wps:bodyPr/>
                            </wps:wsp>
                            <wps:wsp>
                              <wps:cNvPr id="68" name="直接箭头连接符 64"/>
                              <wps:cNvCnPr>
                                <a:cxnSpLocks noChangeShapeType="1"/>
                              </wps:cNvCnPr>
                              <wps:spPr bwMode="auto">
                                <a:xfrm flipV="1">
                                  <a:off x="1504315" y="2606040"/>
                                  <a:ext cx="0" cy="292100"/>
                                </a:xfrm>
                                <a:prstGeom prst="straightConnector1">
                                  <a:avLst/>
                                </a:prstGeom>
                                <a:noFill/>
                                <a:ln w="9525">
                                  <a:solidFill>
                                    <a:srgbClr val="000000"/>
                                  </a:solidFill>
                                  <a:round/>
                                  <a:tailEnd type="triangle" w="med" len="med"/>
                                </a:ln>
                                <a:effectLst/>
                              </wps:spPr>
                              <wps:bodyPr/>
                            </wps:wsp>
                            <wps:wsp>
                              <wps:cNvPr id="69" name="直接箭头连接符 65"/>
                              <wps:cNvCnPr>
                                <a:cxnSpLocks noChangeShapeType="1"/>
                              </wps:cNvCnPr>
                              <wps:spPr bwMode="auto">
                                <a:xfrm flipH="1">
                                  <a:off x="864235" y="2435860"/>
                                  <a:ext cx="160020" cy="0"/>
                                </a:xfrm>
                                <a:prstGeom prst="straightConnector1">
                                  <a:avLst/>
                                </a:prstGeom>
                                <a:noFill/>
                                <a:ln w="9525">
                                  <a:solidFill>
                                    <a:srgbClr val="000000"/>
                                  </a:solidFill>
                                  <a:round/>
                                  <a:tailEnd type="triangle" w="med" len="med"/>
                                </a:ln>
                                <a:effectLst/>
                              </wps:spPr>
                              <wps:bodyPr/>
                            </wps:wsp>
                            <wps:wsp>
                              <wps:cNvPr id="70" name="矩形 66"/>
                              <wps:cNvSpPr>
                                <a:spLocks noChangeArrowheads="1"/>
                              </wps:cNvSpPr>
                              <wps:spPr bwMode="auto">
                                <a:xfrm>
                                  <a:off x="299720" y="2282825"/>
                                  <a:ext cx="593090" cy="314325"/>
                                </a:xfrm>
                                <a:prstGeom prst="rect">
                                  <a:avLst/>
                                </a:prstGeom>
                                <a:noFill/>
                                <a:ln>
                                  <a:noFill/>
                                </a:ln>
                                <a:effectLst/>
                              </wps:spPr>
                              <wps:txbx>
                                <w:txbxContent>
                                  <w:p w14:paraId="19C7FFB8">
                                    <w:pPr>
                                      <w:jc w:val="center"/>
                                      <w:rPr>
                                        <w:szCs w:val="21"/>
                                      </w:rPr>
                                    </w:pPr>
                                    <w:r>
                                      <w:rPr>
                                        <w:szCs w:val="21"/>
                                      </w:rPr>
                                      <w:t>N</w:t>
                                    </w:r>
                                  </w:p>
                                </w:txbxContent>
                              </wps:txbx>
                              <wps:bodyPr rot="0" vert="horz" wrap="square" lIns="91440" tIns="45720" rIns="91440" bIns="45720" anchor="ctr" anchorCtr="0" upright="1">
                                <a:noAutofit/>
                              </wps:bodyPr>
                            </wps:wsp>
                            <wps:wsp>
                              <wps:cNvPr id="71" name="矩形 109"/>
                              <wps:cNvSpPr/>
                              <wps:spPr>
                                <a:xfrm>
                                  <a:off x="2332990" y="588645"/>
                                  <a:ext cx="1148715" cy="296545"/>
                                </a:xfrm>
                                <a:prstGeom prst="rect">
                                  <a:avLst/>
                                </a:prstGeom>
                                <a:noFill/>
                                <a:ln w="28575" cap="flat" cmpd="sng">
                                  <a:solidFill>
                                    <a:srgbClr val="000000"/>
                                  </a:solidFill>
                                  <a:prstDash val="solid"/>
                                  <a:round/>
                                  <a:headEnd type="none" w="med" len="med"/>
                                  <a:tailEnd type="none" w="med" len="med"/>
                                </a:ln>
                              </wps:spPr>
                              <wps:txbx>
                                <w:txbxContent>
                                  <w:p w14:paraId="679CDB73">
                                    <w:pPr>
                                      <w:adjustRightInd w:val="0"/>
                                      <w:snapToGrid w:val="0"/>
                                      <w:jc w:val="center"/>
                                      <w:rPr>
                                        <w:rFonts w:hint="default" w:eastAsia="仿宋"/>
                                        <w:szCs w:val="21"/>
                                        <w:lang w:val="en-US" w:eastAsia="zh-CN"/>
                                      </w:rPr>
                                    </w:pPr>
                                    <w:r>
                                      <w:rPr>
                                        <w:rFonts w:hint="eastAsia" w:eastAsia="仿宋"/>
                                        <w:szCs w:val="21"/>
                                        <w:lang w:val="en-US" w:eastAsia="zh-CN"/>
                                      </w:rPr>
                                      <w:t>运输、装卸</w:t>
                                    </w:r>
                                  </w:p>
                                </w:txbxContent>
                              </wps:txbx>
                              <wps:bodyPr anchor="ctr" anchorCtr="0" upright="1"/>
                            </wps:wsp>
                            <wps:wsp>
                              <wps:cNvPr id="72" name="直接箭头连接符 59"/>
                              <wps:cNvCnPr/>
                              <wps:spPr>
                                <a:xfrm>
                                  <a:off x="2924810" y="907415"/>
                                  <a:ext cx="0" cy="183515"/>
                                </a:xfrm>
                                <a:prstGeom prst="straightConnector1">
                                  <a:avLst/>
                                </a:prstGeom>
                                <a:ln w="9525" cap="flat" cmpd="sng">
                                  <a:solidFill>
                                    <a:srgbClr val="000000"/>
                                  </a:solidFill>
                                  <a:prstDash val="solid"/>
                                  <a:round/>
                                  <a:headEnd type="none" w="med" len="med"/>
                                  <a:tailEnd type="triangle" w="med" len="med"/>
                                </a:ln>
                              </wps:spPr>
                              <wps:bodyPr/>
                            </wps:wsp>
                            <wps:wsp>
                              <wps:cNvPr id="73" name="矩形 60"/>
                              <wps:cNvSpPr>
                                <a:spLocks noChangeArrowheads="1"/>
                              </wps:cNvSpPr>
                              <wps:spPr bwMode="auto">
                                <a:xfrm>
                                  <a:off x="3695065" y="542925"/>
                                  <a:ext cx="746760" cy="379095"/>
                                </a:xfrm>
                                <a:prstGeom prst="rect">
                                  <a:avLst/>
                                </a:prstGeom>
                                <a:noFill/>
                                <a:ln>
                                  <a:noFill/>
                                </a:ln>
                                <a:effectLst/>
                              </wps:spPr>
                              <wps:txbx>
                                <w:txbxContent>
                                  <w:p w14:paraId="288B61EB">
                                    <w:pPr>
                                      <w:pStyle w:val="28"/>
                                      <w:adjustRightInd w:val="0"/>
                                      <w:snapToGrid w:val="0"/>
                                      <w:spacing w:before="0" w:beforeAutospacing="0" w:after="0" w:afterAutospacing="0"/>
                                      <w:rPr>
                                        <w:rFonts w:ascii="Times New Roman" w:hAnsi="Times New Roman" w:eastAsia="Arial Unicode MS"/>
                                        <w:color w:val="FF0000"/>
                                        <w:sz w:val="21"/>
                                        <w:szCs w:val="21"/>
                                      </w:rPr>
                                    </w:pPr>
                                    <w:r>
                                      <w:rPr>
                                        <w:rFonts w:ascii="Times New Roman" w:hAnsi="Times New Roman" w:eastAsia="Arial Unicode MS"/>
                                        <w:color w:val="000000"/>
                                        <w:sz w:val="21"/>
                                        <w:szCs w:val="21"/>
                                      </w:rPr>
                                      <w:t>N</w:t>
                                    </w:r>
                                    <w:r>
                                      <w:rPr>
                                        <w:rFonts w:ascii="Times New Roman" w:hAnsi="Times New Roman" w:eastAsia="Arial Unicode MS"/>
                                        <w:sz w:val="21"/>
                                        <w:szCs w:val="21"/>
                                      </w:rPr>
                                      <w:t>、S、G</w:t>
                                    </w:r>
                                  </w:p>
                                </w:txbxContent>
                              </wps:txbx>
                              <wps:bodyPr rot="0" vert="horz" wrap="square" lIns="91440" tIns="45720" rIns="91440" bIns="45720" anchor="ctr" anchorCtr="0" upright="1">
                                <a:noAutofit/>
                              </wps:bodyPr>
                            </wps:wsp>
                            <wps:wsp>
                              <wps:cNvPr id="185" name="直接箭头连接符 61"/>
                              <wps:cNvCnPr>
                                <a:cxnSpLocks noChangeShapeType="1"/>
                              </wps:cNvCnPr>
                              <wps:spPr bwMode="auto">
                                <a:xfrm>
                                  <a:off x="3487420" y="760095"/>
                                  <a:ext cx="187325" cy="6350"/>
                                </a:xfrm>
                                <a:prstGeom prst="straightConnector1">
                                  <a:avLst/>
                                </a:prstGeom>
                                <a:noFill/>
                                <a:ln w="9525">
                                  <a:solidFill>
                                    <a:srgbClr val="000000"/>
                                  </a:solidFill>
                                  <a:round/>
                                  <a:tailEnd type="triangle" w="med" len="med"/>
                                </a:ln>
                                <a:effectLst/>
                              </wps:spPr>
                              <wps:bodyPr/>
                            </wps:wsp>
                          </wpc:wpc>
                        </a:graphicData>
                      </a:graphic>
                    </wp:inline>
                  </w:drawing>
                </mc:Choice>
                <mc:Fallback>
                  <w:pict>
                    <v:group id="_x0000_s1026" o:spid="_x0000_s1026" o:spt="203" style="height:318.3pt;width:375.45pt;" coordsize="4768215,4042410" editas="canvas" o:gfxdata="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">
                      <o:lock v:ext="edit" aspectratio="f"/>
                      <v:shape id="_x0000_s1026" o:spid="_x0000_s1026" style="position:absolute;left:0;top:0;height:4042410;width:4768215;" filled="f" stroked="f" coordsize="21600,21600" o:gfxdata="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">
                        <v:fill on="f" focussize="0,0"/>
                        <v:stroke on="f"/>
                        <v:imagedata o:title=""/>
                        <o:lock v:ext="edit" aspectratio="t"/>
                      </v:shape>
                      <v:shape id="直接箭头连接符 11" o:spid="_x0000_s1026" o:spt="32" type="#_x0000_t32" style="position:absolute;left:2923540;top:1419860;height:292100;width:0;"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WhqhdYA&#10;AAAFAQAADwAAAAAAAAABACAAAAAiAAAAZHJzL2Rvd25yZXYueG1sUEsBAhQAFAAAAAgAh07iQMC9&#10;skchAgAACAQAAA4AAAAAAAAAAQAgAAAAJQEAAGRycy9lMm9Eb2MueG1sUEsFBgAAAAAGAAYAWQEA&#10;ALgFAAAAAA==&#10;">
                        <v:fill on="f" focussize="0,0"/>
                        <v:stroke color="#000000" joinstyle="round" endarrow="block"/>
                        <v:imagedata o:title=""/>
                        <o:lock v:ext="edit" aspectratio="f"/>
                      </v:shape>
                      <v:rect id="矩形 40" o:spid="_x0000_s1026" o:spt="1" style="position:absolute;left:1151255;top:3442970;height:280035;width:781050;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L79IvSAAAABQEAAA8AAAAAAAAAAQAgAAAAIgAAAGRycy9kb3ducmV2LnhtbFBLAQIUABQA&#10;AAAIAIdO4kAbyPw5vQEAAGoDAAAOAAAAAAAAAAEAIAAAACEBAABkcnMvZTJvRG9jLnhtbFBLBQYA&#10;AAAABgAGAFkBAABQBQAAAAA=&#10;">
                        <v:fill on="f" focussize="0,0"/>
                        <v:stroke on="f"/>
                        <v:imagedata o:title=""/>
                        <o:lock v:ext="edit" aspectratio="f"/>
                        <v:textbox>
                          <w:txbxContent>
                            <w:p w14:paraId="22E5C6A0">
                              <w:pPr>
                                <w:adjustRightInd w:val="0"/>
                                <w:snapToGrid w:val="0"/>
                                <w:jc w:val="center"/>
                                <w:rPr>
                                  <w:rFonts w:ascii="仿宋" w:hAnsi="仿宋" w:eastAsia="仿宋"/>
                                  <w:szCs w:val="21"/>
                                </w:rPr>
                              </w:pPr>
                              <w:r>
                                <w:rPr>
                                  <w:rFonts w:ascii="仿宋" w:hAnsi="仿宋" w:eastAsia="仿宋"/>
                                  <w:szCs w:val="21"/>
                                </w:rPr>
                                <w:t>空气</w:t>
                              </w:r>
                            </w:p>
                          </w:txbxContent>
                        </v:textbox>
                      </v:rect>
                      <v:shape id="直接箭头连接符 41" o:spid="_x0000_s1026" o:spt="32" type="#_x0000_t32" style="position:absolute;left:2923540;top:2606675;height:292100;width:0;"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aGqF&#10;1gAAAAUBAAAPAAAAAAAAAAEAIAAAACIAAABkcnMvZG93bnJldi54bWxQSwECFAAUAAAACACHTuJA&#10;dI8jHyMCAAAIBAAADgAAAAAAAAABACAAAAAlAQAAZHJzL2Uyb0RvYy54bWxQSwUGAAAAAAYABgBZ&#10;AQAAugUAAAAA&#10;">
                        <v:fill on="f" focussize="0,0"/>
                        <v:stroke color="#000000" joinstyle="round" endarrow="block"/>
                        <v:imagedata o:title=""/>
                        <o:lock v:ext="edit" aspectratio="f"/>
                      </v:shape>
                      <v:shape id="直接箭头连接符 42" o:spid="_x0000_s1026" o:spt="32" type="#_x0000_t32" style="position:absolute;left:2933065;top:2013585;height:292100;width:0;"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Vo&#10;aoXWAAAABQEAAA8AAAAAAAAAAQAgAAAAIgAAAGRycy9kb3ducmV2LnhtbFBLAQIUABQAAAAIAIdO&#10;4kCKxopEJQIAAAgEAAAOAAAAAAAAAAEAIAAAACUBAABkcnMvZTJvRG9jLnhtbFBLBQYAAAAABgAG&#10;AFkBAAC8BQAAAAA=&#10;">
                        <v:fill on="f" focussize="0,0"/>
                        <v:stroke color="#000000" joinstyle="round" endarrow="block"/>
                        <v:imagedata o:title=""/>
                        <o:lock v:ext="edit" aspectratio="f"/>
                      </v:shape>
                      <v:rect id="矩形 43" o:spid="_x0000_s1026" o:spt="1" style="position:absolute;left:2329815;top:1713865;height:283845;width:1149350;v-text-anchor:middle;" filled="f" stroked="t" coordsize="21600,21600" o:gfxdata="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KX2w1wAAAAUBAAAP&#10;AAAAAAAAAAEAIAAAACIAAABkcnMvZG93bnJldi54bWxQSwECFAAUAAAACACHTuJARhUMCRkCAAAr&#10;BAAADgAAAAAAAAABACAAAAAmAQAAZHJzL2Uyb0RvYy54bWxQSwUGAAAAAAYABgBZAQAAsQUAAAAA&#10;">
                        <v:fill on="f" focussize="0,0"/>
                        <v:stroke weight="2pt" color="#000000" joinstyle="round"/>
                        <v:imagedata o:title=""/>
                        <o:lock v:ext="edit" aspectratio="f"/>
                        <v:textbox>
                          <w:txbxContent>
                            <w:p w14:paraId="23A9D505">
                              <w:pPr>
                                <w:adjustRightInd w:val="0"/>
                                <w:snapToGrid w:val="0"/>
                                <w:rPr>
                                  <w:rFonts w:ascii="仿宋" w:hAnsi="仿宋" w:eastAsia="仿宋"/>
                                  <w:szCs w:val="21"/>
                                </w:rPr>
                              </w:pPr>
                              <w:r>
                                <w:rPr>
                                  <w:rFonts w:hint="eastAsia" w:ascii="仿宋" w:hAnsi="仿宋" w:eastAsia="仿宋"/>
                                  <w:szCs w:val="21"/>
                                </w:rPr>
                                <w:t>输送</w:t>
                              </w:r>
                              <w:r>
                                <w:rPr>
                                  <w:rFonts w:ascii="仿宋" w:hAnsi="仿宋" w:eastAsia="仿宋"/>
                                  <w:szCs w:val="21"/>
                                </w:rPr>
                                <w:t>工</w:t>
                              </w:r>
                              <w:r>
                                <w:rPr>
                                  <w:rFonts w:hint="eastAsia" w:ascii="仿宋" w:hAnsi="仿宋" w:eastAsia="仿宋"/>
                                  <w:szCs w:val="21"/>
                                </w:rPr>
                                <w:t>段（烘</w:t>
                              </w:r>
                              <w:r>
                                <w:rPr>
                                  <w:rFonts w:ascii="仿宋" w:hAnsi="仿宋" w:eastAsia="仿宋"/>
                                  <w:szCs w:val="21"/>
                                </w:rPr>
                                <w:t>前</w:t>
                              </w:r>
                              <w:r>
                                <w:rPr>
                                  <w:rFonts w:hint="eastAsia" w:ascii="仿宋" w:hAnsi="仿宋" w:eastAsia="仿宋"/>
                                  <w:szCs w:val="21"/>
                                </w:rPr>
                                <w:t>）</w:t>
                              </w:r>
                            </w:p>
                          </w:txbxContent>
                        </v:textbox>
                      </v:rect>
                      <v:rect id="矩形 45" o:spid="_x0000_s1026" o:spt="1" style="position:absolute;left:2338705;top:2893695;height:293370;width:1149350;v-text-anchor:middle;" filled="f" stroked="t" coordsize="21600,21600" o:gfxdata="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yl9sNcAAAAFAQAA&#10;DwAAAAAAAAABACAAAAAiAAAAZHJzL2Rvd25yZXYueG1sUEsBAhQAFAAAAAgAh07iQM54mwUaAgAA&#10;KwQAAA4AAAAAAAAAAQAgAAAAJgEAAGRycy9lMm9Eb2MueG1sUEsFBgAAAAAGAAYAWQEAALIFAAAA&#10;AA==&#10;">
                        <v:fill on="f" focussize="0,0"/>
                        <v:stroke weight="2pt" color="#000000" joinstyle="round"/>
                        <v:imagedata o:title=""/>
                        <o:lock v:ext="edit" aspectratio="f"/>
                        <v:textbox>
                          <w:txbxContent>
                            <w:p w14:paraId="34C20CD1">
                              <w:pPr>
                                <w:adjustRightInd w:val="0"/>
                                <w:snapToGrid w:val="0"/>
                                <w:rPr>
                                  <w:rFonts w:ascii="仿宋" w:hAnsi="仿宋" w:eastAsia="仿宋"/>
                                  <w:szCs w:val="21"/>
                                </w:rPr>
                              </w:pPr>
                              <w:r>
                                <w:rPr>
                                  <w:rFonts w:hint="eastAsia" w:ascii="仿宋" w:hAnsi="仿宋" w:eastAsia="仿宋"/>
                                  <w:szCs w:val="21"/>
                                </w:rPr>
                                <w:t>输送</w:t>
                              </w:r>
                              <w:r>
                                <w:rPr>
                                  <w:rFonts w:ascii="仿宋" w:hAnsi="仿宋" w:eastAsia="仿宋"/>
                                  <w:szCs w:val="21"/>
                                </w:rPr>
                                <w:t>工</w:t>
                              </w:r>
                              <w:r>
                                <w:rPr>
                                  <w:rFonts w:hint="eastAsia" w:ascii="仿宋" w:hAnsi="仿宋" w:eastAsia="仿宋"/>
                                  <w:szCs w:val="21"/>
                                </w:rPr>
                                <w:t>段（烘后）</w:t>
                              </w:r>
                            </w:p>
                          </w:txbxContent>
                        </v:textbox>
                      </v:rect>
                      <v:rect id="矩形 46" o:spid="_x0000_s1026" o:spt="1" style="position:absolute;left:2312035;top:2296795;height:296545;width:1148715;v-text-anchor:middle;" filled="f" stroked="t" coordsize="21600,21600" o:gfxdata="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KX2w1wAAAAUBAAAP&#10;AAAAAAAAAAEAIAAAACIAAABkcnMvZG93bnJldi54bWxQSwECFAAUAAAACACHTuJAJEd/nhkCAAAr&#10;BAAADgAAAAAAAAABACAAAAAmAQAAZHJzL2Uyb0RvYy54bWxQSwUGAAAAAAYABgBZAQAAsQUAAAAA&#10;">
                        <v:fill on="f" focussize="0,0"/>
                        <v:stroke weight="2pt" color="#000000" joinstyle="round"/>
                        <v:imagedata o:title=""/>
                        <o:lock v:ext="edit" aspectratio="f"/>
                        <v:textbox>
                          <w:txbxContent>
                            <w:p w14:paraId="3C1ECAD8">
                              <w:pPr>
                                <w:adjustRightInd w:val="0"/>
                                <w:snapToGrid w:val="0"/>
                                <w:jc w:val="center"/>
                                <w:rPr>
                                  <w:rFonts w:ascii="仿宋" w:hAnsi="仿宋" w:eastAsia="仿宋"/>
                                  <w:szCs w:val="21"/>
                                </w:rPr>
                              </w:pPr>
                              <w:r>
                                <w:rPr>
                                  <w:rFonts w:hint="eastAsia" w:ascii="仿宋" w:hAnsi="仿宋" w:eastAsia="仿宋"/>
                                  <w:szCs w:val="21"/>
                                </w:rPr>
                                <w:t>烘干</w:t>
                              </w:r>
                            </w:p>
                          </w:txbxContent>
                        </v:textbox>
                      </v:rect>
                      <v:rect id="矩形 47" o:spid="_x0000_s1026" o:spt="1" style="position:absolute;left:2622550;top:3471545;height:276225;width:617855;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vv0i9IAAAAFAQAADwAAAAAAAAABACAAAAAiAAAAZHJzL2Rvd25yZXYueG1sUEsBAhQA&#10;FAAAAAgAh07iQDtcyju/AQAAagMAAA4AAAAAAAAAAQAgAAAAIQEAAGRycy9lMm9Eb2MueG1sUEsF&#10;BgAAAAAGAAYAWQEAAFIFAAAAAA==&#10;">
                        <v:fill on="f" focussize="0,0"/>
                        <v:stroke on="f"/>
                        <v:imagedata o:title=""/>
                        <o:lock v:ext="edit" aspectratio="f"/>
                        <v:textbox>
                          <w:txbxContent>
                            <w:p w14:paraId="0224AF33">
                              <w:pPr>
                                <w:jc w:val="center"/>
                                <w:rPr>
                                  <w:rFonts w:ascii="仿宋" w:hAnsi="仿宋" w:eastAsia="仿宋"/>
                                  <w:szCs w:val="21"/>
                                </w:rPr>
                              </w:pPr>
                              <w:r>
                                <w:rPr>
                                  <w:rFonts w:hint="eastAsia" w:ascii="仿宋" w:hAnsi="仿宋" w:eastAsia="仿宋"/>
                                  <w:szCs w:val="21"/>
                                </w:rPr>
                                <w:t>产品</w:t>
                              </w:r>
                            </w:p>
                          </w:txbxContent>
                        </v:textbox>
                      </v:rect>
                      <v:rect id="矩形 51" o:spid="_x0000_s1026" o:spt="1" style="position:absolute;left:2329815;top:1109980;height:296545;width:1148715;v-text-anchor:middle;" filled="f" stroked="t" coordsize="21600,21600" o:gfxdata="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Sax1gAAAAUBAAAPAAAA&#10;AAAAAAEAIAAAACIAAABkcnMvZG93bnJldi54bWxQSwECFAAUAAAACACHTuJAKs8gwxcCAAArBAAA&#10;DgAAAAAAAAABACAAAAAlAQAAZHJzL2Uyb0RvYy54bWxQSwUGAAAAAAYABgBZAQAArgUAAAAA&#10;">
                        <v:fill on="f" focussize="0,0"/>
                        <v:stroke weight="2.25pt" color="#000000" joinstyle="round"/>
                        <v:imagedata o:title=""/>
                        <o:lock v:ext="edit" aspectratio="f"/>
                        <v:textbox>
                          <w:txbxContent>
                            <w:p w14:paraId="7DBB91F1">
                              <w:pPr>
                                <w:adjustRightInd w:val="0"/>
                                <w:snapToGrid w:val="0"/>
                                <w:jc w:val="center"/>
                                <w:rPr>
                                  <w:rFonts w:eastAsia="仿宋"/>
                                  <w:szCs w:val="21"/>
                                </w:rPr>
                              </w:pPr>
                              <w:r>
                                <w:rPr>
                                  <w:rFonts w:eastAsia="仿宋"/>
                                  <w:szCs w:val="21"/>
                                </w:rPr>
                                <w:t>筛选</w:t>
                              </w:r>
                            </w:p>
                          </w:txbxContent>
                        </v:textbox>
                      </v:rect>
                      <v:shape id="直接箭头连接符 52" o:spid="_x0000_s1026" o:spt="32" type="#_x0000_t32" style="position:absolute;left:2923540;top:3178175;height:292100;width:0;"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Vo&#10;aoXWAAAABQEAAA8AAAAAAAAAAQAgAAAAIgAAAGRycy9kb3ducmV2LnhtbFBLAQIUABQAAAAIAIdO&#10;4kDHvbdgJQIAAAgEAAAOAAAAAAAAAAEAIAAAACUBAABkcnMvZTJvRG9jLnhtbFBLBQYAAAAABgAG&#10;AFkBAAC8BQAAAAA=&#10;">
                        <v:fill on="f" focussize="0,0"/>
                        <v:stroke color="#000000" joinstyle="round" endarrow="block"/>
                        <v:imagedata o:title=""/>
                        <o:lock v:ext="edit" aspectratio="f"/>
                      </v:shape>
                      <v:rect id="矩形 53" o:spid="_x0000_s1026" o:spt="1" style="position:absolute;left:1030605;top:2924175;height:290830;width:958215;v-text-anchor:middle;" filled="f" stroked="t" coordsize="21600,21600" o:gfxdata="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yl9sNcAAAAFAQAADwAA&#10;AAAAAAABACAAAAAiAAAAZHJzL2Rvd25yZXYueG1sUEsBAhQAFAAAAAgAh07iQHwtPrgXAgAAKgQA&#10;AA4AAAAAAAAAAQAgAAAAJgEAAGRycy9lMm9Eb2MueG1sUEsFBgAAAAAGAAYAWQEAAK8FAAAAAA==&#10;">
                        <v:fill on="f" focussize="0,0"/>
                        <v:stroke weight="2pt" color="#000000" joinstyle="round"/>
                        <v:imagedata o:title=""/>
                        <o:lock v:ext="edit" aspectratio="f"/>
                        <v:textbox>
                          <w:txbxContent>
                            <w:p w14:paraId="0BB0ECC1">
                              <w:pPr>
                                <w:adjustRightInd w:val="0"/>
                                <w:snapToGrid w:val="0"/>
                                <w:jc w:val="center"/>
                                <w:rPr>
                                  <w:sz w:val="15"/>
                                  <w:szCs w:val="15"/>
                                </w:rPr>
                              </w:pPr>
                              <w:r>
                                <w:rPr>
                                  <w:rFonts w:ascii="仿宋" w:hAnsi="仿宋" w:eastAsia="仿宋"/>
                                  <w:szCs w:val="21"/>
                                </w:rPr>
                                <w:t>热风炉</w:t>
                              </w:r>
                              <w:r>
                                <w:rPr>
                                  <w:rFonts w:hint="eastAsia" w:ascii="仿宋" w:hAnsi="仿宋" w:eastAsia="仿宋" w:cs="仿宋"/>
                                  <w:sz w:val="21"/>
                                  <w:szCs w:val="21"/>
                                </w:rPr>
                                <w:t>供热</w:t>
                              </w:r>
                            </w:p>
                          </w:txbxContent>
                        </v:textbox>
                      </v:rect>
                      <v:shape id="直接箭头连接符 225" o:spid="_x0000_s1026" o:spt="32" type="#_x0000_t32" style="position:absolute;left:2006600;top:2456180;height:0;width:325755;"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aGqF1gAA&#10;AAUBAAAPAAAAAAAAAAEAIAAAACIAAABkcnMvZG93bnJldi54bWxQSwECFAAUAAAACACHTuJAiFdY&#10;GiACAAAJBAAADgAAAAAAAAABACAAAAAlAQAAZHJzL2Uyb0RvYy54bWxQSwUGAAAAAAYABgBZAQAA&#10;twUAAAAA&#10;">
                        <v:fill on="f" focussize="0,0"/>
                        <v:stroke color="#000000" joinstyle="round" endarrow="block"/>
                        <v:imagedata o:title=""/>
                        <o:lock v:ext="edit" aspectratio="f"/>
                      </v:shape>
                      <v:rect id="矩形 226" o:spid="_x0000_s1026" o:spt="1" style="position:absolute;left:2995295;top:3746500;height:254635;width:1703705;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L79IvSAAAA&#10;BQEAAA8AAAAAAAAAAQAgAAAAIgAAAGRycy9kb3ducmV2LnhtbFBLAQIUABQAAAAIAIdO4kDtS5KP&#10;IwIAACgEAAAOAAAAAAAAAAEAIAAAACEBAABkcnMvZTJvRG9jLnhtbFBLBQYAAAAABgAGAFkBAAC2&#10;BQAAAAA=&#10;">
                        <v:fill on="f" focussize="0,0"/>
                        <v:stroke on="f"/>
                        <v:imagedata o:title=""/>
                        <o:lock v:ext="edit" aspectratio="f"/>
                        <v:textbox>
                          <w:txbxContent>
                            <w:p w14:paraId="71F220BF">
                              <w:pPr>
                                <w:jc w:val="center"/>
                                <w:rPr>
                                  <w:szCs w:val="21"/>
                                </w:rPr>
                              </w:pPr>
                              <w:r>
                                <w:rPr>
                                  <w:szCs w:val="21"/>
                                </w:rPr>
                                <w:t>注：G废气 S固废 N噪声</w:t>
                              </w:r>
                            </w:p>
                          </w:txbxContent>
                        </v:textbox>
                      </v:rect>
                      <v:shape id="直接箭头连接符 230" o:spid="_x0000_s1026" o:spt="32" type="#_x0000_t32" style="position:absolute;left:1515110;top:3214370;flip:y;height:292100;width:0;" filled="f" stroked="t" coordsize="21600,21600" o:gfxdata="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X0QvvWAAAABQEAAA8AAAAAAAAAAQAgAAAAIgAAAGRycy9kb3ducmV2LnhtbFBLAQIUABQAAAAI&#10;AIdO4kA8PgQvKAIAABMEAAAOAAAAAAAAAAEAIAAAACUBAABkcnMvZTJvRG9jLnhtbFBLBQYAAAAA&#10;BgAGAFkBAAC/BQAAAAA=&#10;">
                        <v:fill on="f" focussize="0,0"/>
                        <v:stroke color="#000000" joinstyle="round" endarrow="block"/>
                        <v:imagedata o:title=""/>
                        <o:lock v:ext="edit" aspectratio="f"/>
                      </v:shape>
                      <v:rect id="矩形 231" o:spid="_x0000_s1026" o:spt="1" style="position:absolute;left:1030605;top:1686560;height:332105;width:958215;v-text-anchor:middle;" filled="f" stroked="t" coordsize="21600,21600" o:gfxdata="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MpfbDXAAAABQEAAA8AAAAAAAAAAQAgAAAAIgAAAGRy&#10;cy9kb3ducmV2LnhtbFBLAQIUABQAAAAIAIdO4kBt+dIGPwIAAGQEAAAOAAAAAAAAAAEAIAAAACYB&#10;AABkcnMvZTJvRG9jLnhtbFBLBQYAAAAABgAGAFkBAADXBQAAAAA=&#10;">
                        <v:fill on="f" focussize="0,0"/>
                        <v:stroke weight="2pt" color="#000000" joinstyle="round"/>
                        <v:imagedata o:title=""/>
                        <o:lock v:ext="edit" aspectratio="f"/>
                        <v:textbox>
                          <w:txbxContent>
                            <w:p w14:paraId="6FB98F75">
                              <w:pPr>
                                <w:adjustRightInd w:val="0"/>
                                <w:snapToGrid w:val="0"/>
                                <w:jc w:val="center"/>
                                <w:rPr>
                                  <w:rFonts w:eastAsia="仿宋"/>
                                  <w:szCs w:val="21"/>
                                </w:rPr>
                              </w:pPr>
                              <w:r>
                                <w:rPr>
                                  <w:rFonts w:eastAsia="仿宋"/>
                                  <w:szCs w:val="21"/>
                                </w:rPr>
                                <w:t>布袋除尘器</w:t>
                              </w:r>
                            </w:p>
                          </w:txbxContent>
                        </v:textbox>
                      </v:rect>
                      <v:shape id="直接箭头连接符 237" o:spid="_x0000_s1026" o:spt="32" type="#_x0000_t32" style="position:absolute;left:3522345;top:1864995;height:6985;width:187325;"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l&#10;aGqF1gAAAAUBAAAPAAAAAAAAAAEAIAAAACIAAABkcnMvZG93bnJldi54bWxQSwECFAAUAAAACACH&#10;TuJA1g+EyiYCAAAMBAAADgAAAAAAAAABACAAAAAlAQAAZHJzL2Uyb0RvYy54bWxQSwUGAAAAAAYA&#10;BgBZAQAAvQUAAAAA&#10;">
                        <v:fill on="f" focussize="0,0"/>
                        <v:stroke color="#000000" joinstyle="round" endarrow="block"/>
                        <v:imagedata o:title=""/>
                        <o:lock v:ext="edit" aspectratio="f"/>
                      </v:shape>
                      <v:shape id="直接箭头连接符 240" o:spid="_x0000_s1026" o:spt="32" type="#_x0000_t32" style="position:absolute;left:3486785;top:2437765;height:6350;width:187325;"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l&#10;aGqF1gAAAAUBAAAPAAAAAAAAAAEAIAAAACIAAABkcnMvZG93bnJldi54bWxQSwECFAAUAAAACACH&#10;TuJAJgzIVyYCAAAMBAAADgAAAAAAAAABACAAAAAlAQAAZHJzL2Uyb0RvYy54bWxQSwUGAAAAAAYA&#10;BgBZAQAAvQUAAAAA&#10;">
                        <v:fill on="f" focussize="0,0"/>
                        <v:stroke color="#000000" joinstyle="round" endarrow="block"/>
                        <v:imagedata o:title=""/>
                        <o:lock v:ext="edit" aspectratio="f"/>
                      </v:shape>
                      <v:rect id="矩形 244" o:spid="_x0000_s1026" o:spt="1" style="position:absolute;left:3618865;top:1751330;height:283845;width:708025;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L79IvSAAAABQEA&#10;AA8AAAAAAAAAAQAgAAAAIgAAAGRycy9kb3ducmV2LnhtbFBLAQIUABQAAAAIAIdO4kBhf4CZIAIA&#10;ACcEAAAOAAAAAAAAAAEAIAAAACEBAABkcnMvZTJvRG9jLnhtbFBLBQYAAAAABgAGAFkBAACzBQAA&#10;AAA=&#10;">
                        <v:fill on="f" focussize="0,0"/>
                        <v:stroke on="f"/>
                        <v:imagedata o:title=""/>
                        <o:lock v:ext="edit" aspectratio="f"/>
                        <v:textbox>
                          <w:txbxContent>
                            <w:p w14:paraId="0A1D77C8">
                              <w:pPr>
                                <w:adjustRightInd w:val="0"/>
                                <w:snapToGrid w:val="0"/>
                                <w:jc w:val="center"/>
                                <w:rPr>
                                  <w:szCs w:val="21"/>
                                </w:rPr>
                              </w:pPr>
                              <w:r>
                                <w:rPr>
                                  <w:szCs w:val="21"/>
                                </w:rPr>
                                <w:t>N、</w:t>
                              </w:r>
                              <w:r>
                                <w:rPr>
                                  <w:rFonts w:eastAsia="Arial Unicode MS"/>
                                  <w:sz w:val="18"/>
                                  <w:szCs w:val="18"/>
                                </w:rPr>
                                <w:t>G</w:t>
                              </w:r>
                            </w:p>
                            <w:p w14:paraId="02B01CC4">
                              <w:pPr>
                                <w:adjustRightInd w:val="0"/>
                                <w:snapToGrid w:val="0"/>
                                <w:jc w:val="center"/>
                                <w:rPr>
                                  <w:szCs w:val="21"/>
                                </w:rPr>
                              </w:pPr>
                            </w:p>
                          </w:txbxContent>
                        </v:textbox>
                      </v:rect>
                      <v:rect id="矩形 252" o:spid="_x0000_s1026" o:spt="1" style="position:absolute;left:95250;top:1732915;height:288290;width:848995;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vv0i9IAAAAFAQAA&#10;DwAAAAAAAAABACAAAAAiAAAAZHJzL2Rvd25yZXYueG1sUEsBAhQAFAAAAAgAh07iQFJUXggfAgAA&#10;JQQAAA4AAAAAAAAAAQAgAAAAIQEAAGRycy9lMm9Eb2MueG1sUEsFBgAAAAAGAAYAWQEAALIFAAAA&#10;AA==&#10;">
                        <v:fill on="f" focussize="0,0"/>
                        <v:stroke on="f"/>
                        <v:imagedata o:title=""/>
                        <o:lock v:ext="edit" aspectratio="f"/>
                        <v:textbox>
                          <w:txbxContent>
                            <w:p w14:paraId="74D5AFAA">
                              <w:pPr>
                                <w:adjustRightInd w:val="0"/>
                                <w:snapToGrid w:val="0"/>
                                <w:jc w:val="center"/>
                                <w:rPr>
                                  <w:szCs w:val="21"/>
                                </w:rPr>
                              </w:pPr>
                              <w:r>
                                <w:rPr>
                                  <w:szCs w:val="21"/>
                                </w:rPr>
                                <w:t>G、S、N</w:t>
                              </w:r>
                            </w:p>
                          </w:txbxContent>
                        </v:textbox>
                      </v:rect>
                      <v:rect id="矩形 3167" o:spid="_x0000_s1026" o:spt="1" style="position:absolute;left:3728720;top:2894965;height:295910;width:587375;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vv0i9IAAAAF&#10;AQAADwAAAAAAAAABACAAAAAiAAAAZHJzL2Rvd25yZXYueG1sUEsBAhQAFAAAAAgAh07iQGpidLci&#10;AgAAKAQAAA4AAAAAAAAAAQAgAAAAIQEAAGRycy9lMm9Eb2MueG1sUEsFBgAAAAAGAAYAWQEAALUF&#10;AAAAAA==&#10;">
                        <v:fill on="f" focussize="0,0"/>
                        <v:stroke on="f"/>
                        <v:imagedata o:title=""/>
                        <o:lock v:ext="edit" aspectratio="f"/>
                        <v:textbox>
                          <w:txbxContent>
                            <w:p w14:paraId="5069A2F6">
                              <w:pPr>
                                <w:adjustRightInd w:val="0"/>
                                <w:snapToGrid w:val="0"/>
                                <w:rPr>
                                  <w:szCs w:val="21"/>
                                </w:rPr>
                              </w:pPr>
                              <w:r>
                                <w:rPr>
                                  <w:szCs w:val="21"/>
                                </w:rPr>
                                <w:t>N</w:t>
                              </w:r>
                              <w:r>
                                <w:rPr>
                                  <w:rFonts w:hint="eastAsia"/>
                                  <w:szCs w:val="21"/>
                                </w:rPr>
                                <w:t>、G</w:t>
                              </w:r>
                            </w:p>
                          </w:txbxContent>
                        </v:textbox>
                      </v:rect>
                      <v:rect id="矩形 54" o:spid="_x0000_s1026" o:spt="1" style="position:absolute;left:307975;top:2943225;height:314325;width:593090;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L79IvSAAAABQEA&#10;AA8AAAAAAAAAAQAgAAAAIgAAAGRycy9kb3ducmV2LnhtbFBLAQIUABQAAAAIAIdO4kB8uI7EIAIA&#10;ACUEAAAOAAAAAAAAAAEAIAAAACEBAABkcnMvZTJvRG9jLnhtbFBLBQYAAAAABgAGAFkBAACzBQAA&#10;AAA=&#10;">
                        <v:fill on="f" focussize="0,0"/>
                        <v:stroke on="f"/>
                        <v:imagedata o:title=""/>
                        <o:lock v:ext="edit" aspectratio="f"/>
                        <v:textbox>
                          <w:txbxContent>
                            <w:p w14:paraId="23384F47">
                              <w:pPr>
                                <w:jc w:val="center"/>
                                <w:rPr>
                                  <w:szCs w:val="21"/>
                                </w:rPr>
                              </w:pPr>
                              <w:r>
                                <w:rPr>
                                  <w:szCs w:val="21"/>
                                </w:rPr>
                                <w:t>S、N</w:t>
                              </w:r>
                            </w:p>
                          </w:txbxContent>
                        </v:textbox>
                      </v:rect>
                      <v:rect id="矩形 55" o:spid="_x0000_s1026" o:spt="1" style="position:absolute;left:3710305;top:2343785;height:290830;width:708025;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SL0gAAAAUB&#10;AAAPAAAAAAAAAAEAIAAAACIAAABkcnMvZG93bnJldi54bWxQSwECFAAUAAAACACHTuJA5vtknyEC&#10;AAAmBAAADgAAAAAAAAABACAAAAAhAQAAZHJzL2Uyb0RvYy54bWxQSwUGAAAAAAYABgBZAQAAtAUA&#10;AAAA&#10;">
                        <v:fill on="f" focussize="0,0"/>
                        <v:stroke on="f"/>
                        <v:imagedata o:title=""/>
                        <o:lock v:ext="edit" aspectratio="f"/>
                        <v:textbox>
                          <w:txbxContent>
                            <w:p w14:paraId="29DB37C6">
                              <w:pPr>
                                <w:adjustRightInd w:val="0"/>
                                <w:snapToGrid w:val="0"/>
                                <w:rPr>
                                  <w:szCs w:val="21"/>
                                </w:rPr>
                              </w:pPr>
                              <w:r>
                                <w:rPr>
                                  <w:szCs w:val="21"/>
                                </w:rPr>
                                <w:t>N、G</w:t>
                              </w:r>
                            </w:p>
                          </w:txbxContent>
                        </v:textbox>
                      </v:rect>
                      <v:shape id="直接箭头连接符 56" o:spid="_x0000_s1026" o:spt="32" type="#_x0000_t32" style="position:absolute;left:3505835;top:3034665;height:6350;width:186690;"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Vo&#10;aoXWAAAABQEAAA8AAAAAAAAAAQAgAAAAIgAAAGRycy9kb3ducmV2LnhtbFBLAQIUABQAAAAIAIdO&#10;4kCTz9Z3JQIAAAsEAAAOAAAAAAAAAAEAIAAAACUBAABkcnMvZTJvRG9jLnhtbFBLBQYAAAAABgAG&#10;AFkBAAC8BQAAAAA=&#10;">
                        <v:fill on="f" focussize="0,0"/>
                        <v:stroke color="#000000" joinstyle="round" endarrow="block"/>
                        <v:imagedata o:title=""/>
                        <o:lock v:ext="edit" aspectratio="f"/>
                      </v:shape>
                      <v:shape id="直接箭头连接符 57" o:spid="_x0000_s1026" o:spt="32" type="#_x0000_t32" style="position:absolute;left:849630;top:3074035;flip:x;height:0;width:160020;" filled="f" stroked="t" coordsize="21600,21600" o:gfxdata="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0QvvWAAAABQEAAA8AAAAAAAAAAQAgAAAAIgAAAGRycy9kb3ducmV2LnhtbFBLAQIUABQA&#10;AAAIAIdO4kB6ZFj2KwIAABEEAAAOAAAAAAAAAAEAIAAAACUBAABkcnMvZTJvRG9jLnhtbFBLBQYA&#10;AAAABgAGAFkBAADCBQAAAAA=&#10;">
                        <v:fill on="f" focussize="0,0"/>
                        <v:stroke color="#000000" joinstyle="round" endarrow="block"/>
                        <v:imagedata o:title=""/>
                        <o:lock v:ext="edit" aspectratio="f"/>
                      </v:shape>
                      <v:shape id="直接箭头连接符 38" o:spid="_x0000_s1026" o:spt="32" type="#_x0000_t32" style="position:absolute;left:846455;top:1859915;flip:x;height:0;width:159385;" filled="f" stroked="t" coordsize="21600,21600" o:gfxdata="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fRC+9YAAAAFAQAADwAAAAAAAAABACAAAAAiAAAAZHJzL2Rvd25yZXYueG1sUEsBAhQAFAAA&#10;AAgAh07iQPo8bDsqAgAAEQQAAA4AAAAAAAAAAQAgAAAAJQEAAGRycy9lMm9Eb2MueG1sUEsFBgAA&#10;AAAGAAYAWQEAAMEFAAAAAA==&#10;">
                        <v:fill on="f" focussize="0,0"/>
                        <v:stroke color="#000000" joinstyle="round" endarrow="block"/>
                        <v:imagedata o:title=""/>
                        <o:lock v:ext="edit" aspectratio="f"/>
                      </v:shape>
                      <v:rect id="矩形 58" o:spid="_x0000_s1026" o:spt="1" style="position:absolute;left:2513330;top:121285;height:276225;width:845185;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L79IvSAAAABQEAAA8AAAAAAAAAAQAgAAAAIgAAAGRycy9kb3ducmV2LnhtbFBLAQIUABQA&#10;AAAIAIdO4kA6aZTuvQEAAGkDAAAOAAAAAAAAAAEAIAAAACEBAABkcnMvZTJvRG9jLnhtbFBLBQYA&#10;AAAABgAGAFkBAABQBQAAAAA=&#10;">
                        <v:fill on="f" focussize="0,0"/>
                        <v:stroke on="f"/>
                        <v:imagedata o:title=""/>
                        <o:lock v:ext="edit" aspectratio="f"/>
                        <v:textbox>
                          <w:txbxContent>
                            <w:p w14:paraId="40398D18">
                              <w:pPr>
                                <w:pStyle w:val="28"/>
                                <w:adjustRightInd w:val="0"/>
                                <w:snapToGrid w:val="0"/>
                                <w:spacing w:before="0" w:beforeAutospacing="0" w:after="0" w:afterAutospacing="0"/>
                                <w:jc w:val="center"/>
                                <w:rPr>
                                  <w:rFonts w:ascii="仿宋" w:hAnsi="仿宋" w:eastAsia="仿宋"/>
                                  <w:sz w:val="21"/>
                                  <w:szCs w:val="21"/>
                                </w:rPr>
                              </w:pPr>
                              <w:r>
                                <w:rPr>
                                  <w:rFonts w:hint="eastAsia" w:ascii="仿宋" w:hAnsi="仿宋" w:eastAsia="仿宋"/>
                                  <w:color w:val="000000"/>
                                  <w:sz w:val="21"/>
                                  <w:szCs w:val="21"/>
                                </w:rPr>
                                <w:t>原料</w:t>
                              </w:r>
                            </w:p>
                          </w:txbxContent>
                        </v:textbox>
                      </v:rect>
                      <v:shape id="直接箭头连接符 59" o:spid="_x0000_s1026" o:spt="32" type="#_x0000_t32" style="position:absolute;left:2940685;top:398145;height:183515;width:0;"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laGqF1gAAAAUBAAAP&#10;AAAAAAAAAAEAIAAAACIAAABkcnMvZG93bnJldi54bWxQSwECFAAUAAAACACHTuJAE7inMBoCAAAH&#10;BAAADgAAAAAAAAABACAAAAAlAQAAZHJzL2Uyb0RvYy54bWxQSwUGAAAAAAYABgBZAQAAsQUAAAAA&#10;">
                        <v:fill on="f" focussize="0,0"/>
                        <v:stroke color="#000000" joinstyle="round" endarrow="block"/>
                        <v:imagedata o:title=""/>
                        <o:lock v:ext="edit" aspectratio="f"/>
                      </v:shape>
                      <v:rect id="矩形 60" o:spid="_x0000_s1026" o:spt="1" style="position:absolute;left:3678555;top:1060450;height:379095;width:746760;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SL0gAAAAUB&#10;AAAPAAAAAAAAAAEAIAAAACIAAABkcnMvZG93bnJldi54bWxQSwECFAAUAAAACACHTuJAO1MNLSEC&#10;AAAmBAAADgAAAAAAAAABACAAAAAhAQAAZHJzL2Uyb0RvYy54bWxQSwUGAAAAAAYABgBZAQAAtAUA&#10;AAAA&#10;">
                        <v:fill on="f" focussize="0,0"/>
                        <v:stroke on="f"/>
                        <v:imagedata o:title=""/>
                        <o:lock v:ext="edit" aspectratio="f"/>
                        <v:textbox>
                          <w:txbxContent>
                            <w:p w14:paraId="39A6CFA2">
                              <w:pPr>
                                <w:pStyle w:val="28"/>
                                <w:adjustRightInd w:val="0"/>
                                <w:snapToGrid w:val="0"/>
                                <w:spacing w:before="0" w:beforeAutospacing="0" w:after="0" w:afterAutospacing="0"/>
                                <w:rPr>
                                  <w:rFonts w:ascii="Times New Roman" w:hAnsi="Times New Roman" w:eastAsia="Arial Unicode MS"/>
                                  <w:color w:val="FF0000"/>
                                  <w:sz w:val="21"/>
                                  <w:szCs w:val="21"/>
                                </w:rPr>
                              </w:pPr>
                              <w:r>
                                <w:rPr>
                                  <w:rFonts w:ascii="Times New Roman" w:hAnsi="Times New Roman" w:eastAsia="Arial Unicode MS"/>
                                  <w:color w:val="000000"/>
                                  <w:sz w:val="21"/>
                                  <w:szCs w:val="21"/>
                                </w:rPr>
                                <w:t>N</w:t>
                              </w:r>
                              <w:r>
                                <w:rPr>
                                  <w:rFonts w:ascii="Times New Roman" w:hAnsi="Times New Roman" w:eastAsia="Arial Unicode MS"/>
                                  <w:sz w:val="21"/>
                                  <w:szCs w:val="21"/>
                                </w:rPr>
                                <w:t>、S、G</w:t>
                              </w:r>
                            </w:p>
                          </w:txbxContent>
                        </v:textbox>
                      </v:rect>
                      <v:shape id="直接箭头连接符 61" o:spid="_x0000_s1026" o:spt="32" type="#_x0000_t32" style="position:absolute;left:3502025;top:1270635;height:6350;width:187325;"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Whq&#10;hdYAAAAFAQAADwAAAAAAAAABACAAAAAiAAAAZHJzL2Rvd25yZXYueG1sUEsBAhQAFAAAAAgAh07i&#10;QI5wtGckAgAACwQAAA4AAAAAAAAAAQAgAAAAJQEAAGRycy9lMm9Eb2MueG1sUEsFBgAAAAAGAAYA&#10;WQEAALsFAAAAAA==&#10;">
                        <v:fill on="f" focussize="0,0"/>
                        <v:stroke color="#000000" joinstyle="round" endarrow="block"/>
                        <v:imagedata o:title=""/>
                        <o:lock v:ext="edit" aspectratio="f"/>
                      </v:shape>
                      <v:rect id="矩形 62" o:spid="_x0000_s1026" o:spt="1" style="position:absolute;left:1030605;top:2296795;height:303530;width:958215;v-text-anchor:middle;" filled="f" stroked="t" coordsize="21600,21600" o:gfxdata="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yl9sNcAAAAFAQAADwAAAAAAAAABACAAAAAi&#10;AAAAZHJzL2Rvd25yZXYueG1sUEsBAhQAFAAAAAgAh07iQOCSBh9EAgAAYwQAAA4AAAAAAAAAAQAg&#10;AAAAJgEAAGRycy9lMm9Eb2MueG1sUEsFBgAAAAAGAAYAWQEAANwFAAAAAA==&#10;">
                        <v:fill on="f" focussize="0,0"/>
                        <v:stroke weight="2pt" color="#000000" joinstyle="round"/>
                        <v:imagedata o:title=""/>
                        <o:lock v:ext="edit" aspectratio="f"/>
                        <v:textbox>
                          <w:txbxContent>
                            <w:p w14:paraId="387D1A3F">
                              <w:pPr>
                                <w:adjustRightInd w:val="0"/>
                                <w:snapToGrid w:val="0"/>
                                <w:jc w:val="center"/>
                                <w:rPr>
                                  <w:rFonts w:eastAsia="仿宋"/>
                                  <w:szCs w:val="21"/>
                                </w:rPr>
                              </w:pPr>
                              <w:r>
                                <w:rPr>
                                  <w:rFonts w:hint="eastAsia" w:eastAsia="仿宋"/>
                                  <w:szCs w:val="21"/>
                                </w:rPr>
                                <w:t>换热器</w:t>
                              </w:r>
                            </w:p>
                          </w:txbxContent>
                        </v:textbox>
                      </v:rect>
                      <v:shape id="直接箭头连接符 63" o:spid="_x0000_s1026" o:spt="32" type="#_x0000_t32" style="position:absolute;left:1505585;top:2016760;flip:y;height:292100;width:0;" filled="f" stroked="t" coordsize="21600,21600" o:gfxdata="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fRC+9YAAAAFAQAADwAAAAAAAAABACAAAAAiAAAAZHJzL2Rvd25yZXYueG1sUEsBAhQAFAAAAAgA&#10;h07iQLUXoPsnAgAAEgQAAA4AAAAAAAAAAQAgAAAAJQEAAGRycy9lMm9Eb2MueG1sUEsFBgAAAAAG&#10;AAYAWQEAAL4FAAAAAA==&#10;">
                        <v:fill on="f" focussize="0,0"/>
                        <v:stroke color="#000000" joinstyle="round" endarrow="block"/>
                        <v:imagedata o:title=""/>
                        <o:lock v:ext="edit" aspectratio="f"/>
                      </v:shape>
                      <v:shape id="直接箭头连接符 64" o:spid="_x0000_s1026" o:spt="32" type="#_x0000_t32" style="position:absolute;left:1504315;top:2606040;flip:y;height:292100;width:0;" filled="f" stroked="t" coordsize="21600,21600" o:gfxdata="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fRC+9YAAAAFAQAADwAAAAAAAAABACAAAAAiAAAAZHJzL2Rvd25yZXYueG1sUEsBAhQAFAAAAAgA&#10;h07iQHXYTvsnAgAAEQQAAA4AAAAAAAAAAQAgAAAAJQEAAGRycy9lMm9Eb2MueG1sUEsFBgAAAAAG&#10;AAYAWQEAAL4FAAAAAA==&#10;">
                        <v:fill on="f" focussize="0,0"/>
                        <v:stroke color="#000000" joinstyle="round" endarrow="block"/>
                        <v:imagedata o:title=""/>
                        <o:lock v:ext="edit" aspectratio="f"/>
                      </v:shape>
                      <v:shape id="直接箭头连接符 65" o:spid="_x0000_s1026" o:spt="32" type="#_x0000_t32" style="position:absolute;left:864235;top:2435860;flip:x;height:0;width:160020;" filled="f" stroked="t" coordsize="21600,21600" o:gfxdata="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V9EL71gAAAAUBAAAPAAAAAAAAAAEAIAAAACIAAABkcnMvZG93bnJldi54bWxQSwECFAAUAAAA&#10;CACHTuJAZoihZCkCAAAQBAAADgAAAAAAAAABACAAAAAlAQAAZHJzL2Uyb0RvYy54bWxQSwUGAAAA&#10;AAYABgBZAQAAwAUAAAAA&#10;">
                        <v:fill on="f" focussize="0,0"/>
                        <v:stroke color="#000000" joinstyle="round" endarrow="block"/>
                        <v:imagedata o:title=""/>
                        <o:lock v:ext="edit" aspectratio="f"/>
                      </v:shape>
                      <v:rect id="矩形 66" o:spid="_x0000_s1026" o:spt="1" style="position:absolute;left:299720;top:2282825;height:314325;width:593090;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vv0i9IAAAAFAQAADwAA&#10;AAAAAAABACAAAAAiAAAAZHJzL2Rvd25yZXYueG1sUEsBAhQAFAAAAAgAh07iQHn3Y+ccAgAAJAQA&#10;AA4AAAAAAAAAAQAgAAAAIQEAAGRycy9lMm9Eb2MueG1sUEsFBgAAAAAGAAYAWQEAAK8FAAAAAA==&#10;">
                        <v:fill on="f" focussize="0,0"/>
                        <v:stroke on="f"/>
                        <v:imagedata o:title=""/>
                        <o:lock v:ext="edit" aspectratio="f"/>
                        <v:textbox>
                          <w:txbxContent>
                            <w:p w14:paraId="19C7FFB8">
                              <w:pPr>
                                <w:jc w:val="center"/>
                                <w:rPr>
                                  <w:szCs w:val="21"/>
                                </w:rPr>
                              </w:pPr>
                              <w:r>
                                <w:rPr>
                                  <w:szCs w:val="21"/>
                                </w:rPr>
                                <w:t>N</w:t>
                              </w:r>
                            </w:p>
                          </w:txbxContent>
                        </v:textbox>
                      </v:rect>
                      <v:rect id="矩形 109" o:spid="_x0000_s1026" o:spt="1" style="position:absolute;left:2332990;top:588645;height:296545;width:1148715;v-text-anchor:middle;" filled="f" stroked="t" coordsize="21600,21600" o:gfxdata="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sNJrHWAAAABQEAAA8A&#10;AAAAAAAAAQAgAAAAIgAAAGRycy9kb3ducmV2LnhtbFBLAQIUABQAAAAIAIdO4kBhJvjUGQIAACoE&#10;AAAOAAAAAAAAAAEAIAAAACUBAABkcnMvZTJvRG9jLnhtbFBLBQYAAAAABgAGAFkBAACwBQAAAAA=&#10;">
                        <v:fill on="f" focussize="0,0"/>
                        <v:stroke weight="2.25pt" color="#000000" joinstyle="round"/>
                        <v:imagedata o:title=""/>
                        <o:lock v:ext="edit" aspectratio="f"/>
                        <v:textbox>
                          <w:txbxContent>
                            <w:p w14:paraId="679CDB73">
                              <w:pPr>
                                <w:adjustRightInd w:val="0"/>
                                <w:snapToGrid w:val="0"/>
                                <w:jc w:val="center"/>
                                <w:rPr>
                                  <w:rFonts w:hint="default" w:eastAsia="仿宋"/>
                                  <w:szCs w:val="21"/>
                                  <w:lang w:val="en-US" w:eastAsia="zh-CN"/>
                                </w:rPr>
                              </w:pPr>
                              <w:r>
                                <w:rPr>
                                  <w:rFonts w:hint="eastAsia" w:eastAsia="仿宋"/>
                                  <w:szCs w:val="21"/>
                                  <w:lang w:val="en-US" w:eastAsia="zh-CN"/>
                                </w:rPr>
                                <w:t>运输、装卸</w:t>
                              </w:r>
                            </w:p>
                          </w:txbxContent>
                        </v:textbox>
                      </v:rect>
                      <v:shape id="直接箭头连接符 59" o:spid="_x0000_s1026" o:spt="32" type="#_x0000_t32" style="position:absolute;left:2924810;top:907415;height:183515;width:0;"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WhqhdYAAAAFAQAADwAA&#10;AAAAAAABACAAAAAiAAAAZHJzL2Rvd25yZXYueG1sUEsBAhQAFAAAAAgAh07iQE27F7EYAgAABgQA&#10;AA4AAAAAAAAAAQAgAAAAJQEAAGRycy9lMm9Eb2MueG1sUEsFBgAAAAAGAAYAWQEAAK8FAAAAAA==&#10;">
                        <v:fill on="f" focussize="0,0"/>
                        <v:stroke color="#000000" joinstyle="round" endarrow="block"/>
                        <v:imagedata o:title=""/>
                        <o:lock v:ext="edit" aspectratio="f"/>
                      </v:shape>
                      <v:rect id="矩形 60" o:spid="_x0000_s1026" o:spt="1" style="position:absolute;left:3695065;top:542925;height:379095;width:746760;v-text-anchor:middle;" filled="f" stroked="f" coordsize="21600,21600" o:gfxdata="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vv0i9IAAAAFAQAA&#10;DwAAAAAAAAABACAAAAAiAAAAZHJzL2Rvd25yZXYueG1sUEsBAhQAFAAAAAgAh07iQIXe1W8fAgAA&#10;JAQAAA4AAAAAAAAAAQAgAAAAIQEAAGRycy9lMm9Eb2MueG1sUEsFBgAAAAAGAAYAWQEAALIFAAAA&#10;AA==&#10;">
                        <v:fill on="f" focussize="0,0"/>
                        <v:stroke on="f"/>
                        <v:imagedata o:title=""/>
                        <o:lock v:ext="edit" aspectratio="f"/>
                        <v:textbox>
                          <w:txbxContent>
                            <w:p w14:paraId="288B61EB">
                              <w:pPr>
                                <w:pStyle w:val="28"/>
                                <w:adjustRightInd w:val="0"/>
                                <w:snapToGrid w:val="0"/>
                                <w:spacing w:before="0" w:beforeAutospacing="0" w:after="0" w:afterAutospacing="0"/>
                                <w:rPr>
                                  <w:rFonts w:ascii="Times New Roman" w:hAnsi="Times New Roman" w:eastAsia="Arial Unicode MS"/>
                                  <w:color w:val="FF0000"/>
                                  <w:sz w:val="21"/>
                                  <w:szCs w:val="21"/>
                                </w:rPr>
                              </w:pPr>
                              <w:r>
                                <w:rPr>
                                  <w:rFonts w:ascii="Times New Roman" w:hAnsi="Times New Roman" w:eastAsia="Arial Unicode MS"/>
                                  <w:color w:val="000000"/>
                                  <w:sz w:val="21"/>
                                  <w:szCs w:val="21"/>
                                </w:rPr>
                                <w:t>N</w:t>
                              </w:r>
                              <w:r>
                                <w:rPr>
                                  <w:rFonts w:ascii="Times New Roman" w:hAnsi="Times New Roman" w:eastAsia="Arial Unicode MS"/>
                                  <w:sz w:val="21"/>
                                  <w:szCs w:val="21"/>
                                </w:rPr>
                                <w:t>、S、G</w:t>
                              </w:r>
                            </w:p>
                          </w:txbxContent>
                        </v:textbox>
                      </v:rect>
                      <v:shape id="直接箭头连接符 61" o:spid="_x0000_s1026" o:spt="32" type="#_x0000_t32" style="position:absolute;left:3487420;top:760095;height:6350;width:187325;" filled="f" stroked="t" coordsize="21600,21600" o:gfxdata="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l&#10;aGqF1gAAAAUBAAAPAAAAAAAAAAEAIAAAACIAAABkcnMvZG93bnJldi54bWxQSwECFAAUAAAACACH&#10;TuJAmfIrMyYCAAAKBAAADgAAAAAAAAABACAAAAAlAQAAZHJzL2Uyb0RvYy54bWxQSwUGAAAAAAYA&#10;BgBZAQAAvQUAAAAA&#10;">
                        <v:fill on="f" focussize="0,0"/>
                        <v:stroke color="#000000" joinstyle="round" endarrow="block"/>
                        <v:imagedata o:title=""/>
                        <o:lock v:ext="edit" aspectratio="f"/>
                      </v:shape>
                      <w10:wrap type="none"/>
                      <w10:anchorlock/>
                    </v:group>
                  </w:pict>
                </mc:Fallback>
              </mc:AlternateContent>
            </w:r>
          </w:p>
          <w:p w14:paraId="3FAC3F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图2-</w:t>
            </w:r>
            <w:r>
              <w:rPr>
                <w:rFonts w:hint="default" w:ascii="Times New Roman" w:hAnsi="Times New Roman" w:eastAsia="宋体" w:cs="Times New Roman"/>
                <w:b/>
                <w:bCs/>
                <w:snapToGrid w:val="0"/>
                <w:color w:val="000000" w:themeColor="text1"/>
                <w:szCs w:val="21"/>
                <w:highlight w:val="none"/>
                <w:lang w:val="en-US" w:eastAsia="zh-CN"/>
                <w14:textFill>
                  <w14:solidFill>
                    <w14:schemeClr w14:val="tx1"/>
                  </w14:solidFill>
                </w14:textFill>
              </w:rPr>
              <w:t>2 玉米烘干工艺</w:t>
            </w: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流程及产污环节图</w:t>
            </w:r>
          </w:p>
          <w:p w14:paraId="2BD41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eastAsia="zh-CN"/>
                <w14:textFill>
                  <w14:solidFill>
                    <w14:schemeClr w14:val="tx1"/>
                  </w14:solidFill>
                </w14:textFill>
              </w:rPr>
              <w:t>工艺流程简述：</w:t>
            </w:r>
          </w:p>
          <w:p w14:paraId="65CF350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（1）进出仓工艺流程</w:t>
            </w:r>
          </w:p>
          <w:p w14:paraId="6510A3F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湿粮经汽车运输至厂区内，称量后经输送</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带</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送至</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内筛分后，由提升机送至</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潮粮仓，烘干时再由提升机送至</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烘干塔内进行烘干，烘干塔配有1台</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8t/h</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的</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燃生物质</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热风炉，热风炉产生的热量经过换热器将冷空气加热，热空气通过热风机经管道送入烘干塔，热空气与塔内的湿粮接触，层层蒸发掉粮食内多余的水份，烘干后干燥的</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玉米</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进入</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干粮仓或库房，</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储存</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打包外售</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p w14:paraId="0CA34E1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（2）热气输送至烘干塔流程</w:t>
            </w:r>
          </w:p>
          <w:p w14:paraId="64607E2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冷空气由鼓风机送至燃</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生物质</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热风炉内，经热风炉加热后形成高温烟气，冷空气经换热器与高温烟气进行热交换后，变为热空气，经风机送至烘干塔内进行烘干粮食，烘干后的热空气由塔顶排放，交换后的烟气经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排放。</w:t>
            </w:r>
          </w:p>
          <w:p w14:paraId="7A0DDA7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（3）烘干塔内工艺流程</w:t>
            </w:r>
          </w:p>
          <w:p w14:paraId="6A83C62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在干燥段内，由于粮食自重，自上而下流动，热风进入，朝上方向穿过粮层，热风在穿过粮层时，与粮粒间进行湿热传递，热风将热量转给粮粒，使之温度升高，与粮食接触温度最高不超过60℃，粮粒受热升温，水分蒸发到空气中，干燥介质携带着水汽变成废气经烘干塔口排出。在这个过程中，粮食温度升得越高，水分就蒸发得越快。为保证粮食的品质，即加工性和食用性，干燥段内粮食温升和干燥时间是受到严格控制的，其原则是既要降低粮食的水分，又不能损害粮食的品质。在烘干段内没有布置通风角状管的部位为缓苏段，烘干的热粮向下流动到缓苏段，缓苏段内不通热风，其主要作用是减缓在干燥过程中粮粒内形成的应力，促进谷粒内部水分逐渐向外移动，使粮粒表面和内部的水分趋于平衡。缓苏工艺实施既有利于下一阶段的干燥，又能确保烘后粮的品质。</w:t>
            </w:r>
          </w:p>
          <w:p w14:paraId="53F51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本项目运营期工程主要排污节点见表2-9。</w:t>
            </w:r>
          </w:p>
          <w:p w14:paraId="3FD7394F">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表2-9 本项目运营期工程主要排污节点一览表</w:t>
            </w:r>
          </w:p>
          <w:tbl>
            <w:tblPr>
              <w:tblStyle w:val="3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08"/>
              <w:gridCol w:w="1570"/>
              <w:gridCol w:w="1024"/>
              <w:gridCol w:w="3238"/>
            </w:tblGrid>
            <w:tr w14:paraId="28E3C9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Borders>
                    <w:tl2br w:val="nil"/>
                    <w:tr2bl w:val="nil"/>
                  </w:tcBorders>
                  <w:noWrap w:val="0"/>
                  <w:vAlign w:val="center"/>
                </w:tcPr>
                <w:p w14:paraId="13B206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项目</w:t>
                  </w:r>
                </w:p>
              </w:tc>
              <w:tc>
                <w:tcPr>
                  <w:tcW w:w="1508" w:type="dxa"/>
                  <w:tcBorders>
                    <w:tl2br w:val="nil"/>
                    <w:tr2bl w:val="nil"/>
                  </w:tcBorders>
                  <w:noWrap w:val="0"/>
                  <w:vAlign w:val="center"/>
                </w:tcPr>
                <w:p w14:paraId="34CA26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污染源</w:t>
                  </w:r>
                </w:p>
              </w:tc>
              <w:tc>
                <w:tcPr>
                  <w:tcW w:w="1570" w:type="dxa"/>
                  <w:tcBorders>
                    <w:tl2br w:val="nil"/>
                    <w:tr2bl w:val="nil"/>
                  </w:tcBorders>
                  <w:noWrap w:val="0"/>
                  <w:vAlign w:val="center"/>
                </w:tcPr>
                <w:p w14:paraId="3010D3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污染物</w:t>
                  </w:r>
                </w:p>
              </w:tc>
              <w:tc>
                <w:tcPr>
                  <w:tcW w:w="1024" w:type="dxa"/>
                  <w:tcBorders>
                    <w:tl2br w:val="nil"/>
                    <w:tr2bl w:val="nil"/>
                  </w:tcBorders>
                  <w:noWrap w:val="0"/>
                  <w:vAlign w:val="center"/>
                </w:tcPr>
                <w:p w14:paraId="263C38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排放特点</w:t>
                  </w:r>
                </w:p>
              </w:tc>
              <w:tc>
                <w:tcPr>
                  <w:tcW w:w="3238" w:type="dxa"/>
                  <w:tcBorders>
                    <w:tl2br w:val="nil"/>
                    <w:tr2bl w:val="nil"/>
                  </w:tcBorders>
                  <w:noWrap w:val="0"/>
                  <w:vAlign w:val="center"/>
                </w:tcPr>
                <w:p w14:paraId="6141B9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治理措施</w:t>
                  </w:r>
                </w:p>
              </w:tc>
            </w:tr>
            <w:tr w14:paraId="320BCE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restart"/>
                  <w:tcBorders>
                    <w:tl2br w:val="nil"/>
                    <w:tr2bl w:val="nil"/>
                  </w:tcBorders>
                  <w:noWrap w:val="0"/>
                  <w:vAlign w:val="center"/>
                </w:tcPr>
                <w:p w14:paraId="573603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废气</w:t>
                  </w:r>
                </w:p>
              </w:tc>
              <w:tc>
                <w:tcPr>
                  <w:tcW w:w="1508" w:type="dxa"/>
                  <w:tcBorders>
                    <w:tl2br w:val="nil"/>
                    <w:tr2bl w:val="nil"/>
                  </w:tcBorders>
                  <w:noWrap w:val="0"/>
                  <w:vAlign w:val="center"/>
                </w:tcPr>
                <w:p w14:paraId="5DEF15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热风炉烟囱（</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DA001</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570" w:type="dxa"/>
                  <w:tcBorders>
                    <w:tl2br w:val="nil"/>
                    <w:tr2bl w:val="nil"/>
                  </w:tcBorders>
                  <w:noWrap w:val="0"/>
                  <w:vAlign w:val="center"/>
                </w:tcPr>
                <w:p w14:paraId="647EF86C">
                  <w:pPr>
                    <w:pStyle w:val="13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sz w:val="18"/>
                      <w:szCs w:val="18"/>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、烟气黑度</w:t>
                  </w:r>
                  <w:r>
                    <w:rPr>
                      <w:rFonts w:hint="default" w:ascii="Times New Roman" w:hAnsi="Times New Roman" w:eastAsia="宋体" w:cs="Times New Roman"/>
                      <w:color w:val="000000" w:themeColor="text1"/>
                      <w:sz w:val="18"/>
                      <w:szCs w:val="18"/>
                      <w:highlight w:val="none"/>
                      <w14:textFill>
                        <w14:solidFill>
                          <w14:schemeClr w14:val="tx1"/>
                        </w14:solidFill>
                      </w14:textFill>
                    </w:rPr>
                    <w:t>、SO</w:t>
                  </w:r>
                  <w:r>
                    <w:rPr>
                      <w:rFonts w:hint="default" w:ascii="Times New Roman" w:hAnsi="Times New Roman" w:eastAsia="宋体" w:cs="Times New Roman"/>
                      <w:color w:val="000000" w:themeColor="text1"/>
                      <w:sz w:val="18"/>
                      <w:szCs w:val="18"/>
                      <w:highlight w:val="none"/>
                      <w:vertAlign w:val="subscript"/>
                      <w14:textFill>
                        <w14:solidFill>
                          <w14:schemeClr w14:val="tx1"/>
                        </w14:solidFill>
                      </w14:textFill>
                    </w:rPr>
                    <w:t>2</w:t>
                  </w:r>
                </w:p>
              </w:tc>
              <w:tc>
                <w:tcPr>
                  <w:tcW w:w="1024" w:type="dxa"/>
                  <w:vMerge w:val="restart"/>
                  <w:tcBorders>
                    <w:tl2br w:val="nil"/>
                    <w:tr2bl w:val="nil"/>
                  </w:tcBorders>
                  <w:noWrap w:val="0"/>
                  <w:vAlign w:val="center"/>
                </w:tcPr>
                <w:p w14:paraId="3D3C322E">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连续</w:t>
                  </w:r>
                </w:p>
              </w:tc>
              <w:tc>
                <w:tcPr>
                  <w:tcW w:w="3238" w:type="dxa"/>
                  <w:tcBorders>
                    <w:tl2br w:val="nil"/>
                    <w:tr2bl w:val="nil"/>
                  </w:tcBorders>
                  <w:noWrap w:val="0"/>
                  <w:vAlign w:val="center"/>
                </w:tcPr>
                <w:p w14:paraId="589A5E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布袋除尘器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18"/>
                      <w:szCs w:val="18"/>
                      <w:highlight w:val="none"/>
                      <w14:textFill>
                        <w14:solidFill>
                          <w14:schemeClr w14:val="tx1"/>
                        </w14:solidFill>
                      </w14:textFill>
                    </w:rPr>
                    <w:t>m高</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烟囱</w:t>
                  </w:r>
                  <w:r>
                    <w:rPr>
                      <w:rFonts w:hint="default" w:ascii="Times New Roman" w:hAnsi="Times New Roman" w:eastAsia="宋体" w:cs="Times New Roman"/>
                      <w:color w:val="000000" w:themeColor="text1"/>
                      <w:sz w:val="18"/>
                      <w:szCs w:val="18"/>
                      <w:highlight w:val="none"/>
                      <w14:textFill>
                        <w14:solidFill>
                          <w14:schemeClr w14:val="tx1"/>
                        </w14:solidFill>
                      </w14:textFill>
                    </w:rPr>
                    <w:t>排放</w:t>
                  </w:r>
                </w:p>
              </w:tc>
            </w:tr>
            <w:tr w14:paraId="0B3EC8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Borders>
                    <w:tl2br w:val="nil"/>
                    <w:tr2bl w:val="nil"/>
                  </w:tcBorders>
                  <w:noWrap w:val="0"/>
                  <w:vAlign w:val="center"/>
                </w:tcPr>
                <w:p w14:paraId="498D4F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508" w:type="dxa"/>
                  <w:tcBorders>
                    <w:tl2br w:val="nil"/>
                    <w:tr2bl w:val="nil"/>
                  </w:tcBorders>
                  <w:noWrap w:val="0"/>
                  <w:vAlign w:val="center"/>
                </w:tcPr>
                <w:p w14:paraId="081880AF">
                  <w:pPr>
                    <w:keepNext w:val="0"/>
                    <w:keepLines w:val="0"/>
                    <w:pageBreakBefore w:val="0"/>
                    <w:widowControl/>
                    <w:suppressLineNumbers w:val="0"/>
                    <w:tabs>
                      <w:tab w:val="left" w:pos="5760"/>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运输、筛分、</w:t>
                  </w:r>
                </w:p>
                <w:p w14:paraId="6E6FA8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储存</w:t>
                  </w:r>
                </w:p>
              </w:tc>
              <w:tc>
                <w:tcPr>
                  <w:tcW w:w="1570" w:type="dxa"/>
                  <w:tcBorders>
                    <w:tl2br w:val="nil"/>
                    <w:tr2bl w:val="nil"/>
                  </w:tcBorders>
                  <w:noWrap w:val="0"/>
                  <w:vAlign w:val="center"/>
                </w:tcPr>
                <w:p w14:paraId="5F06211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颗粒物</w:t>
                  </w:r>
                </w:p>
              </w:tc>
              <w:tc>
                <w:tcPr>
                  <w:tcW w:w="1024" w:type="dxa"/>
                  <w:vMerge w:val="continue"/>
                  <w:tcBorders>
                    <w:tl2br w:val="nil"/>
                    <w:tr2bl w:val="nil"/>
                  </w:tcBorders>
                  <w:noWrap w:val="0"/>
                  <w:vAlign w:val="center"/>
                </w:tcPr>
                <w:p w14:paraId="3EC55B21">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3238" w:type="dxa"/>
                  <w:tcBorders>
                    <w:tl2br w:val="nil"/>
                    <w:tr2bl w:val="nil"/>
                  </w:tcBorders>
                  <w:noWrap w:val="0"/>
                  <w:vAlign w:val="center"/>
                </w:tcPr>
                <w:p w14:paraId="72AFEC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装卸工段</w:t>
                  </w:r>
                  <w:r>
                    <w:rPr>
                      <w:rFonts w:hint="default" w:ascii="Times New Roman" w:hAnsi="Times New Roman" w:eastAsia="宋体" w:cs="Times New Roman"/>
                      <w:color w:val="000000" w:themeColor="text1"/>
                      <w:spacing w:val="0"/>
                      <w:kern w:val="0"/>
                      <w:sz w:val="18"/>
                      <w:szCs w:val="18"/>
                      <w:highlight w:val="none"/>
                      <w:lang w:val="en-US" w:eastAsia="zh-CN" w:bidi="ar"/>
                      <w14:textFill>
                        <w14:solidFill>
                          <w14:schemeClr w14:val="tx1"/>
                        </w14:solidFill>
                      </w14:textFill>
                    </w:rPr>
                    <w:t>采用密闭性良好的设备，全封闭输送机、原粮入仓采取封闭和减小装卸高度</w:t>
                  </w:r>
                  <w:r>
                    <w:rPr>
                      <w:rFonts w:hint="default" w:ascii="Times New Roman" w:hAnsi="Times New Roman" w:eastAsia="宋体" w:cs="Times New Roman"/>
                      <w:color w:val="000000" w:themeColor="text1"/>
                      <w:sz w:val="18"/>
                      <w:szCs w:val="18"/>
                      <w:highlight w:val="none"/>
                      <w14:textFill>
                        <w14:solidFill>
                          <w14:schemeClr w14:val="tx1"/>
                        </w14:solidFill>
                      </w14:textFill>
                    </w:rPr>
                    <w:t>等降尘措施，运输过程中采用封闭输送</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；清粮采用全密闭</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处理后</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无组织</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排放；烘干塔内部自带重力沉降室，烘干塔底部四周设置防尘挡板，粉尘受挡板格挡后受重力作用回落到烘干塔底部收尘设施中。</w:t>
                  </w:r>
                </w:p>
              </w:tc>
            </w:tr>
            <w:tr w14:paraId="4A5B86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Borders>
                    <w:tl2br w:val="nil"/>
                    <w:tr2bl w:val="nil"/>
                  </w:tcBorders>
                  <w:noWrap w:val="0"/>
                  <w:vAlign w:val="center"/>
                </w:tcPr>
                <w:p w14:paraId="092779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508" w:type="dxa"/>
                  <w:tcBorders>
                    <w:tl2br w:val="nil"/>
                    <w:tr2bl w:val="nil"/>
                  </w:tcBorders>
                  <w:noWrap w:val="0"/>
                  <w:vAlign w:val="center"/>
                </w:tcPr>
                <w:p w14:paraId="68054B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热风炉房</w:t>
                  </w:r>
                </w:p>
              </w:tc>
              <w:tc>
                <w:tcPr>
                  <w:tcW w:w="1570" w:type="dxa"/>
                  <w:tcBorders>
                    <w:tl2br w:val="nil"/>
                    <w:tr2bl w:val="nil"/>
                  </w:tcBorders>
                  <w:noWrap w:val="0"/>
                  <w:vAlign w:val="center"/>
                </w:tcPr>
                <w:p w14:paraId="5B9FEEC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颗粒物</w:t>
                  </w:r>
                </w:p>
              </w:tc>
              <w:tc>
                <w:tcPr>
                  <w:tcW w:w="1024" w:type="dxa"/>
                  <w:vMerge w:val="continue"/>
                  <w:tcBorders>
                    <w:tl2br w:val="nil"/>
                    <w:tr2bl w:val="nil"/>
                  </w:tcBorders>
                  <w:noWrap w:val="0"/>
                  <w:vAlign w:val="center"/>
                </w:tcPr>
                <w:p w14:paraId="62078651">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3238" w:type="dxa"/>
                  <w:tcBorders>
                    <w:tl2br w:val="nil"/>
                    <w:tr2bl w:val="nil"/>
                  </w:tcBorders>
                  <w:noWrap w:val="0"/>
                  <w:vAlign w:val="center"/>
                </w:tcPr>
                <w:p w14:paraId="09B350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洒水降尘</w:t>
                  </w:r>
                </w:p>
              </w:tc>
            </w:tr>
            <w:tr w14:paraId="156C07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Borders>
                    <w:tl2br w:val="nil"/>
                    <w:tr2bl w:val="nil"/>
                  </w:tcBorders>
                  <w:noWrap w:val="0"/>
                  <w:vAlign w:val="center"/>
                </w:tcPr>
                <w:p w14:paraId="7ECF76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废水</w:t>
                  </w:r>
                </w:p>
              </w:tc>
              <w:tc>
                <w:tcPr>
                  <w:tcW w:w="1508" w:type="dxa"/>
                  <w:tcBorders>
                    <w:tl2br w:val="nil"/>
                    <w:tr2bl w:val="nil"/>
                  </w:tcBorders>
                  <w:noWrap w:val="0"/>
                  <w:vAlign w:val="center"/>
                </w:tcPr>
                <w:p w14:paraId="29D854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t>生活污水</w:t>
                  </w:r>
                </w:p>
              </w:tc>
              <w:tc>
                <w:tcPr>
                  <w:tcW w:w="1570" w:type="dxa"/>
                  <w:tcBorders>
                    <w:tl2br w:val="nil"/>
                    <w:tr2bl w:val="nil"/>
                  </w:tcBorders>
                  <w:noWrap w:val="0"/>
                  <w:vAlign w:val="center"/>
                </w:tcPr>
                <w:p w14:paraId="6A2414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t>COD、SS、氨氮</w:t>
                  </w:r>
                </w:p>
              </w:tc>
              <w:tc>
                <w:tcPr>
                  <w:tcW w:w="1024" w:type="dxa"/>
                  <w:tcBorders>
                    <w:tl2br w:val="nil"/>
                    <w:tr2bl w:val="nil"/>
                  </w:tcBorders>
                  <w:noWrap w:val="0"/>
                  <w:vAlign w:val="center"/>
                </w:tcPr>
                <w:p w14:paraId="70D5FD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w:t>
                  </w:r>
                </w:p>
              </w:tc>
              <w:tc>
                <w:tcPr>
                  <w:tcW w:w="3238" w:type="dxa"/>
                  <w:tcBorders>
                    <w:tl2br w:val="nil"/>
                    <w:tr2bl w:val="nil"/>
                  </w:tcBorders>
                  <w:noWrap w:val="0"/>
                  <w:vAlign w:val="center"/>
                </w:tcPr>
                <w:p w14:paraId="7B9AF4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t>防渗旱厕</w:t>
                  </w:r>
                </w:p>
              </w:tc>
            </w:tr>
            <w:tr w14:paraId="49A909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Borders>
                    <w:tl2br w:val="nil"/>
                    <w:tr2bl w:val="nil"/>
                  </w:tcBorders>
                  <w:noWrap w:val="0"/>
                  <w:vAlign w:val="center"/>
                </w:tcPr>
                <w:p w14:paraId="306095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噪声</w:t>
                  </w:r>
                </w:p>
              </w:tc>
              <w:tc>
                <w:tcPr>
                  <w:tcW w:w="1508" w:type="dxa"/>
                  <w:tcBorders>
                    <w:tl2br w:val="nil"/>
                    <w:tr2bl w:val="nil"/>
                  </w:tcBorders>
                  <w:noWrap w:val="0"/>
                  <w:vAlign w:val="center"/>
                </w:tcPr>
                <w:p w14:paraId="113666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18"/>
                      <w:szCs w:val="18"/>
                      <w:highlight w:val="none"/>
                      <w14:textFill>
                        <w14:solidFill>
                          <w14:schemeClr w14:val="tx1"/>
                        </w14:solidFill>
                      </w14:textFill>
                    </w:rPr>
                    <w:t>设备运行</w:t>
                  </w:r>
                </w:p>
              </w:tc>
              <w:tc>
                <w:tcPr>
                  <w:tcW w:w="1570" w:type="dxa"/>
                  <w:tcBorders>
                    <w:tl2br w:val="nil"/>
                    <w:tr2bl w:val="nil"/>
                  </w:tcBorders>
                  <w:noWrap w:val="0"/>
                  <w:vAlign w:val="center"/>
                </w:tcPr>
                <w:p w14:paraId="2266EC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噪声</w:t>
                  </w:r>
                </w:p>
              </w:tc>
              <w:tc>
                <w:tcPr>
                  <w:tcW w:w="1024" w:type="dxa"/>
                  <w:tcBorders>
                    <w:tl2br w:val="nil"/>
                    <w:tr2bl w:val="nil"/>
                  </w:tcBorders>
                  <w:noWrap w:val="0"/>
                  <w:vAlign w:val="center"/>
                </w:tcPr>
                <w:p w14:paraId="5904D2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连续</w:t>
                  </w:r>
                </w:p>
              </w:tc>
              <w:tc>
                <w:tcPr>
                  <w:tcW w:w="3238" w:type="dxa"/>
                  <w:tcBorders>
                    <w:tl2br w:val="nil"/>
                    <w:tr2bl w:val="nil"/>
                  </w:tcBorders>
                  <w:noWrap w:val="0"/>
                  <w:vAlign w:val="center"/>
                </w:tcPr>
                <w:p w14:paraId="421B43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1"/>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低噪声设备，采取</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基础</w:t>
                  </w:r>
                  <w:r>
                    <w:rPr>
                      <w:rFonts w:hint="default" w:ascii="Times New Roman" w:hAnsi="Times New Roman" w:eastAsia="宋体" w:cs="Times New Roman"/>
                      <w:color w:val="000000" w:themeColor="text1"/>
                      <w:sz w:val="18"/>
                      <w:szCs w:val="18"/>
                      <w:highlight w:val="none"/>
                      <w14:textFill>
                        <w14:solidFill>
                          <w14:schemeClr w14:val="tx1"/>
                        </w14:solidFill>
                      </w14:textFill>
                    </w:rPr>
                    <w:t>减振、隔声</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等</w:t>
                  </w:r>
                </w:p>
              </w:tc>
            </w:tr>
            <w:tr w14:paraId="62592A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restart"/>
                  <w:tcBorders>
                    <w:tl2br w:val="nil"/>
                    <w:tr2bl w:val="nil"/>
                  </w:tcBorders>
                  <w:noWrap w:val="0"/>
                  <w:vAlign w:val="center"/>
                </w:tcPr>
                <w:p w14:paraId="69CF1C3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固体废物</w:t>
                  </w:r>
                </w:p>
              </w:tc>
              <w:tc>
                <w:tcPr>
                  <w:tcW w:w="1508" w:type="dxa"/>
                  <w:tcBorders>
                    <w:tl2br w:val="nil"/>
                    <w:tr2bl w:val="nil"/>
                  </w:tcBorders>
                  <w:noWrap w:val="0"/>
                  <w:vAlign w:val="center"/>
                </w:tcPr>
                <w:p w14:paraId="0C58E92F">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t>生活</w:t>
                  </w:r>
                </w:p>
              </w:tc>
              <w:tc>
                <w:tcPr>
                  <w:tcW w:w="1570" w:type="dxa"/>
                  <w:tcBorders>
                    <w:tl2br w:val="nil"/>
                    <w:tr2bl w:val="nil"/>
                  </w:tcBorders>
                  <w:noWrap w:val="0"/>
                  <w:vAlign w:val="center"/>
                </w:tcPr>
                <w:p w14:paraId="1BDFB8CC">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生活垃圾</w:t>
                  </w:r>
                </w:p>
              </w:tc>
              <w:tc>
                <w:tcPr>
                  <w:tcW w:w="1024" w:type="dxa"/>
                  <w:tcBorders>
                    <w:tl2br w:val="nil"/>
                    <w:tr2bl w:val="nil"/>
                  </w:tcBorders>
                  <w:noWrap w:val="0"/>
                  <w:vAlign w:val="center"/>
                </w:tcPr>
                <w:p w14:paraId="62E069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间断</w:t>
                  </w:r>
                </w:p>
              </w:tc>
              <w:tc>
                <w:tcPr>
                  <w:tcW w:w="3238" w:type="dxa"/>
                  <w:tcBorders>
                    <w:tl2br w:val="nil"/>
                    <w:tr2bl w:val="nil"/>
                  </w:tcBorders>
                  <w:noWrap w:val="0"/>
                  <w:vAlign w:val="center"/>
                </w:tcPr>
                <w:p w14:paraId="4EB29CD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市政部门统一处理</w:t>
                  </w:r>
                </w:p>
              </w:tc>
            </w:tr>
            <w:tr w14:paraId="6279CD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Borders>
                    <w:tl2br w:val="nil"/>
                    <w:tr2bl w:val="nil"/>
                  </w:tcBorders>
                  <w:noWrap w:val="0"/>
                  <w:vAlign w:val="center"/>
                </w:tcPr>
                <w:p w14:paraId="52A1BA4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c>
                <w:tcPr>
                  <w:tcW w:w="1508" w:type="dxa"/>
                  <w:vMerge w:val="restart"/>
                  <w:tcBorders>
                    <w:tl2br w:val="nil"/>
                    <w:tr2bl w:val="nil"/>
                  </w:tcBorders>
                  <w:noWrap w:val="0"/>
                  <w:vAlign w:val="center"/>
                </w:tcPr>
                <w:p w14:paraId="0327005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热风炉</w:t>
                  </w:r>
                </w:p>
              </w:tc>
              <w:tc>
                <w:tcPr>
                  <w:tcW w:w="1570" w:type="dxa"/>
                  <w:tcBorders>
                    <w:tl2br w:val="nil"/>
                    <w:tr2bl w:val="nil"/>
                  </w:tcBorders>
                  <w:noWrap w:val="0"/>
                  <w:vAlign w:val="center"/>
                </w:tcPr>
                <w:p w14:paraId="2FBF9A55">
                  <w:pPr>
                    <w:pStyle w:val="13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热风炉炉渣</w:t>
                  </w:r>
                </w:p>
              </w:tc>
              <w:tc>
                <w:tcPr>
                  <w:tcW w:w="1024" w:type="dxa"/>
                  <w:vMerge w:val="restart"/>
                  <w:tcBorders>
                    <w:tl2br w:val="nil"/>
                    <w:tr2bl w:val="nil"/>
                  </w:tcBorders>
                  <w:noWrap w:val="0"/>
                  <w:vAlign w:val="center"/>
                </w:tcPr>
                <w:p w14:paraId="501911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连续</w:t>
                  </w:r>
                </w:p>
              </w:tc>
              <w:tc>
                <w:tcPr>
                  <w:tcW w:w="3238" w:type="dxa"/>
                  <w:vMerge w:val="restart"/>
                  <w:tcBorders>
                    <w:tl2br w:val="nil"/>
                    <w:tr2bl w:val="nil"/>
                  </w:tcBorders>
                  <w:noWrap w:val="0"/>
                  <w:vAlign w:val="center"/>
                </w:tcPr>
                <w:p w14:paraId="17DA83F7">
                  <w:pPr>
                    <w:pStyle w:val="130"/>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集中收集</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袋装存储于灰渣间，每10天清运1次，不在厂区长期储存，外售综合利用</w:t>
                  </w:r>
                </w:p>
              </w:tc>
            </w:tr>
            <w:tr w14:paraId="5A4C54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Borders>
                    <w:tl2br w:val="nil"/>
                    <w:tr2bl w:val="nil"/>
                  </w:tcBorders>
                  <w:noWrap w:val="0"/>
                  <w:vAlign w:val="center"/>
                </w:tcPr>
                <w:p w14:paraId="656E69E9">
                  <w:pPr>
                    <w:keepNext w:val="0"/>
                    <w:keepLines w:val="0"/>
                    <w:pageBreakBefore w:val="0"/>
                    <w:suppressLineNumbers w:val="0"/>
                    <w:tabs>
                      <w:tab w:val="left" w:pos="327"/>
                    </w:tabs>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508" w:type="dxa"/>
                  <w:vMerge w:val="continue"/>
                  <w:tcBorders>
                    <w:tl2br w:val="nil"/>
                    <w:tr2bl w:val="nil"/>
                  </w:tcBorders>
                  <w:noWrap w:val="0"/>
                  <w:vAlign w:val="center"/>
                </w:tcPr>
                <w:p w14:paraId="0262124E">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p>
              </w:tc>
              <w:tc>
                <w:tcPr>
                  <w:tcW w:w="1570" w:type="dxa"/>
                  <w:tcBorders>
                    <w:tl2br w:val="nil"/>
                    <w:tr2bl w:val="nil"/>
                  </w:tcBorders>
                  <w:noWrap w:val="0"/>
                  <w:vAlign w:val="center"/>
                </w:tcPr>
                <w:p w14:paraId="4F0346F4">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热风炉</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除尘器回收粉尘</w:t>
                  </w:r>
                </w:p>
              </w:tc>
              <w:tc>
                <w:tcPr>
                  <w:tcW w:w="1024" w:type="dxa"/>
                  <w:vMerge w:val="continue"/>
                  <w:tcBorders>
                    <w:tl2br w:val="nil"/>
                    <w:tr2bl w:val="nil"/>
                  </w:tcBorders>
                  <w:noWrap w:val="0"/>
                  <w:vAlign w:val="center"/>
                </w:tcPr>
                <w:p w14:paraId="7B9A3F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3238" w:type="dxa"/>
                  <w:vMerge w:val="continue"/>
                  <w:tcBorders>
                    <w:tl2br w:val="nil"/>
                    <w:tr2bl w:val="nil"/>
                  </w:tcBorders>
                  <w:noWrap w:val="0"/>
                  <w:vAlign w:val="center"/>
                </w:tcPr>
                <w:p w14:paraId="29730ABA">
                  <w:pPr>
                    <w:pStyle w:val="130"/>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p>
              </w:tc>
            </w:tr>
            <w:tr w14:paraId="34EB01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Borders>
                    <w:tl2br w:val="nil"/>
                    <w:tr2bl w:val="nil"/>
                  </w:tcBorders>
                  <w:noWrap w:val="0"/>
                  <w:vAlign w:val="center"/>
                </w:tcPr>
                <w:p w14:paraId="6C3488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508" w:type="dxa"/>
                  <w:tcBorders>
                    <w:tl2br w:val="nil"/>
                    <w:tr2bl w:val="nil"/>
                  </w:tcBorders>
                  <w:noWrap w:val="0"/>
                  <w:vAlign w:val="center"/>
                </w:tcPr>
                <w:p w14:paraId="7673D4F3">
                  <w:pPr>
                    <w:pStyle w:val="13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工艺粉尘</w:t>
                  </w:r>
                </w:p>
              </w:tc>
              <w:tc>
                <w:tcPr>
                  <w:tcW w:w="1570" w:type="dxa"/>
                  <w:tcBorders>
                    <w:tl2br w:val="nil"/>
                    <w:tr2bl w:val="nil"/>
                  </w:tcBorders>
                  <w:noWrap w:val="0"/>
                  <w:vAlign w:val="center"/>
                </w:tcPr>
                <w:p w14:paraId="1EBEED6D">
                  <w:pPr>
                    <w:pStyle w:val="13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初清杂质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及输送装卸、筛分、烘干</w:t>
                  </w:r>
                  <w:r>
                    <w:rPr>
                      <w:rFonts w:hint="default" w:ascii="Times New Roman" w:hAnsi="Times New Roman" w:eastAsia="宋体" w:cs="Times New Roman"/>
                      <w:color w:val="000000" w:themeColor="text1"/>
                      <w:sz w:val="18"/>
                      <w:szCs w:val="18"/>
                      <w:highlight w:val="none"/>
                      <w14:textFill>
                        <w14:solidFill>
                          <w14:schemeClr w14:val="tx1"/>
                        </w14:solidFill>
                      </w14:textFill>
                    </w:rPr>
                    <w:t>粉尘</w:t>
                  </w:r>
                </w:p>
              </w:tc>
              <w:tc>
                <w:tcPr>
                  <w:tcW w:w="1024" w:type="dxa"/>
                  <w:vMerge w:val="continue"/>
                  <w:tcBorders>
                    <w:tl2br w:val="nil"/>
                    <w:tr2bl w:val="nil"/>
                  </w:tcBorders>
                  <w:noWrap w:val="0"/>
                  <w:vAlign w:val="center"/>
                </w:tcPr>
                <w:p w14:paraId="08D06C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3238" w:type="dxa"/>
                  <w:tcBorders>
                    <w:tl2br w:val="nil"/>
                    <w:tr2bl w:val="nil"/>
                  </w:tcBorders>
                  <w:noWrap w:val="0"/>
                  <w:vAlign w:val="center"/>
                </w:tcPr>
                <w:p w14:paraId="30D22A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初清、输送装卸、筛分产生杂质外售砖厂综合利用，筛分过程产生劣质粮、烘干粉尘外售饲料厂家综合利用</w:t>
                  </w:r>
                </w:p>
              </w:tc>
            </w:tr>
            <w:tr w14:paraId="34638E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Borders>
                    <w:tl2br w:val="nil"/>
                    <w:tr2bl w:val="nil"/>
                  </w:tcBorders>
                  <w:noWrap w:val="0"/>
                  <w:vAlign w:val="center"/>
                </w:tcPr>
                <w:p w14:paraId="20BCB5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508" w:type="dxa"/>
                  <w:tcBorders>
                    <w:tl2br w:val="nil"/>
                    <w:tr2bl w:val="nil"/>
                  </w:tcBorders>
                  <w:noWrap w:val="0"/>
                  <w:vAlign w:val="center"/>
                </w:tcPr>
                <w:p w14:paraId="55310861">
                  <w:pPr>
                    <w:pStyle w:val="13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维护</w:t>
                  </w:r>
                </w:p>
              </w:tc>
              <w:tc>
                <w:tcPr>
                  <w:tcW w:w="1570" w:type="dxa"/>
                  <w:tcBorders>
                    <w:tl2br w:val="nil"/>
                    <w:tr2bl w:val="nil"/>
                  </w:tcBorders>
                  <w:noWrap w:val="0"/>
                  <w:vAlign w:val="center"/>
                </w:tcPr>
                <w:p w14:paraId="218F0C4F">
                  <w:pPr>
                    <w:pStyle w:val="13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废机油，废弃含油抹布手套</w:t>
                  </w:r>
                </w:p>
              </w:tc>
              <w:tc>
                <w:tcPr>
                  <w:tcW w:w="1024" w:type="dxa"/>
                  <w:tcBorders>
                    <w:tl2br w:val="nil"/>
                    <w:tr2bl w:val="nil"/>
                  </w:tcBorders>
                  <w:noWrap w:val="0"/>
                  <w:vAlign w:val="center"/>
                </w:tcPr>
                <w:p w14:paraId="6ED51E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间断</w:t>
                  </w:r>
                </w:p>
              </w:tc>
              <w:tc>
                <w:tcPr>
                  <w:tcW w:w="3238" w:type="dxa"/>
                  <w:tcBorders>
                    <w:tl2br w:val="nil"/>
                    <w:tr2bl w:val="nil"/>
                  </w:tcBorders>
                  <w:noWrap w:val="0"/>
                  <w:vAlign w:val="center"/>
                </w:tcPr>
                <w:p w14:paraId="12076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委托有资质单位处理</w:t>
                  </w:r>
                </w:p>
              </w:tc>
            </w:tr>
          </w:tbl>
          <w:p w14:paraId="17659B48">
            <w:pPr>
              <w:pStyle w:val="31"/>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2E11F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2" w:hRule="atLeast"/>
          <w:jc w:val="center"/>
        </w:trPr>
        <w:tc>
          <w:tcPr>
            <w:tcW w:w="822" w:type="dxa"/>
            <w:vAlign w:val="center"/>
          </w:tcPr>
          <w:p w14:paraId="2FA44F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与项目有关的原有环境污染问题</w:t>
            </w:r>
          </w:p>
        </w:tc>
        <w:tc>
          <w:tcPr>
            <w:tcW w:w="8220" w:type="dxa"/>
            <w:vAlign w:val="top"/>
          </w:tcPr>
          <w:p w14:paraId="70A53EE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鸡西市龙广粮食农民专业合作社</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现有工程占地面积9916m</w:t>
            </w:r>
            <w:r>
              <w:rPr>
                <w:rFonts w:hint="eastAsia"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，现有1座日烘干能力200t/d烘干塔配套1台4t/h燃煤热风炉、年运行2160h，以及平房仓、立筒仓用于粮食仓储，不涉及药剂熏蒸、原粮晾晒等工序，年烘干玉米20000t。</w:t>
            </w:r>
          </w:p>
          <w:p w14:paraId="5ABA7E6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sz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表2-1</w:t>
            </w:r>
            <w:r>
              <w:rPr>
                <w:rFonts w:hint="eastAsia" w:ascii="Times New Roman" w:hAnsi="Times New Roman" w:eastAsia="宋体" w:cs="Times New Roman"/>
                <w:b/>
                <w:bCs/>
                <w:snapToGrid w:val="0"/>
                <w:color w:val="000000" w:themeColor="text1"/>
                <w:szCs w:val="21"/>
                <w:highlight w:val="none"/>
                <w:lang w:val="en-US" w:eastAsia="zh-CN"/>
                <w14:textFill>
                  <w14:solidFill>
                    <w14:schemeClr w14:val="tx1"/>
                  </w14:solidFill>
                </w14:textFill>
              </w:rPr>
              <w:t>0</w:t>
            </w: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主要建设内容及规模一览表</w:t>
            </w:r>
          </w:p>
          <w:tbl>
            <w:tblPr>
              <w:tblStyle w:val="34"/>
              <w:tblW w:w="806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222"/>
              <w:gridCol w:w="5410"/>
            </w:tblGrid>
            <w:tr w14:paraId="12330D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noWrap w:val="0"/>
                  <w:vAlign w:val="top"/>
                </w:tcPr>
                <w:p w14:paraId="3728CCCD">
                  <w:pPr>
                    <w:pStyle w:val="4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工程类别</w:t>
                  </w:r>
                </w:p>
              </w:tc>
              <w:tc>
                <w:tcPr>
                  <w:tcW w:w="1222" w:type="dxa"/>
                  <w:noWrap w:val="0"/>
                  <w:vAlign w:val="top"/>
                </w:tcPr>
                <w:p w14:paraId="45510ECE">
                  <w:pPr>
                    <w:pStyle w:val="4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工程名称</w:t>
                  </w:r>
                </w:p>
              </w:tc>
              <w:tc>
                <w:tcPr>
                  <w:tcW w:w="5410" w:type="dxa"/>
                  <w:noWrap w:val="0"/>
                  <w:vAlign w:val="top"/>
                </w:tcPr>
                <w:p w14:paraId="097BE2C2">
                  <w:pPr>
                    <w:pStyle w:val="4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工程内容</w:t>
                  </w:r>
                </w:p>
              </w:tc>
            </w:tr>
            <w:tr w14:paraId="73B87D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restart"/>
                  <w:noWrap w:val="0"/>
                  <w:vAlign w:val="center"/>
                </w:tcPr>
                <w:p w14:paraId="51AE99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主体工程</w:t>
                  </w:r>
                </w:p>
              </w:tc>
              <w:tc>
                <w:tcPr>
                  <w:tcW w:w="1222" w:type="dxa"/>
                  <w:noWrap w:val="0"/>
                  <w:vAlign w:val="center"/>
                </w:tcPr>
                <w:p w14:paraId="12B6BC9D">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烘干塔</w:t>
                  </w:r>
                </w:p>
              </w:tc>
              <w:tc>
                <w:tcPr>
                  <w:tcW w:w="5410" w:type="dxa"/>
                  <w:noWrap w:val="0"/>
                  <w:vAlign w:val="center"/>
                </w:tcPr>
                <w:p w14:paraId="5116EDC0">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一座日烘干能力200t/d烘干塔。</w:t>
                  </w:r>
                </w:p>
              </w:tc>
            </w:tr>
            <w:tr w14:paraId="30FF3C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092526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22" w:type="dxa"/>
                  <w:noWrap w:val="0"/>
                  <w:vAlign w:val="center"/>
                </w:tcPr>
                <w:p w14:paraId="5006EC84">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热风炉房</w:t>
                  </w:r>
                </w:p>
              </w:tc>
              <w:tc>
                <w:tcPr>
                  <w:tcW w:w="5410" w:type="dxa"/>
                  <w:noWrap w:val="0"/>
                  <w:vAlign w:val="center"/>
                </w:tcPr>
                <w:p w14:paraId="7FC58EE2">
                  <w:pPr>
                    <w:pStyle w:val="14"/>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建筑</w:t>
                  </w:r>
                  <w:r>
                    <w:rPr>
                      <w:rFonts w:hint="default" w:ascii="Times New Roman" w:hAnsi="Times New Roman" w:eastAsia="宋体" w:cs="Times New Roman"/>
                      <w:color w:val="000000" w:themeColor="text1"/>
                      <w:sz w:val="18"/>
                      <w:szCs w:val="18"/>
                      <w:highlight w:val="none"/>
                      <w14:textFill>
                        <w14:solidFill>
                          <w14:schemeClr w14:val="tx1"/>
                        </w14:solidFill>
                      </w14:textFill>
                    </w:rPr>
                    <w:t>面积</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18"/>
                      <w:szCs w:val="18"/>
                      <w:highlight w:val="none"/>
                      <w14:textFill>
                        <w14:solidFill>
                          <w14:schemeClr w14:val="tx1"/>
                        </w14:solidFill>
                      </w14:textFill>
                    </w:rPr>
                    <w:t>m</w:t>
                  </w:r>
                  <w:r>
                    <w:rPr>
                      <w:rFonts w:hint="default" w:ascii="Times New Roman" w:hAnsi="Times New Roman" w:eastAsia="宋体" w:cs="Times New Roman"/>
                      <w:color w:val="000000" w:themeColor="text1"/>
                      <w:sz w:val="18"/>
                      <w:szCs w:val="18"/>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一台4t/h燃煤热风炉</w:t>
                  </w: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w:t>
                  </w:r>
                </w:p>
              </w:tc>
            </w:tr>
            <w:tr w14:paraId="1A7939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435" w:type="dxa"/>
                  <w:vMerge w:val="restart"/>
                  <w:noWrap w:val="0"/>
                  <w:vAlign w:val="center"/>
                </w:tcPr>
                <w:p w14:paraId="3896F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辅助工程</w:t>
                  </w:r>
                </w:p>
              </w:tc>
              <w:tc>
                <w:tcPr>
                  <w:tcW w:w="1222" w:type="dxa"/>
                  <w:noWrap w:val="0"/>
                  <w:vAlign w:val="center"/>
                </w:tcPr>
                <w:p w14:paraId="451A9FFB">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办公室</w:t>
                  </w:r>
                </w:p>
              </w:tc>
              <w:tc>
                <w:tcPr>
                  <w:tcW w:w="5410" w:type="dxa"/>
                  <w:noWrap w:val="0"/>
                  <w:vAlign w:val="center"/>
                </w:tcPr>
                <w:p w14:paraId="2C9E0A1E">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1座，高4m，建筑面积180m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。主要用于工作人员办公和休息。</w:t>
                  </w:r>
                </w:p>
              </w:tc>
            </w:tr>
            <w:tr w14:paraId="6B2769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435" w:type="dxa"/>
                  <w:vMerge w:val="continue"/>
                  <w:noWrap w:val="0"/>
                  <w:vAlign w:val="center"/>
                </w:tcPr>
                <w:p w14:paraId="4BE26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p>
              </w:tc>
              <w:tc>
                <w:tcPr>
                  <w:tcW w:w="1222" w:type="dxa"/>
                  <w:noWrap w:val="0"/>
                  <w:vAlign w:val="center"/>
                </w:tcPr>
                <w:p w14:paraId="110CD9E7">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车库</w:t>
                  </w:r>
                </w:p>
              </w:tc>
              <w:tc>
                <w:tcPr>
                  <w:tcW w:w="5410" w:type="dxa"/>
                  <w:noWrap w:val="0"/>
                  <w:vAlign w:val="center"/>
                </w:tcPr>
                <w:p w14:paraId="7988DECE">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1座，高4m，建筑面积140m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。主要用于停置车辆及存放杂物。</w:t>
                  </w:r>
                </w:p>
              </w:tc>
            </w:tr>
            <w:tr w14:paraId="73D0B3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5" w:type="dxa"/>
                  <w:vMerge w:val="restart"/>
                  <w:noWrap w:val="0"/>
                  <w:vAlign w:val="center"/>
                </w:tcPr>
                <w:p w14:paraId="29DA8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储运工程</w:t>
                  </w:r>
                </w:p>
              </w:tc>
              <w:tc>
                <w:tcPr>
                  <w:tcW w:w="1222" w:type="dxa"/>
                  <w:noWrap w:val="0"/>
                  <w:vAlign w:val="center"/>
                </w:tcPr>
                <w:p w14:paraId="4502E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潮粮仓</w:t>
                  </w:r>
                </w:p>
              </w:tc>
              <w:tc>
                <w:tcPr>
                  <w:tcW w:w="5410" w:type="dxa"/>
                  <w:noWrap w:val="0"/>
                  <w:vAlign w:val="center"/>
                </w:tcPr>
                <w:p w14:paraId="5C1CF14E">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1座，高13m，全封闭，用于存放玉米湿粮，最大储存量为150t。</w:t>
                  </w:r>
                </w:p>
              </w:tc>
            </w:tr>
            <w:tr w14:paraId="7002A3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5" w:type="dxa"/>
                  <w:vMerge w:val="continue"/>
                  <w:noWrap w:val="0"/>
                  <w:vAlign w:val="center"/>
                </w:tcPr>
                <w:p w14:paraId="1995E6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22" w:type="dxa"/>
                  <w:noWrap w:val="0"/>
                  <w:vAlign w:val="center"/>
                </w:tcPr>
                <w:p w14:paraId="6E8D3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干粮仓</w:t>
                  </w:r>
                </w:p>
              </w:tc>
              <w:tc>
                <w:tcPr>
                  <w:tcW w:w="5410" w:type="dxa"/>
                  <w:noWrap w:val="0"/>
                  <w:vAlign w:val="center"/>
                </w:tcPr>
                <w:p w14:paraId="22C8C32A">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1座，高18m，全封闭，用于存放玉米干粮，最大储存量为450t。</w:t>
                  </w:r>
                </w:p>
              </w:tc>
            </w:tr>
            <w:tr w14:paraId="2FAA15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5" w:type="dxa"/>
                  <w:vMerge w:val="continue"/>
                  <w:noWrap w:val="0"/>
                  <w:vAlign w:val="center"/>
                </w:tcPr>
                <w:p w14:paraId="10DC5C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22" w:type="dxa"/>
                  <w:noWrap w:val="0"/>
                  <w:vAlign w:val="center"/>
                </w:tcPr>
                <w:p w14:paraId="67C25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干粮仓</w:t>
                  </w:r>
                </w:p>
              </w:tc>
              <w:tc>
                <w:tcPr>
                  <w:tcW w:w="5410" w:type="dxa"/>
                  <w:noWrap w:val="0"/>
                  <w:vAlign w:val="center"/>
                </w:tcPr>
                <w:p w14:paraId="296DD9D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1座，高8m，全封闭，用于存放玉米干粮，最大储存量为130t。</w:t>
                  </w:r>
                </w:p>
              </w:tc>
            </w:tr>
            <w:tr w14:paraId="2667FE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5" w:type="dxa"/>
                  <w:vMerge w:val="continue"/>
                  <w:noWrap w:val="0"/>
                  <w:vAlign w:val="center"/>
                </w:tcPr>
                <w:p w14:paraId="766C3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22" w:type="dxa"/>
                  <w:noWrap w:val="0"/>
                  <w:vAlign w:val="center"/>
                </w:tcPr>
                <w:p w14:paraId="76384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干粮仓</w:t>
                  </w:r>
                </w:p>
              </w:tc>
              <w:tc>
                <w:tcPr>
                  <w:tcW w:w="5410" w:type="dxa"/>
                  <w:noWrap w:val="0"/>
                  <w:vAlign w:val="center"/>
                </w:tcPr>
                <w:p w14:paraId="21EBEC20">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2座，高10m，全封闭，用于存放玉米干粮，最大储存量均为900t。</w:t>
                  </w:r>
                </w:p>
              </w:tc>
            </w:tr>
            <w:tr w14:paraId="55C388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35" w:type="dxa"/>
                  <w:vMerge w:val="continue"/>
                  <w:noWrap w:val="0"/>
                  <w:vAlign w:val="center"/>
                </w:tcPr>
                <w:p w14:paraId="7B28F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22" w:type="dxa"/>
                  <w:noWrap w:val="0"/>
                  <w:vAlign w:val="center"/>
                </w:tcPr>
                <w:p w14:paraId="44388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平房仓</w:t>
                  </w:r>
                </w:p>
              </w:tc>
              <w:tc>
                <w:tcPr>
                  <w:tcW w:w="5410" w:type="dxa"/>
                  <w:noWrap w:val="0"/>
                  <w:vAlign w:val="center"/>
                </w:tcPr>
                <w:p w14:paraId="37C69089">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1座，高8m，建筑面积110m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用于存放玉米干粮，最大储存量为700t。</w:t>
                  </w:r>
                </w:p>
              </w:tc>
            </w:tr>
            <w:tr w14:paraId="711D13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27C1ED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22" w:type="dxa"/>
                  <w:noWrap w:val="0"/>
                  <w:vAlign w:val="center"/>
                </w:tcPr>
                <w:p w14:paraId="592CFD4E">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成品库房</w:t>
                  </w:r>
                </w:p>
              </w:tc>
              <w:tc>
                <w:tcPr>
                  <w:tcW w:w="5410" w:type="dxa"/>
                  <w:shd w:val="clear" w:color="auto" w:fill="auto"/>
                  <w:noWrap w:val="0"/>
                  <w:vAlign w:val="center"/>
                </w:tcPr>
                <w:p w14:paraId="112F7879">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1座，高12m，建筑面积为2200m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用于存放玉米干粮，最大储存量为6000t。</w:t>
                  </w:r>
                </w:p>
              </w:tc>
            </w:tr>
            <w:tr w14:paraId="100213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4CB70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22" w:type="dxa"/>
                  <w:noWrap w:val="0"/>
                  <w:vAlign w:val="center"/>
                </w:tcPr>
                <w:p w14:paraId="0E7058CC">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冷藏库房</w:t>
                  </w:r>
                </w:p>
              </w:tc>
              <w:tc>
                <w:tcPr>
                  <w:tcW w:w="5410" w:type="dxa"/>
                  <w:shd w:val="clear" w:color="auto" w:fill="auto"/>
                  <w:noWrap w:val="0"/>
                  <w:vAlign w:val="center"/>
                </w:tcPr>
                <w:p w14:paraId="65334A7B">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1座，高6m，建筑面积400m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，最大储存量为600t，用于存放鲜玉米，鲜玉米由厂区外购（不计入烘干玉米60000t中），仅进行储存，不进行加工，直接外售。</w:t>
                  </w:r>
                </w:p>
              </w:tc>
            </w:tr>
            <w:tr w14:paraId="5AC759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227AB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22" w:type="dxa"/>
                  <w:noWrap w:val="0"/>
                  <w:vAlign w:val="center"/>
                </w:tcPr>
                <w:p w14:paraId="2761A1CA">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秤房</w:t>
                  </w:r>
                </w:p>
              </w:tc>
              <w:tc>
                <w:tcPr>
                  <w:tcW w:w="5410" w:type="dxa"/>
                  <w:shd w:val="clear" w:color="auto" w:fill="auto"/>
                  <w:noWrap w:val="0"/>
                  <w:vAlign w:val="center"/>
                </w:tcPr>
                <w:p w14:paraId="198F98F3">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1座，高3m，建筑面积300m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r>
            <w:tr w14:paraId="6AD03A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61985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22" w:type="dxa"/>
                  <w:noWrap w:val="0"/>
                  <w:vAlign w:val="center"/>
                </w:tcPr>
                <w:p w14:paraId="5A5418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燃料</w:t>
                  </w:r>
                </w:p>
              </w:tc>
              <w:tc>
                <w:tcPr>
                  <w:tcW w:w="5410" w:type="dxa"/>
                  <w:noWrap w:val="0"/>
                  <w:vAlign w:val="center"/>
                </w:tcPr>
                <w:p w14:paraId="14397496">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燃料密封袋装，运输车辆全部采用苦布覆盖，每10天运输一次，运输至厂内热风炉房暂存，最大储存能力20t。</w:t>
                  </w:r>
                </w:p>
              </w:tc>
            </w:tr>
            <w:tr w14:paraId="3F4EBF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5" w:type="dxa"/>
                  <w:vMerge w:val="continue"/>
                  <w:noWrap w:val="0"/>
                  <w:vAlign w:val="center"/>
                </w:tcPr>
                <w:p w14:paraId="4F8BE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222" w:type="dxa"/>
                  <w:noWrap w:val="0"/>
                  <w:vAlign w:val="center"/>
                </w:tcPr>
                <w:p w14:paraId="5D050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18"/>
                      <w:szCs w:val="18"/>
                      <w:highlight w:val="none"/>
                      <w:lang w:eastAsia="zh-CN"/>
                      <w14:textFill>
                        <w14:solidFill>
                          <w14:schemeClr w14:val="tx1"/>
                        </w14:solidFill>
                      </w14:textFill>
                    </w:rPr>
                    <w:t>灰渣间</w:t>
                  </w:r>
                </w:p>
              </w:tc>
              <w:tc>
                <w:tcPr>
                  <w:tcW w:w="5410" w:type="dxa"/>
                  <w:noWrap w:val="0"/>
                  <w:vAlign w:val="center"/>
                </w:tcPr>
                <w:p w14:paraId="32A375D2">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热风炉房</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内设一个密闭灰渣间，占地面积约15m</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t>，地面硬化，</w:t>
                  </w:r>
                  <w:r>
                    <w:rPr>
                      <w:rFonts w:hint="default" w:ascii="Times New Roman" w:hAnsi="Times New Roman" w:eastAsia="宋体" w:cs="Times New Roman"/>
                      <w:snapToGrid w:val="0"/>
                      <w:color w:val="000000" w:themeColor="text1"/>
                      <w:kern w:val="0"/>
                      <w:sz w:val="18"/>
                      <w:szCs w:val="18"/>
                      <w:highlight w:val="none"/>
                      <w:lang w:eastAsia="zh-CN"/>
                      <w14:textFill>
                        <w14:solidFill>
                          <w14:schemeClr w14:val="tx1"/>
                        </w14:solidFill>
                      </w14:textFill>
                    </w:rPr>
                    <w:t>储存能力</w:t>
                  </w:r>
                  <w:r>
                    <w:rPr>
                      <w:rFonts w:hint="default" w:ascii="Times New Roman" w:hAnsi="Times New Roman" w:eastAsia="宋体" w:cs="Times New Roman"/>
                      <w:snapToGrid w:val="0"/>
                      <w:color w:val="000000" w:themeColor="text1"/>
                      <w:kern w:val="0"/>
                      <w:sz w:val="18"/>
                      <w:szCs w:val="18"/>
                      <w:highlight w:val="none"/>
                      <w:lang w:val="en-US" w:eastAsia="zh-CN"/>
                      <w14:textFill>
                        <w14:solidFill>
                          <w14:schemeClr w14:val="tx1"/>
                        </w14:solidFill>
                      </w14:textFill>
                    </w:rPr>
                    <w:t>30t，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热风炉灰渣及</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回收粉尘</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袋装存储于灰渣间，每10天清运1次，不在厂区长期储存，外售综合利用</w:t>
                  </w:r>
                  <w:r>
                    <w:rPr>
                      <w:rFonts w:hint="default" w:ascii="Times New Roman" w:hAnsi="Times New Roman" w:eastAsia="宋体" w:cs="Times New Roman"/>
                      <w:snapToGrid w:val="0"/>
                      <w:color w:val="000000" w:themeColor="text1"/>
                      <w:kern w:val="0"/>
                      <w:sz w:val="18"/>
                      <w:szCs w:val="18"/>
                      <w:highlight w:val="none"/>
                      <w:lang w:val="en-US" w:eastAsia="zh-CN"/>
                      <w14:textFill>
                        <w14:solidFill>
                          <w14:schemeClr w14:val="tx1"/>
                        </w14:solidFill>
                      </w14:textFill>
                    </w:rPr>
                    <w:t>。</w:t>
                  </w:r>
                </w:p>
              </w:tc>
            </w:tr>
            <w:tr w14:paraId="518579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restart"/>
                  <w:noWrap w:val="0"/>
                  <w:vAlign w:val="center"/>
                </w:tcPr>
                <w:p w14:paraId="6784DE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公用工程</w:t>
                  </w:r>
                </w:p>
              </w:tc>
              <w:tc>
                <w:tcPr>
                  <w:tcW w:w="1222" w:type="dxa"/>
                  <w:noWrap w:val="0"/>
                  <w:vAlign w:val="center"/>
                </w:tcPr>
                <w:p w14:paraId="38D13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供</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水</w:t>
                  </w:r>
                </w:p>
              </w:tc>
              <w:tc>
                <w:tcPr>
                  <w:tcW w:w="5410" w:type="dxa"/>
                  <w:noWrap w:val="0"/>
                  <w:vAlign w:val="center"/>
                </w:tcPr>
                <w:p w14:paraId="7A1CA12E">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本项目</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供水</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为井水</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r>
            <w:tr w14:paraId="305CC9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7B35FB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22" w:type="dxa"/>
                  <w:noWrap w:val="0"/>
                  <w:vAlign w:val="center"/>
                </w:tcPr>
                <w:p w14:paraId="7991BC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排</w:t>
                  </w:r>
                  <w:r>
                    <w:rPr>
                      <w:rFonts w:hint="default" w:ascii="Times New Roman" w:hAnsi="Times New Roman" w:eastAsia="宋体" w:cs="Times New Roman"/>
                      <w:color w:val="000000" w:themeColor="text1"/>
                      <w:sz w:val="18"/>
                      <w:szCs w:val="18"/>
                      <w:highlight w:val="none"/>
                      <w14:textFill>
                        <w14:solidFill>
                          <w14:schemeClr w14:val="tx1"/>
                        </w14:solidFill>
                      </w14:textFill>
                    </w:rPr>
                    <w:t>水</w:t>
                  </w:r>
                </w:p>
              </w:tc>
              <w:tc>
                <w:tcPr>
                  <w:tcW w:w="5410" w:type="dxa"/>
                  <w:noWrap w:val="0"/>
                  <w:vAlign w:val="center"/>
                </w:tcPr>
                <w:p w14:paraId="4BA426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生活污水排入防渗旱厕，定期清掏，外运堆肥，不外排。</w:t>
                  </w:r>
                </w:p>
              </w:tc>
            </w:tr>
            <w:tr w14:paraId="42F046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07B0CC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22" w:type="dxa"/>
                  <w:noWrap w:val="0"/>
                  <w:vAlign w:val="center"/>
                </w:tcPr>
                <w:p w14:paraId="33C3C258">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供电</w:t>
                  </w:r>
                </w:p>
              </w:tc>
              <w:tc>
                <w:tcPr>
                  <w:tcW w:w="5410" w:type="dxa"/>
                  <w:noWrap w:val="0"/>
                  <w:vAlign w:val="center"/>
                </w:tcPr>
                <w:p w14:paraId="0BC16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由</w:t>
                  </w:r>
                  <w:r>
                    <w:rPr>
                      <w:rFonts w:hint="default" w:ascii="Times New Roman" w:hAnsi="Times New Roman" w:eastAsia="宋体" w:cs="Times New Roman"/>
                      <w:color w:val="000000" w:themeColor="text1"/>
                      <w:sz w:val="18"/>
                      <w:szCs w:val="18"/>
                      <w:highlight w:val="none"/>
                      <w14:textFill>
                        <w14:solidFill>
                          <w14:schemeClr w14:val="tx1"/>
                        </w14:solidFill>
                      </w14:textFill>
                    </w:rPr>
                    <w:t>当地电业局供给</w:t>
                  </w:r>
                </w:p>
              </w:tc>
            </w:tr>
            <w:tr w14:paraId="0E41B8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74E6E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22" w:type="dxa"/>
                  <w:noWrap w:val="0"/>
                  <w:vAlign w:val="center"/>
                </w:tcPr>
                <w:p w14:paraId="794E7F49">
                  <w:pPr>
                    <w:pStyle w:val="1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供热</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供暖</w:t>
                  </w:r>
                </w:p>
              </w:tc>
              <w:tc>
                <w:tcPr>
                  <w:tcW w:w="5410" w:type="dxa"/>
                  <w:noWrap w:val="0"/>
                  <w:vAlign w:val="center"/>
                </w:tcPr>
                <w:p w14:paraId="33CF47DB">
                  <w:pPr>
                    <w:pStyle w:val="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项目生产用热由热风炉提供，</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供暖为电取暖。</w:t>
                  </w:r>
                </w:p>
              </w:tc>
            </w:tr>
            <w:tr w14:paraId="48CC50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restart"/>
                  <w:noWrap w:val="0"/>
                  <w:vAlign w:val="center"/>
                </w:tcPr>
                <w:p w14:paraId="5BDC45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环保工程</w:t>
                  </w:r>
                </w:p>
              </w:tc>
              <w:tc>
                <w:tcPr>
                  <w:tcW w:w="1222" w:type="dxa"/>
                  <w:vMerge w:val="restart"/>
                  <w:noWrap w:val="0"/>
                  <w:vAlign w:val="center"/>
                </w:tcPr>
                <w:p w14:paraId="0E465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废</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气</w:t>
                  </w:r>
                </w:p>
              </w:tc>
              <w:tc>
                <w:tcPr>
                  <w:tcW w:w="5410" w:type="dxa"/>
                  <w:noWrap w:val="0"/>
                  <w:vAlign w:val="center"/>
                </w:tcPr>
                <w:p w14:paraId="7FDB1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燃煤热风炉烟气通过现有布袋除尘器处理后通过25m高烟囱排放。</w:t>
                  </w:r>
                </w:p>
              </w:tc>
            </w:tr>
            <w:tr w14:paraId="418330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36C365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22" w:type="dxa"/>
                  <w:vMerge w:val="continue"/>
                  <w:noWrap w:val="0"/>
                  <w:vAlign w:val="center"/>
                </w:tcPr>
                <w:p w14:paraId="6A2CD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5410" w:type="dxa"/>
                  <w:noWrap w:val="0"/>
                  <w:vAlign w:val="center"/>
                </w:tcPr>
                <w:p w14:paraId="33A2A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原粮装卸工段采取粮囤全封闭、减小装卸高度等降尘措施，输送过程中采用封闭输送</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筛选粉尘经全封闭设备自带布袋除尘器处理后无组织排放，处理效率为99%</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eastAsia="宋体"/>
                      <w:color w:val="000000" w:themeColor="text1"/>
                      <w:sz w:val="18"/>
                      <w:szCs w:val="18"/>
                      <w:highlight w:val="none"/>
                      <w:lang w:val="en-US" w:eastAsia="zh-CN"/>
                      <w14:textFill>
                        <w14:solidFill>
                          <w14:schemeClr w14:val="tx1"/>
                        </w14:solidFill>
                      </w14:textFill>
                    </w:rPr>
                    <w:t>烘干塔内部自带重力沉降室，烘干塔底部四周设置防尘挡板，粉尘受挡板格挡后受重力作用回落到烘干塔底部收尘设施中。</w:t>
                  </w:r>
                </w:p>
              </w:tc>
            </w:tr>
            <w:tr w14:paraId="7B0385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7E7A2B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22" w:type="dxa"/>
                  <w:noWrap w:val="0"/>
                  <w:vAlign w:val="center"/>
                </w:tcPr>
                <w:p w14:paraId="77F3B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废</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水</w:t>
                  </w:r>
                </w:p>
              </w:tc>
              <w:tc>
                <w:tcPr>
                  <w:tcW w:w="5410" w:type="dxa"/>
                  <w:noWrap w:val="0"/>
                  <w:vAlign w:val="center"/>
                </w:tcPr>
                <w:p w14:paraId="49FFA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生产过程中无废水产生，</w:t>
                  </w:r>
                  <w:r>
                    <w:rPr>
                      <w:rFonts w:hint="default" w:ascii="Times New Roman" w:hAnsi="Times New Roman" w:eastAsia="宋体" w:cs="Times New Roman"/>
                      <w:bCs/>
                      <w:color w:val="000000" w:themeColor="text1"/>
                      <w:sz w:val="18"/>
                      <w:szCs w:val="18"/>
                      <w:highlight w:val="none"/>
                      <w:lang w:eastAsia="zh-CN"/>
                      <w14:textFill>
                        <w14:solidFill>
                          <w14:schemeClr w14:val="tx1"/>
                        </w14:solidFill>
                      </w14:textFill>
                    </w:rPr>
                    <w:t>项目生活污水排入防渗旱厕，定期清掏，外运堆肥，不外排</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w:t>
                  </w:r>
                </w:p>
              </w:tc>
            </w:tr>
            <w:tr w14:paraId="12BD4E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27B90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22" w:type="dxa"/>
                  <w:noWrap w:val="0"/>
                  <w:vAlign w:val="center"/>
                </w:tcPr>
                <w:p w14:paraId="69355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噪声</w:t>
                  </w:r>
                </w:p>
              </w:tc>
              <w:tc>
                <w:tcPr>
                  <w:tcW w:w="5410" w:type="dxa"/>
                  <w:noWrap w:val="0"/>
                  <w:vAlign w:val="center"/>
                </w:tcPr>
                <w:p w14:paraId="25262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进行隔音减振。</w:t>
                  </w:r>
                </w:p>
              </w:tc>
            </w:tr>
            <w:tr w14:paraId="2EB086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vMerge w:val="continue"/>
                  <w:noWrap w:val="0"/>
                  <w:vAlign w:val="center"/>
                </w:tcPr>
                <w:p w14:paraId="527C6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22" w:type="dxa"/>
                  <w:noWrap w:val="0"/>
                  <w:vAlign w:val="center"/>
                </w:tcPr>
                <w:p w14:paraId="209CE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固体废物</w:t>
                  </w:r>
                </w:p>
              </w:tc>
              <w:tc>
                <w:tcPr>
                  <w:tcW w:w="5410" w:type="dxa"/>
                  <w:noWrap w:val="0"/>
                  <w:vAlign w:val="center"/>
                </w:tcPr>
                <w:p w14:paraId="36E5C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本项目</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生活垃圾交由市政部门统一处置；热风炉</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除尘器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灰渣及</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回收粉尘</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综合利用</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bl>
          <w:p w14:paraId="612D55B0">
            <w:pPr>
              <w:keepNext w:val="0"/>
              <w:keepLines w:val="0"/>
              <w:numPr>
                <w:ilvl w:val="0"/>
                <w:numId w:val="0"/>
              </w:numPr>
              <w:suppressLineNumbers w:val="0"/>
              <w:adjustRightInd w:val="0"/>
              <w:spacing w:before="0" w:beforeAutospacing="0" w:after="0" w:afterAutospacing="0" w:line="360" w:lineRule="auto"/>
              <w:ind w:left="0" w:leftChars="0" w:right="0" w:rightChars="0"/>
              <w:textAlignment w:val="baseline"/>
              <w:rPr>
                <w:rFonts w:hint="default"/>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1、</w:t>
            </w:r>
            <w:r>
              <w:rPr>
                <w:rFonts w:hint="default"/>
                <w:b/>
                <w:bCs/>
                <w:color w:val="000000" w:themeColor="text1"/>
                <w:szCs w:val="21"/>
                <w:highlight w:val="none"/>
                <w14:textFill>
                  <w14:solidFill>
                    <w14:schemeClr w14:val="tx1"/>
                  </w14:solidFill>
                </w14:textFill>
              </w:rPr>
              <w:t>环评手续履行情况</w:t>
            </w:r>
          </w:p>
          <w:p w14:paraId="2802ACF3">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企业于2016年11月进行了《鸡西市龙广粮食农民专业合作社项目现状环境影响评估报告》，未申请排污许可证。</w:t>
            </w:r>
          </w:p>
          <w:p w14:paraId="0BA478FA">
            <w:pPr>
              <w:keepNext w:val="0"/>
              <w:keepLines w:val="0"/>
              <w:numPr>
                <w:ilvl w:val="0"/>
                <w:numId w:val="0"/>
              </w:numPr>
              <w:suppressLineNumbers w:val="0"/>
              <w:spacing w:before="0" w:beforeAutospacing="0" w:after="0" w:afterAutospacing="0" w:line="360" w:lineRule="auto"/>
              <w:ind w:left="0" w:leftChars="0" w:right="0" w:rightChars="0"/>
              <w:rPr>
                <w:rFonts w:hint="eastAsia"/>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2、</w:t>
            </w:r>
            <w:r>
              <w:rPr>
                <w:rFonts w:hint="eastAsia"/>
                <w:b/>
                <w:bCs/>
                <w:color w:val="000000" w:themeColor="text1"/>
                <w:szCs w:val="21"/>
                <w:highlight w:val="none"/>
                <w14:textFill>
                  <w14:solidFill>
                    <w14:schemeClr w14:val="tx1"/>
                  </w14:solidFill>
                </w14:textFill>
              </w:rPr>
              <w:t>现有项目污染情况</w:t>
            </w:r>
          </w:p>
          <w:p w14:paraId="5541BDCB">
            <w:pPr>
              <w:keepNext w:val="0"/>
              <w:keepLines w:val="0"/>
              <w:suppressLineNumbers w:val="0"/>
              <w:spacing w:before="0" w:beforeAutospacing="0" w:after="0" w:afterAutospacing="0" w:line="360" w:lineRule="auto"/>
              <w:ind w:left="0" w:right="0" w:firstLine="420" w:firstLineChars="200"/>
              <w:rPr>
                <w:rFonts w:hint="default"/>
                <w:bCs/>
                <w:color w:val="000000" w:themeColor="text1"/>
                <w:szCs w:val="21"/>
                <w:highlight w:val="none"/>
                <w14:textFill>
                  <w14:solidFill>
                    <w14:schemeClr w14:val="tx1"/>
                  </w14:solidFill>
                </w14:textFill>
              </w:rPr>
            </w:pPr>
            <w:bookmarkStart w:id="5" w:name="_Toc514763832"/>
            <w:r>
              <w:rPr>
                <w:rFonts w:hint="eastAsia"/>
                <w:bCs/>
                <w:color w:val="000000" w:themeColor="text1"/>
                <w:szCs w:val="21"/>
                <w:highlight w:val="none"/>
                <w14:textFill>
                  <w14:solidFill>
                    <w14:schemeClr w14:val="tx1"/>
                  </w14:solidFill>
                </w14:textFill>
              </w:rPr>
              <w:t>（1）</w:t>
            </w:r>
            <w:r>
              <w:rPr>
                <w:rFonts w:hint="default"/>
                <w:bCs/>
                <w:color w:val="000000" w:themeColor="text1"/>
                <w:szCs w:val="21"/>
                <w:highlight w:val="none"/>
                <w14:textFill>
                  <w14:solidFill>
                    <w14:schemeClr w14:val="tx1"/>
                  </w14:solidFill>
                </w14:textFill>
              </w:rPr>
              <w:t>废水</w:t>
            </w:r>
          </w:p>
          <w:p w14:paraId="0F207ABF">
            <w:pPr>
              <w:keepNext w:val="0"/>
              <w:keepLines w:val="0"/>
              <w:suppressLineNumbers w:val="0"/>
              <w:spacing w:before="0" w:beforeAutospacing="0" w:after="0" w:afterAutospacing="0" w:line="360" w:lineRule="auto"/>
              <w:ind w:left="0" w:right="0" w:firstLine="420" w:firstLineChars="200"/>
              <w:rPr>
                <w:rFonts w:hint="default"/>
                <w:bCs/>
                <w:color w:val="000000" w:themeColor="text1"/>
                <w:szCs w:val="21"/>
                <w:highlight w:val="none"/>
                <w:lang w:val="en-US"/>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现有工程废水为生活污水</w:t>
            </w:r>
            <w:r>
              <w:rPr>
                <w:rFonts w:hint="default"/>
                <w:bCs/>
                <w:color w:val="000000" w:themeColor="text1"/>
                <w:szCs w:val="21"/>
                <w:highlight w:val="none"/>
                <w14:textFill>
                  <w14:solidFill>
                    <w14:schemeClr w14:val="tx1"/>
                  </w14:solidFill>
                </w14:textFill>
              </w:rPr>
              <w:t>，生产过程无废水产生。</w:t>
            </w:r>
            <w:r>
              <w:rPr>
                <w:rFonts w:hint="eastAsia"/>
                <w:bCs/>
                <w:color w:val="000000" w:themeColor="text1"/>
                <w:szCs w:val="21"/>
                <w:highlight w:val="none"/>
                <w:lang w:val="en-US" w:eastAsia="zh-CN"/>
                <w14:textFill>
                  <w14:solidFill>
                    <w14:schemeClr w14:val="tx1"/>
                  </w14:solidFill>
                </w14:textFill>
              </w:rPr>
              <w:t>现有工程劳动定员16人，</w:t>
            </w:r>
            <w:r>
              <w:rPr>
                <w:rFonts w:hint="default"/>
                <w:bCs/>
                <w:color w:val="000000" w:themeColor="text1"/>
                <w:szCs w:val="21"/>
                <w:highlight w:val="none"/>
                <w14:textFill>
                  <w14:solidFill>
                    <w14:schemeClr w14:val="tx1"/>
                  </w14:solidFill>
                </w14:textFill>
              </w:rPr>
              <w:t>生活污水</w:t>
            </w:r>
            <w:r>
              <w:rPr>
                <w:rFonts w:hint="eastAsia"/>
                <w:bCs/>
                <w:color w:val="000000" w:themeColor="text1"/>
                <w:szCs w:val="21"/>
                <w:highlight w:val="none"/>
                <w:lang w:val="en-US" w:eastAsia="zh-CN"/>
                <w14:textFill>
                  <w14:solidFill>
                    <w14:schemeClr w14:val="tx1"/>
                  </w14:solidFill>
                </w14:textFill>
              </w:rPr>
              <w:t>年排放量为23.04t/a，</w:t>
            </w:r>
            <w:r>
              <w:rPr>
                <w:rFonts w:hint="default"/>
                <w:bCs/>
                <w:color w:val="000000" w:themeColor="text1"/>
                <w:szCs w:val="21"/>
                <w:highlight w:val="none"/>
                <w14:textFill>
                  <w14:solidFill>
                    <w14:schemeClr w14:val="tx1"/>
                  </w14:solidFill>
                </w14:textFill>
              </w:rPr>
              <w:t>排入防渗</w:t>
            </w:r>
            <w:r>
              <w:rPr>
                <w:rFonts w:hint="eastAsia"/>
                <w:bCs/>
                <w:color w:val="000000" w:themeColor="text1"/>
                <w:szCs w:val="21"/>
                <w:highlight w:val="none"/>
                <w:lang w:val="en-US" w:eastAsia="zh-CN"/>
                <w14:textFill>
                  <w14:solidFill>
                    <w14:schemeClr w14:val="tx1"/>
                  </w14:solidFill>
                </w14:textFill>
              </w:rPr>
              <w:t>旱厕</w:t>
            </w:r>
            <w:r>
              <w:rPr>
                <w:rFonts w:hint="default"/>
                <w:bCs/>
                <w:color w:val="000000" w:themeColor="text1"/>
                <w:szCs w:val="21"/>
                <w:highlight w:val="none"/>
                <w14:textFill>
                  <w14:solidFill>
                    <w14:schemeClr w14:val="tx1"/>
                  </w14:solidFill>
                </w14:textFill>
              </w:rPr>
              <w:t>，定期</w:t>
            </w:r>
            <w:r>
              <w:rPr>
                <w:rFonts w:hint="eastAsia"/>
                <w:bCs/>
                <w:color w:val="000000" w:themeColor="text1"/>
                <w:szCs w:val="21"/>
                <w:highlight w:val="none"/>
                <w:lang w:val="en-US" w:eastAsia="zh-CN"/>
                <w14:textFill>
                  <w14:solidFill>
                    <w14:schemeClr w14:val="tx1"/>
                  </w14:solidFill>
                </w14:textFill>
              </w:rPr>
              <w:t>清掏，外运堆肥。</w:t>
            </w:r>
          </w:p>
          <w:p w14:paraId="5F18CCDB">
            <w:pPr>
              <w:pStyle w:val="12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（2）</w:t>
            </w:r>
            <w:r>
              <w:rPr>
                <w:rFonts w:hint="default"/>
                <w:bCs/>
                <w:color w:val="000000" w:themeColor="text1"/>
                <w:sz w:val="21"/>
                <w:szCs w:val="21"/>
                <w:highlight w:val="none"/>
                <w14:textFill>
                  <w14:solidFill>
                    <w14:schemeClr w14:val="tx1"/>
                  </w14:solidFill>
                </w14:textFill>
              </w:rPr>
              <w:t>废气</w:t>
            </w:r>
            <w:bookmarkEnd w:id="5"/>
          </w:p>
          <w:p w14:paraId="3B3363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现有1台4t/h</w:t>
            </w:r>
            <w:r>
              <w:rPr>
                <w:rFonts w:hint="default"/>
                <w:color w:val="000000" w:themeColor="text1"/>
                <w:sz w:val="21"/>
                <w:szCs w:val="21"/>
                <w:highlight w:val="none"/>
                <w:lang w:val="en-US" w:eastAsia="zh-CN"/>
                <w14:textFill>
                  <w14:solidFill>
                    <w14:schemeClr w14:val="tx1"/>
                  </w14:solidFill>
                </w14:textFill>
              </w:rPr>
              <w:t>燃煤</w:t>
            </w:r>
            <w:r>
              <w:rPr>
                <w:rFonts w:hint="eastAsia"/>
                <w:color w:val="000000" w:themeColor="text1"/>
                <w:sz w:val="21"/>
                <w:szCs w:val="21"/>
                <w:highlight w:val="none"/>
                <w:lang w:val="en-US" w:eastAsia="zh-CN"/>
                <w14:textFill>
                  <w14:solidFill>
                    <w14:schemeClr w14:val="tx1"/>
                  </w14:solidFill>
                </w14:textFill>
              </w:rPr>
              <w:t>热风炉为粮食烘干提供热源，根据验收监测报告（监测报告见附件），本项目燃煤热风炉</w:t>
            </w:r>
            <w:r>
              <w:rPr>
                <w:rFonts w:hint="eastAsia"/>
                <w:color w:val="000000" w:themeColor="text1"/>
                <w:szCs w:val="28"/>
                <w:highlight w:val="none"/>
                <w:shd w:val="clear"/>
                <w:lang w:val="en-US" w:eastAsia="zh-CN"/>
                <w14:textFill>
                  <w14:solidFill>
                    <w14:schemeClr w14:val="tx1"/>
                  </w14:solidFill>
                </w14:textFill>
              </w:rPr>
              <w:t>废气通过布袋除尘器处理后，通过25m高烟囱排放，原项目年消耗燃煤600t，</w:t>
            </w:r>
            <w:r>
              <w:rPr>
                <w:rFonts w:hint="eastAsia"/>
                <w:bCs/>
                <w:color w:val="000000" w:themeColor="text1"/>
                <w:szCs w:val="21"/>
                <w:highlight w:val="none"/>
                <w:lang w:val="en-US" w:eastAsia="zh-CN"/>
                <w14:textFill>
                  <w14:solidFill>
                    <w14:schemeClr w14:val="tx1"/>
                  </w14:solidFill>
                </w14:textFill>
              </w:rPr>
              <w:t>根据现状评估报告，</w:t>
            </w:r>
            <w:r>
              <w:rPr>
                <w:rFonts w:hint="eastAsia"/>
                <w:color w:val="000000" w:themeColor="text1"/>
                <w:szCs w:val="28"/>
                <w:highlight w:val="none"/>
                <w:shd w:val="clear"/>
                <w:lang w:val="en-US" w:eastAsia="zh-CN"/>
                <w14:textFill>
                  <w14:solidFill>
                    <w14:schemeClr w14:val="tx1"/>
                  </w14:solidFill>
                </w14:textFill>
              </w:rPr>
              <w:t>颗粒物排放浓度为74mg/m</w:t>
            </w:r>
            <w:r>
              <w:rPr>
                <w:rFonts w:hint="eastAsia"/>
                <w:color w:val="000000" w:themeColor="text1"/>
                <w:szCs w:val="28"/>
                <w:highlight w:val="none"/>
                <w:shd w:val="clear"/>
                <w:vertAlign w:val="superscript"/>
                <w:lang w:val="en-US" w:eastAsia="zh-CN"/>
                <w14:textFill>
                  <w14:solidFill>
                    <w14:schemeClr w14:val="tx1"/>
                  </w14:solidFill>
                </w14:textFill>
              </w:rPr>
              <w:t>3</w:t>
            </w:r>
            <w:r>
              <w:rPr>
                <w:rFonts w:hint="eastAsia"/>
                <w:color w:val="000000" w:themeColor="text1"/>
                <w:szCs w:val="28"/>
                <w:highlight w:val="none"/>
                <w:shd w:val="clear"/>
                <w:lang w:val="en-US" w:eastAsia="zh-CN"/>
                <w14:textFill>
                  <w14:solidFill>
                    <w14:schemeClr w14:val="tx1"/>
                  </w14:solidFill>
                </w14:textFill>
              </w:rPr>
              <w:t>，二氧化硫排放浓度为88mg/m</w:t>
            </w:r>
            <w:r>
              <w:rPr>
                <w:rFonts w:hint="eastAsia"/>
                <w:color w:val="000000" w:themeColor="text1"/>
                <w:szCs w:val="28"/>
                <w:highlight w:val="none"/>
                <w:shd w:val="clear"/>
                <w:vertAlign w:val="superscript"/>
                <w:lang w:val="en-US" w:eastAsia="zh-CN"/>
                <w14:textFill>
                  <w14:solidFill>
                    <w14:schemeClr w14:val="tx1"/>
                  </w14:solidFill>
                </w14:textFill>
              </w:rPr>
              <w:t>3</w:t>
            </w:r>
            <w:r>
              <w:rPr>
                <w:rFonts w:hint="eastAsia"/>
                <w:color w:val="000000" w:themeColor="text1"/>
                <w:szCs w:val="28"/>
                <w:highlight w:val="none"/>
                <w:shd w:val="clear"/>
                <w:lang w:val="en-US" w:eastAsia="zh-CN"/>
                <w14:textFill>
                  <w14:solidFill>
                    <w14:schemeClr w14:val="tx1"/>
                  </w14:solidFill>
                </w14:textFill>
              </w:rPr>
              <w:t>，满足</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《工业炉窑大气污染物排放标准》(GB9078-1996)</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中二级排</w:t>
            </w:r>
            <w:r>
              <w:rPr>
                <w:rFonts w:hint="eastAsia"/>
                <w:bCs/>
                <w:color w:val="000000" w:themeColor="text1"/>
                <w:szCs w:val="21"/>
                <w:highlight w:val="none"/>
                <w:lang w:val="en-US" w:eastAsia="zh-CN"/>
                <w14:textFill>
                  <w14:solidFill>
                    <w14:schemeClr w14:val="tx1"/>
                  </w14:solidFill>
                </w14:textFill>
              </w:rPr>
              <w:t>放标准，厂界无组织排放颗粒物浓度为</w:t>
            </w:r>
            <w:r>
              <w:rPr>
                <w:rFonts w:hint="eastAsia"/>
                <w:color w:val="000000" w:themeColor="text1"/>
                <w:szCs w:val="28"/>
                <w:highlight w:val="none"/>
                <w:shd w:val="clear"/>
                <w:lang w:val="en-US" w:eastAsia="zh-CN"/>
                <w14:textFill>
                  <w14:solidFill>
                    <w14:schemeClr w14:val="tx1"/>
                  </w14:solidFill>
                </w14:textFill>
              </w:rPr>
              <w:t>0.378mg/m</w:t>
            </w:r>
            <w:r>
              <w:rPr>
                <w:rFonts w:hint="eastAsia"/>
                <w:color w:val="000000" w:themeColor="text1"/>
                <w:szCs w:val="28"/>
                <w:highlight w:val="none"/>
                <w:shd w:val="clear"/>
                <w:vertAlign w:val="superscript"/>
                <w:lang w:val="en-US" w:eastAsia="zh-CN"/>
                <w14:textFill>
                  <w14:solidFill>
                    <w14:schemeClr w14:val="tx1"/>
                  </w14:solidFill>
                </w14:textFill>
              </w:rPr>
              <w:t>3</w:t>
            </w:r>
            <w:r>
              <w:rPr>
                <w:rFonts w:hint="eastAsia"/>
                <w:bCs/>
                <w:color w:val="000000" w:themeColor="text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符合《大气污染物综合排放标准》(GB16297-1996)表2中无组织排放浓度限值要求，</w:t>
            </w:r>
            <w:r>
              <w:rPr>
                <w:rFonts w:hint="eastAsia"/>
                <w:bCs/>
                <w:color w:val="000000" w:themeColor="text1"/>
                <w:szCs w:val="21"/>
                <w:highlight w:val="none"/>
                <w:lang w:val="en-US" w:eastAsia="zh-CN"/>
                <w14:textFill>
                  <w14:solidFill>
                    <w14:schemeClr w14:val="tx1"/>
                  </w14:solidFill>
                </w14:textFill>
              </w:rPr>
              <w:t>根据原消耗燃煤量核算的热风炉</w:t>
            </w:r>
            <w:r>
              <w:rPr>
                <w:rFonts w:hint="default"/>
                <w:bCs w:val="0"/>
                <w:color w:val="000000" w:themeColor="text1"/>
                <w:szCs w:val="28"/>
                <w:highlight w:val="none"/>
                <w14:textFill>
                  <w14:solidFill>
                    <w14:schemeClr w14:val="tx1"/>
                  </w14:solidFill>
                </w14:textFill>
              </w:rPr>
              <w:t>大气污染物排放量为：</w:t>
            </w:r>
            <w:r>
              <w:rPr>
                <w:rFonts w:hint="eastAsia"/>
                <w:bCs w:val="0"/>
                <w:color w:val="000000" w:themeColor="text1"/>
                <w:sz w:val="21"/>
                <w:szCs w:val="21"/>
                <w:highlight w:val="none"/>
                <w:lang w:val="en-US" w:eastAsia="zh-CN"/>
                <w14:textFill>
                  <w14:solidFill>
                    <w14:schemeClr w14:val="tx1"/>
                  </w14:solidFill>
                </w14:textFill>
              </w:rPr>
              <w:t>颗粒物0.225</w:t>
            </w:r>
            <w:r>
              <w:rPr>
                <w:rFonts w:hint="default"/>
                <w:bCs w:val="0"/>
                <w:color w:val="000000" w:themeColor="text1"/>
                <w:sz w:val="21"/>
                <w:szCs w:val="21"/>
                <w:highlight w:val="none"/>
                <w14:textFill>
                  <w14:solidFill>
                    <w14:schemeClr w14:val="tx1"/>
                  </w14:solidFill>
                </w14:textFill>
              </w:rPr>
              <w:t>t/a，SO</w:t>
            </w:r>
            <w:r>
              <w:rPr>
                <w:rFonts w:hint="default"/>
                <w:bCs w:val="0"/>
                <w:color w:val="000000" w:themeColor="text1"/>
                <w:sz w:val="21"/>
                <w:szCs w:val="21"/>
                <w:highlight w:val="none"/>
                <w:vertAlign w:val="subscript"/>
                <w14:textFill>
                  <w14:solidFill>
                    <w14:schemeClr w14:val="tx1"/>
                  </w14:solidFill>
                </w14:textFill>
              </w:rPr>
              <w:t>2</w:t>
            </w:r>
            <w:r>
              <w:rPr>
                <w:rFonts w:hint="eastAsia"/>
                <w:bCs w:val="0"/>
                <w:color w:val="000000" w:themeColor="text1"/>
                <w:sz w:val="21"/>
                <w:szCs w:val="21"/>
                <w:highlight w:val="none"/>
                <w:vertAlign w:val="baseline"/>
                <w:lang w:val="en-US" w:eastAsia="zh-CN"/>
                <w14:textFill>
                  <w14:solidFill>
                    <w14:schemeClr w14:val="tx1"/>
                  </w14:solidFill>
                </w14:textFill>
              </w:rPr>
              <w:t>2.880t</w:t>
            </w:r>
            <w:r>
              <w:rPr>
                <w:rFonts w:hint="default"/>
                <w:bCs w:val="0"/>
                <w:color w:val="000000" w:themeColor="text1"/>
                <w:sz w:val="21"/>
                <w:szCs w:val="21"/>
                <w:highlight w:val="none"/>
                <w14:textFill>
                  <w14:solidFill>
                    <w14:schemeClr w14:val="tx1"/>
                  </w14:solidFill>
                </w14:textFill>
              </w:rPr>
              <w:t>/a，NO</w:t>
            </w:r>
            <w:r>
              <w:rPr>
                <w:rFonts w:hint="default"/>
                <w:bCs w:val="0"/>
                <w:color w:val="000000" w:themeColor="text1"/>
                <w:sz w:val="21"/>
                <w:szCs w:val="21"/>
                <w:highlight w:val="none"/>
                <w:vertAlign w:val="subscript"/>
                <w14:textFill>
                  <w14:solidFill>
                    <w14:schemeClr w14:val="tx1"/>
                  </w14:solidFill>
                </w14:textFill>
              </w:rPr>
              <w:t>x</w:t>
            </w:r>
            <w:r>
              <w:rPr>
                <w:rFonts w:hint="eastAsia"/>
                <w:bCs w:val="0"/>
                <w:color w:val="000000" w:themeColor="text1"/>
                <w:sz w:val="21"/>
                <w:szCs w:val="21"/>
                <w:highlight w:val="none"/>
                <w:lang w:val="en-US" w:eastAsia="zh-CN"/>
                <w14:textFill>
                  <w14:solidFill>
                    <w14:schemeClr w14:val="tx1"/>
                  </w14:solidFill>
                </w14:textFill>
              </w:rPr>
              <w:t>1.764</w:t>
            </w:r>
            <w:r>
              <w:rPr>
                <w:rFonts w:hint="default"/>
                <w:bCs w:val="0"/>
                <w:color w:val="000000" w:themeColor="text1"/>
                <w:sz w:val="21"/>
                <w:szCs w:val="21"/>
                <w:highlight w:val="none"/>
                <w14:textFill>
                  <w14:solidFill>
                    <w14:schemeClr w14:val="tx1"/>
                  </w14:solidFill>
                </w14:textFill>
              </w:rPr>
              <w:t>t/a</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粮食输送及烘干产生的无组织粉尘为：0.7t/a。</w:t>
            </w:r>
          </w:p>
          <w:p w14:paraId="57654F06">
            <w:pPr>
              <w:keepNext w:val="0"/>
              <w:keepLines w:val="0"/>
              <w:suppressLineNumbers w:val="0"/>
              <w:spacing w:before="0" w:beforeAutospacing="0" w:after="0" w:afterAutospacing="0" w:line="360" w:lineRule="auto"/>
              <w:ind w:left="0" w:right="0" w:firstLine="420" w:firstLineChars="200"/>
              <w:rPr>
                <w:rFonts w:hint="eastAsia"/>
                <w:bCs w:val="0"/>
                <w:color w:val="000000" w:themeColor="text1"/>
                <w:sz w:val="21"/>
                <w:szCs w:val="21"/>
                <w:highlight w:val="none"/>
                <w:lang w:eastAsia="zh-CN"/>
                <w14:textFill>
                  <w14:solidFill>
                    <w14:schemeClr w14:val="tx1"/>
                  </w14:solidFill>
                </w14:textFill>
              </w:rPr>
            </w:pPr>
            <w:bookmarkStart w:id="6" w:name="_Toc514763833"/>
            <w:r>
              <w:rPr>
                <w:rFonts w:hint="eastAsia"/>
                <w:color w:val="000000" w:themeColor="text1"/>
                <w:szCs w:val="21"/>
                <w:highlight w:val="none"/>
                <w:lang w:val="en-US" w:eastAsia="zh-CN"/>
                <w14:textFill>
                  <w14:solidFill>
                    <w14:schemeClr w14:val="tx1"/>
                  </w14:solidFill>
                </w14:textFill>
              </w:rPr>
              <w:t>现有工程大气污染物排放总量为</w:t>
            </w:r>
            <w:r>
              <w:rPr>
                <w:rFonts w:hint="eastAsia"/>
                <w:bCs w:val="0"/>
                <w:color w:val="000000" w:themeColor="text1"/>
                <w:sz w:val="21"/>
                <w:szCs w:val="21"/>
                <w:highlight w:val="none"/>
                <w:lang w:val="en-US" w:eastAsia="zh-CN"/>
                <w14:textFill>
                  <w14:solidFill>
                    <w14:schemeClr w14:val="tx1"/>
                  </w14:solidFill>
                </w14:textFill>
              </w:rPr>
              <w:t>颗粒物0.225</w:t>
            </w:r>
            <w:r>
              <w:rPr>
                <w:rFonts w:hint="default"/>
                <w:bCs w:val="0"/>
                <w:color w:val="000000" w:themeColor="text1"/>
                <w:sz w:val="21"/>
                <w:szCs w:val="21"/>
                <w:highlight w:val="none"/>
                <w14:textFill>
                  <w14:solidFill>
                    <w14:schemeClr w14:val="tx1"/>
                  </w14:solidFill>
                </w14:textFill>
              </w:rPr>
              <w:t>t/a，SO</w:t>
            </w:r>
            <w:r>
              <w:rPr>
                <w:rFonts w:hint="default"/>
                <w:bCs w:val="0"/>
                <w:color w:val="000000" w:themeColor="text1"/>
                <w:sz w:val="21"/>
                <w:szCs w:val="21"/>
                <w:highlight w:val="none"/>
                <w:vertAlign w:val="subscript"/>
                <w14:textFill>
                  <w14:solidFill>
                    <w14:schemeClr w14:val="tx1"/>
                  </w14:solidFill>
                </w14:textFill>
              </w:rPr>
              <w:t>2</w:t>
            </w:r>
            <w:r>
              <w:rPr>
                <w:rFonts w:hint="eastAsia"/>
                <w:bCs w:val="0"/>
                <w:color w:val="000000" w:themeColor="text1"/>
                <w:sz w:val="21"/>
                <w:szCs w:val="21"/>
                <w:highlight w:val="none"/>
                <w:vertAlign w:val="baseline"/>
                <w:lang w:val="en-US" w:eastAsia="zh-CN"/>
                <w14:textFill>
                  <w14:solidFill>
                    <w14:schemeClr w14:val="tx1"/>
                  </w14:solidFill>
                </w14:textFill>
              </w:rPr>
              <w:t>2.880t</w:t>
            </w:r>
            <w:r>
              <w:rPr>
                <w:rFonts w:hint="default"/>
                <w:bCs w:val="0"/>
                <w:color w:val="000000" w:themeColor="text1"/>
                <w:sz w:val="21"/>
                <w:szCs w:val="21"/>
                <w:highlight w:val="none"/>
                <w14:textFill>
                  <w14:solidFill>
                    <w14:schemeClr w14:val="tx1"/>
                  </w14:solidFill>
                </w14:textFill>
              </w:rPr>
              <w:t>/a，NO</w:t>
            </w:r>
            <w:r>
              <w:rPr>
                <w:rFonts w:hint="default"/>
                <w:bCs w:val="0"/>
                <w:color w:val="000000" w:themeColor="text1"/>
                <w:sz w:val="21"/>
                <w:szCs w:val="21"/>
                <w:highlight w:val="none"/>
                <w:vertAlign w:val="subscript"/>
                <w14:textFill>
                  <w14:solidFill>
                    <w14:schemeClr w14:val="tx1"/>
                  </w14:solidFill>
                </w14:textFill>
              </w:rPr>
              <w:t>x</w:t>
            </w:r>
            <w:r>
              <w:rPr>
                <w:rFonts w:hint="eastAsia"/>
                <w:bCs w:val="0"/>
                <w:color w:val="000000" w:themeColor="text1"/>
                <w:sz w:val="21"/>
                <w:szCs w:val="21"/>
                <w:highlight w:val="none"/>
                <w:lang w:val="en-US" w:eastAsia="zh-CN"/>
                <w14:textFill>
                  <w14:solidFill>
                    <w14:schemeClr w14:val="tx1"/>
                  </w14:solidFill>
                </w14:textFill>
              </w:rPr>
              <w:t>1.764</w:t>
            </w:r>
            <w:r>
              <w:rPr>
                <w:rFonts w:hint="default"/>
                <w:bCs w:val="0"/>
                <w:color w:val="000000" w:themeColor="text1"/>
                <w:sz w:val="21"/>
                <w:szCs w:val="21"/>
                <w:highlight w:val="none"/>
                <w14:textFill>
                  <w14:solidFill>
                    <w14:schemeClr w14:val="tx1"/>
                  </w14:solidFill>
                </w14:textFill>
              </w:rPr>
              <w:t>t/a</w:t>
            </w:r>
            <w:r>
              <w:rPr>
                <w:rFonts w:hint="eastAsia"/>
                <w:bCs w:val="0"/>
                <w:color w:val="000000" w:themeColor="text1"/>
                <w:sz w:val="21"/>
                <w:szCs w:val="21"/>
                <w:highlight w:val="none"/>
                <w:lang w:eastAsia="zh-CN"/>
                <w14:textFill>
                  <w14:solidFill>
                    <w14:schemeClr w14:val="tx1"/>
                  </w14:solidFill>
                </w14:textFill>
              </w:rPr>
              <w:t>，工业粉尘</w:t>
            </w:r>
            <w:r>
              <w:rPr>
                <w:rFonts w:hint="eastAsia"/>
                <w:bCs w:val="0"/>
                <w:color w:val="000000" w:themeColor="text1"/>
                <w:sz w:val="21"/>
                <w:szCs w:val="21"/>
                <w:highlight w:val="none"/>
                <w:lang w:val="en-US" w:eastAsia="zh-CN"/>
                <w14:textFill>
                  <w14:solidFill>
                    <w14:schemeClr w14:val="tx1"/>
                  </w14:solidFill>
                </w14:textFill>
              </w:rPr>
              <w:t>0.7t/a</w:t>
            </w:r>
            <w:r>
              <w:rPr>
                <w:rFonts w:hint="eastAsia"/>
                <w:bCs w:val="0"/>
                <w:color w:val="000000" w:themeColor="text1"/>
                <w:sz w:val="21"/>
                <w:szCs w:val="21"/>
                <w:highlight w:val="none"/>
                <w:lang w:eastAsia="zh-CN"/>
                <w14:textFill>
                  <w14:solidFill>
                    <w14:schemeClr w14:val="tx1"/>
                  </w14:solidFill>
                </w14:textFill>
              </w:rPr>
              <w:t>。</w:t>
            </w:r>
          </w:p>
          <w:p w14:paraId="711403F5">
            <w:pPr>
              <w:keepNext w:val="0"/>
              <w:keepLines w:val="0"/>
              <w:suppressLineNumbers w:val="0"/>
              <w:spacing w:before="0" w:beforeAutospacing="0" w:after="0" w:afterAutospacing="0" w:line="360" w:lineRule="auto"/>
              <w:ind w:left="0" w:right="0" w:firstLine="420" w:firstLineChars="200"/>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（3）</w:t>
            </w:r>
            <w:r>
              <w:rPr>
                <w:rFonts w:hint="default"/>
                <w:bCs/>
                <w:color w:val="000000" w:themeColor="text1"/>
                <w:szCs w:val="21"/>
                <w:highlight w:val="none"/>
                <w14:textFill>
                  <w14:solidFill>
                    <w14:schemeClr w14:val="tx1"/>
                  </w14:solidFill>
                </w14:textFill>
              </w:rPr>
              <w:t>噪声</w:t>
            </w:r>
            <w:bookmarkEnd w:id="6"/>
          </w:p>
          <w:p w14:paraId="3FBA94DA">
            <w:pPr>
              <w:keepNext w:val="0"/>
              <w:keepLines w:val="0"/>
              <w:suppressLineNumbers w:val="0"/>
              <w:spacing w:before="0" w:beforeAutospacing="0" w:after="0" w:afterAutospacing="0" w:line="360" w:lineRule="auto"/>
              <w:ind w:left="0" w:right="0" w:firstLine="420" w:firstLineChars="200"/>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现有工程产生噪声的设备合理布局，设备在库房内，风机采取封闭、降噪、减震措施，根据现状评估报告，</w:t>
            </w:r>
            <w:r>
              <w:rPr>
                <w:rFonts w:hint="eastAsia"/>
                <w:color w:val="000000" w:themeColor="text1"/>
                <w:szCs w:val="21"/>
                <w:highlight w:val="none"/>
                <w14:textFill>
                  <w14:solidFill>
                    <w14:schemeClr w14:val="tx1"/>
                  </w14:solidFill>
                </w14:textFill>
              </w:rPr>
              <w:t>厂界噪声</w:t>
            </w:r>
            <w:r>
              <w:rPr>
                <w:rFonts w:hint="eastAsia"/>
                <w:color w:val="000000" w:themeColor="text1"/>
                <w:szCs w:val="21"/>
                <w:highlight w:val="none"/>
                <w:lang w:val="en-US" w:eastAsia="zh-CN"/>
                <w14:textFill>
                  <w14:solidFill>
                    <w14:schemeClr w14:val="tx1"/>
                  </w14:solidFill>
                </w14:textFill>
              </w:rPr>
              <w:t>昼间为57.7dB（A），达到</w:t>
            </w:r>
            <w:r>
              <w:rPr>
                <w:rFonts w:hint="eastAsia"/>
                <w:color w:val="000000" w:themeColor="text1"/>
                <w:szCs w:val="21"/>
                <w:highlight w:val="none"/>
                <w14:textFill>
                  <w14:solidFill>
                    <w14:schemeClr w14:val="tx1"/>
                  </w14:solidFill>
                </w14:textFill>
              </w:rPr>
              <w:t>《工业企业厂界环境噪声排放标准》（GB12348-2008）表1中2类</w:t>
            </w:r>
            <w:bookmarkStart w:id="7" w:name="_Toc514763834"/>
            <w:r>
              <w:rPr>
                <w:rFonts w:hint="eastAsia"/>
                <w:color w:val="000000" w:themeColor="text1"/>
                <w:szCs w:val="21"/>
                <w:highlight w:val="none"/>
                <w:lang w:val="en-US" w:eastAsia="zh-CN"/>
                <w14:textFill>
                  <w14:solidFill>
                    <w14:schemeClr w14:val="tx1"/>
                  </w14:solidFill>
                </w14:textFill>
              </w:rPr>
              <w:t>标准限值</w:t>
            </w:r>
            <w:r>
              <w:rPr>
                <w:rFonts w:hint="eastAsia"/>
                <w:color w:val="000000" w:themeColor="text1"/>
                <w:szCs w:val="21"/>
                <w:highlight w:val="none"/>
                <w:lang w:eastAsia="zh-CN"/>
                <w14:textFill>
                  <w14:solidFill>
                    <w14:schemeClr w14:val="tx1"/>
                  </w14:solidFill>
                </w14:textFill>
              </w:rPr>
              <w:t>。</w:t>
            </w:r>
          </w:p>
          <w:p w14:paraId="0DCA02BA">
            <w:pPr>
              <w:keepNext w:val="0"/>
              <w:keepLines w:val="0"/>
              <w:suppressLineNumbers w:val="0"/>
              <w:spacing w:before="0" w:beforeAutospacing="0" w:after="0" w:afterAutospacing="0" w:line="360" w:lineRule="auto"/>
              <w:ind w:left="0" w:right="0" w:firstLine="420" w:firstLineChars="200"/>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（4）</w:t>
            </w:r>
            <w:r>
              <w:rPr>
                <w:rFonts w:hint="default"/>
                <w:bCs/>
                <w:color w:val="000000" w:themeColor="text1"/>
                <w:szCs w:val="21"/>
                <w:highlight w:val="none"/>
                <w14:textFill>
                  <w14:solidFill>
                    <w14:schemeClr w14:val="tx1"/>
                  </w14:solidFill>
                </w14:textFill>
              </w:rPr>
              <w:t>固体废物</w:t>
            </w:r>
            <w:bookmarkEnd w:id="7"/>
          </w:p>
          <w:p w14:paraId="52BA2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w:t>
            </w:r>
            <w:r>
              <w:rPr>
                <w:rFonts w:hint="default"/>
                <w:color w:val="000000" w:themeColor="text1"/>
                <w:szCs w:val="21"/>
                <w:highlight w:val="none"/>
                <w14:textFill>
                  <w14:solidFill>
                    <w14:schemeClr w14:val="tx1"/>
                  </w14:solidFill>
                </w14:textFill>
              </w:rPr>
              <w:t>项目生活垃圾</w:t>
            </w:r>
            <w:r>
              <w:rPr>
                <w:rFonts w:hint="eastAsia"/>
                <w:color w:val="000000" w:themeColor="text1"/>
                <w:szCs w:val="21"/>
                <w:highlight w:val="none"/>
                <w:lang w:val="en-US" w:eastAsia="zh-CN"/>
                <w14:textFill>
                  <w14:solidFill>
                    <w14:schemeClr w14:val="tx1"/>
                  </w14:solidFill>
                </w14:textFill>
              </w:rPr>
              <w:t>0.72</w:t>
            </w:r>
            <w:r>
              <w:rPr>
                <w:rFonts w:hint="eastAsia"/>
                <w:color w:val="000000" w:themeColor="text1"/>
                <w:szCs w:val="21"/>
                <w:highlight w:val="none"/>
                <w14:textFill>
                  <w14:solidFill>
                    <w14:schemeClr w14:val="tx1"/>
                  </w14:solidFill>
                </w14:textFill>
              </w:rPr>
              <w:t>t/a</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交由环卫部门统一处置，粮食筛分的固体废物产生量为33.297t/a，集中收集后综合利用，热风炉灰渣及收尘产生量共</w:t>
            </w:r>
            <w:r>
              <w:rPr>
                <w:rFonts w:hint="eastAsia" w:cs="Times New Roman"/>
                <w:color w:val="000000" w:themeColor="text1"/>
                <w:sz w:val="21"/>
                <w:szCs w:val="21"/>
                <w:highlight w:val="none"/>
                <w:lang w:val="en-US" w:eastAsia="zh-CN"/>
                <w14:textFill>
                  <w14:solidFill>
                    <w14:schemeClr w14:val="tx1"/>
                  </w14:solidFill>
                </w14:textFill>
              </w:rPr>
              <w:t>180</w:t>
            </w:r>
            <w:r>
              <w:rPr>
                <w:rFonts w:hint="eastAsia"/>
                <w:color w:val="000000" w:themeColor="text1"/>
                <w:szCs w:val="21"/>
                <w:highlight w:val="none"/>
                <w:lang w:val="en-US" w:eastAsia="zh-CN"/>
                <w14:textFill>
                  <w14:solidFill>
                    <w14:schemeClr w14:val="tx1"/>
                  </w14:solidFill>
                </w14:textFill>
              </w:rPr>
              <w:t>t/a，全部集中收集后综合利用，废布袋产生量约为0.1t/a，有除尘器厂家更换直接带走。</w:t>
            </w:r>
          </w:p>
          <w:p w14:paraId="51697C1A">
            <w:pPr>
              <w:pStyle w:val="4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baseline"/>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3、现有环境问题</w:t>
            </w:r>
          </w:p>
          <w:p w14:paraId="27D35EA9">
            <w:pPr>
              <w:pStyle w:val="4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baseline"/>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（1）现有工程未申请排污许可证，未执行环境管理台账记录。</w:t>
            </w:r>
          </w:p>
          <w:p w14:paraId="4DCB0006">
            <w:pPr>
              <w:pStyle w:val="4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baseline"/>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（2）根据《产业结构调整指导目录（2024年本）》</w:t>
            </w: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燃煤热风炉属淘汰设备。</w:t>
            </w:r>
          </w:p>
          <w:p w14:paraId="5D76847E">
            <w:pPr>
              <w:pStyle w:val="4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baseline"/>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（3）原项目对热风炉废气缺少相应处理措施。</w:t>
            </w:r>
          </w:p>
          <w:p w14:paraId="702D307C">
            <w:pPr>
              <w:pStyle w:val="4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baseline"/>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4、以新带老整改措施</w:t>
            </w:r>
          </w:p>
          <w:p w14:paraId="020D523D">
            <w:pPr>
              <w:pStyle w:val="4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baseline"/>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（1）尽快申请排污许可证，根据排污许可证在执行环境管理台账记录等。</w:t>
            </w:r>
          </w:p>
          <w:p w14:paraId="667D4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（2）拆除现有4t/h燃煤热风炉，新建8t/h燃生物质热风炉。</w:t>
            </w:r>
          </w:p>
          <w:p w14:paraId="76AF3C6C">
            <w:pPr>
              <w:pStyle w:val="7"/>
              <w:keepNext w:val="0"/>
              <w:keepLines w:val="0"/>
              <w:suppressLineNumbers w:val="0"/>
              <w:spacing w:beforeAutospacing="0" w:afterAutospacing="0"/>
              <w:ind w:left="0" w:firstLine="420" w:firstLineChars="200"/>
              <w:rPr>
                <w:rFonts w:hint="default"/>
                <w:color w:val="000000" w:themeColor="text1"/>
                <w:highlight w:val="none"/>
                <w:lang w:val="en-US" w:eastAsia="zh-CN"/>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（3）依相关规定完善符合要求废气处理环保措施。</w:t>
            </w:r>
          </w:p>
        </w:tc>
      </w:tr>
    </w:tbl>
    <w:p w14:paraId="24759A16">
      <w:pPr>
        <w:pStyle w:val="28"/>
        <w:spacing w:before="0" w:beforeAutospacing="0" w:after="158" w:afterLines="50" w:afterAutospacing="0"/>
        <w:jc w:val="center"/>
        <w:outlineLvl w:val="0"/>
        <w:rPr>
          <w:rFonts w:hint="default" w:ascii="Times New Roman" w:hAnsi="Times New Roman" w:eastAsia="宋体" w:cs="Times New Roman"/>
          <w:b/>
          <w:bCs/>
          <w:color w:val="000000" w:themeColor="text1"/>
          <w:highlight w:val="none"/>
          <w14:textFill>
            <w14:solidFill>
              <w14:schemeClr w14:val="tx1"/>
            </w14:solidFill>
          </w14:textFill>
        </w:rPr>
        <w:sectPr>
          <w:pgSz w:w="11849" w:h="16781"/>
          <w:pgMar w:top="1701" w:right="1531" w:bottom="1701" w:left="1531" w:header="851" w:footer="1077" w:gutter="0"/>
          <w:pgBorders>
            <w:top w:val="none" w:sz="0" w:space="0"/>
            <w:left w:val="none" w:sz="0" w:space="0"/>
            <w:bottom w:val="none" w:sz="0" w:space="0"/>
            <w:right w:val="none" w:sz="0" w:space="0"/>
          </w:pgBorders>
          <w:pgNumType w:fmt="numberInDash"/>
          <w:cols w:space="0" w:num="1"/>
          <w:docGrid w:type="lines" w:linePitch="316" w:charSpace="0"/>
        </w:sectPr>
      </w:pPr>
    </w:p>
    <w:p w14:paraId="1DBCAB5B">
      <w:pPr>
        <w:pStyle w:val="28"/>
        <w:spacing w:before="0" w:beforeAutospacing="0" w:after="158" w:afterLines="50" w:afterAutospacing="0"/>
        <w:jc w:val="center"/>
        <w:outlineLvl w:val="0"/>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pPr>
      <w:bookmarkStart w:id="8" w:name="_Toc8233"/>
      <w:r>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t>三、区域环境质量现状、环境保护目标及评价标准</w:t>
      </w:r>
      <w:bookmarkEnd w:id="8"/>
    </w:p>
    <w:tbl>
      <w:tblPr>
        <w:tblStyle w:val="3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0"/>
        <w:gridCol w:w="8251"/>
      </w:tblGrid>
      <w:tr w14:paraId="5CD3E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52" w:type="pct"/>
            <w:vAlign w:val="center"/>
          </w:tcPr>
          <w:p w14:paraId="01D469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区域环境质量现状</w:t>
            </w:r>
          </w:p>
        </w:tc>
        <w:tc>
          <w:tcPr>
            <w:tcW w:w="4547" w:type="pct"/>
            <w:vAlign w:val="center"/>
          </w:tcPr>
          <w:p w14:paraId="147C7E11">
            <w:pPr>
              <w:keepNext w:val="0"/>
              <w:keepLines w:val="0"/>
              <w:numPr>
                <w:ilvl w:val="0"/>
                <w:numId w:val="5"/>
              </w:numPr>
              <w:suppressLineNumbers w:val="0"/>
              <w:spacing w:before="0" w:beforeAutospacing="0" w:after="0" w:afterAutospacing="0" w:line="360" w:lineRule="auto"/>
              <w:ind w:left="0" w:right="0" w:firstLine="422" w:firstLineChars="20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大气环境</w:t>
            </w:r>
          </w:p>
          <w:p w14:paraId="74CAD389">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根据《202</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highlight w:val="none"/>
                <w14:textFill>
                  <w14:solidFill>
                    <w14:schemeClr w14:val="tx1"/>
                  </w14:solidFill>
                </w14:textFill>
              </w:rPr>
              <w:t>年黑龙江省生态环境</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sz w:val="21"/>
                <w:highlight w:val="none"/>
                <w14:textFill>
                  <w14:solidFill>
                    <w14:schemeClr w14:val="tx1"/>
                  </w14:solidFill>
                </w14:textFill>
              </w:rPr>
              <w:t>状况》（202</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highlight w:val="none"/>
                <w14:textFill>
                  <w14:solidFill>
                    <w14:schemeClr w14:val="tx1"/>
                  </w14:solidFill>
                </w14:textFill>
              </w:rPr>
              <w:t>年</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highlight w:val="none"/>
                <w14:textFill>
                  <w14:solidFill>
                    <w14:schemeClr w14:val="tx1"/>
                  </w14:solidFill>
                </w14:textFill>
              </w:rPr>
              <w:t>月）</w:t>
            </w:r>
            <w:r>
              <w:rPr>
                <w:rFonts w:hint="default" w:ascii="Times New Roman" w:hAnsi="Times New Roman" w:eastAsia="宋体" w:cs="Times New Roman"/>
                <w:color w:val="000000" w:themeColor="text1"/>
                <w:highlight w:val="none"/>
                <w14:textFill>
                  <w14:solidFill>
                    <w14:schemeClr w14:val="tx1"/>
                  </w14:solidFill>
                </w14:textFill>
              </w:rPr>
              <w:t>中公布的数据。</w:t>
            </w:r>
            <w:r>
              <w:rPr>
                <w:rFonts w:hint="default" w:ascii="Times New Roman" w:hAnsi="Times New Roman" w:eastAsia="宋体" w:cs="Times New Roman"/>
                <w:color w:val="000000" w:themeColor="text1"/>
                <w:highlight w:val="none"/>
                <w:lang w:val="en-US" w:eastAsia="zh-CN"/>
                <w14:textFill>
                  <w14:solidFill>
                    <w14:schemeClr w14:val="tx1"/>
                  </w14:solidFill>
                </w14:textFill>
              </w:rPr>
              <w:t>2024年鸡西市各项污染物年均浓度综合情况如下表。</w:t>
            </w:r>
          </w:p>
          <w:p w14:paraId="55F013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1 鸡西</w:t>
            </w:r>
            <w:r>
              <w:rPr>
                <w:rFonts w:hint="default" w:ascii="Times New Roman" w:hAnsi="Times New Roman" w:eastAsia="宋体" w:cs="Times New Roman"/>
                <w:b/>
                <w:bCs/>
                <w:color w:val="000000" w:themeColor="text1"/>
                <w:highlight w:val="none"/>
                <w14:textFill>
                  <w14:solidFill>
                    <w14:schemeClr w14:val="tx1"/>
                  </w14:solidFill>
                </w14:textFill>
              </w:rPr>
              <w:t>市202</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highlight w:val="none"/>
                <w14:textFill>
                  <w14:solidFill>
                    <w14:schemeClr w14:val="tx1"/>
                  </w14:solidFill>
                </w14:textFill>
              </w:rPr>
              <w:t>年环境空气质量统计表   单位：μg/m</w:t>
            </w:r>
            <w:r>
              <w:rPr>
                <w:rFonts w:hint="default" w:ascii="Times New Roman" w:hAnsi="Times New Roman" w:eastAsia="宋体" w:cs="Times New Roman"/>
                <w:b/>
                <w:bCs/>
                <w:color w:val="000000" w:themeColor="text1"/>
                <w:highlight w:val="none"/>
                <w:vertAlign w:val="superscript"/>
                <w14:textFill>
                  <w14:solidFill>
                    <w14:schemeClr w14:val="tx1"/>
                  </w14:solidFill>
                </w14:textFill>
              </w:rPr>
              <w:t>3</w:t>
            </w:r>
          </w:p>
          <w:tbl>
            <w:tblPr>
              <w:tblStyle w:val="3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2991"/>
              <w:gridCol w:w="1049"/>
              <w:gridCol w:w="829"/>
              <w:gridCol w:w="940"/>
              <w:gridCol w:w="1190"/>
            </w:tblGrid>
            <w:tr w14:paraId="514AFA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78BE25A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2991" w:type="dxa"/>
                  <w:tcBorders>
                    <w:tl2br w:val="nil"/>
                    <w:tr2bl w:val="nil"/>
                  </w:tcBorders>
                  <w:vAlign w:val="center"/>
                </w:tcPr>
                <w:p w14:paraId="1A9EBF1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年评价指标</w:t>
                  </w:r>
                </w:p>
              </w:tc>
              <w:tc>
                <w:tcPr>
                  <w:tcW w:w="1049" w:type="dxa"/>
                  <w:tcBorders>
                    <w:tl2br w:val="nil"/>
                    <w:tr2bl w:val="nil"/>
                  </w:tcBorders>
                  <w:vAlign w:val="center"/>
                </w:tcPr>
                <w:p w14:paraId="334495E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现状浓度</w:t>
                  </w:r>
                </w:p>
              </w:tc>
              <w:tc>
                <w:tcPr>
                  <w:tcW w:w="829" w:type="dxa"/>
                  <w:tcBorders>
                    <w:tl2br w:val="nil"/>
                    <w:tr2bl w:val="nil"/>
                  </w:tcBorders>
                  <w:vAlign w:val="center"/>
                </w:tcPr>
                <w:p w14:paraId="53A8154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标准值</w:t>
                  </w:r>
                </w:p>
              </w:tc>
              <w:tc>
                <w:tcPr>
                  <w:tcW w:w="940" w:type="dxa"/>
                  <w:tcBorders>
                    <w:tl2br w:val="nil"/>
                    <w:tr2bl w:val="nil"/>
                  </w:tcBorders>
                  <w:vAlign w:val="center"/>
                </w:tcPr>
                <w:p w14:paraId="18B7DFD8">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占标率</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190" w:type="dxa"/>
                  <w:tcBorders>
                    <w:tl2br w:val="nil"/>
                    <w:tr2bl w:val="nil"/>
                  </w:tcBorders>
                  <w:vAlign w:val="center"/>
                </w:tcPr>
                <w:p w14:paraId="2910BCD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达标情况</w:t>
                  </w:r>
                </w:p>
              </w:tc>
            </w:tr>
            <w:tr w14:paraId="101357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74F1441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PM</w:t>
                  </w:r>
                  <w:r>
                    <w:rPr>
                      <w:rFonts w:hint="default" w:ascii="Times New Roman" w:hAnsi="Times New Roman" w:eastAsia="宋体" w:cs="Times New Roman"/>
                      <w:color w:val="000000" w:themeColor="text1"/>
                      <w:sz w:val="18"/>
                      <w:szCs w:val="18"/>
                      <w:highlight w:val="none"/>
                      <w:vertAlign w:val="subscript"/>
                      <w14:textFill>
                        <w14:solidFill>
                          <w14:schemeClr w14:val="tx1"/>
                        </w14:solidFill>
                      </w14:textFill>
                    </w:rPr>
                    <w:t>2.5</w:t>
                  </w:r>
                </w:p>
              </w:tc>
              <w:tc>
                <w:tcPr>
                  <w:tcW w:w="2991" w:type="dxa"/>
                  <w:tcBorders>
                    <w:tl2br w:val="nil"/>
                    <w:tr2bl w:val="nil"/>
                  </w:tcBorders>
                  <w:vAlign w:val="center"/>
                </w:tcPr>
                <w:p w14:paraId="50374DA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年平均质量浓度</w:t>
                  </w:r>
                </w:p>
              </w:tc>
              <w:tc>
                <w:tcPr>
                  <w:tcW w:w="1049" w:type="dxa"/>
                  <w:tcBorders>
                    <w:tl2br w:val="nil"/>
                    <w:tr2bl w:val="nil"/>
                  </w:tcBorders>
                  <w:vAlign w:val="center"/>
                </w:tcPr>
                <w:p w14:paraId="2095B0A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27</w:t>
                  </w:r>
                </w:p>
              </w:tc>
              <w:tc>
                <w:tcPr>
                  <w:tcW w:w="829" w:type="dxa"/>
                  <w:tcBorders>
                    <w:tl2br w:val="nil"/>
                    <w:tr2bl w:val="nil"/>
                  </w:tcBorders>
                  <w:vAlign w:val="center"/>
                </w:tcPr>
                <w:p w14:paraId="3AABDB2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35</w:t>
                  </w:r>
                </w:p>
              </w:tc>
              <w:tc>
                <w:tcPr>
                  <w:tcW w:w="940" w:type="dxa"/>
                  <w:tcBorders>
                    <w:tl2br w:val="nil"/>
                    <w:tr2bl w:val="nil"/>
                  </w:tcBorders>
                  <w:vAlign w:val="center"/>
                </w:tcPr>
                <w:p w14:paraId="098B162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77.1</w:t>
                  </w:r>
                </w:p>
              </w:tc>
              <w:tc>
                <w:tcPr>
                  <w:tcW w:w="1190" w:type="dxa"/>
                  <w:tcBorders>
                    <w:tl2br w:val="nil"/>
                    <w:tr2bl w:val="nil"/>
                  </w:tcBorders>
                  <w:vAlign w:val="center"/>
                </w:tcPr>
                <w:p w14:paraId="188682B5">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达</w:t>
                  </w:r>
                  <w:r>
                    <w:rPr>
                      <w:rFonts w:hint="default" w:ascii="Times New Roman" w:hAnsi="Times New Roman" w:eastAsia="宋体" w:cs="Times New Roman"/>
                      <w:color w:val="000000" w:themeColor="text1"/>
                      <w:sz w:val="18"/>
                      <w:szCs w:val="18"/>
                      <w:highlight w:val="none"/>
                      <w14:textFill>
                        <w14:solidFill>
                          <w14:schemeClr w14:val="tx1"/>
                        </w14:solidFill>
                      </w14:textFill>
                    </w:rPr>
                    <w:t>标</w:t>
                  </w:r>
                </w:p>
              </w:tc>
            </w:tr>
            <w:tr w14:paraId="304608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401B3F2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PM</w:t>
                  </w:r>
                  <w:r>
                    <w:rPr>
                      <w:rFonts w:hint="default" w:ascii="Times New Roman" w:hAnsi="Times New Roman" w:eastAsia="宋体" w:cs="Times New Roman"/>
                      <w:color w:val="000000" w:themeColor="text1"/>
                      <w:sz w:val="18"/>
                      <w:szCs w:val="18"/>
                      <w:highlight w:val="none"/>
                      <w:vertAlign w:val="subscript"/>
                      <w14:textFill>
                        <w14:solidFill>
                          <w14:schemeClr w14:val="tx1"/>
                        </w14:solidFill>
                      </w14:textFill>
                    </w:rPr>
                    <w:t>10</w:t>
                  </w:r>
                </w:p>
              </w:tc>
              <w:tc>
                <w:tcPr>
                  <w:tcW w:w="2991" w:type="dxa"/>
                  <w:tcBorders>
                    <w:tl2br w:val="nil"/>
                    <w:tr2bl w:val="nil"/>
                  </w:tcBorders>
                  <w:vAlign w:val="center"/>
                </w:tcPr>
                <w:p w14:paraId="67CA412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年平均质量浓度</w:t>
                  </w:r>
                </w:p>
              </w:tc>
              <w:tc>
                <w:tcPr>
                  <w:tcW w:w="1049" w:type="dxa"/>
                  <w:tcBorders>
                    <w:tl2br w:val="nil"/>
                    <w:tr2bl w:val="nil"/>
                  </w:tcBorders>
                  <w:vAlign w:val="center"/>
                </w:tcPr>
                <w:p w14:paraId="500E8CD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46</w:t>
                  </w:r>
                </w:p>
              </w:tc>
              <w:tc>
                <w:tcPr>
                  <w:tcW w:w="829" w:type="dxa"/>
                  <w:tcBorders>
                    <w:tl2br w:val="nil"/>
                    <w:tr2bl w:val="nil"/>
                  </w:tcBorders>
                  <w:vAlign w:val="center"/>
                </w:tcPr>
                <w:p w14:paraId="360CFEA0">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70</w:t>
                  </w:r>
                </w:p>
              </w:tc>
              <w:tc>
                <w:tcPr>
                  <w:tcW w:w="940" w:type="dxa"/>
                  <w:tcBorders>
                    <w:tl2br w:val="nil"/>
                    <w:tr2bl w:val="nil"/>
                  </w:tcBorders>
                  <w:vAlign w:val="center"/>
                </w:tcPr>
                <w:p w14:paraId="5FC5213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65.7</w:t>
                  </w:r>
                </w:p>
              </w:tc>
              <w:tc>
                <w:tcPr>
                  <w:tcW w:w="1190" w:type="dxa"/>
                  <w:tcBorders>
                    <w:tl2br w:val="nil"/>
                    <w:tr2bl w:val="nil"/>
                  </w:tcBorders>
                  <w:vAlign w:val="center"/>
                </w:tcPr>
                <w:p w14:paraId="386C87D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达标</w:t>
                  </w:r>
                </w:p>
              </w:tc>
            </w:tr>
            <w:tr w14:paraId="033719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31FB6E15">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NO</w:t>
                  </w:r>
                  <w:r>
                    <w:rPr>
                      <w:rFonts w:hint="default" w:ascii="Times New Roman" w:hAnsi="Times New Roman" w:eastAsia="宋体" w:cs="Times New Roman"/>
                      <w:color w:val="000000" w:themeColor="text1"/>
                      <w:sz w:val="18"/>
                      <w:szCs w:val="18"/>
                      <w:highlight w:val="none"/>
                      <w:vertAlign w:val="subscript"/>
                      <w14:textFill>
                        <w14:solidFill>
                          <w14:schemeClr w14:val="tx1"/>
                        </w14:solidFill>
                      </w14:textFill>
                    </w:rPr>
                    <w:t>2</w:t>
                  </w:r>
                </w:p>
              </w:tc>
              <w:tc>
                <w:tcPr>
                  <w:tcW w:w="2991" w:type="dxa"/>
                  <w:tcBorders>
                    <w:tl2br w:val="nil"/>
                    <w:tr2bl w:val="nil"/>
                  </w:tcBorders>
                  <w:vAlign w:val="center"/>
                </w:tcPr>
                <w:p w14:paraId="7454B53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年平均质量浓度</w:t>
                  </w:r>
                </w:p>
              </w:tc>
              <w:tc>
                <w:tcPr>
                  <w:tcW w:w="1049" w:type="dxa"/>
                  <w:tcBorders>
                    <w:tl2br w:val="nil"/>
                    <w:tr2bl w:val="nil"/>
                  </w:tcBorders>
                  <w:vAlign w:val="center"/>
                </w:tcPr>
                <w:p w14:paraId="3B29CF4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17</w:t>
                  </w:r>
                </w:p>
              </w:tc>
              <w:tc>
                <w:tcPr>
                  <w:tcW w:w="829" w:type="dxa"/>
                  <w:tcBorders>
                    <w:tl2br w:val="nil"/>
                    <w:tr2bl w:val="nil"/>
                  </w:tcBorders>
                  <w:vAlign w:val="center"/>
                </w:tcPr>
                <w:p w14:paraId="2D86FC0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40</w:t>
                  </w:r>
                </w:p>
              </w:tc>
              <w:tc>
                <w:tcPr>
                  <w:tcW w:w="940" w:type="dxa"/>
                  <w:tcBorders>
                    <w:tl2br w:val="nil"/>
                    <w:tr2bl w:val="nil"/>
                  </w:tcBorders>
                  <w:vAlign w:val="center"/>
                </w:tcPr>
                <w:p w14:paraId="593CC32B">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42.5</w:t>
                  </w:r>
                </w:p>
              </w:tc>
              <w:tc>
                <w:tcPr>
                  <w:tcW w:w="1190" w:type="dxa"/>
                  <w:tcBorders>
                    <w:tl2br w:val="nil"/>
                    <w:tr2bl w:val="nil"/>
                  </w:tcBorders>
                  <w:vAlign w:val="center"/>
                </w:tcPr>
                <w:p w14:paraId="74B0F477">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达标</w:t>
                  </w:r>
                </w:p>
              </w:tc>
            </w:tr>
            <w:tr w14:paraId="618A73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68C3DA4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SO</w:t>
                  </w:r>
                  <w:r>
                    <w:rPr>
                      <w:rFonts w:hint="default" w:ascii="Times New Roman" w:hAnsi="Times New Roman" w:eastAsia="宋体" w:cs="Times New Roman"/>
                      <w:color w:val="000000" w:themeColor="text1"/>
                      <w:sz w:val="18"/>
                      <w:szCs w:val="18"/>
                      <w:highlight w:val="none"/>
                      <w:vertAlign w:val="subscript"/>
                      <w14:textFill>
                        <w14:solidFill>
                          <w14:schemeClr w14:val="tx1"/>
                        </w14:solidFill>
                      </w14:textFill>
                    </w:rPr>
                    <w:t>2</w:t>
                  </w:r>
                </w:p>
              </w:tc>
              <w:tc>
                <w:tcPr>
                  <w:tcW w:w="2991" w:type="dxa"/>
                  <w:tcBorders>
                    <w:tl2br w:val="nil"/>
                    <w:tr2bl w:val="nil"/>
                  </w:tcBorders>
                  <w:vAlign w:val="center"/>
                </w:tcPr>
                <w:p w14:paraId="5189225F">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年平均质量浓度</w:t>
                  </w:r>
                </w:p>
              </w:tc>
              <w:tc>
                <w:tcPr>
                  <w:tcW w:w="1049" w:type="dxa"/>
                  <w:tcBorders>
                    <w:tl2br w:val="nil"/>
                    <w:tr2bl w:val="nil"/>
                  </w:tcBorders>
                  <w:vAlign w:val="center"/>
                </w:tcPr>
                <w:p w14:paraId="5D58677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8</w:t>
                  </w:r>
                </w:p>
              </w:tc>
              <w:tc>
                <w:tcPr>
                  <w:tcW w:w="829" w:type="dxa"/>
                  <w:tcBorders>
                    <w:tl2br w:val="nil"/>
                    <w:tr2bl w:val="nil"/>
                  </w:tcBorders>
                  <w:vAlign w:val="center"/>
                </w:tcPr>
                <w:p w14:paraId="0F421D4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60</w:t>
                  </w:r>
                </w:p>
              </w:tc>
              <w:tc>
                <w:tcPr>
                  <w:tcW w:w="940" w:type="dxa"/>
                  <w:tcBorders>
                    <w:tl2br w:val="nil"/>
                    <w:tr2bl w:val="nil"/>
                  </w:tcBorders>
                  <w:vAlign w:val="center"/>
                </w:tcPr>
                <w:p w14:paraId="7C121A00">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13.3</w:t>
                  </w:r>
                </w:p>
              </w:tc>
              <w:tc>
                <w:tcPr>
                  <w:tcW w:w="1190" w:type="dxa"/>
                  <w:tcBorders>
                    <w:tl2br w:val="nil"/>
                    <w:tr2bl w:val="nil"/>
                  </w:tcBorders>
                  <w:vAlign w:val="center"/>
                </w:tcPr>
                <w:p w14:paraId="1679D34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达标</w:t>
                  </w:r>
                </w:p>
              </w:tc>
            </w:tr>
            <w:tr w14:paraId="07FC87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458CDEF7">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CO</w:t>
                  </w:r>
                </w:p>
              </w:tc>
              <w:tc>
                <w:tcPr>
                  <w:tcW w:w="2991" w:type="dxa"/>
                  <w:tcBorders>
                    <w:tl2br w:val="nil"/>
                    <w:tr2bl w:val="nil"/>
                  </w:tcBorders>
                  <w:vAlign w:val="center"/>
                </w:tcPr>
                <w:p w14:paraId="2F5653A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第95百分位数日平均浓度（</w:t>
                  </w:r>
                  <w:r>
                    <w:rPr>
                      <w:rFonts w:hint="default" w:ascii="Times New Roman" w:hAnsi="Times New Roman" w:eastAsia="宋体" w:cs="Times New Roman"/>
                      <w:color w:val="000000" w:themeColor="text1"/>
                      <w:sz w:val="18"/>
                      <w:szCs w:val="18"/>
                      <w:highlight w:val="none"/>
                      <w14:textFill>
                        <w14:solidFill>
                          <w14:schemeClr w14:val="tx1"/>
                        </w14:solidFill>
                      </w14:textFill>
                    </w:rPr>
                    <w:t>mg/m</w:t>
                  </w:r>
                  <w:r>
                    <w:rPr>
                      <w:rFonts w:hint="default" w:ascii="Times New Roman" w:hAnsi="Times New Roman" w:eastAsia="宋体" w:cs="Times New Roman"/>
                      <w:color w:val="000000" w:themeColor="text1"/>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t>）</w:t>
                  </w:r>
                </w:p>
              </w:tc>
              <w:tc>
                <w:tcPr>
                  <w:tcW w:w="1049" w:type="dxa"/>
                  <w:tcBorders>
                    <w:tl2br w:val="nil"/>
                    <w:tr2bl w:val="nil"/>
                  </w:tcBorders>
                  <w:vAlign w:val="center"/>
                </w:tcPr>
                <w:p w14:paraId="64B788FE">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p>
              </w:tc>
              <w:tc>
                <w:tcPr>
                  <w:tcW w:w="829" w:type="dxa"/>
                  <w:tcBorders>
                    <w:tl2br w:val="nil"/>
                    <w:tr2bl w:val="nil"/>
                  </w:tcBorders>
                  <w:vAlign w:val="center"/>
                </w:tcPr>
                <w:p w14:paraId="78C8379E">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4.0</w:t>
                  </w:r>
                </w:p>
              </w:tc>
              <w:tc>
                <w:tcPr>
                  <w:tcW w:w="940" w:type="dxa"/>
                  <w:tcBorders>
                    <w:tl2br w:val="nil"/>
                    <w:tr2bl w:val="nil"/>
                  </w:tcBorders>
                  <w:vAlign w:val="center"/>
                </w:tcPr>
                <w:p w14:paraId="761CDF2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25</w:t>
                  </w:r>
                </w:p>
              </w:tc>
              <w:tc>
                <w:tcPr>
                  <w:tcW w:w="1190" w:type="dxa"/>
                  <w:tcBorders>
                    <w:tl2br w:val="nil"/>
                    <w:tr2bl w:val="nil"/>
                  </w:tcBorders>
                  <w:vAlign w:val="center"/>
                </w:tcPr>
                <w:p w14:paraId="5244B3B9">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达标</w:t>
                  </w:r>
                </w:p>
              </w:tc>
            </w:tr>
            <w:tr w14:paraId="399DD5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3027C76F">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O</w:t>
                  </w:r>
                  <w:r>
                    <w:rPr>
                      <w:rFonts w:hint="default" w:ascii="Times New Roman" w:hAnsi="Times New Roman" w:eastAsia="宋体" w:cs="Times New Roman"/>
                      <w:color w:val="000000" w:themeColor="text1"/>
                      <w:sz w:val="18"/>
                      <w:szCs w:val="18"/>
                      <w:highlight w:val="none"/>
                      <w:vertAlign w:val="subscript"/>
                      <w:lang w:val="en-US" w:eastAsia="zh-CN"/>
                      <w14:textFill>
                        <w14:solidFill>
                          <w14:schemeClr w14:val="tx1"/>
                        </w14:solidFill>
                      </w14:textFill>
                    </w:rPr>
                    <w:t>3</w:t>
                  </w:r>
                </w:p>
              </w:tc>
              <w:tc>
                <w:tcPr>
                  <w:tcW w:w="2991" w:type="dxa"/>
                  <w:tcBorders>
                    <w:tl2br w:val="nil"/>
                    <w:tr2bl w:val="nil"/>
                  </w:tcBorders>
                  <w:vAlign w:val="center"/>
                </w:tcPr>
                <w:p w14:paraId="7B6EA628">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第90</w:t>
                  </w:r>
                  <w:r>
                    <w:rPr>
                      <w:rFonts w:hint="default" w:ascii="Times New Roman" w:hAnsi="Times New Roman" w:eastAsia="宋体" w:cs="Times New Roman"/>
                      <w:color w:val="000000" w:themeColor="text1"/>
                      <w:sz w:val="18"/>
                      <w:szCs w:val="18"/>
                      <w:highlight w:val="none"/>
                      <w14:textFill>
                        <w14:solidFill>
                          <w14:schemeClr w14:val="tx1"/>
                        </w14:solidFill>
                      </w14:textFill>
                    </w:rPr>
                    <w:t>百分位数8h平均</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sz w:val="18"/>
                      <w:szCs w:val="18"/>
                      <w:highlight w:val="none"/>
                      <w14:textFill>
                        <w14:solidFill>
                          <w14:schemeClr w14:val="tx1"/>
                        </w14:solidFill>
                      </w14:textFill>
                    </w:rPr>
                    <w:t>浓度</w:t>
                  </w:r>
                </w:p>
              </w:tc>
              <w:tc>
                <w:tcPr>
                  <w:tcW w:w="1049" w:type="dxa"/>
                  <w:tcBorders>
                    <w:tl2br w:val="nil"/>
                    <w:tr2bl w:val="nil"/>
                  </w:tcBorders>
                  <w:vAlign w:val="center"/>
                </w:tcPr>
                <w:p w14:paraId="399945C8">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90</w:t>
                  </w:r>
                </w:p>
              </w:tc>
              <w:tc>
                <w:tcPr>
                  <w:tcW w:w="829" w:type="dxa"/>
                  <w:tcBorders>
                    <w:tl2br w:val="nil"/>
                    <w:tr2bl w:val="nil"/>
                  </w:tcBorders>
                  <w:vAlign w:val="center"/>
                </w:tcPr>
                <w:p w14:paraId="12F5595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160</w:t>
                  </w:r>
                </w:p>
              </w:tc>
              <w:tc>
                <w:tcPr>
                  <w:tcW w:w="940" w:type="dxa"/>
                  <w:tcBorders>
                    <w:tl2br w:val="nil"/>
                    <w:tr2bl w:val="nil"/>
                  </w:tcBorders>
                  <w:vAlign w:val="center"/>
                </w:tcPr>
                <w:p w14:paraId="07480D17">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56.3</w:t>
                  </w:r>
                </w:p>
              </w:tc>
              <w:tc>
                <w:tcPr>
                  <w:tcW w:w="1190" w:type="dxa"/>
                  <w:tcBorders>
                    <w:tl2br w:val="nil"/>
                    <w:tr2bl w:val="nil"/>
                  </w:tcBorders>
                  <w:vAlign w:val="center"/>
                </w:tcPr>
                <w:p w14:paraId="2BEBF9D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达标</w:t>
                  </w:r>
                </w:p>
              </w:tc>
            </w:tr>
          </w:tbl>
          <w:p w14:paraId="73C343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由表3-1可知，2024年鸡西市空气基本污染物中</w:t>
            </w: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年平均质量浓度及</w:t>
            </w:r>
            <w:r>
              <w:rPr>
                <w:rFonts w:hint="default" w:ascii="Times New Roman" w:hAnsi="Times New Roman" w:eastAsia="宋体" w:cs="Times New Roman"/>
                <w:color w:val="000000" w:themeColor="text1"/>
                <w:sz w:val="21"/>
                <w:szCs w:val="21"/>
                <w:highlight w:val="none"/>
                <w14:textFill>
                  <w14:solidFill>
                    <w14:schemeClr w14:val="tx1"/>
                  </w14:solidFill>
                </w14:textFill>
              </w:rPr>
              <w:t>CO</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第95百分位数日平均浓度、O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第90</w:t>
            </w:r>
            <w:r>
              <w:rPr>
                <w:rFonts w:hint="default" w:ascii="Times New Roman" w:hAnsi="Times New Roman" w:eastAsia="宋体" w:cs="Times New Roman"/>
                <w:color w:val="000000" w:themeColor="text1"/>
                <w:sz w:val="21"/>
                <w:szCs w:val="21"/>
                <w:highlight w:val="none"/>
                <w14:textFill>
                  <w14:solidFill>
                    <w14:schemeClr w14:val="tx1"/>
                  </w14:solidFill>
                </w14:textFill>
              </w:rPr>
              <w:t>百分位数8h平均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sz w:val="21"/>
                <w:szCs w:val="21"/>
                <w:highlight w:val="none"/>
                <w14:textFill>
                  <w14:solidFill>
                    <w14:schemeClr w14:val="tx1"/>
                  </w14:solidFill>
                </w14:textFill>
              </w:rPr>
              <w:t>浓度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均</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满足</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《环境空气质量标准》（GB3095-2012）中的二级标准</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因此判定本项目区域环境空气质量为达标区。</w:t>
            </w:r>
          </w:p>
          <w:p w14:paraId="7FFEA832">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szCs w:val="21"/>
                <w:highlight w:val="none"/>
                <w14:textFill>
                  <w14:solidFill>
                    <w14:schemeClr w14:val="tx1"/>
                  </w14:solidFill>
                </w14:textFill>
              </w:rPr>
              <w:t>污染物</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p w14:paraId="5AA68815">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本项目委托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鸡西晟源环境检测</w:t>
            </w:r>
            <w:r>
              <w:rPr>
                <w:rFonts w:hint="default" w:ascii="Times New Roman" w:hAnsi="Times New Roman" w:eastAsia="宋体" w:cs="Times New Roman"/>
                <w:color w:val="000000" w:themeColor="text1"/>
                <w:sz w:val="21"/>
                <w:szCs w:val="21"/>
                <w:highlight w:val="none"/>
                <w14:textFill>
                  <w14:solidFill>
                    <w14:schemeClr w14:val="tx1"/>
                  </w14:solidFill>
                </w14:textFill>
              </w:rPr>
              <w:t>有限公司对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TSP</w:t>
            </w: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环境空气质量进行监测，监测时间202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日。</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监测点位见图3-1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本项目所处区域当季主导风向为西风，监测点位为当季主导风向下风向100m处，具有代表性。</w:t>
            </w:r>
          </w:p>
          <w:p w14:paraId="52A8B942">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b/>
                <w:color w:val="000000" w:themeColor="text1"/>
                <w:kern w:val="0"/>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anchor distT="0" distB="0" distL="114300" distR="114300" simplePos="0" relativeHeight="251670528" behindDoc="0" locked="0" layoutInCell="1" allowOverlap="1">
                  <wp:simplePos x="0" y="0"/>
                  <wp:positionH relativeFrom="column">
                    <wp:posOffset>3220720</wp:posOffset>
                  </wp:positionH>
                  <wp:positionV relativeFrom="paragraph">
                    <wp:posOffset>1022350</wp:posOffset>
                  </wp:positionV>
                  <wp:extent cx="191135" cy="178435"/>
                  <wp:effectExtent l="0" t="0" r="18415" b="12065"/>
                  <wp:wrapNone/>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11"/>
                          <a:stretch>
                            <a:fillRect/>
                          </a:stretch>
                        </pic:blipFill>
                        <pic:spPr>
                          <a:xfrm>
                            <a:off x="0" y="0"/>
                            <a:ext cx="191135" cy="178435"/>
                          </a:xfrm>
                          <a:prstGeom prst="rect">
                            <a:avLst/>
                          </a:prstGeom>
                          <a:noFill/>
                          <a:ln>
                            <a:noFill/>
                          </a:ln>
                        </pic:spPr>
                      </pic:pic>
                    </a:graphicData>
                  </a:graphic>
                </wp:anchor>
              </w:drawing>
            </w:r>
            <w:r>
              <w:rPr>
                <w:rFonts w:hint="default" w:ascii="Times New Roman" w:hAnsi="Times New Roman" w:eastAsia="宋体" w:cs="Times New Roman"/>
                <w:b/>
                <w:bCs/>
                <w:color w:val="000000" w:themeColor="text1"/>
                <w:sz w:val="24"/>
                <w:szCs w:val="24"/>
                <w:highlight w:val="none"/>
                <w14:textFill>
                  <w14:solidFill>
                    <w14:schemeClr w14:val="tx1"/>
                  </w14:solidFill>
                </w14:textFill>
              </w:rPr>
              <w:drawing>
                <wp:anchor distT="0" distB="0" distL="114300" distR="114300" simplePos="0" relativeHeight="251671552" behindDoc="0" locked="0" layoutInCell="1" allowOverlap="1">
                  <wp:simplePos x="0" y="0"/>
                  <wp:positionH relativeFrom="column">
                    <wp:posOffset>4372610</wp:posOffset>
                  </wp:positionH>
                  <wp:positionV relativeFrom="paragraph">
                    <wp:posOffset>10160</wp:posOffset>
                  </wp:positionV>
                  <wp:extent cx="706755" cy="655320"/>
                  <wp:effectExtent l="0" t="0" r="17145" b="11430"/>
                  <wp:wrapNone/>
                  <wp:docPr id="90" name="图片 2" descr="鸡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descr="鸡西风玫瑰"/>
                          <pic:cNvPicPr>
                            <a:picLocks noChangeAspect="1"/>
                          </pic:cNvPicPr>
                        </pic:nvPicPr>
                        <pic:blipFill>
                          <a:blip r:embed="rId12"/>
                          <a:stretch>
                            <a:fillRect/>
                          </a:stretch>
                        </pic:blipFill>
                        <pic:spPr>
                          <a:xfrm>
                            <a:off x="0" y="0"/>
                            <a:ext cx="706755" cy="655320"/>
                          </a:xfrm>
                          <a:prstGeom prst="rect">
                            <a:avLst/>
                          </a:prstGeom>
                          <a:noFill/>
                          <a:ln>
                            <a:noFill/>
                          </a:ln>
                        </pic:spPr>
                      </pic:pic>
                    </a:graphicData>
                  </a:graphic>
                </wp:anchor>
              </w:drawing>
            </w:r>
            <w:r>
              <w:rPr>
                <w:rFonts w:hint="default" w:ascii="Times New Roman" w:hAnsi="Times New Roman" w:eastAsia="宋体" w:cs="Times New Roman"/>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3935095</wp:posOffset>
                      </wp:positionH>
                      <wp:positionV relativeFrom="paragraph">
                        <wp:posOffset>2030095</wp:posOffset>
                      </wp:positionV>
                      <wp:extent cx="1130300" cy="855345"/>
                      <wp:effectExtent l="4445" t="4445" r="8255" b="16510"/>
                      <wp:wrapNone/>
                      <wp:docPr id="34" name="文本框 34"/>
                      <wp:cNvGraphicFramePr/>
                      <a:graphic xmlns:a="http://schemas.openxmlformats.org/drawingml/2006/main">
                        <a:graphicData uri="http://schemas.microsoft.com/office/word/2010/wordprocessingShape">
                          <wps:wsp>
                            <wps:cNvSpPr txBox="1"/>
                            <wps:spPr>
                              <a:xfrm>
                                <a:off x="0" y="0"/>
                                <a:ext cx="1130300" cy="855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2576C1">
                                  <w:pPr>
                                    <w:jc w:val="center"/>
                                    <w:rPr>
                                      <w:rFonts w:hint="eastAsia"/>
                                      <w:lang w:val="en-US" w:eastAsia="zh-CN"/>
                                    </w:rPr>
                                  </w:pPr>
                                  <w:r>
                                    <w:rPr>
                                      <w:rFonts w:hint="eastAsia"/>
                                      <w:lang w:val="en-US" w:eastAsia="zh-CN"/>
                                    </w:rPr>
                                    <w:t>图例</w:t>
                                  </w:r>
                                </w:p>
                                <w:p w14:paraId="67F2B50B">
                                  <w:pPr>
                                    <w:jc w:val="both"/>
                                    <w:rPr>
                                      <w:rFonts w:hint="default"/>
                                      <w:lang w:val="en-US" w:eastAsia="zh-CN"/>
                                    </w:rPr>
                                  </w:pPr>
                                  <w:r>
                                    <w:rPr>
                                      <w:rFonts w:hint="eastAsia"/>
                                      <w:color w:val="FF0000"/>
                                      <w:lang w:val="en-US" w:eastAsia="zh-CN"/>
                                    </w:rPr>
                                    <w:t>□</w:t>
                                  </w:r>
                                  <w:r>
                                    <w:rPr>
                                      <w:rFonts w:hint="eastAsia"/>
                                      <w:lang w:val="en-US" w:eastAsia="zh-CN"/>
                                    </w:rPr>
                                    <w:t>项目位置</w:t>
                                  </w:r>
                                </w:p>
                                <w:p w14:paraId="364CF25A">
                                  <w:pPr>
                                    <w:jc w:val="both"/>
                                    <w:rPr>
                                      <w:rFonts w:hint="eastAsia" w:eastAsia="宋体"/>
                                      <w:lang w:val="en-US" w:eastAsia="zh-CN"/>
                                    </w:rPr>
                                  </w:pPr>
                                  <w:r>
                                    <w:drawing>
                                      <wp:inline distT="0" distB="0" distL="114300" distR="114300">
                                        <wp:extent cx="302895" cy="282575"/>
                                        <wp:effectExtent l="0" t="0" r="1905" b="317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1"/>
                                                <a:stretch>
                                                  <a:fillRect/>
                                                </a:stretch>
                                              </pic:blipFill>
                                              <pic:spPr>
                                                <a:xfrm>
                                                  <a:off x="0" y="0"/>
                                                  <a:ext cx="302895" cy="282575"/>
                                                </a:xfrm>
                                                <a:prstGeom prst="rect">
                                                  <a:avLst/>
                                                </a:prstGeom>
                                                <a:noFill/>
                                                <a:ln>
                                                  <a:noFill/>
                                                </a:ln>
                                              </pic:spPr>
                                            </pic:pic>
                                          </a:graphicData>
                                        </a:graphic>
                                      </wp:inline>
                                    </w:drawing>
                                  </w:r>
                                  <w:r>
                                    <w:rPr>
                                      <w:rFonts w:hint="eastAsia"/>
                                      <w:lang w:val="en-US" w:eastAsia="zh-CN"/>
                                    </w:rPr>
                                    <w:t>监测点位</w:t>
                                  </w:r>
                                </w:p>
                              </w:txbxContent>
                            </wps:txbx>
                            <wps:bodyPr upright="1"/>
                          </wps:wsp>
                        </a:graphicData>
                      </a:graphic>
                    </wp:anchor>
                  </w:drawing>
                </mc:Choice>
                <mc:Fallback>
                  <w:pict>
                    <v:shape id="_x0000_s1026" o:spid="_x0000_s1026" o:spt="202" type="#_x0000_t202" style="position:absolute;left:0pt;margin-left:309.85pt;margin-top:159.85pt;height:67.35pt;width:89pt;z-index:251667456;mso-width-relative:page;mso-height-relative:page;" fillcolor="#FFFFFF" filled="t" stroked="t" coordsize="21600,21600" o:gfxdata="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gt9f2QAAAAsBAAAPAAAAAAAAAAEAIAAA&#10;ACIAAABkcnMvZG93bnJldi54bWxQSwECFAAUAAAACACHTuJAbac/tAsCAAA4BAAADgAAAAAAAAAB&#10;ACAAAAAoAQAAZHJzL2Uyb0RvYy54bWxQSwUGAAAAAAYABgBZAQAApQUAAAAA&#10;">
                      <v:fill on="t" focussize="0,0"/>
                      <v:stroke color="#000000" joinstyle="miter"/>
                      <v:imagedata o:title=""/>
                      <o:lock v:ext="edit" aspectratio="f"/>
                      <v:textbox>
                        <w:txbxContent>
                          <w:p w14:paraId="102576C1">
                            <w:pPr>
                              <w:jc w:val="center"/>
                              <w:rPr>
                                <w:rFonts w:hint="eastAsia"/>
                                <w:lang w:val="en-US" w:eastAsia="zh-CN"/>
                              </w:rPr>
                            </w:pPr>
                            <w:r>
                              <w:rPr>
                                <w:rFonts w:hint="eastAsia"/>
                                <w:lang w:val="en-US" w:eastAsia="zh-CN"/>
                              </w:rPr>
                              <w:t>图例</w:t>
                            </w:r>
                          </w:p>
                          <w:p w14:paraId="67F2B50B">
                            <w:pPr>
                              <w:jc w:val="both"/>
                              <w:rPr>
                                <w:rFonts w:hint="default"/>
                                <w:lang w:val="en-US" w:eastAsia="zh-CN"/>
                              </w:rPr>
                            </w:pPr>
                            <w:r>
                              <w:rPr>
                                <w:rFonts w:hint="eastAsia"/>
                                <w:color w:val="FF0000"/>
                                <w:lang w:val="en-US" w:eastAsia="zh-CN"/>
                              </w:rPr>
                              <w:t>□</w:t>
                            </w:r>
                            <w:r>
                              <w:rPr>
                                <w:rFonts w:hint="eastAsia"/>
                                <w:lang w:val="en-US" w:eastAsia="zh-CN"/>
                              </w:rPr>
                              <w:t>项目位置</w:t>
                            </w:r>
                          </w:p>
                          <w:p w14:paraId="364CF25A">
                            <w:pPr>
                              <w:jc w:val="both"/>
                              <w:rPr>
                                <w:rFonts w:hint="eastAsia" w:eastAsia="宋体"/>
                                <w:lang w:val="en-US" w:eastAsia="zh-CN"/>
                              </w:rPr>
                            </w:pPr>
                            <w:r>
                              <w:drawing>
                                <wp:inline distT="0" distB="0" distL="114300" distR="114300">
                                  <wp:extent cx="302895" cy="282575"/>
                                  <wp:effectExtent l="0" t="0" r="1905" b="317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1"/>
                                          <a:stretch>
                                            <a:fillRect/>
                                          </a:stretch>
                                        </pic:blipFill>
                                        <pic:spPr>
                                          <a:xfrm>
                                            <a:off x="0" y="0"/>
                                            <a:ext cx="302895" cy="282575"/>
                                          </a:xfrm>
                                          <a:prstGeom prst="rect">
                                            <a:avLst/>
                                          </a:prstGeom>
                                          <a:noFill/>
                                          <a:ln>
                                            <a:noFill/>
                                          </a:ln>
                                        </pic:spPr>
                                      </pic:pic>
                                    </a:graphicData>
                                  </a:graphic>
                                </wp:inline>
                              </w:drawing>
                            </w:r>
                            <w:r>
                              <w:rPr>
                                <w:rFonts w:hint="eastAsia"/>
                                <w:lang w:val="en-US" w:eastAsia="zh-CN"/>
                              </w:rPr>
                              <w:t>监测点位</w:t>
                            </w:r>
                          </w:p>
                        </w:txbxContent>
                      </v:textbox>
                    </v:shape>
                  </w:pict>
                </mc:Fallback>
              </mc:AlternateContent>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097145" cy="2790190"/>
                  <wp:effectExtent l="0" t="0" r="825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097145" cy="2790190"/>
                          </a:xfrm>
                          <a:prstGeom prst="rect">
                            <a:avLst/>
                          </a:prstGeom>
                          <a:noFill/>
                          <a:ln>
                            <a:noFill/>
                          </a:ln>
                        </pic:spPr>
                      </pic:pic>
                    </a:graphicData>
                  </a:graphic>
                </wp:inline>
              </w:drawing>
            </w:r>
          </w:p>
          <w:p w14:paraId="3D4C6D5E">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000000" w:themeColor="text1"/>
                <w:kern w:val="0"/>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highlight w:val="none"/>
                <w14:textFill>
                  <w14:solidFill>
                    <w14:schemeClr w14:val="tx1"/>
                  </w14:solidFill>
                </w14:textFill>
              </w:rPr>
              <w:t>图3-</w:t>
            </w:r>
            <w:r>
              <w:rPr>
                <w:rFonts w:hint="default" w:ascii="Times New Roman" w:hAnsi="Times New Roman" w:eastAsia="宋体" w:cs="Times New Roman"/>
                <w:b/>
                <w:color w:val="000000" w:themeColor="text1"/>
                <w:kern w:val="0"/>
                <w:highlight w:val="none"/>
                <w:lang w:val="en-US" w:eastAsia="zh-CN"/>
                <w14:textFill>
                  <w14:solidFill>
                    <w14:schemeClr w14:val="tx1"/>
                  </w14:solidFill>
                </w14:textFill>
              </w:rPr>
              <w:t xml:space="preserve">1 </w:t>
            </w:r>
            <w:r>
              <w:rPr>
                <w:rFonts w:hint="default" w:ascii="Times New Roman" w:hAnsi="Times New Roman" w:eastAsia="宋体" w:cs="Times New Roman"/>
                <w:b/>
                <w:color w:val="000000" w:themeColor="text1"/>
                <w:kern w:val="0"/>
                <w:highlight w:val="none"/>
                <w14:textFill>
                  <w14:solidFill>
                    <w14:schemeClr w14:val="tx1"/>
                  </w14:solidFill>
                </w14:textFill>
              </w:rPr>
              <w:t>大气监测点位图</w:t>
            </w:r>
          </w:p>
          <w:p w14:paraId="6D0BED0E">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监测点基本信息见表3-</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，评价结果见表3-</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p>
          <w:p w14:paraId="4E2F29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表3-</w:t>
            </w:r>
            <w: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 xml:space="preserve"> 监测点基本信息表</w:t>
            </w:r>
          </w:p>
          <w:tbl>
            <w:tblPr>
              <w:tblStyle w:val="3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582"/>
              <w:gridCol w:w="1042"/>
              <w:gridCol w:w="1288"/>
              <w:gridCol w:w="1350"/>
              <w:gridCol w:w="1576"/>
            </w:tblGrid>
            <w:tr w14:paraId="200E68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1197" w:type="dxa"/>
                  <w:tcBorders>
                    <w:top w:val="single" w:color="auto" w:sz="8" w:space="0"/>
                    <w:bottom w:val="single" w:color="auto" w:sz="4" w:space="0"/>
                    <w:right w:val="single" w:color="auto" w:sz="4" w:space="0"/>
                  </w:tcBorders>
                  <w:noWrap w:val="0"/>
                  <w:vAlign w:val="center"/>
                </w:tcPr>
                <w:p w14:paraId="627996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名称</w:t>
                  </w:r>
                </w:p>
              </w:tc>
              <w:tc>
                <w:tcPr>
                  <w:tcW w:w="1582" w:type="dxa"/>
                  <w:tcBorders>
                    <w:top w:val="single" w:color="auto" w:sz="8" w:space="0"/>
                    <w:left w:val="single" w:color="auto" w:sz="4" w:space="0"/>
                    <w:bottom w:val="single" w:color="auto" w:sz="4" w:space="0"/>
                    <w:right w:val="single" w:color="auto" w:sz="4" w:space="0"/>
                  </w:tcBorders>
                  <w:noWrap w:val="0"/>
                  <w:vAlign w:val="center"/>
                </w:tcPr>
                <w:p w14:paraId="4D4FA0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坐标</w:t>
                  </w:r>
                </w:p>
              </w:tc>
              <w:tc>
                <w:tcPr>
                  <w:tcW w:w="1042" w:type="dxa"/>
                  <w:tcBorders>
                    <w:top w:val="single" w:color="auto" w:sz="8" w:space="0"/>
                    <w:left w:val="single" w:color="auto" w:sz="4" w:space="0"/>
                    <w:bottom w:val="single" w:color="auto" w:sz="4" w:space="0"/>
                    <w:right w:val="single" w:color="auto" w:sz="4" w:space="0"/>
                  </w:tcBorders>
                  <w:noWrap w:val="0"/>
                  <w:vAlign w:val="center"/>
                </w:tcPr>
                <w:p w14:paraId="1B4CE2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监测因子</w:t>
                  </w:r>
                </w:p>
              </w:tc>
              <w:tc>
                <w:tcPr>
                  <w:tcW w:w="1288" w:type="dxa"/>
                  <w:tcBorders>
                    <w:top w:val="single" w:color="auto" w:sz="8" w:space="0"/>
                    <w:left w:val="single" w:color="auto" w:sz="4" w:space="0"/>
                    <w:bottom w:val="single" w:color="auto" w:sz="4" w:space="0"/>
                    <w:right w:val="single" w:color="auto" w:sz="4" w:space="0"/>
                  </w:tcBorders>
                  <w:noWrap w:val="0"/>
                  <w:vAlign w:val="center"/>
                </w:tcPr>
                <w:p w14:paraId="402FDF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监测时段</w:t>
                  </w:r>
                </w:p>
              </w:tc>
              <w:tc>
                <w:tcPr>
                  <w:tcW w:w="1350" w:type="dxa"/>
                  <w:tcBorders>
                    <w:top w:val="single" w:color="auto" w:sz="8" w:space="0"/>
                    <w:left w:val="single" w:color="auto" w:sz="4" w:space="0"/>
                    <w:bottom w:val="single" w:color="auto" w:sz="4" w:space="0"/>
                    <w:right w:val="single" w:color="auto" w:sz="4" w:space="0"/>
                  </w:tcBorders>
                  <w:noWrap w:val="0"/>
                  <w:vAlign w:val="center"/>
                </w:tcPr>
                <w:p w14:paraId="3C0B09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相对厂址方位</w:t>
                  </w:r>
                </w:p>
              </w:tc>
              <w:tc>
                <w:tcPr>
                  <w:tcW w:w="1576" w:type="dxa"/>
                  <w:tcBorders>
                    <w:top w:val="single" w:color="auto" w:sz="8" w:space="0"/>
                    <w:left w:val="single" w:color="auto" w:sz="4" w:space="0"/>
                    <w:bottom w:val="single" w:color="auto" w:sz="4" w:space="0"/>
                  </w:tcBorders>
                  <w:noWrap w:val="0"/>
                  <w:vAlign w:val="center"/>
                </w:tcPr>
                <w:p w14:paraId="41FB65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相对厂界距离/m</w:t>
                  </w:r>
                </w:p>
              </w:tc>
            </w:tr>
            <w:tr w14:paraId="62C46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tcBorders>
                    <w:top w:val="single" w:color="auto" w:sz="4" w:space="0"/>
                    <w:right w:val="single" w:color="auto" w:sz="4" w:space="0"/>
                  </w:tcBorders>
                  <w:noWrap w:val="0"/>
                  <w:vAlign w:val="center"/>
                </w:tcPr>
                <w:p w14:paraId="12B0EB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厂界下风向100m</w:t>
                  </w:r>
                </w:p>
              </w:tc>
              <w:tc>
                <w:tcPr>
                  <w:tcW w:w="1582" w:type="dxa"/>
                  <w:tcBorders>
                    <w:top w:val="single" w:color="auto" w:sz="4" w:space="0"/>
                    <w:left w:val="single" w:color="auto" w:sz="4" w:space="0"/>
                    <w:right w:val="single" w:color="auto" w:sz="4" w:space="0"/>
                  </w:tcBorders>
                  <w:noWrap w:val="0"/>
                  <w:vAlign w:val="center"/>
                </w:tcPr>
                <w:p w14:paraId="5091FF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130.72179079</w:t>
                  </w:r>
                </w:p>
                <w:p w14:paraId="15C213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45.26040379</w:t>
                  </w:r>
                </w:p>
              </w:tc>
              <w:tc>
                <w:tcPr>
                  <w:tcW w:w="1042" w:type="dxa"/>
                  <w:tcBorders>
                    <w:top w:val="single" w:color="auto" w:sz="4" w:space="0"/>
                    <w:left w:val="single" w:color="auto" w:sz="4" w:space="0"/>
                    <w:bottom w:val="single" w:color="auto" w:sz="4" w:space="0"/>
                    <w:right w:val="single" w:color="auto" w:sz="4" w:space="0"/>
                  </w:tcBorders>
                  <w:noWrap w:val="0"/>
                  <w:vAlign w:val="center"/>
                </w:tcPr>
                <w:p w14:paraId="7AD54E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TSP</w:t>
                  </w: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783D3C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24小时平均</w:t>
                  </w:r>
                </w:p>
              </w:tc>
              <w:tc>
                <w:tcPr>
                  <w:tcW w:w="1350" w:type="dxa"/>
                  <w:tcBorders>
                    <w:top w:val="single" w:color="auto" w:sz="4" w:space="0"/>
                    <w:left w:val="single" w:color="auto" w:sz="4" w:space="0"/>
                    <w:right w:val="single" w:color="auto" w:sz="4" w:space="0"/>
                  </w:tcBorders>
                  <w:noWrap w:val="0"/>
                  <w:vAlign w:val="center"/>
                </w:tcPr>
                <w:p w14:paraId="17BC40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E</w:t>
                  </w:r>
                </w:p>
              </w:tc>
              <w:tc>
                <w:tcPr>
                  <w:tcW w:w="1576" w:type="dxa"/>
                  <w:tcBorders>
                    <w:top w:val="single" w:color="auto" w:sz="4" w:space="0"/>
                    <w:left w:val="single" w:color="auto" w:sz="4" w:space="0"/>
                  </w:tcBorders>
                  <w:noWrap w:val="0"/>
                  <w:vAlign w:val="center"/>
                </w:tcPr>
                <w:p w14:paraId="65F1A8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100</w:t>
                  </w:r>
                </w:p>
              </w:tc>
            </w:tr>
          </w:tbl>
          <w:p w14:paraId="5DDE11AB">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000000" w:themeColor="text1"/>
                <w:highlight w:val="none"/>
                <w14:textFill>
                  <w14:solidFill>
                    <w14:schemeClr w14:val="tx1"/>
                  </w14:solidFill>
                </w14:textFill>
              </w:rPr>
            </w:pPr>
          </w:p>
          <w:p w14:paraId="47E6A0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表3-</w:t>
            </w:r>
            <w: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监测结果</w:t>
            </w:r>
          </w:p>
          <w:tbl>
            <w:tblPr>
              <w:tblStyle w:val="3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1"/>
              <w:gridCol w:w="800"/>
              <w:gridCol w:w="1025"/>
              <w:gridCol w:w="875"/>
              <w:gridCol w:w="875"/>
              <w:gridCol w:w="875"/>
              <w:gridCol w:w="1087"/>
              <w:gridCol w:w="788"/>
              <w:gridCol w:w="729"/>
            </w:tblGrid>
            <w:tr w14:paraId="74C3F0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1" w:type="dxa"/>
                  <w:noWrap w:val="0"/>
                  <w:vAlign w:val="center"/>
                </w:tcPr>
                <w:p w14:paraId="4DCC0F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名称</w:t>
                  </w:r>
                </w:p>
              </w:tc>
              <w:tc>
                <w:tcPr>
                  <w:tcW w:w="800" w:type="dxa"/>
                  <w:noWrap w:val="0"/>
                  <w:vAlign w:val="center"/>
                </w:tcPr>
                <w:p w14:paraId="176995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污染物</w:t>
                  </w:r>
                </w:p>
              </w:tc>
              <w:tc>
                <w:tcPr>
                  <w:tcW w:w="1025" w:type="dxa"/>
                  <w:noWrap w:val="0"/>
                  <w:vAlign w:val="center"/>
                </w:tcPr>
                <w:p w14:paraId="7FC81A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评价标准（μg/m</w:t>
                  </w:r>
                  <w:r>
                    <w:rPr>
                      <w:rFonts w:hint="default" w:ascii="Times New Roman" w:hAnsi="Times New Roman" w:eastAsia="宋体" w:cs="Times New Roman"/>
                      <w:color w:val="000000" w:themeColor="text1"/>
                      <w:kern w:val="0"/>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tc>
              <w:tc>
                <w:tcPr>
                  <w:tcW w:w="2625" w:type="dxa"/>
                  <w:gridSpan w:val="3"/>
                  <w:noWrap w:val="0"/>
                  <w:vAlign w:val="center"/>
                </w:tcPr>
                <w:p w14:paraId="58A612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浓度（μg/m</w:t>
                  </w:r>
                  <w:r>
                    <w:rPr>
                      <w:rFonts w:hint="default" w:ascii="Times New Roman" w:hAnsi="Times New Roman" w:eastAsia="宋体" w:cs="Times New Roman"/>
                      <w:color w:val="000000" w:themeColor="text1"/>
                      <w:kern w:val="0"/>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tc>
              <w:tc>
                <w:tcPr>
                  <w:tcW w:w="1087" w:type="dxa"/>
                  <w:noWrap w:val="0"/>
                  <w:vAlign w:val="center"/>
                </w:tcPr>
                <w:p w14:paraId="13A073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最大占标率%</w:t>
                  </w:r>
                </w:p>
              </w:tc>
              <w:tc>
                <w:tcPr>
                  <w:tcW w:w="788" w:type="dxa"/>
                  <w:noWrap w:val="0"/>
                  <w:vAlign w:val="center"/>
                </w:tcPr>
                <w:p w14:paraId="41B7A1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超标率%</w:t>
                  </w:r>
                </w:p>
              </w:tc>
              <w:tc>
                <w:tcPr>
                  <w:tcW w:w="729" w:type="dxa"/>
                  <w:noWrap w:val="0"/>
                  <w:vAlign w:val="center"/>
                </w:tcPr>
                <w:p w14:paraId="4837D3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达标情况</w:t>
                  </w:r>
                </w:p>
              </w:tc>
            </w:tr>
            <w:tr w14:paraId="5E83EC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81" w:type="dxa"/>
                  <w:vMerge w:val="restart"/>
                  <w:noWrap w:val="0"/>
                  <w:vAlign w:val="center"/>
                </w:tcPr>
                <w:p w14:paraId="657F55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厂界下风向100m</w:t>
                  </w:r>
                </w:p>
              </w:tc>
              <w:tc>
                <w:tcPr>
                  <w:tcW w:w="800" w:type="dxa"/>
                  <w:vMerge w:val="restart"/>
                  <w:noWrap w:val="0"/>
                  <w:vAlign w:val="center"/>
                </w:tcPr>
                <w:p w14:paraId="322680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TSP</w:t>
                  </w:r>
                </w:p>
              </w:tc>
              <w:tc>
                <w:tcPr>
                  <w:tcW w:w="1025" w:type="dxa"/>
                  <w:vMerge w:val="restart"/>
                  <w:noWrap w:val="0"/>
                  <w:vAlign w:val="center"/>
                </w:tcPr>
                <w:p w14:paraId="615971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300</w:t>
                  </w:r>
                </w:p>
              </w:tc>
              <w:tc>
                <w:tcPr>
                  <w:tcW w:w="875" w:type="dxa"/>
                  <w:noWrap w:val="0"/>
                  <w:vAlign w:val="center"/>
                </w:tcPr>
                <w:p w14:paraId="096A16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第一天</w:t>
                  </w:r>
                </w:p>
              </w:tc>
              <w:tc>
                <w:tcPr>
                  <w:tcW w:w="875" w:type="dxa"/>
                  <w:noWrap w:val="0"/>
                  <w:vAlign w:val="center"/>
                </w:tcPr>
                <w:p w14:paraId="757B98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第二天</w:t>
                  </w:r>
                </w:p>
              </w:tc>
              <w:tc>
                <w:tcPr>
                  <w:tcW w:w="875" w:type="dxa"/>
                  <w:noWrap w:val="0"/>
                  <w:vAlign w:val="center"/>
                </w:tcPr>
                <w:p w14:paraId="662CE9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第三天</w:t>
                  </w:r>
                </w:p>
              </w:tc>
              <w:tc>
                <w:tcPr>
                  <w:tcW w:w="1087" w:type="dxa"/>
                  <w:vMerge w:val="restart"/>
                  <w:noWrap w:val="0"/>
                  <w:vAlign w:val="center"/>
                </w:tcPr>
                <w:p w14:paraId="6FE9DF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51</w:t>
                  </w:r>
                </w:p>
              </w:tc>
              <w:tc>
                <w:tcPr>
                  <w:tcW w:w="788" w:type="dxa"/>
                  <w:vMerge w:val="restart"/>
                  <w:noWrap w:val="0"/>
                  <w:vAlign w:val="center"/>
                </w:tcPr>
                <w:p w14:paraId="664DCD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w:t>
                  </w:r>
                </w:p>
              </w:tc>
              <w:tc>
                <w:tcPr>
                  <w:tcW w:w="729" w:type="dxa"/>
                  <w:vMerge w:val="restart"/>
                  <w:noWrap w:val="0"/>
                  <w:vAlign w:val="center"/>
                </w:tcPr>
                <w:p w14:paraId="301CCA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达标</w:t>
                  </w:r>
                </w:p>
              </w:tc>
            </w:tr>
            <w:tr w14:paraId="49D0B0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81" w:type="dxa"/>
                  <w:vMerge w:val="continue"/>
                  <w:noWrap w:val="0"/>
                  <w:vAlign w:val="center"/>
                </w:tcPr>
                <w:p w14:paraId="2644E0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800" w:type="dxa"/>
                  <w:vMerge w:val="continue"/>
                  <w:noWrap w:val="0"/>
                  <w:vAlign w:val="center"/>
                </w:tcPr>
                <w:p w14:paraId="19AE90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025" w:type="dxa"/>
                  <w:vMerge w:val="continue"/>
                  <w:noWrap w:val="0"/>
                  <w:vAlign w:val="center"/>
                </w:tcPr>
                <w:p w14:paraId="753601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875" w:type="dxa"/>
                  <w:noWrap w:val="0"/>
                  <w:vAlign w:val="center"/>
                </w:tcPr>
                <w:p w14:paraId="2A952C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137</w:t>
                  </w:r>
                </w:p>
              </w:tc>
              <w:tc>
                <w:tcPr>
                  <w:tcW w:w="875" w:type="dxa"/>
                  <w:noWrap w:val="0"/>
                  <w:vAlign w:val="center"/>
                </w:tcPr>
                <w:p w14:paraId="22E67B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148</w:t>
                  </w:r>
                </w:p>
              </w:tc>
              <w:tc>
                <w:tcPr>
                  <w:tcW w:w="875" w:type="dxa"/>
                  <w:noWrap w:val="0"/>
                  <w:vAlign w:val="center"/>
                </w:tcPr>
                <w:p w14:paraId="79874D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153</w:t>
                  </w:r>
                </w:p>
              </w:tc>
              <w:tc>
                <w:tcPr>
                  <w:tcW w:w="1087" w:type="dxa"/>
                  <w:vMerge w:val="continue"/>
                  <w:noWrap w:val="0"/>
                  <w:vAlign w:val="center"/>
                </w:tcPr>
                <w:p w14:paraId="547BD9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788" w:type="dxa"/>
                  <w:vMerge w:val="continue"/>
                  <w:noWrap w:val="0"/>
                  <w:vAlign w:val="center"/>
                </w:tcPr>
                <w:p w14:paraId="1260EE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729" w:type="dxa"/>
                  <w:vMerge w:val="continue"/>
                  <w:noWrap w:val="0"/>
                  <w:vAlign w:val="center"/>
                </w:tcPr>
                <w:p w14:paraId="7E302F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r>
          </w:tbl>
          <w:p w14:paraId="1027A936">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由上表可以看出，本项目TSP24小时平均浓度值满足《环境空气质量标准》（GB3095-2012）及其修改单二级标准要求，区域环境空气质量良好。</w:t>
            </w:r>
          </w:p>
          <w:p w14:paraId="3EEECAC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2、地表水环境</w:t>
            </w:r>
          </w:p>
          <w:p w14:paraId="12A6C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本项目</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最近</w:t>
            </w:r>
            <w:r>
              <w:rPr>
                <w:rFonts w:hint="default" w:ascii="Times New Roman" w:hAnsi="Times New Roman" w:eastAsia="宋体" w:cs="Times New Roman"/>
                <w:color w:val="000000" w:themeColor="text1"/>
                <w:kern w:val="0"/>
                <w:szCs w:val="21"/>
                <w:highlight w:val="none"/>
                <w14:textFill>
                  <w14:solidFill>
                    <w14:schemeClr w14:val="tx1"/>
                  </w14:solidFill>
                </w14:textFill>
              </w:rPr>
              <w:t>水体为</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穆棱河</w:t>
            </w:r>
            <w:r>
              <w:rPr>
                <w:rFonts w:hint="default" w:ascii="Times New Roman" w:hAnsi="Times New Roman" w:eastAsia="宋体" w:cs="Times New Roman"/>
                <w:color w:val="000000" w:themeColor="text1"/>
                <w:kern w:val="0"/>
                <w:szCs w:val="21"/>
                <w:highlight w:val="none"/>
                <w14:textFill>
                  <w14:solidFill>
                    <w14:schemeClr w14:val="tx1"/>
                  </w14:solidFill>
                </w14:textFill>
              </w:rPr>
              <w:t>，</w:t>
            </w:r>
            <w:r>
              <w:rPr>
                <w:rFonts w:hint="default" w:ascii="Times New Roman" w:hAnsi="Times New Roman" w:eastAsia="宋体" w:cs="Times New Roman"/>
                <w:color w:val="000000" w:themeColor="text1"/>
                <w:szCs w:val="24"/>
                <w:highlight w:val="none"/>
                <w14:textFill>
                  <w14:solidFill>
                    <w14:schemeClr w14:val="tx1"/>
                  </w14:solidFill>
                </w14:textFill>
              </w:rPr>
              <w:t>根据《全国重要江河湖泊水功能区划（2011~2030）》（水资源[2012]131号），</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本项目临近水体为穆棱河</w:t>
            </w:r>
            <w:r>
              <w:rPr>
                <w:rFonts w:hint="default" w:ascii="Times New Roman" w:hAnsi="Times New Roman" w:eastAsia="宋体" w:cs="Times New Roman"/>
                <w:color w:val="000000" w:themeColor="text1"/>
                <w:szCs w:val="24"/>
                <w:highlight w:val="none"/>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起始断面为碱厂煤矿大桥，终止断面为206省道桥，</w:t>
            </w:r>
            <w:r>
              <w:rPr>
                <w:rFonts w:hint="default" w:ascii="Times New Roman" w:hAnsi="Times New Roman" w:eastAsia="宋体" w:cs="Times New Roman"/>
                <w:color w:val="000000" w:themeColor="text1"/>
                <w:szCs w:val="24"/>
                <w:highlight w:val="none"/>
                <w14:textFill>
                  <w14:solidFill>
                    <w14:schemeClr w14:val="tx1"/>
                  </w14:solidFill>
                </w14:textFill>
              </w:rPr>
              <w:t>水质</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标准</w:t>
            </w:r>
            <w:r>
              <w:rPr>
                <w:rFonts w:hint="default" w:ascii="Times New Roman" w:hAnsi="Times New Roman" w:eastAsia="宋体" w:cs="Times New Roman"/>
                <w:color w:val="000000" w:themeColor="text1"/>
                <w:szCs w:val="24"/>
                <w:highlight w:val="none"/>
                <w14:textFill>
                  <w14:solidFill>
                    <w14:schemeClr w14:val="tx1"/>
                  </w14:solidFill>
                </w14:textFill>
              </w:rPr>
              <w:t>为</w:t>
            </w:r>
            <w:r>
              <w:rPr>
                <w:rFonts w:hint="default" w:ascii="Times New Roman" w:hAnsi="Times New Roman" w:eastAsia="宋体" w:cs="Times New Roman"/>
                <w:color w:val="000000" w:themeColor="text1"/>
                <w:spacing w:val="12"/>
                <w:highlight w:val="none"/>
                <w14:textFill>
                  <w14:solidFill>
                    <w14:schemeClr w14:val="tx1"/>
                  </w14:solidFill>
                </w14:textFill>
              </w:rPr>
              <w:t>Ⅲ</w:t>
            </w:r>
            <w:r>
              <w:rPr>
                <w:rFonts w:hint="default" w:ascii="Times New Roman" w:hAnsi="Times New Roman" w:eastAsia="宋体" w:cs="Times New Roman"/>
                <w:color w:val="000000" w:themeColor="text1"/>
                <w:szCs w:val="24"/>
                <w:highlight w:val="none"/>
                <w14:textFill>
                  <w14:solidFill>
                    <w14:schemeClr w14:val="tx1"/>
                  </w14:solidFill>
                </w14:textFill>
              </w:rPr>
              <w:t>类，执行《地表水环境质量标准》（GB3838-2002）</w:t>
            </w:r>
            <w:r>
              <w:rPr>
                <w:rFonts w:hint="default" w:ascii="Times New Roman" w:hAnsi="Times New Roman" w:eastAsia="宋体" w:cs="Times New Roman"/>
                <w:color w:val="000000" w:themeColor="text1"/>
                <w:spacing w:val="12"/>
                <w:highlight w:val="none"/>
                <w14:textFill>
                  <w14:solidFill>
                    <w14:schemeClr w14:val="tx1"/>
                  </w14:solidFill>
                </w14:textFill>
              </w:rPr>
              <w:t>Ⅲ</w:t>
            </w:r>
            <w:r>
              <w:rPr>
                <w:rFonts w:hint="default" w:ascii="Times New Roman" w:hAnsi="Times New Roman" w:eastAsia="宋体" w:cs="Times New Roman"/>
                <w:color w:val="000000" w:themeColor="text1"/>
                <w:szCs w:val="24"/>
                <w:highlight w:val="none"/>
                <w14:textFill>
                  <w14:solidFill>
                    <w14:schemeClr w14:val="tx1"/>
                  </w14:solidFill>
                </w14:textFill>
              </w:rPr>
              <w:t>类标准。根据鸡西市人民政府发布的《202</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4"/>
                <w:highlight w:val="none"/>
                <w14:textFill>
                  <w14:solidFill>
                    <w14:schemeClr w14:val="tx1"/>
                  </w14:solidFill>
                </w14:textFill>
              </w:rPr>
              <w:t>年黑龙江省生态环境</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szCs w:val="24"/>
                <w:highlight w:val="none"/>
                <w14:textFill>
                  <w14:solidFill>
                    <w14:schemeClr w14:val="tx1"/>
                  </w14:solidFill>
                </w14:textFill>
              </w:rPr>
              <w:t>状况》（202</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4"/>
                <w:highlight w:val="none"/>
                <w14:textFill>
                  <w14:solidFill>
                    <w14:schemeClr w14:val="tx1"/>
                  </w14:solidFill>
                </w14:textFill>
              </w:rPr>
              <w:t>年</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Cs w:val="24"/>
                <w:highlight w:val="none"/>
                <w14:textFill>
                  <w14:solidFill>
                    <w14:schemeClr w14:val="tx1"/>
                  </w14:solidFill>
                </w14:textFill>
              </w:rPr>
              <w:t>月），</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碱厂煤矿大桥、206省道桥断面均达到Ⅲ类水质类别标准</w:t>
            </w:r>
            <w:r>
              <w:rPr>
                <w:rFonts w:hint="default" w:ascii="Times New Roman" w:hAnsi="Times New Roman" w:eastAsia="宋体" w:cs="Times New Roman"/>
                <w:color w:val="000000" w:themeColor="text1"/>
                <w:szCs w:val="24"/>
                <w:highlight w:val="none"/>
                <w14:textFill>
                  <w14:solidFill>
                    <w14:schemeClr w14:val="tx1"/>
                  </w14:solidFill>
                </w14:textFill>
              </w:rPr>
              <w:t>。</w:t>
            </w:r>
          </w:p>
          <w:p w14:paraId="39DC7CA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sz w:val="21"/>
                <w:highlight w:val="none"/>
                <w14:textFill>
                  <w14:solidFill>
                    <w14:schemeClr w14:val="tx1"/>
                  </w14:solidFill>
                </w14:textFill>
              </w:rPr>
            </w:pPr>
            <w:r>
              <w:rPr>
                <w:rFonts w:hint="default" w:ascii="Times New Roman" w:hAnsi="Times New Roman" w:eastAsia="宋体" w:cs="Times New Roman"/>
                <w:b/>
                <w:bCs/>
                <w:color w:val="000000" w:themeColor="text1"/>
                <w:sz w:val="21"/>
                <w:highlight w:val="none"/>
                <w14:textFill>
                  <w14:solidFill>
                    <w14:schemeClr w14:val="tx1"/>
                  </w14:solidFill>
                </w14:textFill>
              </w:rPr>
              <w:t>3、声环境</w:t>
            </w:r>
          </w:p>
          <w:p w14:paraId="4F40F7F3">
            <w:pPr>
              <w:pStyle w:val="149"/>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2024年黑龙江省生态环境质量状况》（2025年1月），鸡西市区域昼间声环境质量为二级，等效声级为53.6dB（A），道路交通昼间声环境质量为一级，等效声级为65.8dB（A），功能区昼间达标率100%，功能区夜间达标率100%。本项目</w:t>
            </w:r>
            <w:r>
              <w:rPr>
                <w:rFonts w:hint="default" w:ascii="Times New Roman" w:hAnsi="Times New Roman" w:eastAsia="宋体" w:cs="Times New Roman"/>
                <w:color w:val="000000" w:themeColor="text1"/>
                <w:highlight w:val="none"/>
                <w14:textFill>
                  <w14:solidFill>
                    <w14:schemeClr w14:val="tx1"/>
                  </w14:solidFill>
                </w14:textFill>
              </w:rPr>
              <w:t>厂界外周边50米范围内</w:t>
            </w:r>
            <w:r>
              <w:rPr>
                <w:rFonts w:hint="default" w:ascii="Times New Roman" w:hAnsi="Times New Roman" w:eastAsia="宋体" w:cs="Times New Roman"/>
                <w:color w:val="000000" w:themeColor="text1"/>
                <w:highlight w:val="none"/>
                <w:lang w:val="en-US" w:eastAsia="zh-CN"/>
                <w14:textFill>
                  <w14:solidFill>
                    <w14:schemeClr w14:val="tx1"/>
                  </w14:solidFill>
                </w14:textFill>
              </w:rPr>
              <w:t>无</w:t>
            </w:r>
            <w:r>
              <w:rPr>
                <w:rFonts w:hint="default" w:ascii="Times New Roman" w:hAnsi="Times New Roman" w:eastAsia="宋体" w:cs="Times New Roman"/>
                <w:color w:val="000000" w:themeColor="text1"/>
                <w:highlight w:val="none"/>
                <w14:textFill>
                  <w14:solidFill>
                    <w14:schemeClr w14:val="tx1"/>
                  </w14:solidFill>
                </w14:textFill>
              </w:rPr>
              <w:t>声环境保护目标</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395FAE37">
            <w:pPr>
              <w:pStyle w:val="4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22"/>
              <w:jc w:val="both"/>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4、生态环境</w:t>
            </w:r>
          </w:p>
          <w:p w14:paraId="07830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本项目用地范围内无生态环境保护目标，因此不进行生态现状调查。</w:t>
            </w:r>
          </w:p>
          <w:p w14:paraId="3D526567">
            <w:pPr>
              <w:pStyle w:val="4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22"/>
              <w:jc w:val="both"/>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5、地下水、土壤环境</w:t>
            </w:r>
          </w:p>
          <w:p w14:paraId="3D14E8B3">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本项目属于</w:t>
            </w:r>
            <w:r>
              <w:rPr>
                <w:rFonts w:hint="eastAsia"/>
                <w:color w:val="000000" w:themeColor="text1"/>
                <w:kern w:val="0"/>
                <w:sz w:val="21"/>
                <w:szCs w:val="21"/>
                <w:highlight w:val="none"/>
                <w:lang w:val="en-US" w:eastAsia="zh-CN"/>
                <w14:textFill>
                  <w14:solidFill>
                    <w14:schemeClr w14:val="tx1"/>
                  </w14:solidFill>
                </w14:textFill>
              </w:rPr>
              <w:t>农产品初加工</w:t>
            </w:r>
            <w:r>
              <w:rPr>
                <w:rFonts w:hint="default"/>
                <w:color w:val="000000" w:themeColor="text1"/>
                <w:kern w:val="0"/>
                <w:sz w:val="21"/>
                <w:szCs w:val="21"/>
                <w:highlight w:val="none"/>
                <w14:textFill>
                  <w14:solidFill>
                    <w14:schemeClr w14:val="tx1"/>
                  </w14:solidFill>
                </w14:textFill>
              </w:rPr>
              <w:t>项目，</w:t>
            </w:r>
            <w:r>
              <w:rPr>
                <w:rFonts w:hint="eastAsia"/>
                <w:color w:val="000000" w:themeColor="text1"/>
                <w:kern w:val="0"/>
                <w:sz w:val="21"/>
                <w:szCs w:val="21"/>
                <w:highlight w:val="none"/>
                <w:lang w:val="en-US" w:eastAsia="zh-CN"/>
                <w14:textFill>
                  <w14:solidFill>
                    <w14:schemeClr w14:val="tx1"/>
                  </w14:solidFill>
                </w14:textFill>
              </w:rPr>
              <w:t>危险废物贮存点采取重点防渗，采用至少2mm厚的防渗人工材料，防渗系数≤10</w:t>
            </w:r>
            <w:r>
              <w:rPr>
                <w:rFonts w:hint="eastAsia"/>
                <w:color w:val="000000" w:themeColor="text1"/>
                <w:kern w:val="0"/>
                <w:sz w:val="21"/>
                <w:szCs w:val="21"/>
                <w:highlight w:val="none"/>
                <w:vertAlign w:val="superscript"/>
                <w:lang w:val="en-US" w:eastAsia="zh-CN"/>
                <w14:textFill>
                  <w14:solidFill>
                    <w14:schemeClr w14:val="tx1"/>
                  </w14:solidFill>
                </w14:textFill>
              </w:rPr>
              <w:t>-10</w:t>
            </w:r>
            <w:r>
              <w:rPr>
                <w:rFonts w:hint="eastAsia"/>
                <w:color w:val="000000" w:themeColor="text1"/>
                <w:kern w:val="0"/>
                <w:sz w:val="21"/>
                <w:szCs w:val="21"/>
                <w:highlight w:val="none"/>
                <w:lang w:val="en-US" w:eastAsia="zh-CN"/>
                <w14:textFill>
                  <w14:solidFill>
                    <w14:schemeClr w14:val="tx1"/>
                  </w14:solidFill>
                </w14:textFill>
              </w:rPr>
              <w:t>cm/s，地面与裙脚表面防渗处理，防渗旱厕采取一般防渗（等效黏土防渗层Mb≥1.5m，渗透系数≤10</w:t>
            </w:r>
            <w:r>
              <w:rPr>
                <w:rFonts w:hint="eastAsia"/>
                <w:color w:val="000000" w:themeColor="text1"/>
                <w:kern w:val="0"/>
                <w:sz w:val="21"/>
                <w:szCs w:val="21"/>
                <w:highlight w:val="none"/>
                <w:vertAlign w:val="superscript"/>
                <w:lang w:val="en-US" w:eastAsia="zh-CN"/>
                <w14:textFill>
                  <w14:solidFill>
                    <w14:schemeClr w14:val="tx1"/>
                  </w14:solidFill>
                </w14:textFill>
              </w:rPr>
              <w:t>-7</w:t>
            </w:r>
            <w:r>
              <w:rPr>
                <w:rFonts w:hint="eastAsia"/>
                <w:color w:val="000000" w:themeColor="text1"/>
                <w:kern w:val="0"/>
                <w:sz w:val="21"/>
                <w:szCs w:val="21"/>
                <w:highlight w:val="none"/>
                <w:lang w:val="en-US" w:eastAsia="zh-CN"/>
                <w14:textFill>
                  <w14:solidFill>
                    <w14:schemeClr w14:val="tx1"/>
                  </w14:solidFill>
                </w14:textFill>
              </w:rPr>
              <w:t>cm/s），厂区内其他区域采取简单防渗，采用水泥硬化。</w:t>
            </w:r>
            <w:r>
              <w:rPr>
                <w:rFonts w:hint="default"/>
                <w:color w:val="000000" w:themeColor="text1"/>
                <w:kern w:val="0"/>
                <w:sz w:val="21"/>
                <w:szCs w:val="21"/>
                <w:highlight w:val="none"/>
                <w:lang w:val="en-US" w:eastAsia="zh-CN"/>
                <w14:textFill>
                  <w14:solidFill>
                    <w14:schemeClr w14:val="tx1"/>
                  </w14:solidFill>
                </w14:textFill>
              </w:rPr>
              <w:t>不</w:t>
            </w:r>
            <w:r>
              <w:rPr>
                <w:rFonts w:hint="default"/>
                <w:color w:val="000000" w:themeColor="text1"/>
                <w:kern w:val="0"/>
                <w:sz w:val="21"/>
                <w:szCs w:val="21"/>
                <w:highlight w:val="none"/>
                <w14:textFill>
                  <w14:solidFill>
                    <w14:schemeClr w14:val="tx1"/>
                  </w14:solidFill>
                </w14:textFill>
              </w:rPr>
              <w:t>存在土壤、地下水污染途径，因此，不进行土壤、地下水环境质量现状监测。</w:t>
            </w:r>
          </w:p>
        </w:tc>
      </w:tr>
      <w:tr w14:paraId="44C65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pct"/>
            <w:vAlign w:val="center"/>
          </w:tcPr>
          <w:p w14:paraId="066F78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环境保护目标</w:t>
            </w:r>
          </w:p>
        </w:tc>
        <w:tc>
          <w:tcPr>
            <w:tcW w:w="4547" w:type="pct"/>
            <w:vAlign w:val="center"/>
          </w:tcPr>
          <w:p w14:paraId="1C592E59">
            <w:pPr>
              <w:pStyle w:val="149"/>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本项目位于黑龙江省鸡西市滴道区兰岭乡兰岭村，</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本项目周边居民饮用水水源为分散式水源井，</w:t>
            </w:r>
            <w:r>
              <w:rPr>
                <w:rFonts w:hint="default" w:ascii="Times New Roman" w:hAnsi="Times New Roman" w:eastAsia="宋体" w:cs="Times New Roman"/>
                <w:bCs/>
                <w:color w:val="000000" w:themeColor="text1"/>
                <w:szCs w:val="21"/>
                <w:highlight w:val="none"/>
                <w14:textFill>
                  <w14:solidFill>
                    <w14:schemeClr w14:val="tx1"/>
                  </w14:solidFill>
                </w14:textFill>
              </w:rPr>
              <w:t>本项目厂界外500米范围内无地下水集中式饮用水水源</w:t>
            </w:r>
            <w:r>
              <w:rPr>
                <w:rFonts w:hint="default"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本项目周边居民饮用水水源为分散式水源井</w:t>
            </w:r>
            <w:r>
              <w:rPr>
                <w:rFonts w:hint="default"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Cs w:val="21"/>
                <w:highlight w:val="none"/>
                <w14:textFill>
                  <w14:solidFill>
                    <w14:schemeClr w14:val="tx1"/>
                  </w14:solidFill>
                </w14:textFill>
              </w:rPr>
              <w:t>和热水、矿泉水、温泉等特殊地下水资源；无自然保护区、风景名胜区及农村地区中人群较集中的区域</w:t>
            </w:r>
            <w:r>
              <w:rPr>
                <w:rFonts w:hint="default"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本项目不涉及生态环境保护目标</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厂界外</w:t>
            </w:r>
            <w:r>
              <w:rPr>
                <w:rFonts w:hint="default" w:ascii="Times New Roman" w:hAnsi="Times New Roman" w:eastAsia="宋体" w:cs="Times New Roman"/>
                <w:bCs/>
                <w:color w:val="000000" w:themeColor="text1"/>
                <w:szCs w:val="21"/>
                <w:highlight w:val="none"/>
                <w14:textFill>
                  <w14:solidFill>
                    <w14:schemeClr w14:val="tx1"/>
                  </w14:solidFill>
                </w14:textFill>
              </w:rPr>
              <w:t>50米范围内无声环境保护目标；本项目500米范围内</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存在</w:t>
            </w:r>
            <w:r>
              <w:rPr>
                <w:rFonts w:hint="default" w:ascii="Times New Roman" w:hAnsi="Times New Roman" w:eastAsia="宋体" w:cs="Times New Roman"/>
                <w:bCs/>
                <w:color w:val="000000" w:themeColor="text1"/>
                <w:szCs w:val="21"/>
                <w:highlight w:val="none"/>
                <w14:textFill>
                  <w14:solidFill>
                    <w14:schemeClr w14:val="tx1"/>
                  </w14:solidFill>
                </w14:textFill>
              </w:rPr>
              <w:t>大气环境保护目标</w:t>
            </w:r>
            <w:r>
              <w:rPr>
                <w:rFonts w:hint="default" w:ascii="Times New Roman" w:hAnsi="Times New Roman" w:eastAsia="宋体" w:cs="Times New Roman"/>
                <w:color w:val="000000" w:themeColor="text1"/>
                <w:highlight w:val="none"/>
                <w14:textFill>
                  <w14:solidFill>
                    <w14:schemeClr w14:val="tx1"/>
                  </w14:solidFill>
                </w14:textFill>
              </w:rPr>
              <w:t>，详见</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下</w:t>
            </w:r>
            <w:r>
              <w:rPr>
                <w:rFonts w:hint="default" w:ascii="Times New Roman" w:hAnsi="Times New Roman" w:eastAsia="宋体" w:cs="Times New Roman"/>
                <w:color w:val="000000" w:themeColor="text1"/>
                <w:highlight w:val="none"/>
                <w14:textFill>
                  <w14:solidFill>
                    <w14:schemeClr w14:val="tx1"/>
                  </w14:solidFill>
                </w14:textFill>
              </w:rPr>
              <w:t>表</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0D83C23D">
            <w:pPr>
              <w:pStyle w:val="149"/>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1、大气环境保护目标</w:t>
            </w:r>
          </w:p>
          <w:p w14:paraId="03B5BA8A">
            <w:pPr>
              <w:pStyle w:val="81"/>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3-4</w:t>
            </w:r>
            <w:r>
              <w:rPr>
                <w:rFonts w:hint="default" w:ascii="Times New Roman" w:hAnsi="Times New Roman" w:eastAsia="宋体" w:cs="Times New Roman"/>
                <w:b/>
                <w:color w:val="000000" w:themeColor="text1"/>
                <w:sz w:val="21"/>
                <w:szCs w:val="21"/>
                <w:highlight w:val="none"/>
                <w14:textFill>
                  <w14:solidFill>
                    <w14:schemeClr w14:val="tx1"/>
                  </w14:solidFill>
                </w14:textFill>
              </w:rPr>
              <w:t xml:space="preserve"> 大气环境保护目标一览表</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75"/>
              <w:gridCol w:w="832"/>
              <w:gridCol w:w="1309"/>
              <w:gridCol w:w="1200"/>
              <w:gridCol w:w="709"/>
              <w:gridCol w:w="573"/>
              <w:gridCol w:w="477"/>
              <w:gridCol w:w="477"/>
              <w:gridCol w:w="750"/>
              <w:gridCol w:w="627"/>
              <w:gridCol w:w="806"/>
            </w:tblGrid>
            <w:tr w14:paraId="17696E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8" w:type="pct"/>
                  <w:gridSpan w:val="2"/>
                  <w:vMerge w:val="restart"/>
                  <w:vAlign w:val="center"/>
                </w:tcPr>
                <w:p w14:paraId="663037D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名称</w:t>
                  </w:r>
                </w:p>
              </w:tc>
              <w:tc>
                <w:tcPr>
                  <w:tcW w:w="1561" w:type="pct"/>
                  <w:gridSpan w:val="2"/>
                  <w:tcBorders>
                    <w:bottom w:val="single" w:color="auto" w:sz="4" w:space="0"/>
                  </w:tcBorders>
                  <w:vAlign w:val="center"/>
                </w:tcPr>
                <w:p w14:paraId="4781499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中心坐标/°</w:t>
                  </w:r>
                </w:p>
              </w:tc>
              <w:tc>
                <w:tcPr>
                  <w:tcW w:w="441" w:type="pct"/>
                  <w:vMerge w:val="restart"/>
                  <w:vAlign w:val="center"/>
                </w:tcPr>
                <w:p w14:paraId="57870F5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保护对象</w:t>
                  </w:r>
                </w:p>
              </w:tc>
              <w:tc>
                <w:tcPr>
                  <w:tcW w:w="356" w:type="pct"/>
                  <w:vMerge w:val="restart"/>
                  <w:vAlign w:val="center"/>
                </w:tcPr>
                <w:p w14:paraId="6EC7EFC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保护内容</w:t>
                  </w:r>
                </w:p>
              </w:tc>
              <w:tc>
                <w:tcPr>
                  <w:tcW w:w="296" w:type="pct"/>
                  <w:vMerge w:val="restart"/>
                  <w:vAlign w:val="center"/>
                </w:tcPr>
                <w:p w14:paraId="569DBC6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户数</w:t>
                  </w:r>
                </w:p>
              </w:tc>
              <w:tc>
                <w:tcPr>
                  <w:tcW w:w="296" w:type="pct"/>
                  <w:vMerge w:val="restart"/>
                  <w:vAlign w:val="center"/>
                </w:tcPr>
                <w:p w14:paraId="27B77D5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人数</w:t>
                  </w:r>
                </w:p>
              </w:tc>
              <w:tc>
                <w:tcPr>
                  <w:tcW w:w="466" w:type="pct"/>
                  <w:vMerge w:val="restart"/>
                  <w:vAlign w:val="center"/>
                </w:tcPr>
                <w:p w14:paraId="39E3C4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t>环境功能区</w:t>
                  </w:r>
                </w:p>
              </w:tc>
              <w:tc>
                <w:tcPr>
                  <w:tcW w:w="390" w:type="pct"/>
                  <w:vMerge w:val="restart"/>
                  <w:vAlign w:val="center"/>
                </w:tcPr>
                <w:p w14:paraId="0CE28A9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相对厂</w:t>
                  </w:r>
                </w:p>
                <w:p w14:paraId="7093D40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址方位</w:t>
                  </w:r>
                </w:p>
              </w:tc>
              <w:tc>
                <w:tcPr>
                  <w:tcW w:w="501" w:type="pct"/>
                  <w:vMerge w:val="restart"/>
                  <w:vAlign w:val="center"/>
                </w:tcPr>
                <w:p w14:paraId="2F7D23E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相对厂界</w:t>
                  </w:r>
                </w:p>
                <w:p w14:paraId="5B2120D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距离/m</w:t>
                  </w:r>
                </w:p>
              </w:tc>
            </w:tr>
            <w:tr w14:paraId="73FF5E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8" w:type="pct"/>
                  <w:gridSpan w:val="2"/>
                  <w:vMerge w:val="continue"/>
                  <w:vAlign w:val="center"/>
                </w:tcPr>
                <w:p w14:paraId="56034F4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814" w:type="pct"/>
                  <w:tcBorders>
                    <w:top w:val="single" w:color="auto" w:sz="4" w:space="0"/>
                  </w:tcBorders>
                  <w:vAlign w:val="center"/>
                </w:tcPr>
                <w:p w14:paraId="55DAC79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经度</w:t>
                  </w:r>
                </w:p>
              </w:tc>
              <w:tc>
                <w:tcPr>
                  <w:tcW w:w="746" w:type="pct"/>
                  <w:tcBorders>
                    <w:top w:val="single" w:color="auto" w:sz="4" w:space="0"/>
                  </w:tcBorders>
                  <w:vAlign w:val="center"/>
                </w:tcPr>
                <w:p w14:paraId="3D0467C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纬度</w:t>
                  </w:r>
                </w:p>
              </w:tc>
              <w:tc>
                <w:tcPr>
                  <w:tcW w:w="441" w:type="pct"/>
                  <w:vMerge w:val="continue"/>
                  <w:vAlign w:val="center"/>
                </w:tcPr>
                <w:p w14:paraId="1802346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56" w:type="pct"/>
                  <w:vMerge w:val="continue"/>
                  <w:vAlign w:val="center"/>
                </w:tcPr>
                <w:p w14:paraId="2D86EAA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96" w:type="pct"/>
                  <w:vMerge w:val="continue"/>
                  <w:vAlign w:val="center"/>
                </w:tcPr>
                <w:p w14:paraId="29CC519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96" w:type="pct"/>
                  <w:vMerge w:val="continue"/>
                  <w:vAlign w:val="center"/>
                </w:tcPr>
                <w:p w14:paraId="726559B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466" w:type="pct"/>
                  <w:vMerge w:val="continue"/>
                  <w:vAlign w:val="center"/>
                </w:tcPr>
                <w:p w14:paraId="5F6DAFD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90" w:type="pct"/>
                  <w:vMerge w:val="continue"/>
                  <w:vAlign w:val="center"/>
                </w:tcPr>
                <w:p w14:paraId="126BDBB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01" w:type="pct"/>
                  <w:vMerge w:val="continue"/>
                  <w:vAlign w:val="center"/>
                </w:tcPr>
                <w:p w14:paraId="7AECB72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r w14:paraId="1D3B96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171" w:type="pct"/>
                  <w:tcBorders>
                    <w:right w:val="single" w:color="auto" w:sz="4" w:space="0"/>
                  </w:tcBorders>
                  <w:vAlign w:val="center"/>
                </w:tcPr>
                <w:p w14:paraId="53779D52">
                  <w:pPr>
                    <w:pStyle w:val="147"/>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w:t>
                  </w:r>
                </w:p>
              </w:tc>
              <w:tc>
                <w:tcPr>
                  <w:tcW w:w="517" w:type="pct"/>
                  <w:tcBorders>
                    <w:left w:val="single" w:color="auto" w:sz="4" w:space="0"/>
                  </w:tcBorders>
                  <w:vAlign w:val="center"/>
                </w:tcPr>
                <w:p w14:paraId="2C64AB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南侧兰岭村散户居民</w:t>
                  </w:r>
                </w:p>
              </w:tc>
              <w:tc>
                <w:tcPr>
                  <w:tcW w:w="814" w:type="pct"/>
                  <w:vAlign w:val="center"/>
                </w:tcPr>
                <w:p w14:paraId="6F3671B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130.72024584</w:t>
                  </w:r>
                </w:p>
              </w:tc>
              <w:tc>
                <w:tcPr>
                  <w:tcW w:w="746" w:type="pct"/>
                  <w:vAlign w:val="center"/>
                </w:tcPr>
                <w:p w14:paraId="1E625B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45.25788141</w:t>
                  </w:r>
                </w:p>
              </w:tc>
              <w:tc>
                <w:tcPr>
                  <w:tcW w:w="441" w:type="pct"/>
                  <w:shd w:val="clear" w:color="auto" w:fill="auto"/>
                  <w:vAlign w:val="center"/>
                </w:tcPr>
                <w:p w14:paraId="774679A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农村人群区</w:t>
                  </w:r>
                </w:p>
              </w:tc>
              <w:tc>
                <w:tcPr>
                  <w:tcW w:w="356" w:type="pct"/>
                  <w:vAlign w:val="center"/>
                </w:tcPr>
                <w:p w14:paraId="6D8D29D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人群</w:t>
                  </w:r>
                </w:p>
              </w:tc>
              <w:tc>
                <w:tcPr>
                  <w:tcW w:w="296" w:type="pct"/>
                  <w:vAlign w:val="center"/>
                </w:tcPr>
                <w:p w14:paraId="7AB4F59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w:t>
                  </w:r>
                </w:p>
              </w:tc>
              <w:tc>
                <w:tcPr>
                  <w:tcW w:w="296" w:type="pct"/>
                  <w:vAlign w:val="center"/>
                </w:tcPr>
                <w:p w14:paraId="2F437BE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w:t>
                  </w:r>
                </w:p>
              </w:tc>
              <w:tc>
                <w:tcPr>
                  <w:tcW w:w="466" w:type="pct"/>
                  <w:vAlign w:val="center"/>
                </w:tcPr>
                <w:p w14:paraId="7476C2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t>二类区</w:t>
                  </w:r>
                </w:p>
              </w:tc>
              <w:tc>
                <w:tcPr>
                  <w:tcW w:w="390" w:type="pct"/>
                  <w:vAlign w:val="center"/>
                </w:tcPr>
                <w:p w14:paraId="666E263E">
                  <w:pPr>
                    <w:pStyle w:val="48"/>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S</w:t>
                  </w:r>
                </w:p>
              </w:tc>
              <w:tc>
                <w:tcPr>
                  <w:tcW w:w="501" w:type="pct"/>
                  <w:vAlign w:val="center"/>
                </w:tcPr>
                <w:p w14:paraId="5A1E7329">
                  <w:pPr>
                    <w:pStyle w:val="48"/>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160</w:t>
                  </w:r>
                </w:p>
              </w:tc>
            </w:tr>
            <w:tr w14:paraId="26511D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1" w:type="pct"/>
                  <w:tcBorders>
                    <w:right w:val="single" w:color="auto" w:sz="4" w:space="0"/>
                  </w:tcBorders>
                  <w:vAlign w:val="center"/>
                </w:tcPr>
                <w:p w14:paraId="78FBCC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w:t>
                  </w:r>
                </w:p>
              </w:tc>
              <w:tc>
                <w:tcPr>
                  <w:tcW w:w="517" w:type="pct"/>
                  <w:tcBorders>
                    <w:left w:val="single" w:color="auto" w:sz="4" w:space="0"/>
                  </w:tcBorders>
                  <w:vAlign w:val="center"/>
                </w:tcPr>
                <w:p w14:paraId="4115C4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南侧兰岭村散户居民</w:t>
                  </w:r>
                </w:p>
              </w:tc>
              <w:tc>
                <w:tcPr>
                  <w:tcW w:w="814" w:type="pct"/>
                  <w:vAlign w:val="center"/>
                </w:tcPr>
                <w:p w14:paraId="3628A9F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131.25352263</w:t>
                  </w:r>
                </w:p>
              </w:tc>
              <w:tc>
                <w:tcPr>
                  <w:tcW w:w="746" w:type="pct"/>
                  <w:vAlign w:val="center"/>
                </w:tcPr>
                <w:p w14:paraId="6B2AF2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45.29802986</w:t>
                  </w:r>
                </w:p>
              </w:tc>
              <w:tc>
                <w:tcPr>
                  <w:tcW w:w="441" w:type="pct"/>
                  <w:shd w:val="clear" w:color="auto" w:fill="auto"/>
                  <w:vAlign w:val="center"/>
                </w:tcPr>
                <w:p w14:paraId="6934175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农村人群区</w:t>
                  </w:r>
                </w:p>
              </w:tc>
              <w:tc>
                <w:tcPr>
                  <w:tcW w:w="356" w:type="pct"/>
                  <w:vAlign w:val="center"/>
                </w:tcPr>
                <w:p w14:paraId="7C77FFE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人群</w:t>
                  </w:r>
                </w:p>
              </w:tc>
              <w:tc>
                <w:tcPr>
                  <w:tcW w:w="296" w:type="pct"/>
                  <w:vAlign w:val="center"/>
                </w:tcPr>
                <w:p w14:paraId="71C64EA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3</w:t>
                  </w:r>
                </w:p>
              </w:tc>
              <w:tc>
                <w:tcPr>
                  <w:tcW w:w="296" w:type="pct"/>
                  <w:vAlign w:val="center"/>
                </w:tcPr>
                <w:p w14:paraId="7D8F791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7</w:t>
                  </w:r>
                </w:p>
              </w:tc>
              <w:tc>
                <w:tcPr>
                  <w:tcW w:w="466" w:type="pct"/>
                  <w:vAlign w:val="center"/>
                </w:tcPr>
                <w:p w14:paraId="156B76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t>二类区</w:t>
                  </w:r>
                </w:p>
              </w:tc>
              <w:tc>
                <w:tcPr>
                  <w:tcW w:w="390" w:type="pct"/>
                  <w:vAlign w:val="center"/>
                </w:tcPr>
                <w:p w14:paraId="48DF33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S</w:t>
                  </w:r>
                </w:p>
              </w:tc>
              <w:tc>
                <w:tcPr>
                  <w:tcW w:w="501" w:type="pct"/>
                  <w:vAlign w:val="center"/>
                </w:tcPr>
                <w:p w14:paraId="4C5603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260</w:t>
                  </w:r>
                </w:p>
              </w:tc>
            </w:tr>
            <w:tr w14:paraId="296190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1" w:type="pct"/>
                  <w:tcBorders>
                    <w:right w:val="single" w:color="auto" w:sz="4" w:space="0"/>
                  </w:tcBorders>
                  <w:vAlign w:val="center"/>
                </w:tcPr>
                <w:p w14:paraId="719381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3</w:t>
                  </w:r>
                </w:p>
              </w:tc>
              <w:tc>
                <w:tcPr>
                  <w:tcW w:w="517" w:type="pct"/>
                  <w:tcBorders>
                    <w:left w:val="single" w:color="auto" w:sz="4" w:space="0"/>
                  </w:tcBorders>
                  <w:vAlign w:val="center"/>
                </w:tcPr>
                <w:p w14:paraId="11354E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南侧兰岭五队居民区</w:t>
                  </w:r>
                </w:p>
              </w:tc>
              <w:tc>
                <w:tcPr>
                  <w:tcW w:w="814" w:type="pct"/>
                  <w:vAlign w:val="center"/>
                </w:tcPr>
                <w:p w14:paraId="4CD29D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130.72223067</w:t>
                  </w:r>
                </w:p>
              </w:tc>
              <w:tc>
                <w:tcPr>
                  <w:tcW w:w="746" w:type="pct"/>
                  <w:vAlign w:val="center"/>
                </w:tcPr>
                <w:p w14:paraId="531674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45.25739806</w:t>
                  </w:r>
                </w:p>
              </w:tc>
              <w:tc>
                <w:tcPr>
                  <w:tcW w:w="441" w:type="pct"/>
                  <w:vAlign w:val="center"/>
                </w:tcPr>
                <w:p w14:paraId="6268C46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农村人群区</w:t>
                  </w:r>
                </w:p>
              </w:tc>
              <w:tc>
                <w:tcPr>
                  <w:tcW w:w="356" w:type="pct"/>
                  <w:vAlign w:val="center"/>
                </w:tcPr>
                <w:p w14:paraId="3459365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人群</w:t>
                  </w:r>
                </w:p>
              </w:tc>
              <w:tc>
                <w:tcPr>
                  <w:tcW w:w="296" w:type="pct"/>
                  <w:vAlign w:val="center"/>
                </w:tcPr>
                <w:p w14:paraId="15F7EB7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7</w:t>
                  </w:r>
                </w:p>
              </w:tc>
              <w:tc>
                <w:tcPr>
                  <w:tcW w:w="296" w:type="pct"/>
                  <w:vAlign w:val="center"/>
                </w:tcPr>
                <w:p w14:paraId="5016E12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16</w:t>
                  </w:r>
                </w:p>
              </w:tc>
              <w:tc>
                <w:tcPr>
                  <w:tcW w:w="466" w:type="pct"/>
                  <w:vAlign w:val="center"/>
                </w:tcPr>
                <w:p w14:paraId="534DE2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t>二类区</w:t>
                  </w:r>
                </w:p>
              </w:tc>
              <w:tc>
                <w:tcPr>
                  <w:tcW w:w="390" w:type="pct"/>
                  <w:vAlign w:val="center"/>
                </w:tcPr>
                <w:p w14:paraId="671184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S</w:t>
                  </w:r>
                </w:p>
              </w:tc>
              <w:tc>
                <w:tcPr>
                  <w:tcW w:w="501" w:type="pct"/>
                  <w:vAlign w:val="center"/>
                </w:tcPr>
                <w:p w14:paraId="19ECE8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430</w:t>
                  </w:r>
                </w:p>
              </w:tc>
            </w:tr>
            <w:tr w14:paraId="2C17D5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1" w:type="pct"/>
                  <w:tcBorders>
                    <w:right w:val="single" w:color="auto" w:sz="4" w:space="0"/>
                  </w:tcBorders>
                  <w:vAlign w:val="center"/>
                </w:tcPr>
                <w:p w14:paraId="724EEB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4</w:t>
                  </w:r>
                </w:p>
              </w:tc>
              <w:tc>
                <w:tcPr>
                  <w:tcW w:w="517" w:type="pct"/>
                  <w:tcBorders>
                    <w:left w:val="single" w:color="auto" w:sz="4" w:space="0"/>
                  </w:tcBorders>
                  <w:vAlign w:val="center"/>
                </w:tcPr>
                <w:p w14:paraId="6F5CF8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西侧兰岭村散户居民</w:t>
                  </w:r>
                </w:p>
              </w:tc>
              <w:tc>
                <w:tcPr>
                  <w:tcW w:w="814" w:type="pct"/>
                  <w:vAlign w:val="center"/>
                </w:tcPr>
                <w:p w14:paraId="39E8D4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130.71729541</w:t>
                  </w:r>
                </w:p>
              </w:tc>
              <w:tc>
                <w:tcPr>
                  <w:tcW w:w="746" w:type="pct"/>
                  <w:vAlign w:val="center"/>
                </w:tcPr>
                <w:p w14:paraId="5B59A7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45.25985250</w:t>
                  </w:r>
                </w:p>
              </w:tc>
              <w:tc>
                <w:tcPr>
                  <w:tcW w:w="441" w:type="pct"/>
                  <w:vAlign w:val="center"/>
                </w:tcPr>
                <w:p w14:paraId="45F30C2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农村人群区</w:t>
                  </w:r>
                </w:p>
              </w:tc>
              <w:tc>
                <w:tcPr>
                  <w:tcW w:w="356" w:type="pct"/>
                  <w:vAlign w:val="center"/>
                </w:tcPr>
                <w:p w14:paraId="5B782CC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人群</w:t>
                  </w:r>
                </w:p>
              </w:tc>
              <w:tc>
                <w:tcPr>
                  <w:tcW w:w="296" w:type="pct"/>
                  <w:vAlign w:val="center"/>
                </w:tcPr>
                <w:p w14:paraId="16432E3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3</w:t>
                  </w:r>
                </w:p>
              </w:tc>
              <w:tc>
                <w:tcPr>
                  <w:tcW w:w="296" w:type="pct"/>
                  <w:vAlign w:val="center"/>
                </w:tcPr>
                <w:p w14:paraId="58CB0B5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6</w:t>
                  </w:r>
                </w:p>
              </w:tc>
              <w:tc>
                <w:tcPr>
                  <w:tcW w:w="466" w:type="pct"/>
                  <w:vAlign w:val="center"/>
                </w:tcPr>
                <w:p w14:paraId="2DECFD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t>二类区</w:t>
                  </w:r>
                </w:p>
              </w:tc>
              <w:tc>
                <w:tcPr>
                  <w:tcW w:w="390" w:type="pct"/>
                  <w:vAlign w:val="center"/>
                </w:tcPr>
                <w:p w14:paraId="619DBA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w:t>
                  </w:r>
                </w:p>
              </w:tc>
              <w:tc>
                <w:tcPr>
                  <w:tcW w:w="501" w:type="pct"/>
                  <w:vAlign w:val="center"/>
                </w:tcPr>
                <w:p w14:paraId="56572E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180</w:t>
                  </w:r>
                </w:p>
              </w:tc>
            </w:tr>
            <w:tr w14:paraId="1F1A40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1" w:type="pct"/>
                  <w:tcBorders>
                    <w:right w:val="single" w:color="auto" w:sz="4" w:space="0"/>
                  </w:tcBorders>
                  <w:vAlign w:val="center"/>
                </w:tcPr>
                <w:p w14:paraId="108800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w:t>
                  </w:r>
                </w:p>
              </w:tc>
              <w:tc>
                <w:tcPr>
                  <w:tcW w:w="517" w:type="pct"/>
                  <w:tcBorders>
                    <w:left w:val="single" w:color="auto" w:sz="4" w:space="0"/>
                  </w:tcBorders>
                  <w:vAlign w:val="center"/>
                </w:tcPr>
                <w:p w14:paraId="74D6F5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西北侧兰岭村散户居民</w:t>
                  </w:r>
                </w:p>
              </w:tc>
              <w:tc>
                <w:tcPr>
                  <w:tcW w:w="814" w:type="pct"/>
                  <w:vAlign w:val="center"/>
                </w:tcPr>
                <w:p w14:paraId="3E94EA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130.71724176</w:t>
                  </w:r>
                </w:p>
              </w:tc>
              <w:tc>
                <w:tcPr>
                  <w:tcW w:w="746" w:type="pct"/>
                  <w:vAlign w:val="center"/>
                </w:tcPr>
                <w:p w14:paraId="2829F8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45.26186883</w:t>
                  </w:r>
                </w:p>
              </w:tc>
              <w:tc>
                <w:tcPr>
                  <w:tcW w:w="441" w:type="pct"/>
                  <w:vAlign w:val="center"/>
                </w:tcPr>
                <w:p w14:paraId="0F002F6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农村人群区</w:t>
                  </w:r>
                </w:p>
              </w:tc>
              <w:tc>
                <w:tcPr>
                  <w:tcW w:w="356" w:type="pct"/>
                  <w:vAlign w:val="center"/>
                </w:tcPr>
                <w:p w14:paraId="2B3E65B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人群</w:t>
                  </w:r>
                </w:p>
              </w:tc>
              <w:tc>
                <w:tcPr>
                  <w:tcW w:w="296" w:type="pct"/>
                  <w:vAlign w:val="center"/>
                </w:tcPr>
                <w:p w14:paraId="075BD91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6</w:t>
                  </w:r>
                </w:p>
              </w:tc>
              <w:tc>
                <w:tcPr>
                  <w:tcW w:w="296" w:type="pct"/>
                  <w:vAlign w:val="center"/>
                </w:tcPr>
                <w:p w14:paraId="440A86B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15</w:t>
                  </w:r>
                </w:p>
              </w:tc>
              <w:tc>
                <w:tcPr>
                  <w:tcW w:w="466" w:type="pct"/>
                  <w:vAlign w:val="center"/>
                </w:tcPr>
                <w:p w14:paraId="262A299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t>二类区</w:t>
                  </w:r>
                </w:p>
              </w:tc>
              <w:tc>
                <w:tcPr>
                  <w:tcW w:w="390" w:type="pct"/>
                  <w:vAlign w:val="center"/>
                </w:tcPr>
                <w:p w14:paraId="1C69D9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NW</w:t>
                  </w:r>
                </w:p>
              </w:tc>
              <w:tc>
                <w:tcPr>
                  <w:tcW w:w="501" w:type="pct"/>
                  <w:vAlign w:val="center"/>
                </w:tcPr>
                <w:p w14:paraId="70198B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180</w:t>
                  </w:r>
                </w:p>
              </w:tc>
            </w:tr>
            <w:tr w14:paraId="50F8AC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1" w:type="pct"/>
                  <w:tcBorders>
                    <w:right w:val="single" w:color="auto" w:sz="4" w:space="0"/>
                  </w:tcBorders>
                  <w:vAlign w:val="center"/>
                </w:tcPr>
                <w:p w14:paraId="3415EA5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w:t>
                  </w:r>
                </w:p>
              </w:tc>
              <w:tc>
                <w:tcPr>
                  <w:tcW w:w="517" w:type="pct"/>
                  <w:tcBorders>
                    <w:left w:val="single" w:color="auto" w:sz="4" w:space="0"/>
                  </w:tcBorders>
                  <w:vAlign w:val="center"/>
                </w:tcPr>
                <w:p w14:paraId="662C2A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西北侧兰岭四队散户居民</w:t>
                  </w:r>
                </w:p>
              </w:tc>
              <w:tc>
                <w:tcPr>
                  <w:tcW w:w="814" w:type="pct"/>
                  <w:vAlign w:val="center"/>
                </w:tcPr>
                <w:p w14:paraId="01E0744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130.71626008</w:t>
                  </w:r>
                </w:p>
              </w:tc>
              <w:tc>
                <w:tcPr>
                  <w:tcW w:w="746" w:type="pct"/>
                  <w:vAlign w:val="center"/>
                </w:tcPr>
                <w:p w14:paraId="1AF7C5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45.26429287</w:t>
                  </w:r>
                </w:p>
              </w:tc>
              <w:tc>
                <w:tcPr>
                  <w:tcW w:w="441" w:type="pct"/>
                  <w:vAlign w:val="center"/>
                </w:tcPr>
                <w:p w14:paraId="33940E3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农村人群区</w:t>
                  </w:r>
                </w:p>
              </w:tc>
              <w:tc>
                <w:tcPr>
                  <w:tcW w:w="356" w:type="pct"/>
                  <w:vAlign w:val="center"/>
                </w:tcPr>
                <w:p w14:paraId="7738A24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人群</w:t>
                  </w:r>
                </w:p>
              </w:tc>
              <w:tc>
                <w:tcPr>
                  <w:tcW w:w="296" w:type="pct"/>
                  <w:vAlign w:val="center"/>
                </w:tcPr>
                <w:p w14:paraId="595DB0F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p>
              </w:tc>
              <w:tc>
                <w:tcPr>
                  <w:tcW w:w="296" w:type="pct"/>
                  <w:vAlign w:val="center"/>
                </w:tcPr>
                <w:p w14:paraId="384558C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w:t>
                  </w:r>
                </w:p>
              </w:tc>
              <w:tc>
                <w:tcPr>
                  <w:tcW w:w="466" w:type="pct"/>
                  <w:vAlign w:val="center"/>
                </w:tcPr>
                <w:p w14:paraId="6D88F3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11"/>
                      <w:sz w:val="18"/>
                      <w:szCs w:val="18"/>
                      <w:highlight w:val="none"/>
                      <w14:textFill>
                        <w14:solidFill>
                          <w14:schemeClr w14:val="tx1"/>
                        </w14:solidFill>
                      </w14:textFill>
                    </w:rPr>
                    <w:t>二类区</w:t>
                  </w:r>
                </w:p>
              </w:tc>
              <w:tc>
                <w:tcPr>
                  <w:tcW w:w="390" w:type="pct"/>
                  <w:vAlign w:val="center"/>
                </w:tcPr>
                <w:p w14:paraId="32F45B8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NW</w:t>
                  </w:r>
                </w:p>
              </w:tc>
              <w:tc>
                <w:tcPr>
                  <w:tcW w:w="501" w:type="pct"/>
                  <w:vAlign w:val="center"/>
                </w:tcPr>
                <w:p w14:paraId="6CC9A9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440</w:t>
                  </w:r>
                </w:p>
              </w:tc>
            </w:tr>
          </w:tbl>
          <w:p w14:paraId="57075252">
            <w:pPr>
              <w:pStyle w:val="7"/>
              <w:keepNext w:val="0"/>
              <w:keepLines w:val="0"/>
              <w:suppressLineNumbers w:val="0"/>
              <w:spacing w:beforeAutospacing="0" w:afterAutospacing="0"/>
              <w:ind w:left="0"/>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58785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452" w:type="pct"/>
            <w:vAlign w:val="center"/>
          </w:tcPr>
          <w:p w14:paraId="3A5643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污染物排放控制标准</w:t>
            </w:r>
          </w:p>
        </w:tc>
        <w:tc>
          <w:tcPr>
            <w:tcW w:w="4547" w:type="pct"/>
            <w:vAlign w:val="center"/>
          </w:tcPr>
          <w:p w14:paraId="210A10A4">
            <w:pPr>
              <w:pStyle w:val="94"/>
              <w:keepNext w:val="0"/>
              <w:keepLines w:val="0"/>
              <w:numPr>
                <w:ilvl w:val="0"/>
                <w:numId w:val="6"/>
              </w:numPr>
              <w:suppressLineNumbers w:val="0"/>
              <w:spacing w:before="0" w:beforeAutospacing="0" w:after="0" w:afterAutospacing="0" w:line="360" w:lineRule="auto"/>
              <w:ind w:left="0" w:right="0" w:firstLine="422" w:firstLineChars="200"/>
              <w:jc w:val="both"/>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废气</w:t>
            </w:r>
          </w:p>
          <w:p w14:paraId="294792A6">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kern w:val="0"/>
                <w:sz w:val="24"/>
                <w:szCs w:val="20"/>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施工期</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废气</w:t>
            </w:r>
            <w:r>
              <w:rPr>
                <w:rFonts w:hint="default" w:ascii="Times New Roman" w:hAnsi="Times New Roman" w:eastAsia="宋体" w:cs="Times New Roman"/>
                <w:color w:val="000000" w:themeColor="text1"/>
                <w:kern w:val="0"/>
                <w:szCs w:val="21"/>
                <w:highlight w:val="none"/>
                <w14:textFill>
                  <w14:solidFill>
                    <w14:schemeClr w14:val="tx1"/>
                  </w14:solidFill>
                </w14:textFill>
              </w:rPr>
              <w:t>执行《大气污染物综合排放标准》（GB16297-1996）表2中无组织排放浓度限值要求，见表3-</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p w14:paraId="154553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表3-</w:t>
            </w:r>
            <w:r>
              <w:rPr>
                <w:rFonts w:hint="default" w:ascii="Times New Roman" w:hAnsi="Times New Roman" w:eastAsia="宋体" w:cs="Times New Roman"/>
                <w:b/>
                <w:bCs/>
                <w:color w:val="000000" w:themeColor="text1"/>
                <w:kern w:val="0"/>
                <w:szCs w:val="21"/>
                <w:highlight w:val="none"/>
                <w:lang w:val="en-US" w:eastAsia="zh-CN" w:bidi="ar"/>
                <w14:textFill>
                  <w14:solidFill>
                    <w14:schemeClr w14:val="tx1"/>
                  </w14:solidFill>
                </w14:textFill>
              </w:rPr>
              <w:t>5</w:t>
            </w: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 xml:space="preserve"> 颗粒物排放标准（单位：mg/m</w:t>
            </w:r>
            <w:r>
              <w:rPr>
                <w:rFonts w:hint="default" w:ascii="Times New Roman" w:hAnsi="Times New Roman" w:eastAsia="宋体" w:cs="Times New Roman"/>
                <w:b/>
                <w:bCs/>
                <w:color w:val="000000" w:themeColor="text1"/>
                <w:kern w:val="0"/>
                <w:szCs w:val="21"/>
                <w:highlight w:val="none"/>
                <w:vertAlign w:val="superscript"/>
                <w:lang w:bidi="ar"/>
                <w14:textFill>
                  <w14:solidFill>
                    <w14:schemeClr w14:val="tx1"/>
                  </w14:solidFill>
                </w14:textFill>
              </w:rPr>
              <w:t>3</w:t>
            </w:r>
            <w:r>
              <w:rPr>
                <w:rFonts w:hint="default" w:ascii="Times New Roman" w:hAnsi="Times New Roman" w:eastAsia="宋体" w:cs="Times New Roman"/>
                <w:b/>
                <w:bCs/>
                <w:color w:val="000000" w:themeColor="text1"/>
                <w:kern w:val="0"/>
                <w:szCs w:val="21"/>
                <w:highlight w:val="none"/>
                <w:lang w:bidi="ar"/>
                <w14:textFill>
                  <w14:solidFill>
                    <w14:schemeClr w14:val="tx1"/>
                  </w14:solidFill>
                </w14:textFill>
              </w:rPr>
              <w:t>）</w:t>
            </w:r>
          </w:p>
          <w:tbl>
            <w:tblPr>
              <w:tblStyle w:val="3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3249"/>
              <w:gridCol w:w="2546"/>
            </w:tblGrid>
            <w:tr w14:paraId="623EAC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0" w:type="dxa"/>
                  <w:tcBorders>
                    <w:tl2br w:val="nil"/>
                    <w:tr2bl w:val="nil"/>
                  </w:tcBorders>
                  <w:noWrap w:val="0"/>
                  <w:vAlign w:val="center"/>
                </w:tcPr>
                <w:p w14:paraId="7EACC3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3220" w:type="dxa"/>
                  <w:tcBorders>
                    <w:tl2br w:val="nil"/>
                    <w:tr2bl w:val="nil"/>
                  </w:tcBorders>
                  <w:noWrap w:val="0"/>
                  <w:vAlign w:val="center"/>
                </w:tcPr>
                <w:p w14:paraId="120D4B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无组织排放监控浓度限值</w:t>
                  </w:r>
                </w:p>
              </w:tc>
              <w:tc>
                <w:tcPr>
                  <w:tcW w:w="2523" w:type="dxa"/>
                  <w:tcBorders>
                    <w:tl2br w:val="nil"/>
                    <w:tr2bl w:val="nil"/>
                  </w:tcBorders>
                  <w:noWrap w:val="0"/>
                  <w:vAlign w:val="center"/>
                </w:tcPr>
                <w:p w14:paraId="38C3A9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最高允许排放浓度</w:t>
                  </w:r>
                </w:p>
              </w:tc>
            </w:tr>
            <w:tr w14:paraId="49C505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0" w:type="dxa"/>
                  <w:tcBorders>
                    <w:tl2br w:val="nil"/>
                    <w:tr2bl w:val="nil"/>
                  </w:tcBorders>
                  <w:noWrap w:val="0"/>
                  <w:vAlign w:val="center"/>
                </w:tcPr>
                <w:p w14:paraId="7630AD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颗粒物</w:t>
                  </w:r>
                </w:p>
              </w:tc>
              <w:tc>
                <w:tcPr>
                  <w:tcW w:w="3220" w:type="dxa"/>
                  <w:tcBorders>
                    <w:tl2br w:val="nil"/>
                    <w:tr2bl w:val="nil"/>
                  </w:tcBorders>
                  <w:noWrap w:val="0"/>
                  <w:vAlign w:val="center"/>
                </w:tcPr>
                <w:p w14:paraId="170C74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周界外浓度最高点</w:t>
                  </w:r>
                </w:p>
              </w:tc>
              <w:tc>
                <w:tcPr>
                  <w:tcW w:w="2523" w:type="dxa"/>
                  <w:tcBorders>
                    <w:tl2br w:val="nil"/>
                    <w:tr2bl w:val="nil"/>
                  </w:tcBorders>
                  <w:noWrap w:val="0"/>
                  <w:vAlign w:val="center"/>
                </w:tcPr>
                <w:p w14:paraId="6C64D4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1.0</w:t>
                  </w:r>
                </w:p>
              </w:tc>
            </w:tr>
          </w:tbl>
          <w:p w14:paraId="674ECA93">
            <w:pPr>
              <w:pStyle w:val="9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热风炉废气：</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SO</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排放浓度执行《工业炉窑大气污染物排放标准》（GB9078-1996）中的表4中的二级标准，</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颗粒物排放浓度及烟气黑度</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执行《工业炉窑大气污染物排放标准》（GB9078-1996）中的表2中的二级标准。</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热风炉周边无组织排放颗粒物浓度执行</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《工业炉窑大气污染物排放标准》（GB9078-1996）中的表</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标准</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0F9A2F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表3-</w:t>
            </w:r>
            <w: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t xml:space="preserve">6 </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工业炉窑大气污染物排放标准</w:t>
            </w:r>
          </w:p>
          <w:tbl>
            <w:tblPr>
              <w:tblStyle w:val="34"/>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568"/>
              <w:gridCol w:w="2230"/>
              <w:gridCol w:w="2666"/>
            </w:tblGrid>
            <w:tr w14:paraId="3F640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2" w:type="pct"/>
                  <w:gridSpan w:val="2"/>
                  <w:noWrap w:val="0"/>
                  <w:vAlign w:val="center"/>
                </w:tcPr>
                <w:p w14:paraId="10EDB269">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污染物项目</w:t>
                  </w:r>
                </w:p>
              </w:tc>
              <w:tc>
                <w:tcPr>
                  <w:tcW w:w="1388" w:type="pct"/>
                  <w:noWrap w:val="0"/>
                  <w:vAlign w:val="center"/>
                </w:tcPr>
                <w:p w14:paraId="04895F2D">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二级</w:t>
                  </w:r>
                  <w:r>
                    <w:rPr>
                      <w:rFonts w:hint="default" w:ascii="Times New Roman" w:hAnsi="Times New Roman" w:eastAsia="宋体" w:cs="Times New Roman"/>
                      <w:color w:val="000000" w:themeColor="text1"/>
                      <w:sz w:val="18"/>
                      <w:szCs w:val="18"/>
                      <w:highlight w:val="none"/>
                      <w14:textFill>
                        <w14:solidFill>
                          <w14:schemeClr w14:val="tx1"/>
                        </w14:solidFill>
                      </w14:textFill>
                    </w:rPr>
                    <w:t>（mg/m</w:t>
                  </w:r>
                  <w:r>
                    <w:rPr>
                      <w:rFonts w:hint="default" w:ascii="Times New Roman" w:hAnsi="Times New Roman" w:eastAsia="宋体" w:cs="Times New Roman"/>
                      <w:color w:val="000000" w:themeColor="text1"/>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659" w:type="pct"/>
                  <w:noWrap w:val="0"/>
                  <w:vAlign w:val="center"/>
                </w:tcPr>
                <w:p w14:paraId="35987BE8">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污染物排放监控位置</w:t>
                  </w:r>
                </w:p>
              </w:tc>
            </w:tr>
            <w:tr w14:paraId="7B327E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2" w:type="pct"/>
                  <w:gridSpan w:val="2"/>
                  <w:noWrap w:val="0"/>
                  <w:vAlign w:val="center"/>
                </w:tcPr>
                <w:p w14:paraId="09B49703">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颗粒物</w:t>
                  </w:r>
                </w:p>
              </w:tc>
              <w:tc>
                <w:tcPr>
                  <w:tcW w:w="1388" w:type="pct"/>
                  <w:noWrap w:val="0"/>
                  <w:vAlign w:val="center"/>
                </w:tcPr>
                <w:p w14:paraId="6536358A">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200</w:t>
                  </w:r>
                </w:p>
              </w:tc>
              <w:tc>
                <w:tcPr>
                  <w:tcW w:w="1659" w:type="pct"/>
                  <w:vMerge w:val="restart"/>
                  <w:noWrap w:val="0"/>
                  <w:vAlign w:val="center"/>
                </w:tcPr>
                <w:p w14:paraId="6BC37FD4">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烟囱</w:t>
                  </w:r>
                </w:p>
              </w:tc>
            </w:tr>
            <w:tr w14:paraId="271B4E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2" w:type="pct"/>
                  <w:gridSpan w:val="2"/>
                  <w:noWrap w:val="0"/>
                  <w:vAlign w:val="center"/>
                </w:tcPr>
                <w:p w14:paraId="1B765845">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二氧化硫</w:t>
                  </w:r>
                </w:p>
              </w:tc>
              <w:tc>
                <w:tcPr>
                  <w:tcW w:w="1388" w:type="pct"/>
                  <w:noWrap w:val="0"/>
                  <w:vAlign w:val="center"/>
                </w:tcPr>
                <w:p w14:paraId="6CDFCAAA">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850</w:t>
                  </w:r>
                </w:p>
              </w:tc>
              <w:tc>
                <w:tcPr>
                  <w:tcW w:w="1659" w:type="pct"/>
                  <w:vMerge w:val="continue"/>
                  <w:noWrap w:val="0"/>
                  <w:vAlign w:val="center"/>
                </w:tcPr>
                <w:p w14:paraId="3C82BC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p>
              </w:tc>
            </w:tr>
            <w:tr w14:paraId="00D7C9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2" w:type="pct"/>
                  <w:gridSpan w:val="2"/>
                  <w:noWrap w:val="0"/>
                  <w:vAlign w:val="center"/>
                </w:tcPr>
                <w:p w14:paraId="7CA4F877">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eastAsia="zh-CN"/>
                      <w14:textFill>
                        <w14:solidFill>
                          <w14:schemeClr w14:val="tx1"/>
                        </w14:solidFill>
                      </w14:textFill>
                    </w:rPr>
                    <w:t>氮氧化物</w:t>
                  </w:r>
                </w:p>
              </w:tc>
              <w:tc>
                <w:tcPr>
                  <w:tcW w:w="1388" w:type="pct"/>
                  <w:noWrap w:val="0"/>
                  <w:vAlign w:val="center"/>
                </w:tcPr>
                <w:p w14:paraId="121D363F">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w:t>
                  </w:r>
                </w:p>
              </w:tc>
              <w:tc>
                <w:tcPr>
                  <w:tcW w:w="1659" w:type="pct"/>
                  <w:vMerge w:val="continue"/>
                  <w:noWrap w:val="0"/>
                  <w:vAlign w:val="center"/>
                </w:tcPr>
                <w:p w14:paraId="558792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p>
              </w:tc>
            </w:tr>
            <w:tr w14:paraId="23A3BD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2" w:type="pct"/>
                  <w:gridSpan w:val="2"/>
                  <w:noWrap w:val="0"/>
                  <w:vAlign w:val="center"/>
                </w:tcPr>
                <w:p w14:paraId="69EF958A">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烟气黑度（</w:t>
                  </w:r>
                  <w:r>
                    <w:rPr>
                      <w:rFonts w:hint="default" w:ascii="Times New Roman" w:hAnsi="Times New Roman" w:eastAsia="宋体" w:cs="Times New Roman"/>
                      <w:bCs/>
                      <w:color w:val="000000" w:themeColor="text1"/>
                      <w:kern w:val="0"/>
                      <w:sz w:val="18"/>
                      <w:szCs w:val="18"/>
                      <w:highlight w:val="none"/>
                      <w:lang w:eastAsia="zh-CN"/>
                      <w14:textFill>
                        <w14:solidFill>
                          <w14:schemeClr w14:val="tx1"/>
                        </w14:solidFill>
                      </w14:textFill>
                    </w:rPr>
                    <w:t>林格曼黑度</w:t>
                  </w: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，级）</w:t>
                  </w:r>
                </w:p>
              </w:tc>
              <w:tc>
                <w:tcPr>
                  <w:tcW w:w="1388" w:type="pct"/>
                  <w:noWrap w:val="0"/>
                  <w:vAlign w:val="center"/>
                </w:tcPr>
                <w:p w14:paraId="279301D3">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≤1</w:t>
                  </w:r>
                </w:p>
              </w:tc>
              <w:tc>
                <w:tcPr>
                  <w:tcW w:w="1659" w:type="pct"/>
                  <w:noWrap w:val="0"/>
                  <w:vAlign w:val="center"/>
                </w:tcPr>
                <w:p w14:paraId="2934340C">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烟囱</w:t>
                  </w: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排放口</w:t>
                  </w:r>
                </w:p>
              </w:tc>
            </w:tr>
            <w:tr w14:paraId="3D3B0D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Merge w:val="restart"/>
                  <w:noWrap w:val="0"/>
                  <w:vAlign w:val="center"/>
                </w:tcPr>
                <w:p w14:paraId="6A3148E3">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工业炉窑无组织排放颗粒物</w:t>
                  </w:r>
                </w:p>
              </w:tc>
              <w:tc>
                <w:tcPr>
                  <w:tcW w:w="1568" w:type="dxa"/>
                  <w:noWrap w:val="0"/>
                  <w:vAlign w:val="center"/>
                </w:tcPr>
                <w:p w14:paraId="77AF5CFB">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设置方式</w:t>
                  </w:r>
                </w:p>
              </w:tc>
              <w:tc>
                <w:tcPr>
                  <w:tcW w:w="2230" w:type="dxa"/>
                  <w:noWrap w:val="0"/>
                  <w:vAlign w:val="center"/>
                </w:tcPr>
                <w:p w14:paraId="6C34F0DC">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炉窑类别</w:t>
                  </w:r>
                </w:p>
              </w:tc>
              <w:tc>
                <w:tcPr>
                  <w:tcW w:w="2666" w:type="dxa"/>
                  <w:noWrap w:val="0"/>
                  <w:vAlign w:val="center"/>
                </w:tcPr>
                <w:p w14:paraId="7EDAAA08">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无组织排放颗粒物最高允许浓度</w:t>
                  </w:r>
                  <w:r>
                    <w:rPr>
                      <w:rFonts w:hint="default" w:ascii="Times New Roman" w:hAnsi="Times New Roman" w:eastAsia="宋体" w:cs="Times New Roman"/>
                      <w:color w:val="000000" w:themeColor="text1"/>
                      <w:sz w:val="18"/>
                      <w:szCs w:val="18"/>
                      <w:highlight w:val="none"/>
                      <w14:textFill>
                        <w14:solidFill>
                          <w14:schemeClr w14:val="tx1"/>
                        </w14:solidFill>
                      </w14:textFill>
                    </w:rPr>
                    <w:t>（mg/m</w:t>
                  </w:r>
                  <w:r>
                    <w:rPr>
                      <w:rFonts w:hint="default" w:ascii="Times New Roman" w:hAnsi="Times New Roman" w:eastAsia="宋体" w:cs="Times New Roman"/>
                      <w:color w:val="000000" w:themeColor="text1"/>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14:paraId="416E3F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Merge w:val="continue"/>
                  <w:noWrap w:val="0"/>
                  <w:vAlign w:val="center"/>
                </w:tcPr>
                <w:p w14:paraId="2E90DE5F">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p>
              </w:tc>
              <w:tc>
                <w:tcPr>
                  <w:tcW w:w="1568" w:type="dxa"/>
                  <w:noWrap w:val="0"/>
                  <w:vAlign w:val="center"/>
                </w:tcPr>
                <w:p w14:paraId="5B3B39F6">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有车间厂房</w:t>
                  </w:r>
                </w:p>
              </w:tc>
              <w:tc>
                <w:tcPr>
                  <w:tcW w:w="2230" w:type="dxa"/>
                  <w:noWrap w:val="0"/>
                  <w:vAlign w:val="center"/>
                </w:tcPr>
                <w:p w14:paraId="3EDC324F">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其他炉窑</w:t>
                  </w:r>
                </w:p>
              </w:tc>
              <w:tc>
                <w:tcPr>
                  <w:tcW w:w="2666" w:type="dxa"/>
                  <w:noWrap w:val="0"/>
                  <w:vAlign w:val="center"/>
                </w:tcPr>
                <w:p w14:paraId="5D10A37D">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w:t>
                  </w:r>
                </w:p>
              </w:tc>
            </w:tr>
          </w:tbl>
          <w:p w14:paraId="0709B85A">
            <w:pPr>
              <w:pStyle w:val="9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auto"/>
              <w:rPr>
                <w:rStyle w:val="152"/>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厂界无组织颗粒物执行《大气污染物综合排放标准》（GB16297-1996）表2中无组织排放监控浓度限值</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w:t>
            </w:r>
          </w:p>
          <w:p w14:paraId="3C29C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0"/>
                <w:highlight w:val="none"/>
                <w14:textFill>
                  <w14:solidFill>
                    <w14:schemeClr w14:val="tx1"/>
                  </w14:solidFill>
                </w14:textFill>
              </w:rPr>
            </w:pPr>
            <w:r>
              <w:rPr>
                <w:rFonts w:hint="default" w:ascii="Times New Roman" w:hAnsi="Times New Roman" w:eastAsia="宋体" w:cs="Times New Roman"/>
                <w:b/>
                <w:bCs/>
                <w:color w:val="000000" w:themeColor="text1"/>
                <w:kern w:val="0"/>
                <w:highlight w:val="none"/>
                <w14:textFill>
                  <w14:solidFill>
                    <w14:schemeClr w14:val="tx1"/>
                  </w14:solidFill>
                </w14:textFill>
              </w:rPr>
              <w:t>表</w:t>
            </w: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highlight w:val="none"/>
                <w14:textFill>
                  <w14:solidFill>
                    <w14:schemeClr w14:val="tx1"/>
                  </w14:solidFill>
                </w14:textFill>
              </w:rPr>
              <w:t>-</w:t>
            </w: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kern w:val="0"/>
                <w:highlight w:val="none"/>
                <w14:textFill>
                  <w14:solidFill>
                    <w14:schemeClr w14:val="tx1"/>
                  </w14:solidFill>
                </w14:textFill>
              </w:rPr>
              <w:t>大气污染物综合排放标准</w:t>
            </w:r>
          </w:p>
          <w:tbl>
            <w:tblPr>
              <w:tblStyle w:val="3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3249"/>
              <w:gridCol w:w="2546"/>
            </w:tblGrid>
            <w:tr w14:paraId="7EAAF7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0" w:type="dxa"/>
                  <w:tcBorders>
                    <w:tl2br w:val="nil"/>
                    <w:tr2bl w:val="nil"/>
                  </w:tcBorders>
                  <w:noWrap w:val="0"/>
                  <w:vAlign w:val="center"/>
                </w:tcPr>
                <w:p w14:paraId="4186BC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3220" w:type="dxa"/>
                  <w:tcBorders>
                    <w:tl2br w:val="nil"/>
                    <w:tr2bl w:val="nil"/>
                  </w:tcBorders>
                  <w:noWrap w:val="0"/>
                  <w:vAlign w:val="center"/>
                </w:tcPr>
                <w:p w14:paraId="0F4558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无组织排放监控浓度限值</w:t>
                  </w:r>
                </w:p>
              </w:tc>
              <w:tc>
                <w:tcPr>
                  <w:tcW w:w="2523" w:type="dxa"/>
                  <w:tcBorders>
                    <w:tl2br w:val="nil"/>
                    <w:tr2bl w:val="nil"/>
                  </w:tcBorders>
                  <w:noWrap w:val="0"/>
                  <w:vAlign w:val="center"/>
                </w:tcPr>
                <w:p w14:paraId="2188FE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最高允许排放浓度</w:t>
                  </w:r>
                </w:p>
              </w:tc>
            </w:tr>
            <w:tr w14:paraId="1E02D8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0" w:type="dxa"/>
                  <w:tcBorders>
                    <w:tl2br w:val="nil"/>
                    <w:tr2bl w:val="nil"/>
                  </w:tcBorders>
                  <w:noWrap w:val="0"/>
                  <w:vAlign w:val="center"/>
                </w:tcPr>
                <w:p w14:paraId="04FCB4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颗粒物</w:t>
                  </w:r>
                </w:p>
              </w:tc>
              <w:tc>
                <w:tcPr>
                  <w:tcW w:w="3220" w:type="dxa"/>
                  <w:tcBorders>
                    <w:tl2br w:val="nil"/>
                    <w:tr2bl w:val="nil"/>
                  </w:tcBorders>
                  <w:noWrap w:val="0"/>
                  <w:vAlign w:val="center"/>
                </w:tcPr>
                <w:p w14:paraId="1926D0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周界外浓度最高点</w:t>
                  </w:r>
                </w:p>
              </w:tc>
              <w:tc>
                <w:tcPr>
                  <w:tcW w:w="2523" w:type="dxa"/>
                  <w:tcBorders>
                    <w:tl2br w:val="nil"/>
                    <w:tr2bl w:val="nil"/>
                  </w:tcBorders>
                  <w:noWrap w:val="0"/>
                  <w:vAlign w:val="center"/>
                </w:tcPr>
                <w:p w14:paraId="6779B8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1.0</w:t>
                  </w:r>
                </w:p>
              </w:tc>
            </w:tr>
          </w:tbl>
          <w:p w14:paraId="0C124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2、废水</w:t>
            </w:r>
          </w:p>
          <w:p w14:paraId="0231D79B">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pacing w:val="0"/>
                <w:kern w:val="24"/>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本项目生产过程中无废水产生，项目</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生活污水排入防渗旱厕，定期清掏，不外排</w:t>
            </w:r>
            <w:r>
              <w:rPr>
                <w:rFonts w:hint="default" w:ascii="Times New Roman" w:hAnsi="Times New Roman" w:eastAsia="宋体" w:cs="Times New Roman"/>
                <w:bCs/>
                <w:color w:val="000000" w:themeColor="text1"/>
                <w:szCs w:val="21"/>
                <w:highlight w:val="none"/>
                <w14:textFill>
                  <w14:solidFill>
                    <w14:schemeClr w14:val="tx1"/>
                  </w14:solidFill>
                </w14:textFill>
              </w:rPr>
              <w:t>。</w:t>
            </w:r>
          </w:p>
          <w:p w14:paraId="61716948">
            <w:pPr>
              <w:keepNext w:val="0"/>
              <w:keepLines w:val="0"/>
              <w:numPr>
                <w:ilvl w:val="0"/>
                <w:numId w:val="0"/>
              </w:numPr>
              <w:suppressLineNumbers w:val="0"/>
              <w:spacing w:before="0" w:beforeAutospacing="0" w:after="0" w:afterAutospacing="0" w:line="360" w:lineRule="auto"/>
              <w:ind w:left="0" w:right="0" w:rightChars="0" w:firstLine="422"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Cs w:val="21"/>
                <w:highlight w:val="none"/>
                <w14:textFill>
                  <w14:solidFill>
                    <w14:schemeClr w14:val="tx1"/>
                  </w14:solidFill>
                </w14:textFill>
              </w:rPr>
              <w:t>噪声</w:t>
            </w:r>
          </w:p>
          <w:p w14:paraId="4C30AFF5">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施工期</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噪声执行《建筑施工场界环境噪声排放标准》（GB12523-2011）中噪声排放限值，具体标准见表3-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Cs w:val="21"/>
                <w:highlight w:val="none"/>
                <w14:textFill>
                  <w14:solidFill>
                    <w14:schemeClr w14:val="tx1"/>
                  </w14:solidFill>
                </w14:textFill>
              </w:rPr>
              <w:t>。</w:t>
            </w:r>
          </w:p>
          <w:p w14:paraId="4E4AF8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表3-</w:t>
            </w: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 xml:space="preserve">8 </w:t>
            </w:r>
            <w:r>
              <w:rPr>
                <w:rFonts w:hint="default" w:ascii="Times New Roman" w:hAnsi="Times New Roman" w:eastAsia="宋体" w:cs="Times New Roman"/>
                <w:b/>
                <w:color w:val="000000" w:themeColor="text1"/>
                <w:szCs w:val="21"/>
                <w:highlight w:val="none"/>
                <w14:textFill>
                  <w14:solidFill>
                    <w14:schemeClr w14:val="tx1"/>
                  </w14:solidFill>
                </w14:textFill>
              </w:rPr>
              <w:t>建筑施工场界环境噪声排放标准 单位：dB(A)</w:t>
            </w:r>
          </w:p>
          <w:tbl>
            <w:tblPr>
              <w:tblStyle w:val="3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43"/>
              <w:gridCol w:w="3992"/>
            </w:tblGrid>
            <w:tr w14:paraId="025EBE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7" w:type="dxa"/>
                  <w:tcBorders>
                    <w:tl2br w:val="nil"/>
                    <w:tr2bl w:val="nil"/>
                  </w:tcBorders>
                  <w:vAlign w:val="center"/>
                </w:tcPr>
                <w:p w14:paraId="751164F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昼间</w:t>
                  </w:r>
                </w:p>
              </w:tc>
              <w:tc>
                <w:tcPr>
                  <w:tcW w:w="3789" w:type="dxa"/>
                  <w:tcBorders>
                    <w:tl2br w:val="nil"/>
                    <w:tr2bl w:val="nil"/>
                  </w:tcBorders>
                  <w:vAlign w:val="center"/>
                </w:tcPr>
                <w:p w14:paraId="4EA93F9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夜间</w:t>
                  </w:r>
                </w:p>
              </w:tc>
            </w:tr>
            <w:tr w14:paraId="0B309C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7" w:type="dxa"/>
                  <w:tcBorders>
                    <w:tl2br w:val="nil"/>
                    <w:tr2bl w:val="nil"/>
                  </w:tcBorders>
                  <w:vAlign w:val="center"/>
                </w:tcPr>
                <w:p w14:paraId="4B9D16C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70</w:t>
                  </w:r>
                </w:p>
              </w:tc>
              <w:tc>
                <w:tcPr>
                  <w:tcW w:w="3789" w:type="dxa"/>
                  <w:tcBorders>
                    <w:tl2br w:val="nil"/>
                    <w:tr2bl w:val="nil"/>
                  </w:tcBorders>
                  <w:vAlign w:val="center"/>
                </w:tcPr>
                <w:p w14:paraId="3733D7B9">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55</w:t>
                  </w:r>
                </w:p>
              </w:tc>
            </w:tr>
          </w:tbl>
          <w:p w14:paraId="6E8A80F9">
            <w:pPr>
              <w:pStyle w:val="105"/>
              <w:keepNext w:val="0"/>
              <w:keepLines w:val="0"/>
              <w:suppressLineNumbers w:val="0"/>
              <w:spacing w:before="0" w:beforeAutospacing="0" w:after="0" w:afterAutospacing="0"/>
              <w:ind w:left="0" w:leftChars="0" w:right="0" w:firstLine="420" w:firstLineChars="200"/>
              <w:jc w:val="both"/>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运营期：本项目位于农村区域，本项目属于2类声环境功能区（指以商业金融、集市贸易为主要功能，或者居住、商业、工业混杂，需要维护住宅安静的区域），故本项目运营期噪声排放</w:t>
            </w:r>
            <w:r>
              <w:rPr>
                <w:rFonts w:hint="default" w:ascii="Times New Roman" w:hAnsi="Times New Roman" w:eastAsia="宋体" w:cs="Times New Roman"/>
                <w:color w:val="000000" w:themeColor="text1"/>
                <w:szCs w:val="21"/>
                <w:highlight w:val="none"/>
                <w14:textFill>
                  <w14:solidFill>
                    <w14:schemeClr w14:val="tx1"/>
                  </w14:solidFill>
                </w14:textFill>
              </w:rPr>
              <w:t>执</w:t>
            </w:r>
            <w:r>
              <w:rPr>
                <w:rFonts w:hint="default" w:ascii="Times New Roman" w:hAnsi="Times New Roman" w:eastAsia="宋体" w:cs="Times New Roman"/>
                <w:color w:val="000000" w:themeColor="text1"/>
                <w:sz w:val="21"/>
                <w:szCs w:val="21"/>
                <w:highlight w:val="none"/>
                <w14:textFill>
                  <w14:solidFill>
                    <w14:schemeClr w14:val="tx1"/>
                  </w14:solidFill>
                </w14:textFill>
              </w:rPr>
              <w:t>行《</w:t>
            </w:r>
            <w:r>
              <w:rPr>
                <w:rFonts w:hint="default" w:ascii="Times New Roman" w:hAnsi="Times New Roman" w:eastAsia="宋体" w:cs="Times New Roman"/>
                <w:color w:val="000000" w:themeColor="text1"/>
                <w:szCs w:val="21"/>
                <w:highlight w:val="none"/>
                <w14:textFill>
                  <w14:solidFill>
                    <w14:schemeClr w14:val="tx1"/>
                  </w14:solidFill>
                </w14:textFill>
              </w:rPr>
              <w:t>工业企业厂界环境噪声排放标准》(GB12348-2008)表1中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w:t>
            </w:r>
          </w:p>
          <w:p w14:paraId="30385FB5">
            <w:pPr>
              <w:pStyle w:val="70"/>
              <w:keepNext w:val="0"/>
              <w:keepLines w:val="0"/>
              <w:suppressLineNumbers w:val="0"/>
              <w:snapToGrid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sz w:val="21"/>
                <w:szCs w:val="21"/>
                <w:highlight w:val="none"/>
                <w14:textFill>
                  <w14:solidFill>
                    <w14:schemeClr w14:val="tx1"/>
                  </w14:solidFill>
                </w14:textFill>
              </w:rPr>
              <w:t>表3-</w:t>
            </w:r>
            <w:r>
              <w:rPr>
                <w:rFonts w:hint="default" w:ascii="Times New Roman" w:hAnsi="Times New Roman" w:eastAsia="宋体" w:cs="Times New Roman"/>
                <w:b/>
                <w:bCs/>
                <w:snapToGrid w:val="0"/>
                <w:color w:val="000000" w:themeColor="text1"/>
                <w:spacing w:val="0"/>
                <w:sz w:val="21"/>
                <w:szCs w:val="21"/>
                <w:highlight w:val="none"/>
                <w:lang w:val="en-US" w:eastAsia="zh-CN"/>
                <w14:textFill>
                  <w14:solidFill>
                    <w14:schemeClr w14:val="tx1"/>
                  </w14:solidFill>
                </w14:textFill>
              </w:rPr>
              <w:t xml:space="preserve">9 </w:t>
            </w:r>
            <w:r>
              <w:rPr>
                <w:rFonts w:hint="default" w:ascii="Times New Roman" w:hAnsi="Times New Roman" w:eastAsia="宋体" w:cs="Times New Roman"/>
                <w:b/>
                <w:bCs/>
                <w:snapToGrid w:val="0"/>
                <w:color w:val="000000" w:themeColor="text1"/>
                <w:spacing w:val="0"/>
                <w:sz w:val="21"/>
                <w:szCs w:val="21"/>
                <w:highlight w:val="none"/>
                <w14:textFill>
                  <w14:solidFill>
                    <w14:schemeClr w14:val="tx1"/>
                  </w14:solidFill>
                </w14:textFill>
              </w:rPr>
              <w:t>工业企业厂界环境噪声排放标准</w:t>
            </w:r>
          </w:p>
          <w:tbl>
            <w:tblPr>
              <w:tblStyle w:val="3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2802"/>
              <w:gridCol w:w="2841"/>
            </w:tblGrid>
            <w:tr w14:paraId="508459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7" w:type="pct"/>
                  <w:vMerge w:val="restart"/>
                  <w:tcBorders>
                    <w:tl2br w:val="nil"/>
                    <w:tr2bl w:val="nil"/>
                  </w:tcBorders>
                  <w:vAlign w:val="center"/>
                </w:tcPr>
                <w:p w14:paraId="25D99EE3">
                  <w:pPr>
                    <w:pStyle w:val="8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类别</w:t>
                  </w:r>
                </w:p>
              </w:tc>
              <w:tc>
                <w:tcPr>
                  <w:tcW w:w="3512" w:type="pct"/>
                  <w:gridSpan w:val="2"/>
                  <w:tcBorders>
                    <w:tl2br w:val="nil"/>
                    <w:tr2bl w:val="nil"/>
                  </w:tcBorders>
                  <w:vAlign w:val="center"/>
                </w:tcPr>
                <w:p w14:paraId="171A61FC">
                  <w:pPr>
                    <w:pStyle w:val="8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标准值（dB（A））</w:t>
                  </w:r>
                </w:p>
              </w:tc>
            </w:tr>
            <w:tr w14:paraId="044C10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7" w:type="pct"/>
                  <w:vMerge w:val="continue"/>
                  <w:tcBorders>
                    <w:tl2br w:val="nil"/>
                    <w:tr2bl w:val="nil"/>
                  </w:tcBorders>
                  <w:vAlign w:val="center"/>
                </w:tcPr>
                <w:p w14:paraId="4DA629C7">
                  <w:pPr>
                    <w:pStyle w:val="8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44" w:type="pct"/>
                  <w:tcBorders>
                    <w:tl2br w:val="nil"/>
                    <w:tr2bl w:val="nil"/>
                  </w:tcBorders>
                  <w:vAlign w:val="center"/>
                </w:tcPr>
                <w:p w14:paraId="2065CC9C">
                  <w:pPr>
                    <w:pStyle w:val="8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昼间</w:t>
                  </w:r>
                </w:p>
              </w:tc>
              <w:tc>
                <w:tcPr>
                  <w:tcW w:w="1768" w:type="pct"/>
                  <w:tcBorders>
                    <w:tl2br w:val="nil"/>
                    <w:tr2bl w:val="nil"/>
                  </w:tcBorders>
                  <w:vAlign w:val="center"/>
                </w:tcPr>
                <w:p w14:paraId="64057251">
                  <w:pPr>
                    <w:pStyle w:val="8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夜间</w:t>
                  </w:r>
                </w:p>
              </w:tc>
            </w:tr>
            <w:tr w14:paraId="79750A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7" w:type="pct"/>
                  <w:tcBorders>
                    <w:tl2br w:val="nil"/>
                    <w:tr2bl w:val="nil"/>
                  </w:tcBorders>
                  <w:vAlign w:val="center"/>
                </w:tcPr>
                <w:p w14:paraId="19769BC3">
                  <w:pPr>
                    <w:pStyle w:val="8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2类</w:t>
                  </w:r>
                </w:p>
              </w:tc>
              <w:tc>
                <w:tcPr>
                  <w:tcW w:w="1744" w:type="pct"/>
                  <w:tcBorders>
                    <w:tl2br w:val="nil"/>
                    <w:tr2bl w:val="nil"/>
                  </w:tcBorders>
                  <w:vAlign w:val="center"/>
                </w:tcPr>
                <w:p w14:paraId="2647DEA6">
                  <w:pPr>
                    <w:pStyle w:val="8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60</w:t>
                  </w:r>
                </w:p>
              </w:tc>
              <w:tc>
                <w:tcPr>
                  <w:tcW w:w="1768" w:type="pct"/>
                  <w:tcBorders>
                    <w:tl2br w:val="nil"/>
                    <w:tr2bl w:val="nil"/>
                  </w:tcBorders>
                  <w:vAlign w:val="center"/>
                </w:tcPr>
                <w:p w14:paraId="11F4C0B2">
                  <w:pPr>
                    <w:pStyle w:val="84"/>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50</w:t>
                  </w:r>
                </w:p>
              </w:tc>
            </w:tr>
          </w:tbl>
          <w:p w14:paraId="52B87C25">
            <w:pPr>
              <w:keepNext w:val="0"/>
              <w:keepLines w:val="0"/>
              <w:suppressLineNumbers w:val="0"/>
              <w:spacing w:before="0" w:beforeAutospacing="0" w:after="0" w:afterAutospacing="0" w:line="360" w:lineRule="auto"/>
              <w:ind w:left="0" w:right="0" w:firstLine="422" w:firstLineChars="200"/>
              <w:rPr>
                <w:rFonts w:hint="default" w:ascii="Times New Roman" w:hAnsi="Times New Roman" w:eastAsia="宋体" w:cs="Times New Roman"/>
                <w:color w:val="000000" w:themeColor="text1"/>
                <w:kern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Cs w:val="21"/>
                <w:highlight w:val="none"/>
                <w14:textFill>
                  <w14:solidFill>
                    <w14:schemeClr w14:val="tx1"/>
                  </w14:solidFill>
                </w14:textFill>
              </w:rPr>
              <w:t>4、固体废物</w:t>
            </w:r>
          </w:p>
          <w:p w14:paraId="0EA0F3EB">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21"/>
                <w:szCs w:val="21"/>
                <w:highlight w:val="none"/>
                <w14:textFill>
                  <w14:solidFill>
                    <w14:schemeClr w14:val="tx1"/>
                  </w14:solidFill>
                </w14:textFill>
              </w:rPr>
              <w:t>一般固体废物处置执行《一般工业固体废物贮存和填埋污染控制标准》（GB18599-2020）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Cs w:val="21"/>
                <w:highlight w:val="none"/>
                <w14:textFill>
                  <w14:solidFill>
                    <w14:schemeClr w14:val="tx1"/>
                  </w14:solidFill>
                </w14:textFill>
              </w:rPr>
              <w:t>《固体废物分类与代码</w:t>
            </w:r>
            <w:r>
              <w:rPr>
                <w:rFonts w:hint="default" w:ascii="Times New Roman" w:hAnsi="Times New Roman" w:eastAsia="宋体" w:cs="Times New Roman"/>
                <w:bCs/>
                <w:color w:val="000000" w:themeColor="text1"/>
                <w:szCs w:val="21"/>
                <w:highlight w:val="none"/>
                <w:lang w:eastAsia="zh-CN"/>
                <w14:textFill>
                  <w14:solidFill>
                    <w14:schemeClr w14:val="tx1"/>
                  </w14:solidFill>
                </w14:textFill>
              </w:rPr>
              <w:t>目录</w:t>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bCs/>
                <w:color w:val="000000" w:themeColor="text1"/>
                <w:szCs w:val="21"/>
                <w:highlight w:val="none"/>
                <w:lang w:eastAsia="zh-CN"/>
                <w14:textFill>
                  <w14:solidFill>
                    <w14:schemeClr w14:val="tx1"/>
                  </w14:solidFill>
                </w14:textFill>
              </w:rPr>
              <w:t>公告</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2024年第4号</w:t>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kern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t>危险废物执行《危险废物贮存污染控制标准》（GB18597-2023）、《国家危险废物名录》（2025年版）相关</w:t>
            </w:r>
            <w:r>
              <w:rPr>
                <w:rFonts w:hint="default" w:ascii="Times New Roman" w:hAnsi="Times New Roman" w:eastAsia="宋体" w:cs="Times New Roman"/>
                <w:color w:val="000000" w:themeColor="text1"/>
                <w:kern w:val="21"/>
                <w:szCs w:val="21"/>
                <w:highlight w:val="none"/>
                <w14:textFill>
                  <w14:solidFill>
                    <w14:schemeClr w14:val="tx1"/>
                  </w14:solidFill>
                </w14:textFill>
              </w:rPr>
              <w:t>规定。</w:t>
            </w:r>
          </w:p>
        </w:tc>
      </w:tr>
      <w:tr w14:paraId="6FC7E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7" w:hRule="atLeast"/>
          <w:jc w:val="center"/>
        </w:trPr>
        <w:tc>
          <w:tcPr>
            <w:tcW w:w="452" w:type="pct"/>
            <w:tcBorders>
              <w:bottom w:val="single" w:color="auto" w:sz="4" w:space="0"/>
            </w:tcBorders>
            <w:vAlign w:val="center"/>
          </w:tcPr>
          <w:p w14:paraId="72ADBB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总量控制指标</w:t>
            </w:r>
          </w:p>
        </w:tc>
        <w:tc>
          <w:tcPr>
            <w:tcW w:w="4547" w:type="pct"/>
            <w:tcBorders>
              <w:bottom w:val="single" w:color="auto" w:sz="4" w:space="0"/>
            </w:tcBorders>
            <w:vAlign w:val="center"/>
          </w:tcPr>
          <w:p w14:paraId="0D8CB0B0">
            <w:pPr>
              <w:keepNext w:val="0"/>
              <w:keepLines w:val="0"/>
              <w:suppressLineNumbers w:val="0"/>
              <w:tabs>
                <w:tab w:val="left" w:pos="5046"/>
              </w:tabs>
              <w:spacing w:before="0" w:beforeAutospacing="0" w:after="0" w:afterAutospacing="0"/>
              <w:ind w:left="0" w:right="0"/>
              <w:jc w:val="center"/>
              <w:rPr>
                <w:rFonts w:hint="default"/>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表</w:t>
            </w:r>
            <w:r>
              <w:rPr>
                <w:rFonts w:hint="default"/>
                <w:b/>
                <w:color w:val="000000" w:themeColor="text1"/>
                <w:szCs w:val="21"/>
                <w:highlight w:val="none"/>
                <w14:textFill>
                  <w14:solidFill>
                    <w14:schemeClr w14:val="tx1"/>
                  </w14:solidFill>
                </w14:textFill>
              </w:rPr>
              <w:t>3</w:t>
            </w:r>
            <w:r>
              <w:rPr>
                <w:rFonts w:hint="eastAsia"/>
                <w:b/>
                <w:color w:val="000000" w:themeColor="text1"/>
                <w:szCs w:val="21"/>
                <w:highlight w:val="none"/>
                <w:lang w:val="en-US" w:eastAsia="zh-CN"/>
                <w14:textFill>
                  <w14:solidFill>
                    <w14:schemeClr w14:val="tx1"/>
                  </w14:solidFill>
                </w14:textFill>
              </w:rPr>
              <w:t>-10 总量控制表及“三本账”一览</w:t>
            </w:r>
            <w:r>
              <w:rPr>
                <w:rFonts w:hint="eastAsia"/>
                <w:b/>
                <w:color w:val="000000" w:themeColor="text1"/>
                <w:szCs w:val="21"/>
                <w:highlight w:val="none"/>
                <w14:textFill>
                  <w14:solidFill>
                    <w14:schemeClr w14:val="tx1"/>
                  </w14:solidFill>
                </w14:textFill>
              </w:rPr>
              <w:t>表</w:t>
            </w:r>
            <w:r>
              <w:rPr>
                <w:rFonts w:hint="default"/>
                <w:b/>
                <w:color w:val="000000" w:themeColor="text1"/>
                <w:szCs w:val="21"/>
                <w:highlight w:val="none"/>
                <w14:textFill>
                  <w14:solidFill>
                    <w14:schemeClr w14:val="tx1"/>
                  </w14:solidFill>
                </w14:textFill>
              </w:rPr>
              <w:t xml:space="preserve">  </w:t>
            </w:r>
            <w:r>
              <w:rPr>
                <w:rFonts w:hint="eastAsia"/>
                <w:b/>
                <w:color w:val="000000" w:themeColor="text1"/>
                <w:szCs w:val="21"/>
                <w:highlight w:val="none"/>
                <w14:textFill>
                  <w14:solidFill>
                    <w14:schemeClr w14:val="tx1"/>
                  </w14:solidFill>
                </w14:textFill>
              </w:rPr>
              <w:t>单位：</w:t>
            </w:r>
            <w:r>
              <w:rPr>
                <w:rFonts w:hint="default"/>
                <w:b/>
                <w:color w:val="000000" w:themeColor="text1"/>
                <w:szCs w:val="21"/>
                <w:highlight w:val="none"/>
                <w14:textFill>
                  <w14:solidFill>
                    <w14:schemeClr w14:val="tx1"/>
                  </w14:solidFill>
                </w14:textFill>
              </w:rPr>
              <w:t>t/a</w:t>
            </w:r>
          </w:p>
          <w:tbl>
            <w:tblPr>
              <w:tblStyle w:val="34"/>
              <w:tblW w:w="498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990"/>
              <w:gridCol w:w="945"/>
              <w:gridCol w:w="1005"/>
              <w:gridCol w:w="923"/>
              <w:gridCol w:w="1002"/>
              <w:gridCol w:w="1003"/>
              <w:gridCol w:w="1004"/>
            </w:tblGrid>
            <w:tr w14:paraId="7CFB1E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5" w:type="dxa"/>
                  <w:noWrap w:val="0"/>
                  <w:vAlign w:val="center"/>
                </w:tcPr>
                <w:p w14:paraId="5D85C22A">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bCs/>
                      <w:color w:val="000000" w:themeColor="text1"/>
                      <w:sz w:val="18"/>
                      <w:szCs w:val="18"/>
                      <w:highlight w:val="none"/>
                      <w14:textFill>
                        <w14:solidFill>
                          <w14:schemeClr w14:val="tx1"/>
                        </w14:solidFill>
                      </w14:textFill>
                    </w:rPr>
                    <w:t>名称</w:t>
                  </w:r>
                </w:p>
              </w:tc>
              <w:tc>
                <w:tcPr>
                  <w:tcW w:w="990" w:type="dxa"/>
                  <w:noWrap w:val="0"/>
                  <w:vAlign w:val="center"/>
                </w:tcPr>
                <w:p w14:paraId="2FEAD6E4">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现有工程</w:t>
                  </w:r>
                  <w:r>
                    <w:rPr>
                      <w:rFonts w:hint="eastAsia"/>
                      <w:color w:val="000000" w:themeColor="text1"/>
                      <w:sz w:val="18"/>
                      <w:szCs w:val="18"/>
                      <w:highlight w:val="none"/>
                      <w14:textFill>
                        <w14:solidFill>
                          <w14:schemeClr w14:val="tx1"/>
                        </w14:solidFill>
                      </w14:textFill>
                    </w:rPr>
                    <w:t>实际排放量</w:t>
                  </w:r>
                  <w:r>
                    <w:rPr>
                      <w:rFonts w:hint="default"/>
                      <w:color w:val="000000" w:themeColor="text1"/>
                      <w:sz w:val="18"/>
                      <w:szCs w:val="18"/>
                      <w:highlight w:val="none"/>
                      <w14:textFill>
                        <w14:solidFill>
                          <w14:schemeClr w14:val="tx1"/>
                        </w14:solidFill>
                      </w14:textFill>
                    </w:rPr>
                    <w:t>（t/a）</w:t>
                  </w:r>
                </w:p>
              </w:tc>
              <w:tc>
                <w:tcPr>
                  <w:tcW w:w="945" w:type="dxa"/>
                  <w:noWrap w:val="0"/>
                  <w:vAlign w:val="center"/>
                </w:tcPr>
                <w:p w14:paraId="54B0F588">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现有工程许可</w:t>
                  </w:r>
                  <w:r>
                    <w:rPr>
                      <w:rFonts w:hint="default"/>
                      <w:color w:val="000000" w:themeColor="text1"/>
                      <w:sz w:val="18"/>
                      <w:szCs w:val="18"/>
                      <w:highlight w:val="none"/>
                      <w14:textFill>
                        <w14:solidFill>
                          <w14:schemeClr w14:val="tx1"/>
                        </w14:solidFill>
                      </w14:textFill>
                    </w:rPr>
                    <w:t>排放量（t/a）</w:t>
                  </w:r>
                </w:p>
              </w:tc>
              <w:tc>
                <w:tcPr>
                  <w:tcW w:w="1005" w:type="dxa"/>
                  <w:noWrap w:val="0"/>
                  <w:vAlign w:val="center"/>
                </w:tcPr>
                <w:p w14:paraId="220727E1">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本工程预测排放量（t/a）</w:t>
                  </w:r>
                </w:p>
              </w:tc>
              <w:tc>
                <w:tcPr>
                  <w:tcW w:w="923" w:type="dxa"/>
                  <w:noWrap w:val="0"/>
                  <w:vAlign w:val="center"/>
                </w:tcPr>
                <w:p w14:paraId="6BC89710">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“以新带老”削减</w:t>
                  </w:r>
                </w:p>
                <w:p w14:paraId="240DDED8">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量（t/a）</w:t>
                  </w:r>
                </w:p>
              </w:tc>
              <w:tc>
                <w:tcPr>
                  <w:tcW w:w="1002" w:type="dxa"/>
                  <w:noWrap w:val="0"/>
                  <w:vAlign w:val="center"/>
                </w:tcPr>
                <w:p w14:paraId="67282B79">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总体工程预测排放总量（t/a）</w:t>
                  </w:r>
                </w:p>
              </w:tc>
              <w:tc>
                <w:tcPr>
                  <w:tcW w:w="1003" w:type="dxa"/>
                  <w:tcBorders>
                    <w:right w:val="nil"/>
                  </w:tcBorders>
                  <w:noWrap w:val="0"/>
                  <w:vAlign w:val="center"/>
                </w:tcPr>
                <w:p w14:paraId="2FD8FAE8">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总体工程排放增减量（t/a）</w:t>
                  </w:r>
                </w:p>
              </w:tc>
              <w:tc>
                <w:tcPr>
                  <w:tcW w:w="1004" w:type="dxa"/>
                  <w:noWrap w:val="0"/>
                  <w:vAlign w:val="center"/>
                </w:tcPr>
                <w:p w14:paraId="651BED0B">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本工程</w:t>
                  </w:r>
                  <w:r>
                    <w:rPr>
                      <w:rFonts w:hint="default"/>
                      <w:color w:val="000000" w:themeColor="text1"/>
                      <w:sz w:val="18"/>
                      <w:szCs w:val="18"/>
                      <w:highlight w:val="none"/>
                      <w14:textFill>
                        <w14:solidFill>
                          <w14:schemeClr w14:val="tx1"/>
                        </w14:solidFill>
                      </w14:textFill>
                    </w:rPr>
                    <w:t>核定排放总量（t/a）</w:t>
                  </w:r>
                </w:p>
              </w:tc>
            </w:tr>
            <w:tr w14:paraId="22007F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5" w:type="dxa"/>
                  <w:noWrap w:val="0"/>
                  <w:vAlign w:val="center"/>
                </w:tcPr>
                <w:p w14:paraId="3EFB563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颗粒物</w:t>
                  </w:r>
                </w:p>
              </w:tc>
              <w:tc>
                <w:tcPr>
                  <w:tcW w:w="990" w:type="dxa"/>
                  <w:noWrap w:val="0"/>
                  <w:vAlign w:val="center"/>
                </w:tcPr>
                <w:p w14:paraId="676FEF09">
                  <w:pPr>
                    <w:keepNext w:val="0"/>
                    <w:keepLines w:val="0"/>
                    <w:suppressLineNumbers w:val="0"/>
                    <w:spacing w:before="0" w:beforeAutospacing="0" w:after="0" w:afterAutospacing="0"/>
                    <w:ind w:left="0" w:leftChars="0" w:right="0" w:rightChars="0"/>
                    <w:jc w:val="center"/>
                    <w:rPr>
                      <w:rFonts w:hint="default"/>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0.225</w:t>
                  </w:r>
                </w:p>
              </w:tc>
              <w:tc>
                <w:tcPr>
                  <w:tcW w:w="945" w:type="dxa"/>
                  <w:noWrap w:val="0"/>
                  <w:vAlign w:val="center"/>
                </w:tcPr>
                <w:p w14:paraId="32933660">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w:t>
                  </w:r>
                </w:p>
              </w:tc>
              <w:tc>
                <w:tcPr>
                  <w:tcW w:w="1005" w:type="dxa"/>
                  <w:noWrap w:val="0"/>
                  <w:vAlign w:val="center"/>
                </w:tcPr>
                <w:p w14:paraId="63E17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eastAsia="宋体"/>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0.950</w:t>
                  </w:r>
                </w:p>
              </w:tc>
              <w:tc>
                <w:tcPr>
                  <w:tcW w:w="923" w:type="dxa"/>
                  <w:noWrap w:val="0"/>
                  <w:vAlign w:val="center"/>
                </w:tcPr>
                <w:p w14:paraId="77379284">
                  <w:pPr>
                    <w:keepNext w:val="0"/>
                    <w:keepLines w:val="0"/>
                    <w:suppressLineNumbers w:val="0"/>
                    <w:spacing w:before="0" w:beforeAutospacing="0" w:after="0" w:afterAutospacing="0"/>
                    <w:ind w:left="0" w:leftChars="0" w:right="0" w:rightChars="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0.225</w:t>
                  </w:r>
                </w:p>
              </w:tc>
              <w:tc>
                <w:tcPr>
                  <w:tcW w:w="1002" w:type="dxa"/>
                  <w:noWrap w:val="0"/>
                  <w:vAlign w:val="center"/>
                </w:tcPr>
                <w:p w14:paraId="24360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0.950</w:t>
                  </w:r>
                </w:p>
              </w:tc>
              <w:tc>
                <w:tcPr>
                  <w:tcW w:w="1003" w:type="dxa"/>
                  <w:noWrap w:val="0"/>
                  <w:vAlign w:val="center"/>
                </w:tcPr>
                <w:p w14:paraId="707853C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+0.725</w:t>
                  </w:r>
                </w:p>
              </w:tc>
              <w:tc>
                <w:tcPr>
                  <w:tcW w:w="1004" w:type="dxa"/>
                  <w:noWrap w:val="0"/>
                  <w:vAlign w:val="center"/>
                </w:tcPr>
                <w:p w14:paraId="11FFA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000000" w:themeColor="text1"/>
                      <w:kern w:val="0"/>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1.144</w:t>
                  </w:r>
                </w:p>
              </w:tc>
            </w:tr>
            <w:tr w14:paraId="1EC42A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5" w:type="dxa"/>
                  <w:noWrap w:val="0"/>
                  <w:vAlign w:val="center"/>
                </w:tcPr>
                <w:p w14:paraId="3510822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SO</w:t>
                  </w:r>
                  <w:r>
                    <w:rPr>
                      <w:rFonts w:hint="default" w:ascii="Times New Roman" w:hAnsi="Times New Roman" w:eastAsia="宋体" w:cs="Times New Roman"/>
                      <w:color w:val="000000" w:themeColor="text1"/>
                      <w:spacing w:val="0"/>
                      <w:position w:val="0"/>
                      <w:sz w:val="18"/>
                      <w:szCs w:val="18"/>
                      <w:highlight w:val="none"/>
                      <w:vertAlign w:val="subscript"/>
                      <w14:textFill>
                        <w14:solidFill>
                          <w14:schemeClr w14:val="tx1"/>
                        </w14:solidFill>
                      </w14:textFill>
                    </w:rPr>
                    <w:t>2</w:t>
                  </w:r>
                </w:p>
              </w:tc>
              <w:tc>
                <w:tcPr>
                  <w:tcW w:w="990" w:type="dxa"/>
                  <w:noWrap w:val="0"/>
                  <w:vAlign w:val="center"/>
                </w:tcPr>
                <w:p w14:paraId="4F080C54">
                  <w:pPr>
                    <w:keepNext w:val="0"/>
                    <w:keepLines w:val="0"/>
                    <w:suppressLineNumbers w:val="0"/>
                    <w:spacing w:before="0" w:beforeAutospacing="0" w:after="0" w:afterAutospacing="0"/>
                    <w:ind w:left="0" w:leftChars="0" w:right="0" w:rightChars="0"/>
                    <w:jc w:val="center"/>
                    <w:rPr>
                      <w:rFonts w:hint="default"/>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2.880</w:t>
                  </w:r>
                </w:p>
              </w:tc>
              <w:tc>
                <w:tcPr>
                  <w:tcW w:w="945" w:type="dxa"/>
                  <w:noWrap w:val="0"/>
                  <w:vAlign w:val="center"/>
                </w:tcPr>
                <w:p w14:paraId="54B930EF">
                  <w:pPr>
                    <w:keepNext w:val="0"/>
                    <w:keepLines w:val="0"/>
                    <w:suppressLineNumbers w:val="0"/>
                    <w:spacing w:before="0" w:beforeAutospacing="0" w:after="0" w:afterAutospacing="0"/>
                    <w:ind w:left="0" w:right="0"/>
                    <w:jc w:val="center"/>
                    <w:rPr>
                      <w:rFonts w:hint="default"/>
                      <w:color w:val="000000" w:themeColor="text1"/>
                      <w:sz w:val="18"/>
                      <w:szCs w:val="18"/>
                      <w:highlight w:val="none"/>
                      <w:lang w:val="en-US" w:eastAsia="zh-CN"/>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w:t>
                  </w:r>
                </w:p>
              </w:tc>
              <w:tc>
                <w:tcPr>
                  <w:tcW w:w="1005" w:type="dxa"/>
                  <w:noWrap w:val="0"/>
                  <w:vAlign w:val="center"/>
                </w:tcPr>
                <w:p w14:paraId="50482D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1.135</w:t>
                  </w:r>
                </w:p>
              </w:tc>
              <w:tc>
                <w:tcPr>
                  <w:tcW w:w="923" w:type="dxa"/>
                  <w:noWrap w:val="0"/>
                  <w:vAlign w:val="center"/>
                </w:tcPr>
                <w:p w14:paraId="1DEDAEC9">
                  <w:pPr>
                    <w:keepNext w:val="0"/>
                    <w:keepLines w:val="0"/>
                    <w:suppressLineNumbers w:val="0"/>
                    <w:spacing w:before="0" w:beforeAutospacing="0" w:after="0" w:afterAutospacing="0"/>
                    <w:ind w:left="0" w:leftChars="0" w:right="0" w:rightChars="0"/>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2.880</w:t>
                  </w:r>
                </w:p>
              </w:tc>
              <w:tc>
                <w:tcPr>
                  <w:tcW w:w="1002" w:type="dxa"/>
                  <w:noWrap w:val="0"/>
                  <w:vAlign w:val="center"/>
                </w:tcPr>
                <w:p w14:paraId="458DFE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1.135</w:t>
                  </w:r>
                </w:p>
              </w:tc>
              <w:tc>
                <w:tcPr>
                  <w:tcW w:w="1003" w:type="dxa"/>
                  <w:noWrap w:val="0"/>
                  <w:vAlign w:val="center"/>
                </w:tcPr>
                <w:p w14:paraId="5213719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eastAsia="宋体" w:cs="Times New Roman"/>
                      <w:color w:val="000000" w:themeColor="text1"/>
                      <w:kern w:val="0"/>
                      <w:sz w:val="18"/>
                      <w:szCs w:val="18"/>
                      <w:highlight w:val="none"/>
                      <w:lang w:val="en-US" w:eastAsia="zh-CN" w:bidi="ar"/>
                      <w14:textFill>
                        <w14:solidFill>
                          <w14:schemeClr w14:val="tx1"/>
                        </w14:solidFill>
                      </w14:textFill>
                    </w:rPr>
                  </w:pPr>
                  <w:r>
                    <w:rPr>
                      <w:rFonts w:hint="eastAsia" w:eastAsia="宋体" w:cs="Times New Roman"/>
                      <w:color w:val="000000" w:themeColor="text1"/>
                      <w:kern w:val="0"/>
                      <w:sz w:val="18"/>
                      <w:szCs w:val="18"/>
                      <w:highlight w:val="none"/>
                      <w:lang w:val="en-US" w:eastAsia="zh-CN" w:bidi="ar"/>
                      <w14:textFill>
                        <w14:solidFill>
                          <w14:schemeClr w14:val="tx1"/>
                        </w14:solidFill>
                      </w14:textFill>
                    </w:rPr>
                    <w:t>-</w:t>
                  </w:r>
                  <w:r>
                    <w:rPr>
                      <w:rFonts w:hint="eastAsia" w:cs="Times New Roman"/>
                      <w:color w:val="000000" w:themeColor="text1"/>
                      <w:kern w:val="0"/>
                      <w:sz w:val="18"/>
                      <w:szCs w:val="18"/>
                      <w:highlight w:val="none"/>
                      <w:lang w:val="en-US" w:eastAsia="zh-CN" w:bidi="ar"/>
                      <w14:textFill>
                        <w14:solidFill>
                          <w14:schemeClr w14:val="tx1"/>
                        </w14:solidFill>
                      </w14:textFill>
                    </w:rPr>
                    <w:t>1.745</w:t>
                  </w:r>
                </w:p>
              </w:tc>
              <w:tc>
                <w:tcPr>
                  <w:tcW w:w="1004" w:type="dxa"/>
                  <w:noWrap w:val="0"/>
                  <w:vAlign w:val="center"/>
                </w:tcPr>
                <w:p w14:paraId="506EA1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3.809</w:t>
                  </w:r>
                </w:p>
              </w:tc>
            </w:tr>
            <w:tr w14:paraId="45C267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5" w:type="dxa"/>
                  <w:noWrap w:val="0"/>
                  <w:vAlign w:val="center"/>
                </w:tcPr>
                <w:p w14:paraId="6284100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NO</w:t>
                  </w: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x</w:t>
                  </w:r>
                </w:p>
              </w:tc>
              <w:tc>
                <w:tcPr>
                  <w:tcW w:w="990" w:type="dxa"/>
                  <w:noWrap w:val="0"/>
                  <w:vAlign w:val="center"/>
                </w:tcPr>
                <w:p w14:paraId="2830279D">
                  <w:pPr>
                    <w:keepNext w:val="0"/>
                    <w:keepLines w:val="0"/>
                    <w:suppressLineNumbers w:val="0"/>
                    <w:spacing w:before="0" w:beforeAutospacing="0" w:after="0" w:afterAutospacing="0"/>
                    <w:ind w:left="0" w:leftChars="0" w:right="0" w:rightChars="0"/>
                    <w:jc w:val="center"/>
                    <w:rPr>
                      <w:rFonts w:hint="default"/>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1.764</w:t>
                  </w:r>
                </w:p>
              </w:tc>
              <w:tc>
                <w:tcPr>
                  <w:tcW w:w="945" w:type="dxa"/>
                  <w:noWrap w:val="0"/>
                  <w:vAlign w:val="center"/>
                </w:tcPr>
                <w:p w14:paraId="62ACBB2F">
                  <w:pPr>
                    <w:keepNext w:val="0"/>
                    <w:keepLines w:val="0"/>
                    <w:suppressLineNumbers w:val="0"/>
                    <w:spacing w:before="0" w:beforeAutospacing="0" w:after="0" w:afterAutospacing="0"/>
                    <w:ind w:left="0" w:right="0"/>
                    <w:jc w:val="center"/>
                    <w:rPr>
                      <w:rFonts w:hint="default"/>
                      <w:color w:val="000000" w:themeColor="text1"/>
                      <w:sz w:val="18"/>
                      <w:szCs w:val="18"/>
                      <w:highlight w:val="none"/>
                      <w:lang w:val="en-US" w:eastAsia="zh-CN"/>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w:t>
                  </w:r>
                </w:p>
              </w:tc>
              <w:tc>
                <w:tcPr>
                  <w:tcW w:w="1005" w:type="dxa"/>
                  <w:noWrap w:val="0"/>
                  <w:vAlign w:val="center"/>
                </w:tcPr>
                <w:p w14:paraId="1278A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6.675</w:t>
                  </w:r>
                </w:p>
              </w:tc>
              <w:tc>
                <w:tcPr>
                  <w:tcW w:w="923" w:type="dxa"/>
                  <w:noWrap w:val="0"/>
                  <w:vAlign w:val="center"/>
                </w:tcPr>
                <w:p w14:paraId="05BBEA5D">
                  <w:pPr>
                    <w:keepNext w:val="0"/>
                    <w:keepLines w:val="0"/>
                    <w:suppressLineNumbers w:val="0"/>
                    <w:spacing w:before="0" w:beforeAutospacing="0" w:after="0" w:afterAutospacing="0"/>
                    <w:ind w:left="0" w:leftChars="0" w:right="0" w:rightChars="0"/>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1.764</w:t>
                  </w:r>
                </w:p>
              </w:tc>
              <w:tc>
                <w:tcPr>
                  <w:tcW w:w="1002" w:type="dxa"/>
                  <w:noWrap w:val="0"/>
                  <w:vAlign w:val="center"/>
                </w:tcPr>
                <w:p w14:paraId="14FAD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6.675</w:t>
                  </w:r>
                </w:p>
              </w:tc>
              <w:tc>
                <w:tcPr>
                  <w:tcW w:w="1003" w:type="dxa"/>
                  <w:noWrap w:val="0"/>
                  <w:vAlign w:val="center"/>
                </w:tcPr>
                <w:p w14:paraId="770DE1B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eastAsia="宋体" w:cs="Times New Roman"/>
                      <w:color w:val="000000" w:themeColor="text1"/>
                      <w:kern w:val="0"/>
                      <w:sz w:val="18"/>
                      <w:szCs w:val="18"/>
                      <w:highlight w:val="none"/>
                      <w:lang w:val="en-US" w:eastAsia="zh-CN" w:bidi="ar"/>
                      <w14:textFill>
                        <w14:solidFill>
                          <w14:schemeClr w14:val="tx1"/>
                        </w14:solidFill>
                      </w14:textFill>
                    </w:rPr>
                  </w:pPr>
                  <w:r>
                    <w:rPr>
                      <w:rFonts w:hint="eastAsia" w:eastAsia="宋体" w:cs="Times New Roman"/>
                      <w:color w:val="000000" w:themeColor="text1"/>
                      <w:kern w:val="0"/>
                      <w:sz w:val="18"/>
                      <w:szCs w:val="18"/>
                      <w:highlight w:val="none"/>
                      <w:lang w:val="en-US" w:eastAsia="zh-CN" w:bidi="ar"/>
                      <w14:textFill>
                        <w14:solidFill>
                          <w14:schemeClr w14:val="tx1"/>
                        </w14:solidFill>
                      </w14:textFill>
                    </w:rPr>
                    <w:t>+</w:t>
                  </w:r>
                  <w:r>
                    <w:rPr>
                      <w:rFonts w:hint="eastAsia" w:cs="Times New Roman"/>
                      <w:color w:val="000000" w:themeColor="text1"/>
                      <w:kern w:val="0"/>
                      <w:sz w:val="18"/>
                      <w:szCs w:val="18"/>
                      <w:highlight w:val="none"/>
                      <w:lang w:val="en-US" w:eastAsia="zh-CN" w:bidi="ar"/>
                      <w14:textFill>
                        <w14:solidFill>
                          <w14:schemeClr w14:val="tx1"/>
                        </w14:solidFill>
                      </w14:textFill>
                    </w:rPr>
                    <w:t>4.911</w:t>
                  </w:r>
                </w:p>
              </w:tc>
              <w:tc>
                <w:tcPr>
                  <w:tcW w:w="1004" w:type="dxa"/>
                  <w:noWrap w:val="0"/>
                  <w:vAlign w:val="center"/>
                </w:tcPr>
                <w:p w14:paraId="2A4B2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11.423</w:t>
                  </w:r>
                </w:p>
              </w:tc>
            </w:tr>
            <w:tr w14:paraId="2D3F54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5" w:type="dxa"/>
                  <w:noWrap w:val="0"/>
                  <w:vAlign w:val="center"/>
                </w:tcPr>
                <w:p w14:paraId="4DDD535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eastAsia" w:cs="Times New Roman"/>
                      <w:color w:val="000000" w:themeColor="text1"/>
                      <w:spacing w:val="0"/>
                      <w:position w:val="0"/>
                      <w:sz w:val="18"/>
                      <w:szCs w:val="18"/>
                      <w:highlight w:val="none"/>
                      <w:lang w:val="en-US" w:eastAsia="zh-CN"/>
                      <w14:textFill>
                        <w14:solidFill>
                          <w14:schemeClr w14:val="tx1"/>
                        </w14:solidFill>
                      </w14:textFill>
                    </w:rPr>
                    <w:t>工业粉尘</w:t>
                  </w:r>
                </w:p>
              </w:tc>
              <w:tc>
                <w:tcPr>
                  <w:tcW w:w="990" w:type="dxa"/>
                  <w:noWrap w:val="0"/>
                  <w:vAlign w:val="center"/>
                </w:tcPr>
                <w:p w14:paraId="59219149">
                  <w:pPr>
                    <w:keepNext w:val="0"/>
                    <w:keepLines w:val="0"/>
                    <w:suppressLineNumbers w:val="0"/>
                    <w:spacing w:before="0" w:beforeAutospacing="0" w:after="0" w:afterAutospacing="0"/>
                    <w:ind w:left="0" w:leftChars="0" w:right="0" w:rightChars="0"/>
                    <w:jc w:val="center"/>
                    <w:rPr>
                      <w:rFonts w:hint="default"/>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0.7</w:t>
                  </w:r>
                </w:p>
              </w:tc>
              <w:tc>
                <w:tcPr>
                  <w:tcW w:w="945" w:type="dxa"/>
                  <w:noWrap w:val="0"/>
                  <w:vAlign w:val="center"/>
                </w:tcPr>
                <w:p w14:paraId="33C3F5F1">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005" w:type="dxa"/>
                  <w:noWrap w:val="0"/>
                  <w:vAlign w:val="center"/>
                </w:tcPr>
                <w:p w14:paraId="19B9A1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2.099</w:t>
                  </w:r>
                </w:p>
              </w:tc>
              <w:tc>
                <w:tcPr>
                  <w:tcW w:w="923" w:type="dxa"/>
                  <w:noWrap w:val="0"/>
                  <w:vAlign w:val="center"/>
                </w:tcPr>
                <w:p w14:paraId="466EE232">
                  <w:pPr>
                    <w:keepNext w:val="0"/>
                    <w:keepLines w:val="0"/>
                    <w:suppressLineNumbers w:val="0"/>
                    <w:spacing w:before="0" w:beforeAutospacing="0" w:after="0" w:afterAutospacing="0"/>
                    <w:ind w:left="0" w:leftChars="0" w:right="0" w:rightChars="0"/>
                    <w:jc w:val="center"/>
                    <w:rPr>
                      <w:rFonts w:hint="default"/>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0.7</w:t>
                  </w:r>
                </w:p>
              </w:tc>
              <w:tc>
                <w:tcPr>
                  <w:tcW w:w="1002" w:type="dxa"/>
                  <w:noWrap w:val="0"/>
                  <w:vAlign w:val="center"/>
                </w:tcPr>
                <w:p w14:paraId="50720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2.099</w:t>
                  </w:r>
                </w:p>
              </w:tc>
              <w:tc>
                <w:tcPr>
                  <w:tcW w:w="1003" w:type="dxa"/>
                  <w:noWrap w:val="0"/>
                  <w:vAlign w:val="center"/>
                </w:tcPr>
                <w:p w14:paraId="1B14F4B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+1.07</w:t>
                  </w:r>
                  <w:r>
                    <w:rPr>
                      <w:rFonts w:hint="eastAsia" w:cs="Times New Roman"/>
                      <w:color w:val="000000" w:themeColor="text1"/>
                      <w:kern w:val="0"/>
                      <w:sz w:val="18"/>
                      <w:szCs w:val="18"/>
                      <w:highlight w:val="none"/>
                      <w:lang w:val="en-US" w:eastAsia="zh-CN" w:bidi="ar"/>
                      <w14:textFill>
                        <w14:solidFill>
                          <w14:schemeClr w14:val="tx1"/>
                        </w14:solidFill>
                      </w14:textFill>
                    </w:rPr>
                    <w:t>8</w:t>
                  </w:r>
                </w:p>
              </w:tc>
              <w:tc>
                <w:tcPr>
                  <w:tcW w:w="1004" w:type="dxa"/>
                  <w:noWrap w:val="0"/>
                  <w:vAlign w:val="center"/>
                </w:tcPr>
                <w:p w14:paraId="3AB57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2.099</w:t>
                  </w:r>
                </w:p>
              </w:tc>
            </w:tr>
          </w:tbl>
          <w:p w14:paraId="55702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Cs w:val="21"/>
                <w:highlight w:val="none"/>
                <w:vertAlign w:val="baseline"/>
                <w:lang w:val="en-US" w:eastAsia="zh-CN"/>
                <w14:textFill>
                  <w14:solidFill>
                    <w14:schemeClr w14:val="tx1"/>
                  </w14:solidFill>
                </w14:textFill>
              </w:rPr>
            </w:pPr>
          </w:p>
        </w:tc>
      </w:tr>
    </w:tbl>
    <w:p w14:paraId="7EE31B3A">
      <w:pPr>
        <w:pStyle w:val="28"/>
        <w:spacing w:before="0" w:beforeAutospacing="0" w:after="158" w:afterLines="50" w:afterAutospacing="0"/>
        <w:jc w:val="center"/>
        <w:outlineLvl w:val="0"/>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kern w:val="2"/>
          <w:sz w:val="36"/>
          <w:szCs w:val="36"/>
          <w:highlight w:val="none"/>
          <w14:textFill>
            <w14:solidFill>
              <w14:schemeClr w14:val="tx1"/>
            </w14:solidFill>
          </w14:textFill>
        </w:rPr>
        <w:br w:type="page"/>
      </w:r>
      <w:bookmarkStart w:id="9" w:name="_Toc17537"/>
      <w:r>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t>四、主要环境影响和保护措施</w:t>
      </w:r>
      <w:bookmarkEnd w:id="9"/>
    </w:p>
    <w:tbl>
      <w:tblPr>
        <w:tblStyle w:val="3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1"/>
        <w:gridCol w:w="8270"/>
      </w:tblGrid>
      <w:tr w14:paraId="7BCED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34" w:hRule="atLeast"/>
          <w:jc w:val="center"/>
        </w:trPr>
        <w:tc>
          <w:tcPr>
            <w:tcW w:w="799" w:type="dxa"/>
            <w:noWrap w:val="0"/>
            <w:tcMar>
              <w:left w:w="28" w:type="dxa"/>
              <w:right w:w="28" w:type="dxa"/>
            </w:tcMar>
            <w:vAlign w:val="center"/>
          </w:tcPr>
          <w:p w14:paraId="222A7B23">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施工</w:t>
            </w:r>
          </w:p>
          <w:p w14:paraId="1F9AEA59">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期环</w:t>
            </w:r>
          </w:p>
          <w:p w14:paraId="51FA3928">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境保</w:t>
            </w:r>
          </w:p>
          <w:p w14:paraId="320FBD68">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护措</w:t>
            </w:r>
          </w:p>
          <w:p w14:paraId="27858F6A">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施</w:t>
            </w:r>
          </w:p>
        </w:tc>
        <w:tc>
          <w:tcPr>
            <w:tcW w:w="8254" w:type="dxa"/>
            <w:noWrap w:val="0"/>
            <w:vAlign w:val="center"/>
          </w:tcPr>
          <w:p w14:paraId="2C19A717">
            <w:pPr>
              <w:pStyle w:val="14"/>
              <w:keepNext w:val="0"/>
              <w:keepLines w:val="0"/>
              <w:widowControl/>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本项目主要施工内容为拆除</w:t>
            </w:r>
            <w:r>
              <w:rPr>
                <w:rFonts w:hint="default" w:ascii="Times New Roman" w:hAnsi="Times New Roman" w:cs="Times New Roman"/>
                <w:bCs/>
                <w:color w:val="000000" w:themeColor="text1"/>
                <w:kern w:val="0"/>
                <w:sz w:val="21"/>
                <w:szCs w:val="21"/>
                <w:highlight w:val="none"/>
                <w:lang w:val="en-US" w:eastAsia="zh-CN"/>
                <w14:textFill>
                  <w14:solidFill>
                    <w14:schemeClr w14:val="tx1"/>
                  </w14:solidFill>
                </w14:textFill>
              </w:rPr>
              <w:t>现有1台4t/h燃煤热风炉，新建一台8t/h生物质热风炉，使用生物质成型燃料</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，拆除原有一座日烘干能力200t/d烘干塔，新建一座日烘干能力400t/d烘干塔，</w:t>
            </w:r>
            <w:r>
              <w:rPr>
                <w:rFonts w:hint="default" w:ascii="Times New Roman" w:hAnsi="Times New Roman" w:cs="Times New Roman"/>
                <w:color w:val="000000" w:themeColor="text1"/>
                <w:sz w:val="21"/>
                <w:szCs w:val="24"/>
                <w:highlight w:val="none"/>
                <w:lang w:val="en-US" w:eastAsia="zh-CN"/>
                <w14:textFill>
                  <w14:solidFill>
                    <w14:schemeClr w14:val="tx1"/>
                  </w14:solidFill>
                </w14:textFill>
              </w:rPr>
              <w:t>施工期仅</w:t>
            </w:r>
            <w:r>
              <w:rPr>
                <w:rFonts w:hint="default" w:ascii="Times New Roman" w:hAnsi="Times New Roman" w:cs="Times New Roman"/>
                <w:color w:val="000000" w:themeColor="text1"/>
                <w:highlight w:val="none"/>
                <w14:textFill>
                  <w14:solidFill>
                    <w14:schemeClr w14:val="tx1"/>
                  </w14:solidFill>
                </w14:textFill>
              </w:rPr>
              <w:t>为简单室内装修、</w:t>
            </w:r>
            <w:r>
              <w:rPr>
                <w:rFonts w:hint="default" w:ascii="Times New Roman" w:hAnsi="Times New Roman" w:cs="Times New Roman"/>
                <w:color w:val="000000" w:themeColor="text1"/>
                <w:highlight w:val="none"/>
                <w:lang w:eastAsia="zh-CN"/>
                <w14:textFill>
                  <w14:solidFill>
                    <w14:schemeClr w14:val="tx1"/>
                  </w14:solidFill>
                </w14:textFill>
              </w:rPr>
              <w:t>热风炉</w:t>
            </w:r>
            <w:r>
              <w:rPr>
                <w:rFonts w:hint="default" w:ascii="Times New Roman" w:hAnsi="Times New Roman" w:cs="Times New Roman"/>
                <w:color w:val="000000" w:themeColor="text1"/>
                <w:highlight w:val="none"/>
                <w:lang w:val="en-US" w:eastAsia="zh-CN"/>
                <w14:textFill>
                  <w14:solidFill>
                    <w14:schemeClr w14:val="tx1"/>
                  </w14:solidFill>
                </w14:textFill>
              </w:rPr>
              <w:t>更换</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烘干塔更换</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施工期无大型土建工程，</w:t>
            </w:r>
            <w:r>
              <w:rPr>
                <w:rFonts w:hint="default" w:ascii="Times New Roman" w:hAnsi="Times New Roman" w:cs="Times New Roman"/>
                <w:color w:val="000000" w:themeColor="text1"/>
                <w:highlight w:val="none"/>
                <w14:textFill>
                  <w14:solidFill>
                    <w14:schemeClr w14:val="tx1"/>
                  </w14:solidFill>
                </w14:textFill>
              </w:rPr>
              <w:t>对周围环境影响较小。随着施工期的结束而消失，不会对周边环境产生明显及长远影响，</w:t>
            </w:r>
            <w:r>
              <w:rPr>
                <w:rFonts w:hint="default" w:ascii="Times New Roman" w:hAnsi="Times New Roman" w:cs="Times New Roman"/>
                <w:color w:val="000000" w:themeColor="text1"/>
                <w:highlight w:val="none"/>
                <w:lang w:val="en-US" w:eastAsia="zh-CN"/>
                <w14:textFill>
                  <w14:solidFill>
                    <w14:schemeClr w14:val="tx1"/>
                  </w14:solidFill>
                </w14:textFill>
              </w:rPr>
              <w:t>施工期环境保护措施如下：</w:t>
            </w:r>
          </w:p>
          <w:p w14:paraId="5F0D23C3">
            <w:pPr>
              <w:pStyle w:val="14"/>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一、大气污染防治措施</w:t>
            </w:r>
          </w:p>
          <w:p w14:paraId="1415F5C7">
            <w:pPr>
              <w:pStyle w:val="164"/>
              <w:keepNext w:val="0"/>
              <w:keepLines w:val="0"/>
              <w:suppressLineNumbers w:val="0"/>
              <w:spacing w:before="0" w:beforeAutospacing="0" w:after="0" w:afterAutospacing="0"/>
              <w:ind w:left="0" w:right="0" w:firstLine="480"/>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w:t>
            </w:r>
            <w:r>
              <w:rPr>
                <w:rFonts w:hint="default" w:cs="Times New Roman"/>
                <w:color w:val="000000" w:themeColor="text1"/>
                <w:sz w:val="21"/>
                <w:szCs w:val="21"/>
                <w:highlight w:val="none"/>
                <w14:textFill>
                  <w14:solidFill>
                    <w14:schemeClr w14:val="tx1"/>
                  </w14:solidFill>
                </w14:textFill>
              </w:rPr>
              <w:t>）对运载建筑材料及建筑垃圾的车辆加盖蓬布以减少洒落，车辆行驶线路应避开敏感点。施工场地出口设车辆清洗池，车辆驶出施工场地前，应将车厢外和轮胎冲洗干净，避免车辆将泥土带到道路上产生二次扬尘，冲洗水沉淀后循环使用。</w:t>
            </w:r>
          </w:p>
          <w:p w14:paraId="45E37386">
            <w:pPr>
              <w:pStyle w:val="164"/>
              <w:keepNext w:val="0"/>
              <w:keepLines w:val="0"/>
              <w:suppressLineNumbers w:val="0"/>
              <w:spacing w:before="0" w:beforeAutospacing="0" w:after="0" w:afterAutospacing="0"/>
              <w:ind w:left="0" w:right="0" w:firstLine="480"/>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cs="Times New Roman"/>
                <w:color w:val="000000" w:themeColor="text1"/>
                <w:sz w:val="21"/>
                <w:szCs w:val="21"/>
                <w:highlight w:val="none"/>
                <w14:textFill>
                  <w14:solidFill>
                    <w14:schemeClr w14:val="tx1"/>
                  </w14:solidFill>
                </w14:textFill>
              </w:rPr>
              <w:t>）在施工场地设置专人管理建筑垃圾、建筑材料的堆放、清运和处置，堆放场地应远离周围居民区，必要时加盖蓬布或洒水，防止二次扬尘污染。</w:t>
            </w:r>
          </w:p>
          <w:p w14:paraId="7F8E9A87">
            <w:pPr>
              <w:pStyle w:val="164"/>
              <w:keepNext w:val="0"/>
              <w:keepLines w:val="0"/>
              <w:suppressLineNumbers w:val="0"/>
              <w:spacing w:before="0" w:beforeAutospacing="0" w:after="0" w:afterAutospacing="0"/>
              <w:ind w:left="0" w:right="0" w:firstLine="480"/>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3</w:t>
            </w:r>
            <w:r>
              <w:rPr>
                <w:rFonts w:hint="default" w:cs="Times New Roman"/>
                <w:color w:val="000000" w:themeColor="text1"/>
                <w:sz w:val="21"/>
                <w:szCs w:val="21"/>
                <w:highlight w:val="none"/>
                <w14:textFill>
                  <w14:solidFill>
                    <w14:schemeClr w14:val="tx1"/>
                  </w14:solidFill>
                </w14:textFill>
              </w:rPr>
              <w:t>）对建筑垃圾及时处理、清运，以减少占地，防止扬尘污染，改善施工场地的环境。</w:t>
            </w:r>
          </w:p>
          <w:p w14:paraId="1D9B3815">
            <w:pPr>
              <w:pStyle w:val="164"/>
              <w:keepNext w:val="0"/>
              <w:keepLines w:val="0"/>
              <w:suppressLineNumbers w:val="0"/>
              <w:spacing w:before="0" w:beforeAutospacing="0" w:after="0" w:afterAutospacing="0"/>
              <w:ind w:left="0" w:right="0" w:firstLine="480"/>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4</w:t>
            </w:r>
            <w:r>
              <w:rPr>
                <w:rFonts w:hint="default" w:cs="Times New Roman"/>
                <w:color w:val="000000" w:themeColor="text1"/>
                <w:sz w:val="21"/>
                <w:szCs w:val="21"/>
                <w:highlight w:val="none"/>
                <w14:textFill>
                  <w14:solidFill>
                    <w14:schemeClr w14:val="tx1"/>
                  </w14:solidFill>
                </w14:textFill>
              </w:rPr>
              <w:t>）建设单位应对施工单位加强监管，在招标中明确施工期环境保护要求，要求施工单位文明施工，如施工场地硬化，及时清运建筑垃圾，土方和物料堆存应采取蓬布覆盖、表面洒水抑尘或表面夯实处理等措施抑尘。</w:t>
            </w:r>
          </w:p>
          <w:p w14:paraId="5E926310">
            <w:pPr>
              <w:pStyle w:val="17"/>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0" w:firstLineChars="200"/>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总之，只要加强管理，切实落实好这些措施，施工废气对环境的影响将会大大降低，施工场界粉尘浓度满足《大气污染物综合排放标准》（GB16297-1996）表2中颗粒物无组织排放监控浓度限值标准要求，对区域环境空气影响较小。</w:t>
            </w:r>
          </w:p>
          <w:p w14:paraId="1235F4B3">
            <w:pPr>
              <w:pStyle w:val="14"/>
              <w:keepNext w:val="0"/>
              <w:keepLines w:val="0"/>
              <w:widowControl/>
              <w:suppressLineNumbers w:val="0"/>
              <w:spacing w:before="0" w:beforeAutospacing="0" w:after="0" w:afterAutospacing="0" w:line="360" w:lineRule="auto"/>
              <w:ind w:left="0" w:right="0" w:firstLine="0" w:firstLineChars="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二、水环境污染防治措施</w:t>
            </w:r>
          </w:p>
          <w:p w14:paraId="29A77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1、施工废水</w:t>
            </w:r>
          </w:p>
          <w:p w14:paraId="22C4A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当建设施工队伍进入施工现场进行砂、石子冲洗等施工作业过程中将会有施工泥浆废水产生，</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不涉及筛分废水，为混凝土拌合废水，施工废水产生量无法估算，对同类资料进行调查，施工</w:t>
            </w:r>
            <w:r>
              <w:rPr>
                <w:rFonts w:hint="default" w:ascii="Times New Roman" w:hAnsi="Times New Roman" w:eastAsia="宋体" w:cs="Times New Roman"/>
                <w:color w:val="000000" w:themeColor="text1"/>
                <w:spacing w:val="-5"/>
                <w:highlight w:val="none"/>
                <w14:textFill>
                  <w14:solidFill>
                    <w14:schemeClr w14:val="tx1"/>
                  </w14:solidFill>
                </w14:textFill>
              </w:rPr>
              <w:t>废水中污染物</w:t>
            </w:r>
            <w:r>
              <w:rPr>
                <w:rFonts w:hint="default" w:ascii="Times New Roman" w:hAnsi="Times New Roman" w:eastAsia="宋体" w:cs="Times New Roman"/>
                <w:color w:val="000000" w:themeColor="text1"/>
                <w:spacing w:val="3"/>
                <w:highlight w:val="none"/>
                <w14:textFill>
                  <w14:solidFill>
                    <w14:schemeClr w14:val="tx1"/>
                  </w14:solidFill>
                </w14:textFill>
              </w:rPr>
              <w:t>浓度</w:t>
            </w:r>
            <w:r>
              <w:rPr>
                <w:rFonts w:hint="default" w:ascii="Times New Roman" w:hAnsi="Times New Roman" w:eastAsia="宋体" w:cs="Times New Roman"/>
                <w:color w:val="000000" w:themeColor="text1"/>
                <w:spacing w:val="3"/>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SS</w:t>
            </w:r>
            <w:r>
              <w:rPr>
                <w:rFonts w:hint="default" w:ascii="Times New Roman" w:hAnsi="Times New Roman" w:eastAsia="宋体" w:cs="Times New Roman"/>
                <w:color w:val="000000" w:themeColor="text1"/>
                <w:spacing w:val="3"/>
                <w:highlight w:val="none"/>
                <w14:textFill>
                  <w14:solidFill>
                    <w14:schemeClr w14:val="tx1"/>
                  </w14:solidFill>
                </w14:textFill>
              </w:rPr>
              <w:t>100</w:t>
            </w:r>
            <w:r>
              <w:rPr>
                <w:rFonts w:hint="default" w:ascii="Times New Roman" w:hAnsi="Times New Roman" w:eastAsia="宋体" w:cs="Times New Roman"/>
                <w:color w:val="000000" w:themeColor="text1"/>
                <w:highlight w:val="none"/>
                <w14:textFill>
                  <w14:solidFill>
                    <w14:schemeClr w14:val="tx1"/>
                  </w14:solidFill>
                </w14:textFill>
              </w:rPr>
              <w:t>mg</w:t>
            </w:r>
            <w:r>
              <w:rPr>
                <w:rFonts w:hint="default" w:ascii="Times New Roman" w:hAnsi="Times New Roman" w:eastAsia="宋体" w:cs="Times New Roman"/>
                <w:color w:val="000000" w:themeColor="text1"/>
                <w:spacing w:val="3"/>
                <w:highlight w:val="none"/>
                <w14:textFill>
                  <w14:solidFill>
                    <w14:schemeClr w14:val="tx1"/>
                  </w14:solidFill>
                </w14:textFill>
              </w:rPr>
              <w:t>/L、石油类20</w:t>
            </w:r>
            <w:r>
              <w:rPr>
                <w:rFonts w:hint="default" w:ascii="Times New Roman" w:hAnsi="Times New Roman" w:eastAsia="宋体" w:cs="Times New Roman"/>
                <w:color w:val="000000" w:themeColor="text1"/>
                <w:highlight w:val="none"/>
                <w14:textFill>
                  <w14:solidFill>
                    <w14:schemeClr w14:val="tx1"/>
                  </w14:solidFill>
                </w14:textFill>
              </w:rPr>
              <w:t>mg</w:t>
            </w:r>
            <w:r>
              <w:rPr>
                <w:rFonts w:hint="default" w:ascii="Times New Roman" w:hAnsi="Times New Roman" w:eastAsia="宋体" w:cs="Times New Roman"/>
                <w:color w:val="000000" w:themeColor="text1"/>
                <w:spacing w:val="3"/>
                <w:highlight w:val="none"/>
                <w14:textFill>
                  <w14:solidFill>
                    <w14:schemeClr w14:val="tx1"/>
                  </w14:solidFill>
                </w14:textFill>
              </w:rPr>
              <w:t>/L，</w:t>
            </w:r>
            <w:r>
              <w:rPr>
                <w:rFonts w:hint="default" w:cs="Times New Roman"/>
                <w:color w:val="000000" w:themeColor="text1"/>
                <w:sz w:val="21"/>
                <w:szCs w:val="21"/>
                <w:highlight w:val="none"/>
                <w14:textFill>
                  <w14:solidFill>
                    <w14:schemeClr w14:val="tx1"/>
                  </w14:solidFill>
                </w14:textFill>
              </w:rPr>
              <w:t>施工废水经沉淀后用于场地洒水降尘</w:t>
            </w:r>
            <w:r>
              <w:rPr>
                <w:rFonts w:hint="default" w:ascii="Times New Roman" w:hAnsi="Times New Roman" w:eastAsia="宋体" w:cs="Times New Roman"/>
                <w:color w:val="000000" w:themeColor="text1"/>
                <w:highlight w:val="none"/>
                <w14:textFill>
                  <w14:solidFill>
                    <w14:schemeClr w14:val="tx1"/>
                  </w14:solidFill>
                </w14:textFill>
              </w:rPr>
              <w:t>。</w:t>
            </w:r>
          </w:p>
          <w:p w14:paraId="3F7F00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2、生活污水</w:t>
            </w:r>
          </w:p>
          <w:p w14:paraId="2C4AF2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施工人员生活污水</w:t>
            </w:r>
            <w:r>
              <w:rPr>
                <w:rFonts w:hint="default" w:ascii="Times New Roman" w:hAnsi="Times New Roman" w:eastAsia="宋体" w:cs="Times New Roman"/>
                <w:color w:val="000000" w:themeColor="text1"/>
                <w:highlight w:val="none"/>
                <w:lang w:val="en-US" w:eastAsia="zh-CN"/>
                <w14:textFill>
                  <w14:solidFill>
                    <w14:schemeClr w14:val="tx1"/>
                  </w14:solidFill>
                </w14:textFill>
              </w:rPr>
              <w:t>排入防渗旱厕，定期清掏，外运堆肥，不外排</w:t>
            </w:r>
            <w:r>
              <w:rPr>
                <w:rFonts w:hint="default" w:ascii="Times New Roman" w:hAnsi="Times New Roman" w:eastAsia="宋体" w:cs="Times New Roman"/>
                <w:color w:val="000000" w:themeColor="text1"/>
                <w:szCs w:val="21"/>
                <w:highlight w:val="none"/>
                <w14:textFill>
                  <w14:solidFill>
                    <w14:schemeClr w14:val="tx1"/>
                  </w14:solidFill>
                </w14:textFill>
              </w:rPr>
              <w:t>。</w:t>
            </w:r>
          </w:p>
          <w:p w14:paraId="692D92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在认真落实上述措施的基础上，施工废水对施工现场周围的环境影响较小，伴随施工期的结束也将结束。</w:t>
            </w:r>
          </w:p>
          <w:p w14:paraId="2421C23E">
            <w:pPr>
              <w:pStyle w:val="14"/>
              <w:keepNext w:val="0"/>
              <w:keepLines w:val="0"/>
              <w:widowControl/>
              <w:suppressLineNumbers w:val="0"/>
              <w:spacing w:before="0" w:beforeAutospacing="0" w:after="0" w:afterAutospacing="0" w:line="360" w:lineRule="auto"/>
              <w:ind w:left="0" w:right="0" w:firstLine="0" w:firstLineChars="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三、声环境防治措施</w:t>
            </w:r>
          </w:p>
          <w:p w14:paraId="112C2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施工期噪声主要为挖掘机、推土机、轮式机、起重机、冲击式钻机、搅拌机等施工机械及车辆运行造成的。</w:t>
            </w:r>
          </w:p>
          <w:p w14:paraId="026AA4B6">
            <w:pPr>
              <w:pStyle w:val="9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治理措施：①加强施工管理，合理安排施工作业时间，严格按照施工噪声管理的有关规定执行。施工现场施工单位必须执行《建筑施工场界环境噪声排放标准》（GB12523-2011）中的各项规定。将打桩等高噪声作业尽量安排在白天进行，杜绝夜间（22：00-7：00）施工噪声扰民。</w:t>
            </w:r>
          </w:p>
          <w:p w14:paraId="3AD82C97">
            <w:pPr>
              <w:pStyle w:val="9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②尽量采用低噪声的施工工具，如以液压工具代替气压工具，同时尽可能采用施工噪声低的施工方法如在项目施工过程中合理调配施工设备，将噪声较大的设备、项目主入口设置于远离环境敏感点的位置。</w:t>
            </w:r>
          </w:p>
          <w:p w14:paraId="2700EFF4">
            <w:pPr>
              <w:pStyle w:val="9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③合理进行施工总平面布置，高噪设备进行隔声、减振，施工现场设置隔挡，在特殊点施工时安装隔声屏障。</w:t>
            </w:r>
          </w:p>
          <w:p w14:paraId="7BE0C70B">
            <w:pPr>
              <w:pStyle w:val="9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④定期对机械、设备进行维护、检修。</w:t>
            </w:r>
          </w:p>
          <w:p w14:paraId="18200505">
            <w:pPr>
              <w:pStyle w:val="9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⑤加强对运输车辆的管理，施工过程中各种运输车辆的运行，还将会引起公路沿线噪声级的增加。因此，应加强对运输车辆的管理，制订合理运输路线，采取控制车速和禁鸣笛等措施，减少运输噪声污染。</w:t>
            </w:r>
          </w:p>
          <w:p w14:paraId="4BDAF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各施工阶段的设备产生的噪声具有阶段性、临时性和不固定性，不同的施工阶段有不同的噪声源。通过采取上述措施，施工期噪声对周边环境影响较小，基本不会产生扰民现象，并会随着施工期结束而消失。采取以上措施后，施工场界声环境可满足《建筑施工场界环境噪声排放标准》（GB12523-2011）中规定的标准。</w:t>
            </w:r>
          </w:p>
          <w:p w14:paraId="330DEC7B">
            <w:pPr>
              <w:keepNext w:val="0"/>
              <w:keepLines w:val="0"/>
              <w:widowControl/>
              <w:suppressLineNumbers w:val="0"/>
              <w:spacing w:before="0" w:beforeAutospacing="0" w:after="0" w:afterAutospacing="0" w:line="360" w:lineRule="auto"/>
              <w:ind w:left="0" w:right="0" w:firstLine="0" w:firstLineChars="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四、固体废物影响分析</w:t>
            </w:r>
          </w:p>
          <w:p w14:paraId="2071DACB">
            <w:pPr>
              <w:keepNext w:val="0"/>
              <w:keepLines w:val="0"/>
              <w:widowControl/>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施工期产生的固体废物主要包括建筑废弃材料和施工人员生活垃圾</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3E55187">
            <w:pPr>
              <w:keepNext w:val="0"/>
              <w:keepLines w:val="0"/>
              <w:widowControl/>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对施工产生的废料首先应考虑废料的回收利用，如钢筋、钢板、木材等下角料可分类回收，由废物收购站处理；建筑垃圾，如混凝土废料、含砖、石、砂的杂土应集中堆放，定时清运，送建筑废渣专用堆放场，以免影响施工和环境卫生。施工人员生活垃圾设置专门的储存设施，集中收集后交由市政部门处理。</w:t>
            </w:r>
          </w:p>
          <w:p w14:paraId="2A586C76">
            <w:pPr>
              <w:keepNext w:val="0"/>
              <w:keepLines w:val="0"/>
              <w:widowControl/>
              <w:suppressLineNumbers w:val="0"/>
              <w:adjustRightInd/>
              <w:snapToGrid/>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施工期固体废物处置率100%。</w:t>
            </w:r>
          </w:p>
          <w:p w14:paraId="24EC3AF1">
            <w:pPr>
              <w:keepNext w:val="0"/>
              <w:keepLines w:val="0"/>
              <w:widowControl/>
              <w:suppressLineNumbers w:val="0"/>
              <w:adjustRightInd/>
              <w:snapToGrid/>
              <w:spacing w:before="0" w:beforeAutospacing="0" w:after="0" w:afterAutospacing="0" w:line="360" w:lineRule="auto"/>
              <w:ind w:left="0" w:right="0"/>
              <w:rPr>
                <w:rFonts w:hint="default" w:ascii="Times New Roman" w:hAnsi="Times New Roman" w:eastAsia="宋体" w:cs="Times New Roman"/>
                <w:b/>
                <w:bCs/>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highlight w:val="none"/>
                <w:lang w:val="en-US" w:eastAsia="zh-CN"/>
                <w14:textFill>
                  <w14:solidFill>
                    <w14:schemeClr w14:val="tx1"/>
                  </w14:solidFill>
                </w14:textFill>
              </w:rPr>
              <w:t>五、环境保护目标影响分析</w:t>
            </w:r>
          </w:p>
          <w:p w14:paraId="1CBECC8D">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施工期的环境影响是短暂的，只要建设施工单位加强全员职工的环境保护意识，并从施工设备的技术和管理两个方面做到文明施工、清洁施工，</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对上述各污染物分别采取上述相应环保措施，</w:t>
            </w:r>
            <w:r>
              <w:rPr>
                <w:rFonts w:hint="default" w:ascii="Times New Roman" w:hAnsi="Times New Roman" w:eastAsia="宋体" w:cs="Times New Roman"/>
                <w:color w:val="000000" w:themeColor="text1"/>
                <w:sz w:val="21"/>
                <w:highlight w:val="none"/>
                <w14:textFill>
                  <w14:solidFill>
                    <w14:schemeClr w14:val="tx1"/>
                  </w14:solidFill>
                </w14:textFill>
              </w:rPr>
              <w:t>那么本项目在建设施工期对周围环境</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保护目标</w:t>
            </w:r>
            <w:r>
              <w:rPr>
                <w:rFonts w:hint="default" w:ascii="Times New Roman" w:hAnsi="Times New Roman" w:eastAsia="宋体" w:cs="Times New Roman"/>
                <w:color w:val="000000" w:themeColor="text1"/>
                <w:sz w:val="21"/>
                <w:highlight w:val="none"/>
                <w14:textFill>
                  <w14:solidFill>
                    <w14:schemeClr w14:val="tx1"/>
                  </w14:solidFill>
                </w14:textFill>
              </w:rPr>
              <w:t>所产生的污染影响可控制在国家有关规定的允许范围内。当本项目建设施工结束后，上述对环境的污染影响可得到消除</w:t>
            </w:r>
            <w:r>
              <w:rPr>
                <w:rFonts w:hint="default" w:ascii="Times New Roman" w:hAnsi="Times New Roman" w:eastAsia="宋体" w:cs="Times New Roman"/>
                <w:color w:val="000000" w:themeColor="text1"/>
                <w:sz w:val="21"/>
                <w:highlight w:val="none"/>
                <w:lang w:eastAsia="zh-CN"/>
                <w14:textFill>
                  <w14:solidFill>
                    <w14:schemeClr w14:val="tx1"/>
                  </w14:solidFill>
                </w14:textFill>
              </w:rPr>
              <w:t>。</w:t>
            </w:r>
          </w:p>
        </w:tc>
      </w:tr>
      <w:tr w14:paraId="2AF628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11" w:hRule="atLeast"/>
          <w:jc w:val="center"/>
        </w:trPr>
        <w:tc>
          <w:tcPr>
            <w:tcW w:w="799" w:type="dxa"/>
            <w:noWrap w:val="0"/>
            <w:tcMar>
              <w:left w:w="28" w:type="dxa"/>
              <w:right w:w="28" w:type="dxa"/>
            </w:tcMar>
            <w:vAlign w:val="center"/>
          </w:tcPr>
          <w:p w14:paraId="1A4222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运营</w:t>
            </w:r>
          </w:p>
          <w:p w14:paraId="21E7EC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期环</w:t>
            </w:r>
          </w:p>
          <w:p w14:paraId="488A09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境影</w:t>
            </w:r>
          </w:p>
          <w:p w14:paraId="78E6B0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响和</w:t>
            </w:r>
          </w:p>
          <w:p w14:paraId="13C55E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保护</w:t>
            </w:r>
          </w:p>
          <w:p w14:paraId="40B930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措施</w:t>
            </w:r>
          </w:p>
        </w:tc>
        <w:tc>
          <w:tcPr>
            <w:tcW w:w="8254" w:type="dxa"/>
            <w:noWrap w:val="0"/>
            <w:vAlign w:val="top"/>
          </w:tcPr>
          <w:p w14:paraId="0C62ED33">
            <w:pPr>
              <w:keepNext w:val="0"/>
              <w:keepLines w:val="0"/>
              <w:suppressLineNumbers w:val="0"/>
              <w:spacing w:before="0" w:beforeAutospacing="0" w:after="0" w:afterAutospacing="0" w:line="360" w:lineRule="auto"/>
              <w:ind w:left="0" w:right="0" w:firstLine="422" w:firstLineChars="200"/>
              <w:rPr>
                <w:rFonts w:hint="default" w:ascii="Times New Roman" w:hAnsi="Times New Roman" w:eastAsia="宋体" w:cs="Times New Roman"/>
                <w:b/>
                <w:bCs/>
                <w:color w:val="000000" w:themeColor="text1"/>
                <w:kern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1"/>
                <w:szCs w:val="21"/>
                <w:highlight w:val="none"/>
                <w14:textFill>
                  <w14:solidFill>
                    <w14:schemeClr w14:val="tx1"/>
                  </w14:solidFill>
                </w14:textFill>
              </w:rPr>
              <w:t>1、废气</w:t>
            </w:r>
          </w:p>
          <w:p w14:paraId="15A30E78">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Cs w:val="21"/>
                <w:highlight w:val="none"/>
                <w14:textFill>
                  <w14:solidFill>
                    <w14:schemeClr w14:val="tx1"/>
                  </w14:solidFill>
                </w14:textFill>
              </w:rPr>
              <w:t>）项目废气污染源</w:t>
            </w:r>
          </w:p>
          <w:p w14:paraId="5FD105F2">
            <w:pPr>
              <w:pStyle w:val="14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表4-</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1"/>
                <w:szCs w:val="21"/>
                <w:highlight w:val="none"/>
                <w14:textFill>
                  <w14:solidFill>
                    <w14:schemeClr w14:val="tx1"/>
                  </w14:solidFill>
                </w14:textFill>
              </w:rPr>
              <w:t>废气污染源源强核算结果及相关参数一览表</w:t>
            </w:r>
          </w:p>
          <w:tbl>
            <w:tblPr>
              <w:tblStyle w:val="3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2"/>
              <w:gridCol w:w="306"/>
              <w:gridCol w:w="343"/>
              <w:gridCol w:w="306"/>
              <w:gridCol w:w="535"/>
              <w:gridCol w:w="661"/>
              <w:gridCol w:w="675"/>
              <w:gridCol w:w="650"/>
              <w:gridCol w:w="1070"/>
              <w:gridCol w:w="299"/>
              <w:gridCol w:w="358"/>
              <w:gridCol w:w="498"/>
              <w:gridCol w:w="675"/>
              <w:gridCol w:w="729"/>
              <w:gridCol w:w="631"/>
              <w:gridCol w:w="26"/>
            </w:tblGrid>
            <w:tr w14:paraId="743D77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 w:type="pct"/>
                <w:trHeight w:val="340" w:hRule="atLeast"/>
                <w:jc w:val="center"/>
              </w:trPr>
              <w:tc>
                <w:tcPr>
                  <w:tcW w:w="371" w:type="pct"/>
                  <w:gridSpan w:val="2"/>
                  <w:vMerge w:val="restart"/>
                  <w:noWrap w:val="0"/>
                  <w:vAlign w:val="center"/>
                </w:tcPr>
                <w:p w14:paraId="3A761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排放源</w:t>
                  </w:r>
                </w:p>
              </w:tc>
              <w:tc>
                <w:tcPr>
                  <w:tcW w:w="212" w:type="pct"/>
                  <w:vMerge w:val="restart"/>
                  <w:noWrap w:val="0"/>
                  <w:vAlign w:val="center"/>
                </w:tcPr>
                <w:p w14:paraId="69674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污染物</w:t>
                  </w:r>
                </w:p>
              </w:tc>
              <w:tc>
                <w:tcPr>
                  <w:tcW w:w="1755" w:type="pct"/>
                  <w:gridSpan w:val="5"/>
                  <w:noWrap w:val="0"/>
                  <w:vAlign w:val="center"/>
                </w:tcPr>
                <w:p w14:paraId="349A3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污染物产生</w:t>
                  </w:r>
                </w:p>
              </w:tc>
              <w:tc>
                <w:tcPr>
                  <w:tcW w:w="849" w:type="pct"/>
                  <w:gridSpan w:val="2"/>
                  <w:noWrap w:val="0"/>
                  <w:vAlign w:val="center"/>
                </w:tcPr>
                <w:p w14:paraId="6F57E7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治理措施</w:t>
                  </w:r>
                </w:p>
              </w:tc>
              <w:tc>
                <w:tcPr>
                  <w:tcW w:w="1794" w:type="pct"/>
                  <w:gridSpan w:val="5"/>
                  <w:noWrap w:val="0"/>
                  <w:vAlign w:val="center"/>
                </w:tcPr>
                <w:p w14:paraId="2178B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污染物排放</w:t>
                  </w:r>
                </w:p>
              </w:tc>
            </w:tr>
            <w:tr w14:paraId="53BC44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gridSpan w:val="2"/>
                  <w:vMerge w:val="continue"/>
                  <w:noWrap w:val="0"/>
                  <w:vAlign w:val="center"/>
                </w:tcPr>
                <w:p w14:paraId="2AE7D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212" w:type="pct"/>
                  <w:vMerge w:val="continue"/>
                  <w:noWrap w:val="0"/>
                  <w:vAlign w:val="center"/>
                </w:tcPr>
                <w:p w14:paraId="658D5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89" w:type="pct"/>
                  <w:noWrap w:val="0"/>
                  <w:vAlign w:val="center"/>
                </w:tcPr>
                <w:p w14:paraId="5F63FB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核算方法</w:t>
                  </w:r>
                </w:p>
              </w:tc>
              <w:tc>
                <w:tcPr>
                  <w:tcW w:w="332" w:type="pct"/>
                  <w:noWrap w:val="0"/>
                  <w:vAlign w:val="center"/>
                </w:tcPr>
                <w:p w14:paraId="75D4A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废气量m</w:t>
                  </w:r>
                  <w:r>
                    <w:rPr>
                      <w:rFonts w:hint="default" w:ascii="Times New Roman" w:hAnsi="Times New Roman" w:eastAsia="宋体" w:cs="Times New Roman"/>
                      <w:color w:val="000000" w:themeColor="text1"/>
                      <w:spacing w:val="0"/>
                      <w:kern w:val="0"/>
                      <w:position w:val="0"/>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/h</w:t>
                  </w:r>
                </w:p>
              </w:tc>
              <w:tc>
                <w:tcPr>
                  <w:tcW w:w="410" w:type="pct"/>
                  <w:noWrap w:val="0"/>
                  <w:vAlign w:val="center"/>
                </w:tcPr>
                <w:p w14:paraId="41821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产生</w:t>
                  </w:r>
                </w:p>
                <w:p w14:paraId="36FE2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浓度mg/m</w:t>
                  </w:r>
                  <w:r>
                    <w:rPr>
                      <w:rFonts w:hint="default" w:ascii="Times New Roman" w:hAnsi="Times New Roman" w:eastAsia="宋体" w:cs="Times New Roman"/>
                      <w:color w:val="000000" w:themeColor="text1"/>
                      <w:spacing w:val="0"/>
                      <w:kern w:val="0"/>
                      <w:position w:val="0"/>
                      <w:sz w:val="18"/>
                      <w:szCs w:val="18"/>
                      <w:highlight w:val="none"/>
                      <w:vertAlign w:val="superscript"/>
                      <w14:textFill>
                        <w14:solidFill>
                          <w14:schemeClr w14:val="tx1"/>
                        </w14:solidFill>
                      </w14:textFill>
                    </w:rPr>
                    <w:t>3</w:t>
                  </w:r>
                </w:p>
              </w:tc>
              <w:tc>
                <w:tcPr>
                  <w:tcW w:w="419" w:type="pct"/>
                  <w:noWrap w:val="0"/>
                  <w:vAlign w:val="center"/>
                </w:tcPr>
                <w:p w14:paraId="40C1A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产生速率kg/h</w:t>
                  </w:r>
                </w:p>
              </w:tc>
              <w:tc>
                <w:tcPr>
                  <w:tcW w:w="403" w:type="pct"/>
                  <w:noWrap w:val="0"/>
                  <w:vAlign w:val="center"/>
                </w:tcPr>
                <w:p w14:paraId="45B520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产生量</w:t>
                  </w:r>
                </w:p>
                <w:p w14:paraId="39F4EF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t/a</w:t>
                  </w:r>
                </w:p>
              </w:tc>
              <w:tc>
                <w:tcPr>
                  <w:tcW w:w="664" w:type="pct"/>
                  <w:noWrap w:val="0"/>
                  <w:vAlign w:val="center"/>
                </w:tcPr>
                <w:p w14:paraId="23848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工艺</w:t>
                  </w:r>
                </w:p>
              </w:tc>
              <w:tc>
                <w:tcPr>
                  <w:tcW w:w="185" w:type="pct"/>
                  <w:noWrap w:val="0"/>
                  <w:vAlign w:val="center"/>
                </w:tcPr>
                <w:p w14:paraId="5B716A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效率%</w:t>
                  </w:r>
                </w:p>
              </w:tc>
              <w:tc>
                <w:tcPr>
                  <w:tcW w:w="222" w:type="pct"/>
                  <w:noWrap w:val="0"/>
                  <w:vAlign w:val="center"/>
                </w:tcPr>
                <w:p w14:paraId="3433E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核算方法</w:t>
                  </w:r>
                </w:p>
              </w:tc>
              <w:tc>
                <w:tcPr>
                  <w:tcW w:w="309" w:type="pct"/>
                  <w:noWrap w:val="0"/>
                  <w:vAlign w:val="center"/>
                </w:tcPr>
                <w:p w14:paraId="60A63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废气量m</w:t>
                  </w:r>
                  <w:r>
                    <w:rPr>
                      <w:rFonts w:hint="default" w:ascii="Times New Roman" w:hAnsi="Times New Roman" w:eastAsia="宋体" w:cs="Times New Roman"/>
                      <w:color w:val="000000" w:themeColor="text1"/>
                      <w:spacing w:val="0"/>
                      <w:kern w:val="0"/>
                      <w:position w:val="0"/>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/h</w:t>
                  </w:r>
                </w:p>
              </w:tc>
              <w:tc>
                <w:tcPr>
                  <w:tcW w:w="419" w:type="pct"/>
                  <w:noWrap w:val="0"/>
                  <w:vAlign w:val="center"/>
                </w:tcPr>
                <w:p w14:paraId="7207D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排放</w:t>
                  </w:r>
                </w:p>
                <w:p w14:paraId="3234E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浓度mg/m</w:t>
                  </w:r>
                  <w:r>
                    <w:rPr>
                      <w:rFonts w:hint="default" w:ascii="Times New Roman" w:hAnsi="Times New Roman" w:eastAsia="宋体" w:cs="Times New Roman"/>
                      <w:color w:val="000000" w:themeColor="text1"/>
                      <w:spacing w:val="0"/>
                      <w:kern w:val="0"/>
                      <w:position w:val="0"/>
                      <w:sz w:val="18"/>
                      <w:szCs w:val="18"/>
                      <w:highlight w:val="none"/>
                      <w:vertAlign w:val="superscript"/>
                      <w14:textFill>
                        <w14:solidFill>
                          <w14:schemeClr w14:val="tx1"/>
                        </w14:solidFill>
                      </w14:textFill>
                    </w:rPr>
                    <w:t>3</w:t>
                  </w:r>
                </w:p>
              </w:tc>
              <w:tc>
                <w:tcPr>
                  <w:tcW w:w="452" w:type="pct"/>
                  <w:noWrap w:val="0"/>
                  <w:vAlign w:val="center"/>
                </w:tcPr>
                <w:p w14:paraId="1A418F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产生速率kg/h</w:t>
                  </w:r>
                </w:p>
              </w:tc>
              <w:tc>
                <w:tcPr>
                  <w:tcW w:w="407" w:type="pct"/>
                  <w:gridSpan w:val="2"/>
                  <w:noWrap w:val="0"/>
                  <w:vAlign w:val="center"/>
                </w:tcPr>
                <w:p w14:paraId="13E69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排放量</w:t>
                  </w:r>
                </w:p>
                <w:p w14:paraId="4CBAFD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t/a</w:t>
                  </w:r>
                </w:p>
              </w:tc>
            </w:tr>
            <w:tr w14:paraId="65988D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restart"/>
                  <w:noWrap w:val="0"/>
                  <w:vAlign w:val="center"/>
                </w:tcPr>
                <w:p w14:paraId="1AB9A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有组织排放</w:t>
                  </w:r>
                </w:p>
              </w:tc>
              <w:tc>
                <w:tcPr>
                  <w:tcW w:w="189" w:type="pct"/>
                  <w:vMerge w:val="restart"/>
                  <w:noWrap w:val="0"/>
                  <w:vAlign w:val="center"/>
                </w:tcPr>
                <w:p w14:paraId="7EAA0D8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热风炉</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烟囱</w:t>
                  </w:r>
                </w:p>
              </w:tc>
              <w:tc>
                <w:tcPr>
                  <w:tcW w:w="212" w:type="pct"/>
                  <w:noWrap w:val="0"/>
                  <w:vAlign w:val="center"/>
                </w:tcPr>
                <w:p w14:paraId="768DB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颗粒物</w:t>
                  </w:r>
                </w:p>
              </w:tc>
              <w:tc>
                <w:tcPr>
                  <w:tcW w:w="189" w:type="pct"/>
                  <w:vMerge w:val="restart"/>
                  <w:noWrap w:val="0"/>
                  <w:vAlign w:val="center"/>
                </w:tcPr>
                <w:p w14:paraId="43753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物料衡算</w:t>
                  </w: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法</w:t>
                  </w:r>
                </w:p>
              </w:tc>
              <w:tc>
                <w:tcPr>
                  <w:tcW w:w="332" w:type="pct"/>
                  <w:vMerge w:val="restart"/>
                  <w:noWrap w:val="0"/>
                  <w:vAlign w:val="center"/>
                </w:tcPr>
                <w:p w14:paraId="3A513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9270</w:t>
                  </w:r>
                </w:p>
              </w:tc>
              <w:tc>
                <w:tcPr>
                  <w:tcW w:w="410" w:type="pct"/>
                  <w:noWrap w:val="0"/>
                  <w:vAlign w:val="center"/>
                </w:tcPr>
                <w:p w14:paraId="43BD0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2846</w:t>
                  </w:r>
                </w:p>
              </w:tc>
              <w:tc>
                <w:tcPr>
                  <w:tcW w:w="419" w:type="pct"/>
                  <w:noWrap w:val="0"/>
                  <w:vAlign w:val="center"/>
                </w:tcPr>
                <w:p w14:paraId="126C1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26.4</w:t>
                  </w:r>
                </w:p>
              </w:tc>
              <w:tc>
                <w:tcPr>
                  <w:tcW w:w="403" w:type="pct"/>
                  <w:noWrap w:val="0"/>
                  <w:vAlign w:val="center"/>
                </w:tcPr>
                <w:p w14:paraId="2C41A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95.0</w:t>
                  </w:r>
                </w:p>
              </w:tc>
              <w:tc>
                <w:tcPr>
                  <w:tcW w:w="664" w:type="pct"/>
                  <w:noWrap w:val="0"/>
                  <w:vAlign w:val="center"/>
                </w:tcPr>
                <w:p w14:paraId="12606B7A">
                  <w:pPr>
                    <w:pStyle w:val="4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布袋除尘器+25米高烟囱</w:t>
                  </w:r>
                </w:p>
              </w:tc>
              <w:tc>
                <w:tcPr>
                  <w:tcW w:w="185" w:type="pct"/>
                  <w:noWrap w:val="0"/>
                  <w:vAlign w:val="center"/>
                </w:tcPr>
                <w:p w14:paraId="4CE91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99</w:t>
                  </w:r>
                </w:p>
              </w:tc>
              <w:tc>
                <w:tcPr>
                  <w:tcW w:w="222" w:type="pct"/>
                  <w:vMerge w:val="restart"/>
                  <w:noWrap w:val="0"/>
                  <w:vAlign w:val="center"/>
                </w:tcPr>
                <w:p w14:paraId="22F56B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物料衡算法</w:t>
                  </w:r>
                </w:p>
              </w:tc>
              <w:tc>
                <w:tcPr>
                  <w:tcW w:w="309" w:type="pct"/>
                  <w:vMerge w:val="restart"/>
                  <w:noWrap w:val="0"/>
                  <w:vAlign w:val="center"/>
                </w:tcPr>
                <w:p w14:paraId="3DD35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9270</w:t>
                  </w:r>
                </w:p>
              </w:tc>
              <w:tc>
                <w:tcPr>
                  <w:tcW w:w="419" w:type="pct"/>
                  <w:noWrap w:val="0"/>
                  <w:vAlign w:val="center"/>
                </w:tcPr>
                <w:p w14:paraId="4C620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28.46</w:t>
                  </w:r>
                </w:p>
              </w:tc>
              <w:tc>
                <w:tcPr>
                  <w:tcW w:w="452" w:type="pct"/>
                  <w:noWrap w:val="0"/>
                  <w:vAlign w:val="center"/>
                </w:tcPr>
                <w:p w14:paraId="6EC2A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18"/>
                      <w:szCs w:val="18"/>
                      <w:highlight w:val="none"/>
                      <w:lang w:val="en-US" w:eastAsia="zh-CN"/>
                      <w14:textFill>
                        <w14:solidFill>
                          <w14:schemeClr w14:val="tx1"/>
                        </w14:solidFill>
                      </w14:textFill>
                    </w:rPr>
                    <w:t>0.264</w:t>
                  </w:r>
                </w:p>
              </w:tc>
              <w:tc>
                <w:tcPr>
                  <w:tcW w:w="407" w:type="pct"/>
                  <w:gridSpan w:val="2"/>
                  <w:noWrap w:val="0"/>
                  <w:vAlign w:val="center"/>
                </w:tcPr>
                <w:p w14:paraId="2ECEC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0.950</w:t>
                  </w:r>
                </w:p>
              </w:tc>
            </w:tr>
            <w:tr w14:paraId="254126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continue"/>
                  <w:noWrap w:val="0"/>
                  <w:vAlign w:val="center"/>
                </w:tcPr>
                <w:p w14:paraId="44B40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89" w:type="pct"/>
                  <w:vMerge w:val="continue"/>
                  <w:noWrap w:val="0"/>
                  <w:vAlign w:val="center"/>
                </w:tcPr>
                <w:p w14:paraId="7789DF5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212" w:type="pct"/>
                  <w:noWrap w:val="0"/>
                  <w:vAlign w:val="center"/>
                </w:tcPr>
                <w:p w14:paraId="5843F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SO</w:t>
                  </w:r>
                  <w:r>
                    <w:rPr>
                      <w:rFonts w:hint="default" w:ascii="Times New Roman" w:hAnsi="Times New Roman" w:eastAsia="宋体" w:cs="Times New Roman"/>
                      <w:color w:val="000000" w:themeColor="text1"/>
                      <w:spacing w:val="0"/>
                      <w:position w:val="0"/>
                      <w:sz w:val="18"/>
                      <w:szCs w:val="18"/>
                      <w:highlight w:val="none"/>
                      <w:vertAlign w:val="subscript"/>
                      <w14:textFill>
                        <w14:solidFill>
                          <w14:schemeClr w14:val="tx1"/>
                        </w14:solidFill>
                      </w14:textFill>
                    </w:rPr>
                    <w:t>2</w:t>
                  </w:r>
                </w:p>
              </w:tc>
              <w:tc>
                <w:tcPr>
                  <w:tcW w:w="189" w:type="pct"/>
                  <w:vMerge w:val="continue"/>
                  <w:noWrap w:val="0"/>
                  <w:vAlign w:val="center"/>
                </w:tcPr>
                <w:p w14:paraId="67C44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p>
              </w:tc>
              <w:tc>
                <w:tcPr>
                  <w:tcW w:w="332" w:type="pct"/>
                  <w:vMerge w:val="continue"/>
                  <w:noWrap w:val="0"/>
                  <w:vAlign w:val="center"/>
                </w:tcPr>
                <w:p w14:paraId="64FCE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p>
              </w:tc>
              <w:tc>
                <w:tcPr>
                  <w:tcW w:w="410" w:type="pct"/>
                  <w:noWrap w:val="0"/>
                  <w:vAlign w:val="center"/>
                </w:tcPr>
                <w:p w14:paraId="286B21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t>56.71</w:t>
                  </w:r>
                </w:p>
              </w:tc>
              <w:tc>
                <w:tcPr>
                  <w:tcW w:w="419" w:type="pct"/>
                  <w:noWrap w:val="0"/>
                  <w:vAlign w:val="center"/>
                </w:tcPr>
                <w:p w14:paraId="737E2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position w:val="0"/>
                      <w:sz w:val="18"/>
                      <w:szCs w:val="18"/>
                      <w:highlight w:val="none"/>
                      <w14:textFill>
                        <w14:solidFill>
                          <w14:schemeClr w14:val="tx1"/>
                        </w14:solidFill>
                      </w14:textFill>
                    </w:rPr>
                    <w:t>0.</w:t>
                  </w:r>
                  <w:r>
                    <w:rPr>
                      <w:rFonts w:hint="default" w:ascii="Times New Roman" w:hAnsi="Times New Roman" w:eastAsia="宋体" w:cs="Times New Roman"/>
                      <w:color w:val="000000" w:themeColor="text1"/>
                      <w:position w:val="0"/>
                      <w:sz w:val="18"/>
                      <w:szCs w:val="18"/>
                      <w:highlight w:val="none"/>
                      <w:lang w:val="en-US" w:eastAsia="zh-CN"/>
                      <w14:textFill>
                        <w14:solidFill>
                          <w14:schemeClr w14:val="tx1"/>
                        </w14:solidFill>
                      </w14:textFill>
                    </w:rPr>
                    <w:t>315</w:t>
                  </w:r>
                </w:p>
              </w:tc>
              <w:tc>
                <w:tcPr>
                  <w:tcW w:w="403" w:type="pct"/>
                  <w:noWrap w:val="0"/>
                  <w:vAlign w:val="center"/>
                </w:tcPr>
                <w:p w14:paraId="21D9A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1.135</w:t>
                  </w:r>
                </w:p>
              </w:tc>
              <w:tc>
                <w:tcPr>
                  <w:tcW w:w="664" w:type="pct"/>
                  <w:noWrap w:val="0"/>
                  <w:vAlign w:val="center"/>
                </w:tcPr>
                <w:p w14:paraId="0D2AE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w:t>
                  </w:r>
                </w:p>
              </w:tc>
              <w:tc>
                <w:tcPr>
                  <w:tcW w:w="185" w:type="pct"/>
                  <w:noWrap w:val="0"/>
                  <w:vAlign w:val="center"/>
                </w:tcPr>
                <w:p w14:paraId="55DA9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w:t>
                  </w:r>
                </w:p>
              </w:tc>
              <w:tc>
                <w:tcPr>
                  <w:tcW w:w="222" w:type="pct"/>
                  <w:vMerge w:val="continue"/>
                  <w:noWrap w:val="0"/>
                  <w:vAlign w:val="center"/>
                </w:tcPr>
                <w:p w14:paraId="3DC9E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309" w:type="pct"/>
                  <w:vMerge w:val="continue"/>
                  <w:noWrap w:val="0"/>
                  <w:vAlign w:val="center"/>
                </w:tcPr>
                <w:p w14:paraId="7E22A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p>
              </w:tc>
              <w:tc>
                <w:tcPr>
                  <w:tcW w:w="419" w:type="pct"/>
                  <w:noWrap w:val="0"/>
                  <w:vAlign w:val="center"/>
                </w:tcPr>
                <w:p w14:paraId="1BE90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t>56.71</w:t>
                  </w:r>
                </w:p>
              </w:tc>
              <w:tc>
                <w:tcPr>
                  <w:tcW w:w="452" w:type="pct"/>
                  <w:noWrap w:val="0"/>
                  <w:vAlign w:val="center"/>
                </w:tcPr>
                <w:p w14:paraId="2A4FC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18"/>
                      <w:szCs w:val="18"/>
                      <w:highlight w:val="none"/>
                      <w14:textFill>
                        <w14:solidFill>
                          <w14:schemeClr w14:val="tx1"/>
                        </w14:solidFill>
                      </w14:textFill>
                    </w:rPr>
                    <w:t>0.</w:t>
                  </w:r>
                  <w:r>
                    <w:rPr>
                      <w:rFonts w:hint="default" w:ascii="Times New Roman" w:hAnsi="Times New Roman" w:eastAsia="宋体" w:cs="Times New Roman"/>
                      <w:color w:val="000000" w:themeColor="text1"/>
                      <w:position w:val="0"/>
                      <w:sz w:val="18"/>
                      <w:szCs w:val="18"/>
                      <w:highlight w:val="none"/>
                      <w:lang w:val="en-US" w:eastAsia="zh-CN"/>
                      <w14:textFill>
                        <w14:solidFill>
                          <w14:schemeClr w14:val="tx1"/>
                        </w14:solidFill>
                      </w14:textFill>
                    </w:rPr>
                    <w:t>315</w:t>
                  </w:r>
                </w:p>
              </w:tc>
              <w:tc>
                <w:tcPr>
                  <w:tcW w:w="407" w:type="pct"/>
                  <w:gridSpan w:val="2"/>
                  <w:noWrap w:val="0"/>
                  <w:vAlign w:val="center"/>
                </w:tcPr>
                <w:p w14:paraId="4B93E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1.135</w:t>
                  </w:r>
                </w:p>
              </w:tc>
            </w:tr>
            <w:tr w14:paraId="210433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continue"/>
                  <w:noWrap w:val="0"/>
                  <w:vAlign w:val="center"/>
                </w:tcPr>
                <w:p w14:paraId="1B512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89" w:type="pct"/>
                  <w:vMerge w:val="continue"/>
                  <w:noWrap w:val="0"/>
                  <w:vAlign w:val="center"/>
                </w:tcPr>
                <w:p w14:paraId="737BB9F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212" w:type="pct"/>
                  <w:noWrap w:val="0"/>
                  <w:vAlign w:val="center"/>
                </w:tcPr>
                <w:p w14:paraId="291FEF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NO</w:t>
                  </w: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x</w:t>
                  </w:r>
                </w:p>
              </w:tc>
              <w:tc>
                <w:tcPr>
                  <w:tcW w:w="189" w:type="pct"/>
                  <w:noWrap w:val="0"/>
                  <w:vAlign w:val="center"/>
                </w:tcPr>
                <w:p w14:paraId="5CDDF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类比法</w:t>
                  </w:r>
                </w:p>
              </w:tc>
              <w:tc>
                <w:tcPr>
                  <w:tcW w:w="332" w:type="pct"/>
                  <w:vMerge w:val="continue"/>
                  <w:noWrap w:val="0"/>
                  <w:vAlign w:val="center"/>
                </w:tcPr>
                <w:p w14:paraId="77DA3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p>
              </w:tc>
              <w:tc>
                <w:tcPr>
                  <w:tcW w:w="410" w:type="pct"/>
                  <w:noWrap w:val="0"/>
                  <w:vAlign w:val="center"/>
                </w:tcPr>
                <w:p w14:paraId="7DE20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200</w:t>
                  </w:r>
                </w:p>
              </w:tc>
              <w:tc>
                <w:tcPr>
                  <w:tcW w:w="419" w:type="pct"/>
                  <w:noWrap w:val="0"/>
                  <w:vAlign w:val="center"/>
                </w:tcPr>
                <w:p w14:paraId="72F75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position w:val="0"/>
                      <w:sz w:val="18"/>
                      <w:szCs w:val="18"/>
                      <w:highlight w:val="none"/>
                      <w:lang w:val="en-US" w:eastAsia="zh-CN"/>
                      <w14:textFill>
                        <w14:solidFill>
                          <w14:schemeClr w14:val="tx1"/>
                        </w14:solidFill>
                      </w14:textFill>
                    </w:rPr>
                    <w:t>1.854</w:t>
                  </w:r>
                </w:p>
              </w:tc>
              <w:tc>
                <w:tcPr>
                  <w:tcW w:w="403" w:type="pct"/>
                  <w:noWrap w:val="0"/>
                  <w:vAlign w:val="center"/>
                </w:tcPr>
                <w:p w14:paraId="2515D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6.675</w:t>
                  </w:r>
                </w:p>
              </w:tc>
              <w:tc>
                <w:tcPr>
                  <w:tcW w:w="664" w:type="pct"/>
                  <w:noWrap w:val="0"/>
                  <w:vAlign w:val="center"/>
                </w:tcPr>
                <w:p w14:paraId="5B195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w:t>
                  </w:r>
                </w:p>
              </w:tc>
              <w:tc>
                <w:tcPr>
                  <w:tcW w:w="185" w:type="pct"/>
                  <w:noWrap w:val="0"/>
                  <w:vAlign w:val="center"/>
                </w:tcPr>
                <w:p w14:paraId="30115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w:t>
                  </w:r>
                </w:p>
              </w:tc>
              <w:tc>
                <w:tcPr>
                  <w:tcW w:w="222" w:type="pct"/>
                  <w:vMerge w:val="continue"/>
                  <w:noWrap w:val="0"/>
                  <w:vAlign w:val="center"/>
                </w:tcPr>
                <w:p w14:paraId="16155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309" w:type="pct"/>
                  <w:vMerge w:val="continue"/>
                  <w:noWrap w:val="0"/>
                  <w:vAlign w:val="center"/>
                </w:tcPr>
                <w:p w14:paraId="490A8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p>
              </w:tc>
              <w:tc>
                <w:tcPr>
                  <w:tcW w:w="419" w:type="pct"/>
                  <w:noWrap w:val="0"/>
                  <w:vAlign w:val="center"/>
                </w:tcPr>
                <w:p w14:paraId="74C378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200</w:t>
                  </w:r>
                </w:p>
              </w:tc>
              <w:tc>
                <w:tcPr>
                  <w:tcW w:w="452" w:type="pct"/>
                  <w:noWrap w:val="0"/>
                  <w:vAlign w:val="center"/>
                </w:tcPr>
                <w:p w14:paraId="50068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18"/>
                      <w:szCs w:val="18"/>
                      <w:highlight w:val="none"/>
                      <w:lang w:val="en-US" w:eastAsia="zh-CN"/>
                      <w14:textFill>
                        <w14:solidFill>
                          <w14:schemeClr w14:val="tx1"/>
                        </w14:solidFill>
                      </w14:textFill>
                    </w:rPr>
                    <w:t>1.854</w:t>
                  </w:r>
                </w:p>
              </w:tc>
              <w:tc>
                <w:tcPr>
                  <w:tcW w:w="407" w:type="pct"/>
                  <w:gridSpan w:val="2"/>
                  <w:noWrap w:val="0"/>
                  <w:vAlign w:val="center"/>
                </w:tcPr>
                <w:p w14:paraId="48F393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6.675</w:t>
                  </w:r>
                </w:p>
              </w:tc>
            </w:tr>
            <w:tr w14:paraId="24BCD2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continue"/>
                  <w:noWrap w:val="0"/>
                  <w:vAlign w:val="center"/>
                </w:tcPr>
                <w:p w14:paraId="7D12A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89" w:type="pct"/>
                  <w:vMerge w:val="continue"/>
                  <w:noWrap w:val="0"/>
                  <w:vAlign w:val="center"/>
                </w:tcPr>
                <w:p w14:paraId="27F8FB5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212" w:type="pct"/>
                  <w:noWrap w:val="0"/>
                  <w:vAlign w:val="center"/>
                </w:tcPr>
                <w:p w14:paraId="52C58E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烟气黑度</w:t>
                  </w:r>
                </w:p>
              </w:tc>
              <w:tc>
                <w:tcPr>
                  <w:tcW w:w="189" w:type="pct"/>
                  <w:noWrap w:val="0"/>
                  <w:vAlign w:val="center"/>
                </w:tcPr>
                <w:p w14:paraId="29B30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w:t>
                  </w:r>
                </w:p>
              </w:tc>
              <w:tc>
                <w:tcPr>
                  <w:tcW w:w="1565" w:type="pct"/>
                  <w:gridSpan w:val="4"/>
                  <w:noWrap w:val="0"/>
                  <w:vAlign w:val="center"/>
                </w:tcPr>
                <w:p w14:paraId="2F0B2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&lt;1</w:t>
                  </w:r>
                </w:p>
              </w:tc>
              <w:tc>
                <w:tcPr>
                  <w:tcW w:w="1070" w:type="dxa"/>
                  <w:noWrap w:val="0"/>
                  <w:vAlign w:val="center"/>
                </w:tcPr>
                <w:p w14:paraId="28F521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w:t>
                  </w:r>
                </w:p>
              </w:tc>
              <w:tc>
                <w:tcPr>
                  <w:tcW w:w="299" w:type="dxa"/>
                  <w:noWrap w:val="0"/>
                  <w:vAlign w:val="center"/>
                </w:tcPr>
                <w:p w14:paraId="77AB1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w:t>
                  </w:r>
                </w:p>
              </w:tc>
              <w:tc>
                <w:tcPr>
                  <w:tcW w:w="222" w:type="pct"/>
                  <w:vMerge w:val="continue"/>
                  <w:noWrap w:val="0"/>
                  <w:vAlign w:val="center"/>
                </w:tcPr>
                <w:p w14:paraId="7FB97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588" w:type="pct"/>
                  <w:gridSpan w:val="5"/>
                  <w:noWrap w:val="0"/>
                  <w:vAlign w:val="center"/>
                </w:tcPr>
                <w:p w14:paraId="1AD46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&lt;1</w:t>
                  </w:r>
                </w:p>
              </w:tc>
            </w:tr>
            <w:tr w14:paraId="7DBE64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restart"/>
                  <w:noWrap w:val="0"/>
                  <w:vAlign w:val="center"/>
                </w:tcPr>
                <w:p w14:paraId="0B858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无组织排放</w:t>
                  </w:r>
                </w:p>
              </w:tc>
              <w:tc>
                <w:tcPr>
                  <w:tcW w:w="189" w:type="pct"/>
                  <w:noWrap w:val="0"/>
                  <w:vAlign w:val="center"/>
                </w:tcPr>
                <w:p w14:paraId="120845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输送装卸</w:t>
                  </w:r>
                </w:p>
              </w:tc>
              <w:tc>
                <w:tcPr>
                  <w:tcW w:w="212" w:type="pct"/>
                  <w:vMerge w:val="restart"/>
                  <w:noWrap w:val="0"/>
                  <w:vAlign w:val="center"/>
                </w:tcPr>
                <w:p w14:paraId="6A82C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工业粉尘</w:t>
                  </w:r>
                </w:p>
              </w:tc>
              <w:tc>
                <w:tcPr>
                  <w:tcW w:w="189" w:type="pct"/>
                  <w:vMerge w:val="restart"/>
                  <w:noWrap w:val="0"/>
                  <w:vAlign w:val="center"/>
                </w:tcPr>
                <w:p w14:paraId="55876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产污系数法</w:t>
                  </w:r>
                </w:p>
              </w:tc>
              <w:tc>
                <w:tcPr>
                  <w:tcW w:w="332" w:type="pct"/>
                  <w:noWrap w:val="0"/>
                  <w:vAlign w:val="center"/>
                </w:tcPr>
                <w:p w14:paraId="1F59C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0" w:type="pct"/>
                  <w:noWrap w:val="0"/>
                  <w:vAlign w:val="center"/>
                </w:tcPr>
                <w:p w14:paraId="6AA49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6C82E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1.67</w:t>
                  </w:r>
                </w:p>
              </w:tc>
              <w:tc>
                <w:tcPr>
                  <w:tcW w:w="403" w:type="pct"/>
                  <w:noWrap w:val="0"/>
                  <w:vAlign w:val="center"/>
                </w:tcPr>
                <w:p w14:paraId="72995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6.00</w:t>
                  </w:r>
                </w:p>
              </w:tc>
              <w:tc>
                <w:tcPr>
                  <w:tcW w:w="664" w:type="pct"/>
                  <w:noWrap w:val="0"/>
                  <w:vAlign w:val="center"/>
                </w:tcPr>
                <w:p w14:paraId="0F4D24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装卸工段</w:t>
                  </w:r>
                  <w:r>
                    <w:rPr>
                      <w:rFonts w:hint="default" w:ascii="Times New Roman" w:hAnsi="Times New Roman" w:eastAsia="宋体" w:cs="Times New Roman"/>
                      <w:color w:val="000000" w:themeColor="text1"/>
                      <w:spacing w:val="0"/>
                      <w:kern w:val="0"/>
                      <w:sz w:val="18"/>
                      <w:szCs w:val="18"/>
                      <w:highlight w:val="none"/>
                      <w:lang w:val="en-US" w:eastAsia="zh-CN" w:bidi="ar"/>
                      <w14:textFill>
                        <w14:solidFill>
                          <w14:schemeClr w14:val="tx1"/>
                        </w14:solidFill>
                      </w14:textFill>
                    </w:rPr>
                    <w:t>采用密闭性良好的设备，全封闭输送机、原粮入仓采取封闭和减小装卸高度</w:t>
                  </w:r>
                  <w:r>
                    <w:rPr>
                      <w:rFonts w:hint="default" w:ascii="Times New Roman" w:hAnsi="Times New Roman" w:eastAsia="宋体" w:cs="Times New Roman"/>
                      <w:color w:val="000000" w:themeColor="text1"/>
                      <w:sz w:val="18"/>
                      <w:szCs w:val="18"/>
                      <w:highlight w:val="none"/>
                      <w14:textFill>
                        <w14:solidFill>
                          <w14:schemeClr w14:val="tx1"/>
                        </w14:solidFill>
                      </w14:textFill>
                    </w:rPr>
                    <w:t>等降尘措施，运输过程中采用封闭输送</w:t>
                  </w:r>
                </w:p>
              </w:tc>
              <w:tc>
                <w:tcPr>
                  <w:tcW w:w="185" w:type="pct"/>
                  <w:noWrap w:val="0"/>
                  <w:vAlign w:val="center"/>
                </w:tcPr>
                <w:p w14:paraId="223534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90</w:t>
                  </w:r>
                </w:p>
              </w:tc>
              <w:tc>
                <w:tcPr>
                  <w:tcW w:w="222" w:type="pct"/>
                  <w:vMerge w:val="continue"/>
                  <w:noWrap w:val="0"/>
                  <w:vAlign w:val="center"/>
                </w:tcPr>
                <w:p w14:paraId="38707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309" w:type="pct"/>
                  <w:noWrap w:val="0"/>
                  <w:vAlign w:val="center"/>
                </w:tcPr>
                <w:p w14:paraId="190FC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2962C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52" w:type="pct"/>
                  <w:noWrap w:val="0"/>
                  <w:vAlign w:val="center"/>
                </w:tcPr>
                <w:p w14:paraId="588B8E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0.167</w:t>
                  </w:r>
                </w:p>
              </w:tc>
              <w:tc>
                <w:tcPr>
                  <w:tcW w:w="407" w:type="pct"/>
                  <w:gridSpan w:val="2"/>
                  <w:noWrap w:val="0"/>
                  <w:vAlign w:val="center"/>
                </w:tcPr>
                <w:p w14:paraId="43216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0.600</w:t>
                  </w:r>
                </w:p>
              </w:tc>
            </w:tr>
            <w:tr w14:paraId="6D7FE4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continue"/>
                  <w:noWrap w:val="0"/>
                  <w:vAlign w:val="center"/>
                </w:tcPr>
                <w:p w14:paraId="43082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p>
              </w:tc>
              <w:tc>
                <w:tcPr>
                  <w:tcW w:w="189" w:type="pct"/>
                  <w:noWrap w:val="0"/>
                  <w:vAlign w:val="center"/>
                </w:tcPr>
                <w:p w14:paraId="04C7C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初清</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筛分</w:t>
                  </w:r>
                </w:p>
              </w:tc>
              <w:tc>
                <w:tcPr>
                  <w:tcW w:w="212" w:type="pct"/>
                  <w:vMerge w:val="continue"/>
                  <w:noWrap w:val="0"/>
                  <w:vAlign w:val="center"/>
                </w:tcPr>
                <w:p w14:paraId="607762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89" w:type="pct"/>
                  <w:vMerge w:val="continue"/>
                  <w:noWrap w:val="0"/>
                  <w:vAlign w:val="center"/>
                </w:tcPr>
                <w:p w14:paraId="33EC6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p>
              </w:tc>
              <w:tc>
                <w:tcPr>
                  <w:tcW w:w="332" w:type="pct"/>
                  <w:noWrap w:val="0"/>
                  <w:vAlign w:val="center"/>
                </w:tcPr>
                <w:p w14:paraId="606CC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0" w:type="pct"/>
                  <w:noWrap w:val="0"/>
                  <w:vAlign w:val="center"/>
                </w:tcPr>
                <w:p w14:paraId="5DB69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789C1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25.00</w:t>
                  </w:r>
                </w:p>
              </w:tc>
              <w:tc>
                <w:tcPr>
                  <w:tcW w:w="403" w:type="pct"/>
                  <w:noWrap w:val="0"/>
                  <w:vAlign w:val="center"/>
                </w:tcPr>
                <w:p w14:paraId="4A518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90</w:t>
                  </w:r>
                </w:p>
              </w:tc>
              <w:tc>
                <w:tcPr>
                  <w:tcW w:w="664" w:type="pct"/>
                  <w:noWrap w:val="0"/>
                  <w:vAlign w:val="center"/>
                </w:tcPr>
                <w:p w14:paraId="7CE437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清粮采用全密闭</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处理后排放</w:t>
                  </w:r>
                </w:p>
              </w:tc>
              <w:tc>
                <w:tcPr>
                  <w:tcW w:w="185" w:type="pct"/>
                  <w:noWrap w:val="0"/>
                  <w:vAlign w:val="center"/>
                </w:tcPr>
                <w:p w14:paraId="0821F4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99</w:t>
                  </w:r>
                </w:p>
              </w:tc>
              <w:tc>
                <w:tcPr>
                  <w:tcW w:w="222" w:type="pct"/>
                  <w:vMerge w:val="continue"/>
                  <w:noWrap w:val="0"/>
                  <w:vAlign w:val="center"/>
                </w:tcPr>
                <w:p w14:paraId="3D603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309" w:type="pct"/>
                  <w:noWrap w:val="0"/>
                  <w:vAlign w:val="center"/>
                </w:tcPr>
                <w:p w14:paraId="7A80F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578583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52" w:type="pct"/>
                  <w:noWrap w:val="0"/>
                  <w:vAlign w:val="center"/>
                </w:tcPr>
                <w:p w14:paraId="7BB443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0.250</w:t>
                  </w:r>
                </w:p>
              </w:tc>
              <w:tc>
                <w:tcPr>
                  <w:tcW w:w="407" w:type="pct"/>
                  <w:gridSpan w:val="2"/>
                  <w:noWrap w:val="0"/>
                  <w:vAlign w:val="center"/>
                </w:tcPr>
                <w:p w14:paraId="44A9B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0.900</w:t>
                  </w:r>
                </w:p>
              </w:tc>
            </w:tr>
            <w:tr w14:paraId="38DBD8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continue"/>
                  <w:noWrap w:val="0"/>
                  <w:vAlign w:val="center"/>
                </w:tcPr>
                <w:p w14:paraId="4B36F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p>
              </w:tc>
              <w:tc>
                <w:tcPr>
                  <w:tcW w:w="189" w:type="pct"/>
                  <w:noWrap w:val="0"/>
                  <w:vAlign w:val="center"/>
                </w:tcPr>
                <w:p w14:paraId="7952A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烘干</w:t>
                  </w:r>
                </w:p>
              </w:tc>
              <w:tc>
                <w:tcPr>
                  <w:tcW w:w="212" w:type="pct"/>
                  <w:vMerge w:val="continue"/>
                  <w:noWrap w:val="0"/>
                  <w:vAlign w:val="center"/>
                </w:tcPr>
                <w:p w14:paraId="4E51D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89" w:type="pct"/>
                  <w:vMerge w:val="continue"/>
                  <w:noWrap w:val="0"/>
                  <w:vAlign w:val="center"/>
                </w:tcPr>
                <w:p w14:paraId="6909E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p>
              </w:tc>
              <w:tc>
                <w:tcPr>
                  <w:tcW w:w="332" w:type="pct"/>
                  <w:noWrap w:val="0"/>
                  <w:vAlign w:val="center"/>
                </w:tcPr>
                <w:p w14:paraId="6EC52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0" w:type="pct"/>
                  <w:noWrap w:val="0"/>
                  <w:vAlign w:val="center"/>
                </w:tcPr>
                <w:p w14:paraId="6F5EE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68088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1.664</w:t>
                  </w:r>
                </w:p>
              </w:tc>
              <w:tc>
                <w:tcPr>
                  <w:tcW w:w="403" w:type="pct"/>
                  <w:noWrap w:val="0"/>
                  <w:vAlign w:val="center"/>
                </w:tcPr>
                <w:p w14:paraId="18C88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5.990</w:t>
                  </w:r>
                </w:p>
              </w:tc>
              <w:tc>
                <w:tcPr>
                  <w:tcW w:w="664" w:type="pct"/>
                  <w:noWrap w:val="0"/>
                  <w:vAlign w:val="center"/>
                </w:tcPr>
                <w:p w14:paraId="578C71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烘干塔内部自带重力沉降室，烘干塔底部四周设置防尘挡板，粉尘受挡板格挡后受重力作用回落到烘干塔底部收尘设施中</w:t>
                  </w:r>
                </w:p>
              </w:tc>
              <w:tc>
                <w:tcPr>
                  <w:tcW w:w="185" w:type="pct"/>
                  <w:noWrap w:val="0"/>
                  <w:vAlign w:val="center"/>
                </w:tcPr>
                <w:p w14:paraId="24E305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90</w:t>
                  </w:r>
                </w:p>
              </w:tc>
              <w:tc>
                <w:tcPr>
                  <w:tcW w:w="222" w:type="pct"/>
                  <w:vMerge w:val="continue"/>
                  <w:noWrap w:val="0"/>
                  <w:vAlign w:val="center"/>
                </w:tcPr>
                <w:p w14:paraId="047FC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309" w:type="pct"/>
                  <w:noWrap w:val="0"/>
                  <w:vAlign w:val="center"/>
                </w:tcPr>
                <w:p w14:paraId="7648EC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48A0A4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52" w:type="pct"/>
                  <w:noWrap w:val="0"/>
                  <w:vAlign w:val="center"/>
                </w:tcPr>
                <w:p w14:paraId="5F9A08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0.166</w:t>
                  </w:r>
                </w:p>
              </w:tc>
              <w:tc>
                <w:tcPr>
                  <w:tcW w:w="407" w:type="pct"/>
                  <w:gridSpan w:val="2"/>
                  <w:noWrap w:val="0"/>
                  <w:vAlign w:val="center"/>
                </w:tcPr>
                <w:p w14:paraId="6FF53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0.599</w:t>
                  </w:r>
                </w:p>
              </w:tc>
            </w:tr>
          </w:tbl>
          <w:p w14:paraId="0DC34BEF">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）热风炉废气</w:t>
            </w:r>
          </w:p>
          <w:p w14:paraId="7E44F1B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本项目新建</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1台8t/h</w:t>
            </w: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生物质</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，年烘干玉米60000t，年烘干时间150天计</w:t>
            </w:r>
            <w:r>
              <w:rPr>
                <w:rFonts w:hint="default" w:ascii="Times New Roman" w:hAnsi="Times New Roman" w:eastAsia="宋体" w:cs="Times New Roman"/>
                <w:color w:val="000000" w:themeColor="text1"/>
                <w:sz w:val="21"/>
                <w:szCs w:val="21"/>
                <w:highlight w:val="none"/>
                <w14:textFill>
                  <w14:solidFill>
                    <w14:schemeClr w14:val="tx1"/>
                  </w14:solidFill>
                </w14:textFill>
              </w:rPr>
              <w:t>（每天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，热风炉烟气通过布袋除尘器（除尘效率99%）处理后经过25m高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排放，热风炉的燃料为生物质。生物质燃料热值取4193kcal/kg（17.52MJ/kg），热风炉热效率为80%，参考尹协镇《粮食烘干过程中不同外部条件对烘干能耗的影响》，每烘干1kg水能耗取5400kJ/kg。</w:t>
            </w:r>
          </w:p>
          <w:p w14:paraId="2558638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本项目水分蒸发量依据W=G（ω1-ω2）/（100-ω2）进行计算。</w:t>
            </w:r>
          </w:p>
          <w:p w14:paraId="092E349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60" w:firstLineChars="6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W：水分蒸发量</w:t>
            </w:r>
          </w:p>
          <w:p w14:paraId="6D54D54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60" w:firstLineChars="6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G：处理量（玉米为60000t；）</w:t>
            </w:r>
          </w:p>
          <w:p w14:paraId="4835D23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60" w:firstLineChars="6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ω1：进料含水量百分数（玉米取30%；）</w:t>
            </w:r>
          </w:p>
          <w:p w14:paraId="0F83AD8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60" w:firstLineChars="6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ω2：出料含水量百分数（玉米取14%；）</w:t>
            </w:r>
          </w:p>
          <w:p w14:paraId="7180123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本项目玉米烘干水分蒸发量为：W=11162.8t/a；</w:t>
            </w:r>
          </w:p>
          <w:p w14:paraId="62B20EC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烘干能耗为E=W×能耗=6.03×10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kJ</w:t>
            </w:r>
          </w:p>
          <w:p w14:paraId="072013F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燃料消耗量=E÷热值÷热效率=4300.7t/a</w:t>
            </w:r>
          </w:p>
          <w:p w14:paraId="4643A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本项目热风炉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highlight w:val="none"/>
                <w14:textFill>
                  <w14:solidFill>
                    <w14:schemeClr w14:val="tx1"/>
                  </w14:solidFill>
                </w14:textFill>
              </w:rPr>
              <w:t>产生情况参照《排污许可证申请与核发技术规范 锅炉》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HJ953-2018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中相关方法</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计算烟气量</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14CBD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outlineLvl w:val="2"/>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①</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烟气</w:t>
            </w:r>
            <w:r>
              <w:rPr>
                <w:rFonts w:hint="default" w:ascii="Times New Roman" w:hAnsi="Times New Roman" w:eastAsia="宋体" w:cs="Times New Roman"/>
                <w:color w:val="000000" w:themeColor="text1"/>
                <w:sz w:val="21"/>
                <w:szCs w:val="21"/>
                <w:highlight w:val="none"/>
                <w14:textFill>
                  <w14:solidFill>
                    <w14:schemeClr w14:val="tx1"/>
                  </w14:solidFill>
                </w14:textFill>
              </w:rPr>
              <w:t>排放量</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w:t>
            </w:r>
          </w:p>
          <w:p w14:paraId="0D45D048">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both"/>
              <w:textAlignment w:val="auto"/>
              <w:outlineLvl w:val="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本项目Q</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net,ar</w:t>
            </w:r>
            <w:r>
              <w:rPr>
                <w:rFonts w:hint="default" w:ascii="Times New Roman" w:hAnsi="Times New Roman" w:eastAsia="宋体" w:cs="Times New Roman"/>
                <w:color w:val="000000" w:themeColor="text1"/>
                <w:sz w:val="21"/>
                <w:szCs w:val="21"/>
                <w:highlight w:val="none"/>
                <w14:textFill>
                  <w14:solidFill>
                    <w14:schemeClr w14:val="tx1"/>
                  </w14:solidFill>
                </w14:textFill>
              </w:rPr>
              <w:t>（收到基低位发热量）为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17.52</w:t>
            </w:r>
            <w:r>
              <w:rPr>
                <w:rFonts w:hint="default" w:ascii="Times New Roman" w:hAnsi="Times New Roman" w:eastAsia="宋体" w:cs="Times New Roman"/>
                <w:color w:val="000000" w:themeColor="text1"/>
                <w:sz w:val="21"/>
                <w:szCs w:val="21"/>
                <w:highlight w:val="none"/>
                <w14:textFill>
                  <w14:solidFill>
                    <w14:schemeClr w14:val="tx1"/>
                  </w14:solidFill>
                </w14:textFill>
              </w:rPr>
              <w:t>MJ/kg，V</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daf</w:t>
            </w:r>
            <w:r>
              <w:rPr>
                <w:rFonts w:hint="default" w:ascii="Times New Roman" w:hAnsi="Times New Roman" w:eastAsia="宋体" w:cs="Times New Roman"/>
                <w:color w:val="000000" w:themeColor="text1"/>
                <w:sz w:val="21"/>
                <w:szCs w:val="21"/>
                <w:highlight w:val="none"/>
                <w14:textFill>
                  <w14:solidFill>
                    <w14:schemeClr w14:val="tx1"/>
                  </w14:solidFill>
                </w14:textFill>
              </w:rPr>
              <w:t>&gt;15%，则基准烟气量经验公式可定为V</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gy</w:t>
            </w:r>
            <w:r>
              <w:rPr>
                <w:rFonts w:hint="default" w:ascii="Times New Roman" w:hAnsi="Times New Roman" w:eastAsia="宋体" w:cs="Times New Roman"/>
                <w:color w:val="000000" w:themeColor="text1"/>
                <w:sz w:val="21"/>
                <w:szCs w:val="21"/>
                <w:highlight w:val="none"/>
                <w14:textFill>
                  <w14:solidFill>
                    <w14:schemeClr w14:val="tx1"/>
                  </w14:solidFill>
                </w14:textFill>
              </w:rPr>
              <w:t>=0.393Qnet.ar+0.876。</w:t>
            </w:r>
          </w:p>
          <w:p w14:paraId="46A75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则本项目的基准烟气量为Vgy=（</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0.393</w:t>
            </w:r>
            <w:r>
              <w:rPr>
                <w:rFonts w:hint="default" w:ascii="Times New Roman" w:hAnsi="Times New Roman" w:eastAsia="宋体" w:cs="Times New Roman"/>
                <w:color w:val="000000" w:themeColor="text1"/>
                <w:sz w:val="21"/>
                <w:highlight w:val="none"/>
                <w14:textFill>
                  <w14:solidFill>
                    <w14:schemeClr w14:val="tx1"/>
                  </w14:solidFill>
                </w14:textFill>
              </w:rPr>
              <w:t>×</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17.52</w:t>
            </w:r>
            <w:r>
              <w:rPr>
                <w:rFonts w:hint="default" w:ascii="Times New Roman" w:hAnsi="Times New Roman" w:eastAsia="宋体" w:cs="Times New Roman"/>
                <w:color w:val="000000" w:themeColor="text1"/>
                <w:sz w:val="21"/>
                <w:highlight w:val="none"/>
                <w14:textFill>
                  <w14:solidFill>
                    <w14:schemeClr w14:val="tx1"/>
                  </w14:solidFill>
                </w14:textFill>
              </w:rPr>
              <w:t>+0.</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876</w:t>
            </w:r>
            <w:r>
              <w:rPr>
                <w:rFonts w:hint="default" w:ascii="Times New Roman" w:hAnsi="Times New Roman" w:eastAsia="宋体" w:cs="Times New Roman"/>
                <w:color w:val="000000" w:themeColor="text1"/>
                <w:sz w:val="21"/>
                <w:highlight w:val="none"/>
                <w14:textFill>
                  <w14:solidFill>
                    <w14:schemeClr w14:val="tx1"/>
                  </w14:solidFill>
                </w14:textFill>
              </w:rPr>
              <w:t>）=</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7.76</w:t>
            </w:r>
            <w:r>
              <w:rPr>
                <w:rFonts w:hint="default" w:ascii="Times New Roman" w:hAnsi="Times New Roman" w:eastAsia="宋体" w:cs="Times New Roman"/>
                <w:color w:val="000000" w:themeColor="text1"/>
                <w:sz w:val="21"/>
                <w:highlight w:val="none"/>
                <w14:textFill>
                  <w14:solidFill>
                    <w14:schemeClr w14:val="tx1"/>
                  </w14:solidFill>
                </w14:textFill>
              </w:rPr>
              <w:t>m</w:t>
            </w:r>
            <w:r>
              <w:rPr>
                <w:rFonts w:hint="default" w:ascii="Times New Roman" w:hAnsi="Times New Roman" w:eastAsia="宋体" w:cs="Times New Roman"/>
                <w:color w:val="000000" w:themeColor="text1"/>
                <w:sz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highlight w:val="none"/>
                <w14:textFill>
                  <w14:solidFill>
                    <w14:schemeClr w14:val="tx1"/>
                  </w14:solidFill>
                </w14:textFill>
              </w:rPr>
              <w:t>/</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kg</w:t>
            </w:r>
          </w:p>
          <w:p w14:paraId="6ACDB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则总烟气量为：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7.76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4300.7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Nm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p>
          <w:p w14:paraId="73DF512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②颗粒物（烟尘）排放量</w:t>
            </w:r>
          </w:p>
          <w:p w14:paraId="739EA54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56"/>
                <w:sz w:val="21"/>
                <w:szCs w:val="21"/>
                <w:highlight w:val="none"/>
                <w14:textFill>
                  <w14:solidFill>
                    <w14:schemeClr w14:val="tx1"/>
                  </w14:solidFill>
                </w14:textFill>
              </w:rPr>
              <w:object>
                <v:shape id="_x0000_i1025" o:spt="75" type="#_x0000_t75" style="height:43.8pt;width:149.25pt;" o:ole="t" filled="f" o:preferrelative="t" stroked="f" coordsize="21600,21600">
                  <v:path/>
                  <v:fill on="f" focussize="0,0"/>
                  <v:stroke on="f"/>
                  <v:imagedata r:id="rId15" o:title=""/>
                  <o:lock v:ext="edit" aspectratio="t"/>
                  <w10:wrap type="none"/>
                  <w10:anchorlock/>
                </v:shape>
                <o:OLEObject Type="Embed" ProgID="Equations" ShapeID="_x0000_i1025" DrawAspect="Content" ObjectID="_1468075725" r:id="rId14">
                  <o:LockedField>false</o:LockedField>
                </o:OLEObject>
              </w:object>
            </w:r>
          </w:p>
          <w:p w14:paraId="59E35C12">
            <w:pPr>
              <w:pStyle w:val="31"/>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式中：E</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----核算时段内颗粒物（烟尘）排放量，t；</w:t>
            </w:r>
          </w:p>
          <w:p w14:paraId="181E8BC3">
            <w:pPr>
              <w:pStyle w:val="31"/>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R----核算时段内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燃料耗量，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4300.7</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p w14:paraId="0AD35818">
            <w:pPr>
              <w:pStyle w:val="31"/>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ar</w:t>
            </w:r>
            <w:r>
              <w:rPr>
                <w:rFonts w:hint="default" w:ascii="Times New Roman" w:hAnsi="Times New Roman" w:eastAsia="宋体" w:cs="Times New Roman"/>
                <w:color w:val="000000" w:themeColor="text1"/>
                <w:sz w:val="21"/>
                <w:szCs w:val="21"/>
                <w:highlight w:val="none"/>
                <w14:textFill>
                  <w14:solidFill>
                    <w14:schemeClr w14:val="tx1"/>
                  </w14:solidFill>
                </w14:textFill>
              </w:rPr>
              <w:t>----收到基灰分的质量分数，%；取</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68BF5134">
            <w:pPr>
              <w:pStyle w:val="31"/>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fh</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烟气带出的灰分份额，%；取50%。</w:t>
            </w:r>
          </w:p>
          <w:p w14:paraId="4156A9ED">
            <w:pPr>
              <w:pStyle w:val="31"/>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ƞ</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1"/>
                <w:szCs w:val="21"/>
                <w:highlight w:val="none"/>
                <w14:textFill>
                  <w14:solidFill>
                    <w14:schemeClr w14:val="tx1"/>
                  </w14:solidFill>
                </w14:textFill>
              </w:rPr>
              <w:t>----综合除尘效率，%；取99%。</w:t>
            </w:r>
          </w:p>
          <w:p w14:paraId="2EAF839F">
            <w:pPr>
              <w:pStyle w:val="31"/>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fh</w:t>
            </w:r>
            <w:r>
              <w:rPr>
                <w:rFonts w:hint="default" w:ascii="Times New Roman" w:hAnsi="Times New Roman" w:eastAsia="宋体" w:cs="Times New Roman"/>
                <w:color w:val="000000" w:themeColor="text1"/>
                <w:sz w:val="21"/>
                <w:szCs w:val="21"/>
                <w:highlight w:val="none"/>
                <w14:textFill>
                  <w14:solidFill>
                    <w14:schemeClr w14:val="tx1"/>
                  </w14:solidFill>
                </w14:textFill>
              </w:rPr>
              <w:t>----飞灰中可燃物含量，%。取1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14:textFill>
                  <w14:solidFill>
                    <w14:schemeClr w14:val="tx1"/>
                  </w14:solidFill>
                </w14:textFill>
              </w:rPr>
              <w:t>%。（项目使用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生物质成型颗粒</w:t>
            </w:r>
            <w:r>
              <w:rPr>
                <w:rFonts w:hint="default" w:ascii="Times New Roman" w:hAnsi="Times New Roman" w:eastAsia="宋体" w:cs="Times New Roman"/>
                <w:color w:val="000000" w:themeColor="text1"/>
                <w:sz w:val="21"/>
                <w:szCs w:val="21"/>
                <w:highlight w:val="none"/>
                <w14:textFill>
                  <w14:solidFill>
                    <w14:schemeClr w14:val="tx1"/>
                  </w14:solidFill>
                </w14:textFill>
              </w:rPr>
              <w:t>，飞灰中可燃物含量类比烟煤II类，根据《工业锅炉经济运行》（GB/T17954-2007），取1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CBBAF78">
            <w:pPr>
              <w:pStyle w:val="31"/>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由计算可得出颗粒物排放量为</w:t>
            </w:r>
            <w:r>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t>0.950</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t/a，</w:t>
            </w:r>
            <w:r>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t>0.264</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kg/h。</w:t>
            </w:r>
          </w:p>
          <w:p w14:paraId="1D70FAB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③二氧化硫排放量</w:t>
            </w:r>
          </w:p>
          <w:p w14:paraId="4CD748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object>
                <v:shape id="_x0000_i1026" o:spt="75" type="#_x0000_t75" style="height:33pt;width:204pt;" o:ole="t" filled="f" o:preferrelative="t" stroked="f" coordsize="21600,21600">
                  <v:path/>
                  <v:fill on="f" focussize="0,0"/>
                  <v:stroke on="f"/>
                  <v:imagedata r:id="rId17" o:title=""/>
                  <o:lock v:ext="edit" aspectratio="t"/>
                  <w10:wrap type="none"/>
                  <w10:anchorlock/>
                </v:shape>
                <o:OLEObject Type="Embed" ProgID="Equations" ShapeID="_x0000_i1026" DrawAspect="Content" ObjectID="_1468075726" r:id="rId16">
                  <o:LockedField>false</o:LockedField>
                </o:OLEObject>
              </w:object>
            </w:r>
          </w:p>
          <w:p w14:paraId="5B9A350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式中：E</w:t>
            </w:r>
            <w:r>
              <w:rPr>
                <w:rFonts w:hint="default" w:ascii="Times New Roman" w:hAnsi="Times New Roman" w:eastAsia="宋体" w:cs="Times New Roman"/>
                <w:color w:val="000000" w:themeColor="text1"/>
                <w:position w:val="0"/>
                <w:sz w:val="21"/>
                <w:szCs w:val="21"/>
                <w:highlight w:val="none"/>
                <w:vertAlign w:val="subscript"/>
                <w14:textFill>
                  <w14:solidFill>
                    <w14:schemeClr w14:val="tx1"/>
                  </w14:solidFill>
                </w14:textFill>
              </w:rPr>
              <w:t>SO2</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----核算时段内二氧化硫排放量，t；</w:t>
            </w:r>
          </w:p>
          <w:p w14:paraId="0284AB3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R----核算时段内</w:t>
            </w:r>
            <w:r>
              <w:rPr>
                <w:rFonts w:hint="default" w:ascii="Times New Roman" w:hAnsi="Times New Roman" w:eastAsia="宋体" w:cs="Times New Roman"/>
                <w:color w:val="000000" w:themeColor="text1"/>
                <w:position w:val="0"/>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燃料耗量</w:t>
            </w:r>
            <w:r>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t>4300.7</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t；</w:t>
            </w:r>
          </w:p>
          <w:p w14:paraId="0319D54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S</w:t>
            </w:r>
            <w:r>
              <w:rPr>
                <w:rFonts w:hint="default" w:ascii="Times New Roman" w:hAnsi="Times New Roman" w:eastAsia="宋体" w:cs="Times New Roman"/>
                <w:color w:val="000000" w:themeColor="text1"/>
                <w:position w:val="0"/>
                <w:sz w:val="21"/>
                <w:szCs w:val="21"/>
                <w:highlight w:val="none"/>
                <w:vertAlign w:val="subscript"/>
                <w14:textFill>
                  <w14:solidFill>
                    <w14:schemeClr w14:val="tx1"/>
                  </w14:solidFill>
                </w14:textFill>
              </w:rPr>
              <w:t>ar</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----收到基硫的质量分数，0.0</w:t>
            </w:r>
            <w:r>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position w:val="0"/>
                <w:sz w:val="21"/>
                <w:szCs w:val="21"/>
                <w:highlight w:val="none"/>
                <w:lang w:eastAsia="zh-CN"/>
                <w14:textFill>
                  <w14:solidFill>
                    <w14:schemeClr w14:val="tx1"/>
                  </w14:solidFill>
                </w14:textFill>
              </w:rPr>
              <w:t>；</w:t>
            </w:r>
          </w:p>
          <w:p w14:paraId="1E1D41F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q</w:t>
            </w:r>
            <w:r>
              <w:rPr>
                <w:rFonts w:hint="default" w:ascii="Times New Roman" w:hAnsi="Times New Roman" w:eastAsia="宋体" w:cs="Times New Roman"/>
                <w:color w:val="000000" w:themeColor="text1"/>
                <w:position w:val="0"/>
                <w:sz w:val="21"/>
                <w:szCs w:val="21"/>
                <w:highlight w:val="none"/>
                <w:vertAlign w:val="subscript"/>
                <w14:textFill>
                  <w14:solidFill>
                    <w14:schemeClr w14:val="tx1"/>
                  </w14:solidFill>
                </w14:textFill>
              </w:rPr>
              <w:t>4</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position w:val="0"/>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机械不完全燃烧热损失，%；取12%</w:t>
            </w:r>
            <w:r>
              <w:rPr>
                <w:rFonts w:hint="default" w:ascii="Times New Roman" w:hAnsi="Times New Roman" w:eastAsia="宋体" w:cs="Times New Roman"/>
                <w:color w:val="000000" w:themeColor="text1"/>
                <w:position w:val="0"/>
                <w:sz w:val="21"/>
                <w:szCs w:val="21"/>
                <w:highlight w:val="none"/>
                <w:lang w:eastAsia="zh-CN"/>
                <w14:textFill>
                  <w14:solidFill>
                    <w14:schemeClr w14:val="tx1"/>
                  </w14:solidFill>
                </w14:textFill>
              </w:rPr>
              <w:t>；</w:t>
            </w:r>
          </w:p>
          <w:p w14:paraId="6B90504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b/>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ƞ</w:t>
            </w:r>
            <w:r>
              <w:rPr>
                <w:rFonts w:hint="default" w:ascii="Times New Roman" w:hAnsi="Times New Roman" w:eastAsia="宋体" w:cs="Times New Roman"/>
                <w:color w:val="000000" w:themeColor="text1"/>
                <w:position w:val="0"/>
                <w:sz w:val="21"/>
                <w:szCs w:val="21"/>
                <w:highlight w:val="none"/>
                <w:vertAlign w:val="subscript"/>
                <w14:textFill>
                  <w14:solidFill>
                    <w14:schemeClr w14:val="tx1"/>
                  </w14:solidFill>
                </w14:textFill>
              </w:rPr>
              <w:t>s</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----脱硫效率，%；</w:t>
            </w:r>
          </w:p>
          <w:p w14:paraId="7BF6520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K----燃料中的硫燃烧后氧化成二氧化硫的份额，量纲一的量。取0.50。</w:t>
            </w:r>
          </w:p>
          <w:p w14:paraId="4499339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b/>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由计算可得出SO</w:t>
            </w:r>
            <w:r>
              <w:rPr>
                <w:rFonts w:hint="default" w:ascii="Times New Roman" w:hAnsi="Times New Roman" w:eastAsia="宋体" w:cs="Times New Roman"/>
                <w:color w:val="000000" w:themeColor="text1"/>
                <w:position w:val="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排放量为</w:t>
            </w:r>
            <w:r>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t>1.135</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t/a，0.</w:t>
            </w:r>
            <w:r>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t>315</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kg/h。</w:t>
            </w:r>
          </w:p>
          <w:p w14:paraId="5F306C8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④氮氧化物排放量</w:t>
            </w:r>
          </w:p>
          <w:p w14:paraId="2254B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t>本项目热风炉出口NOx产生浓度无法估算，根据热风炉厂家设计单位提供资料及类比同类技术水平热风炉实测值，本次评价取200；根据《工业锅炉污染防治可行技术指南》（HJ1178-2021）表B.1 典型工业锅炉炉膛出口烟气污染物浓度，燃生物质成型颗粒锅炉，NOx污染物浓度在120-400mg/m</w:t>
            </w:r>
            <w:r>
              <w:rPr>
                <w:rFonts w:hint="default" w:ascii="Times New Roman" w:hAnsi="Times New Roman" w:eastAsia="宋体" w:cs="Times New Roman"/>
                <w:color w:val="000000" w:themeColor="text1"/>
                <w:positio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t>，本次评价取200mg/m</w:t>
            </w:r>
            <w:r>
              <w:rPr>
                <w:rFonts w:hint="default" w:ascii="Times New Roman" w:hAnsi="Times New Roman" w:eastAsia="宋体" w:cs="Times New Roman"/>
                <w:color w:val="000000" w:themeColor="text1"/>
                <w:positio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position w:val="0"/>
                <w:sz w:val="21"/>
                <w:szCs w:val="21"/>
                <w:highlight w:val="none"/>
                <w:lang w:val="en-US" w:eastAsia="zh-CN"/>
                <w14:textFill>
                  <w14:solidFill>
                    <w14:schemeClr w14:val="tx1"/>
                  </w14:solidFill>
                </w14:textFill>
              </w:rPr>
              <w:t>可行；</w:t>
            </w:r>
          </w:p>
          <w:p w14:paraId="29C1E01A">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t>燃生物质氮氧化物产生量参照《污染源源强核算技术指南 锅炉》（HJ991-2018）中式（5）计算。</w:t>
            </w:r>
          </w:p>
          <w:p w14:paraId="30A601AB">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630" w:firstLineChars="300"/>
              <w:textAlignment w:val="auto"/>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drawing>
                <wp:inline distT="0" distB="0" distL="114300" distR="114300">
                  <wp:extent cx="2620010" cy="703580"/>
                  <wp:effectExtent l="0" t="0" r="8890" b="1270"/>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18"/>
                          <a:stretch>
                            <a:fillRect/>
                          </a:stretch>
                        </pic:blipFill>
                        <pic:spPr>
                          <a:xfrm>
                            <a:off x="0" y="0"/>
                            <a:ext cx="2620010" cy="703580"/>
                          </a:xfrm>
                          <a:prstGeom prst="rect">
                            <a:avLst/>
                          </a:prstGeom>
                          <a:noFill/>
                          <a:ln>
                            <a:noFill/>
                          </a:ln>
                        </pic:spPr>
                      </pic:pic>
                    </a:graphicData>
                  </a:graphic>
                </wp:inline>
              </w:drawing>
            </w:r>
          </w:p>
          <w:p w14:paraId="169EB103">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t>式中：E</w:t>
            </w:r>
            <w:r>
              <w:rPr>
                <w:rFonts w:hint="default" w:ascii="Times New Roman" w:hAnsi="Times New Roman" w:eastAsia="宋体" w:cs="Times New Roman"/>
                <w:bCs/>
                <w:color w:val="000000" w:themeColor="text1"/>
                <w:spacing w:val="0"/>
                <w:kern w:val="0"/>
                <w:sz w:val="21"/>
                <w:szCs w:val="21"/>
                <w:highlight w:val="none"/>
                <w:vertAlign w:val="subscript"/>
                <w:lang w:val="en-US" w:eastAsia="zh-CN" w:bidi="ar-SA"/>
                <w14:textFill>
                  <w14:solidFill>
                    <w14:schemeClr w14:val="tx1"/>
                  </w14:solidFill>
                </w14:textFill>
              </w:rPr>
              <w:t>NOx</w:t>
            </w:r>
            <w:r>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t>—氮氧化物产生量，t/h；</w:t>
            </w:r>
          </w:p>
          <w:p w14:paraId="46FD249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1134"/>
              <w:textAlignment w:val="auto"/>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t>ρNOx—锅炉炉膛出口氮氧化物质量浓度，mg/m</w:t>
            </w:r>
            <w:r>
              <w:rPr>
                <w:rFonts w:hint="default" w:ascii="Times New Roman" w:hAnsi="Times New Roman" w:eastAsia="宋体" w:cs="Times New Roman"/>
                <w:bCs/>
                <w:color w:val="000000" w:themeColor="text1"/>
                <w:spacing w:val="0"/>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t>；本项目通过类比取200mg/m</w:t>
            </w:r>
            <w:r>
              <w:rPr>
                <w:rFonts w:hint="default" w:ascii="Times New Roman" w:hAnsi="Times New Roman" w:eastAsia="宋体" w:cs="Times New Roman"/>
                <w:bCs/>
                <w:color w:val="000000" w:themeColor="text1"/>
                <w:spacing w:val="0"/>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t>。</w:t>
            </w:r>
          </w:p>
          <w:p w14:paraId="3CB8BF8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1134"/>
              <w:textAlignment w:val="auto"/>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t>Q—标态干烟气产生量，m</w:t>
            </w:r>
            <w:r>
              <w:rPr>
                <w:rFonts w:hint="default" w:ascii="Times New Roman" w:hAnsi="Times New Roman" w:eastAsia="宋体" w:cs="Times New Roman"/>
                <w:bCs/>
                <w:color w:val="000000" w:themeColor="text1"/>
                <w:spacing w:val="0"/>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t>/h；</w:t>
            </w:r>
          </w:p>
          <w:p w14:paraId="582C26BE">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1134"/>
              <w:textAlignment w:val="auto"/>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t>ηNOx—脱硝效率，%。无脱硝设施取0。</w:t>
            </w:r>
          </w:p>
          <w:p w14:paraId="567AD6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t>经计算，本项目热风炉废气中氮氧化物产生量为6.675t/a，1.854kg/h。</w:t>
            </w:r>
          </w:p>
          <w:p w14:paraId="208F358E">
            <w:pPr>
              <w:pStyle w:val="14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故本项目</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热风炉</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大气污染物</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产生</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量为：</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颗粒物</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95.0</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SO</w:t>
            </w:r>
            <w:r>
              <w:rPr>
                <w:rFonts w:hint="default" w:ascii="Times New Roman" w:hAnsi="Times New Roman" w:eastAsia="宋体" w:cs="Times New Roman"/>
                <w:bCs/>
                <w:color w:val="000000" w:themeColor="text1"/>
                <w:spacing w:val="0"/>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1.135</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NO</w:t>
            </w:r>
            <w:r>
              <w:rPr>
                <w:rFonts w:hint="default" w:ascii="Times New Roman" w:hAnsi="Times New Roman" w:eastAsia="宋体" w:cs="Times New Roman"/>
                <w:bCs/>
                <w:color w:val="000000" w:themeColor="text1"/>
                <w:spacing w:val="0"/>
                <w:sz w:val="21"/>
                <w:szCs w:val="21"/>
                <w:highlight w:val="none"/>
                <w:vertAlign w:val="subscript"/>
                <w:lang w:eastAsia="zh-CN"/>
                <w14:textFill>
                  <w14:solidFill>
                    <w14:schemeClr w14:val="tx1"/>
                  </w14:solidFill>
                </w14:textFill>
              </w:rPr>
              <w:t>x</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：6.675</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热风炉烟气通过布袋除尘器（除尘效率99%）处理后经过25m高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排放。则</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热风炉</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大气污染物</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排放</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量为：颗粒物：</w:t>
            </w:r>
            <w:r>
              <w:rPr>
                <w:rFonts w:hint="default" w:ascii="Times New Roman" w:hAnsi="Times New Roman" w:eastAsia="宋体" w:cs="Times New Roman"/>
                <w:bCs w:val="0"/>
                <w:color w:val="000000" w:themeColor="text1"/>
                <w:spacing w:val="0"/>
                <w:sz w:val="21"/>
                <w:szCs w:val="21"/>
                <w:highlight w:val="none"/>
                <w:vertAlign w:val="baseline"/>
                <w:lang w:val="en-US" w:eastAsia="zh-CN"/>
                <w14:textFill>
                  <w14:solidFill>
                    <w14:schemeClr w14:val="tx1"/>
                  </w14:solidFill>
                </w14:textFill>
              </w:rPr>
              <w:t>0.950</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SO</w:t>
            </w:r>
            <w:r>
              <w:rPr>
                <w:rFonts w:hint="default" w:ascii="Times New Roman" w:hAnsi="Times New Roman" w:eastAsia="宋体" w:cs="Times New Roman"/>
                <w:bCs/>
                <w:color w:val="000000" w:themeColor="text1"/>
                <w:spacing w:val="0"/>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1.135</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NO</w:t>
            </w:r>
            <w:r>
              <w:rPr>
                <w:rFonts w:hint="default" w:ascii="Times New Roman" w:hAnsi="Times New Roman" w:eastAsia="宋体" w:cs="Times New Roman"/>
                <w:bCs/>
                <w:color w:val="000000" w:themeColor="text1"/>
                <w:spacing w:val="0"/>
                <w:sz w:val="21"/>
                <w:szCs w:val="21"/>
                <w:highlight w:val="none"/>
                <w:vertAlign w:val="subscript"/>
                <w:lang w:eastAsia="zh-CN"/>
                <w14:textFill>
                  <w14:solidFill>
                    <w14:schemeClr w14:val="tx1"/>
                  </w14:solidFill>
                </w14:textFill>
              </w:rPr>
              <w:t>x</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：6.675</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w:t>
            </w:r>
          </w:p>
          <w:p w14:paraId="1B837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）热风炉灰渣储运扬尘</w:t>
            </w:r>
          </w:p>
          <w:p w14:paraId="28B2D2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本项目热风炉灰渣储存在</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灰渣间</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内，热风炉灰渣每</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10天</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外运1次。热风炉灰渣储存及外运过程将产生扬尘，对灰渣暂存位置、灰渣装运过程采取洒水降尘措施，可有效控制扬尘污染。</w:t>
            </w:r>
          </w:p>
          <w:p w14:paraId="3C4CB6A2">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汞及其化合物</w:t>
            </w:r>
          </w:p>
          <w:p w14:paraId="7F437EF6">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生物质分析报告中未体现汞含量，根据《直接法测定固体生物质燃料中汞的试验研究》（煤质技术，2020年）可知，生物质汞含量为15.47ng/g。故，由于生物质颗粒汞含量低的特点，本项目暂不考虑汞的排放。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无需开展大气专项评价。</w:t>
            </w:r>
          </w:p>
          <w:p w14:paraId="746DEC90">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无组织工艺粉尘：</w:t>
            </w:r>
          </w:p>
          <w:p w14:paraId="195DB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初清</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筛分粉尘</w:t>
            </w:r>
          </w:p>
          <w:p w14:paraId="3FC809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本项目粮食进入粮仓之前进行筛分，筛分产生的粉尘根据《逸散性工业粉尘控制技术》中谷物贮仓，筛分和清理系数为1.5kg/t（清理料），</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本项目</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筛分量为</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60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000</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新增</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粉尘</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产生</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量为</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90</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清粮采用全密闭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清选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筛，产生的粉尘经设备自带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处理后排放，</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处理效率为99%，则粉尘排放量为0.</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9</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t/a，排放速率为</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0.250</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kg/h。</w:t>
            </w:r>
          </w:p>
          <w:p w14:paraId="7BE51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）原料输送装卸粉尘</w:t>
            </w:r>
          </w:p>
          <w:p w14:paraId="13E54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本项目装卸、运输过程中会产生废气，主要污染物为颗粒物，根据《逸散性工业粉尘控制技术》中谷物贮仓，卡车装卸粉尘系数为0.1kg/t（卸料），本项目装卸原料量</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60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000</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t，粉尘产生量为</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t/a，粉尘产生速率为</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1.67</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kg/h，装卸工段采取粮仓密闭四周设置围挡、减小装卸高度等降尘措施，运输过程中采用封闭输送，粉尘可降低90%，则原粮装卸运输过程无组织排放粉尘为</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0.6</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0.167</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kg/h。</w:t>
            </w:r>
          </w:p>
          <w:p w14:paraId="53827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）烘干粉尘</w:t>
            </w:r>
          </w:p>
          <w:p w14:paraId="0873E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本项目在粮食初清过程中已将绝大部分杂质清除干净，烘干过程中粉尘产生量根据《逸散性工业粉尘控制技术》第五章谷物仓储中的颗粒特性，干燥工序逸散尘排放因子取0.1kg/t，</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新增</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烘干量为</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59904</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t/a，则</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新增</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粉尘产生量</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5.990</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t/a，产生速率为</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1.664</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kg/h。烘干过程粉尘随着风力作用从烘干塔四周风口（占90%）及顶部溢出（占10%），最终以无组织形式排放。烘干塔内部自带重力沉降室，烘干塔底部四周设置防尘挡板，粉尘受挡板格挡后受重力作用回落到烘干塔底部收尘设施中，参照《扬尘源颗粒物排放清单编制技术指南》中围挡遮围对TSP的控制效率，本项目抑尘效率按90%计，则项目烘干塔无组织粉尘排放量为0.</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599</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t/a，排放速率为</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0.166</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kg/h。</w:t>
            </w:r>
          </w:p>
          <w:p w14:paraId="4A4B5678">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玉米须</w:t>
            </w:r>
          </w:p>
          <w:p w14:paraId="2CD2DCE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本项目所收原粮为脱粒玉米，不涉及玉米须。不需相应管控措施。</w:t>
            </w:r>
          </w:p>
          <w:p w14:paraId="5899CD02">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Cs w:val="21"/>
                <w:highlight w:val="none"/>
                <w14:textFill>
                  <w14:solidFill>
                    <w14:schemeClr w14:val="tx1"/>
                  </w14:solidFill>
                </w14:textFill>
              </w:rPr>
              <w:t>）排放口基本情况</w:t>
            </w:r>
          </w:p>
          <w:p w14:paraId="5C17F3F1">
            <w:pPr>
              <w:pStyle w:val="141"/>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表4</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-2 </w:t>
            </w:r>
            <w:r>
              <w:rPr>
                <w:rFonts w:hint="default" w:ascii="Times New Roman" w:hAnsi="Times New Roman" w:eastAsia="宋体" w:cs="Times New Roman"/>
                <w:b/>
                <w:color w:val="000000" w:themeColor="text1"/>
                <w:sz w:val="21"/>
                <w:szCs w:val="21"/>
                <w:highlight w:val="none"/>
                <w14:textFill>
                  <w14:solidFill>
                    <w14:schemeClr w14:val="tx1"/>
                  </w14:solidFill>
                </w14:textFill>
              </w:rPr>
              <w:t>废气排放口基本情况一览表</w:t>
            </w:r>
          </w:p>
          <w:tbl>
            <w:tblPr>
              <w:tblStyle w:val="34"/>
              <w:tblW w:w="5000" w:type="pct"/>
              <w:jc w:val="center"/>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488"/>
              <w:gridCol w:w="856"/>
              <w:gridCol w:w="856"/>
              <w:gridCol w:w="962"/>
              <w:gridCol w:w="1233"/>
              <w:gridCol w:w="1895"/>
            </w:tblGrid>
            <w:tr w14:paraId="2A58C379">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left w:val="nil"/>
                    <w:bottom w:val="single" w:color="auto" w:sz="4" w:space="0"/>
                    <w:right w:val="single" w:color="auto" w:sz="4" w:space="0"/>
                  </w:tcBorders>
                  <w:noWrap w:val="0"/>
                  <w:vAlign w:val="center"/>
                </w:tcPr>
                <w:p w14:paraId="0492F7D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编号</w:t>
                  </w:r>
                </w:p>
              </w:tc>
              <w:tc>
                <w:tcPr>
                  <w:tcW w:w="923" w:type="pct"/>
                  <w:tcBorders>
                    <w:left w:val="single" w:color="auto" w:sz="4" w:space="0"/>
                    <w:bottom w:val="single" w:color="auto" w:sz="4" w:space="0"/>
                    <w:right w:val="single" w:color="auto" w:sz="4" w:space="0"/>
                  </w:tcBorders>
                  <w:noWrap w:val="0"/>
                  <w:vAlign w:val="center"/>
                </w:tcPr>
                <w:p w14:paraId="69E6539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排放口名称</w:t>
                  </w:r>
                </w:p>
              </w:tc>
              <w:tc>
                <w:tcPr>
                  <w:tcW w:w="531" w:type="pct"/>
                  <w:tcBorders>
                    <w:left w:val="single" w:color="auto" w:sz="4" w:space="0"/>
                    <w:bottom w:val="single" w:color="auto" w:sz="4" w:space="0"/>
                    <w:right w:val="single" w:color="auto" w:sz="4" w:space="0"/>
                  </w:tcBorders>
                  <w:noWrap w:val="0"/>
                  <w:vAlign w:val="center"/>
                </w:tcPr>
                <w:p w14:paraId="260E302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高度/m</w:t>
                  </w:r>
                </w:p>
              </w:tc>
              <w:tc>
                <w:tcPr>
                  <w:tcW w:w="531" w:type="pct"/>
                  <w:tcBorders>
                    <w:left w:val="single" w:color="auto" w:sz="4" w:space="0"/>
                    <w:bottom w:val="single" w:color="auto" w:sz="4" w:space="0"/>
                    <w:right w:val="single" w:color="auto" w:sz="4" w:space="0"/>
                  </w:tcBorders>
                  <w:noWrap w:val="0"/>
                  <w:vAlign w:val="center"/>
                </w:tcPr>
                <w:p w14:paraId="60D67CE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内径/m</w:t>
                  </w:r>
                </w:p>
              </w:tc>
              <w:tc>
                <w:tcPr>
                  <w:tcW w:w="597" w:type="pct"/>
                  <w:tcBorders>
                    <w:left w:val="single" w:color="auto" w:sz="4" w:space="0"/>
                    <w:bottom w:val="single" w:color="auto" w:sz="4" w:space="0"/>
                    <w:right w:val="single" w:color="auto" w:sz="4" w:space="0"/>
                  </w:tcBorders>
                  <w:noWrap w:val="0"/>
                  <w:vAlign w:val="center"/>
                </w:tcPr>
                <w:p w14:paraId="615B6FA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温度/℃</w:t>
                  </w:r>
                </w:p>
              </w:tc>
              <w:tc>
                <w:tcPr>
                  <w:tcW w:w="765" w:type="pct"/>
                  <w:tcBorders>
                    <w:left w:val="single" w:color="auto" w:sz="4" w:space="0"/>
                    <w:bottom w:val="single" w:color="auto" w:sz="4" w:space="0"/>
                    <w:right w:val="single" w:color="auto" w:sz="4" w:space="0"/>
                  </w:tcBorders>
                  <w:noWrap w:val="0"/>
                  <w:vAlign w:val="center"/>
                </w:tcPr>
                <w:p w14:paraId="4B8C2D8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类型</w:t>
                  </w:r>
                </w:p>
              </w:tc>
              <w:tc>
                <w:tcPr>
                  <w:tcW w:w="1176" w:type="pct"/>
                  <w:tcBorders>
                    <w:left w:val="single" w:color="auto" w:sz="4" w:space="0"/>
                    <w:bottom w:val="single" w:color="auto" w:sz="4" w:space="0"/>
                    <w:right w:val="nil"/>
                  </w:tcBorders>
                  <w:noWrap w:val="0"/>
                  <w:vAlign w:val="center"/>
                </w:tcPr>
                <w:p w14:paraId="2D7C05F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地理坐标</w:t>
                  </w:r>
                </w:p>
              </w:tc>
            </w:tr>
            <w:tr w14:paraId="61FEBD1F">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nil"/>
                    <w:bottom w:val="single" w:color="auto" w:sz="4" w:space="0"/>
                    <w:right w:val="single" w:color="auto" w:sz="4" w:space="0"/>
                  </w:tcBorders>
                  <w:noWrap w:val="0"/>
                  <w:vAlign w:val="center"/>
                </w:tcPr>
                <w:p w14:paraId="575AA7B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DA001</w:t>
                  </w:r>
                </w:p>
              </w:tc>
              <w:tc>
                <w:tcPr>
                  <w:tcW w:w="923" w:type="pct"/>
                  <w:tcBorders>
                    <w:top w:val="single" w:color="auto" w:sz="4" w:space="0"/>
                    <w:left w:val="single" w:color="auto" w:sz="4" w:space="0"/>
                    <w:bottom w:val="single" w:color="auto" w:sz="4" w:space="0"/>
                    <w:right w:val="single" w:color="auto" w:sz="4" w:space="0"/>
                  </w:tcBorders>
                  <w:noWrap w:val="0"/>
                  <w:vAlign w:val="center"/>
                </w:tcPr>
                <w:p w14:paraId="2EC2E9E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热风炉烟囱</w:t>
                  </w:r>
                </w:p>
              </w:tc>
              <w:tc>
                <w:tcPr>
                  <w:tcW w:w="531" w:type="pct"/>
                  <w:tcBorders>
                    <w:top w:val="single" w:color="auto" w:sz="4" w:space="0"/>
                    <w:left w:val="single" w:color="auto" w:sz="4" w:space="0"/>
                    <w:bottom w:val="single" w:color="auto" w:sz="4" w:space="0"/>
                    <w:right w:val="single" w:color="auto" w:sz="4" w:space="0"/>
                  </w:tcBorders>
                  <w:noWrap w:val="0"/>
                  <w:vAlign w:val="center"/>
                </w:tcPr>
                <w:p w14:paraId="5E34B4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25</w:t>
                  </w:r>
                </w:p>
              </w:tc>
              <w:tc>
                <w:tcPr>
                  <w:tcW w:w="531" w:type="pct"/>
                  <w:tcBorders>
                    <w:top w:val="single" w:color="auto" w:sz="4" w:space="0"/>
                    <w:left w:val="single" w:color="auto" w:sz="4" w:space="0"/>
                    <w:bottom w:val="single" w:color="auto" w:sz="4" w:space="0"/>
                    <w:right w:val="single" w:color="auto" w:sz="4" w:space="0"/>
                  </w:tcBorders>
                  <w:noWrap w:val="0"/>
                  <w:vAlign w:val="center"/>
                </w:tcPr>
                <w:p w14:paraId="0818E0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0.4</w:t>
                  </w:r>
                </w:p>
              </w:tc>
              <w:tc>
                <w:tcPr>
                  <w:tcW w:w="597" w:type="pct"/>
                  <w:tcBorders>
                    <w:top w:val="single" w:color="auto" w:sz="4" w:space="0"/>
                    <w:left w:val="single" w:color="auto" w:sz="4" w:space="0"/>
                    <w:bottom w:val="single" w:color="auto" w:sz="4" w:space="0"/>
                    <w:right w:val="single" w:color="auto" w:sz="4" w:space="0"/>
                  </w:tcBorders>
                  <w:noWrap w:val="0"/>
                  <w:vAlign w:val="center"/>
                </w:tcPr>
                <w:p w14:paraId="1C5385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140</w:t>
                  </w:r>
                </w:p>
              </w:tc>
              <w:tc>
                <w:tcPr>
                  <w:tcW w:w="765" w:type="pct"/>
                  <w:tcBorders>
                    <w:top w:val="single" w:color="auto" w:sz="4" w:space="0"/>
                    <w:left w:val="single" w:color="auto" w:sz="4" w:space="0"/>
                    <w:bottom w:val="single" w:color="auto" w:sz="4" w:space="0"/>
                    <w:right w:val="single" w:color="auto" w:sz="4" w:space="0"/>
                  </w:tcBorders>
                  <w:noWrap w:val="0"/>
                  <w:vAlign w:val="center"/>
                </w:tcPr>
                <w:p w14:paraId="40E474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一般排放口</w:t>
                  </w:r>
                </w:p>
              </w:tc>
              <w:tc>
                <w:tcPr>
                  <w:tcW w:w="1176" w:type="pct"/>
                  <w:tcBorders>
                    <w:top w:val="single" w:color="auto" w:sz="4" w:space="0"/>
                    <w:left w:val="single" w:color="auto" w:sz="4" w:space="0"/>
                    <w:bottom w:val="single" w:color="auto" w:sz="4" w:space="0"/>
                    <w:right w:val="nil"/>
                  </w:tcBorders>
                  <w:noWrap w:val="0"/>
                  <w:vAlign w:val="center"/>
                </w:tcPr>
                <w:p w14:paraId="504BDB7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经度：</w:t>
                  </w:r>
                  <w:r>
                    <w:rPr>
                      <w:rFonts w:hint="default" w:ascii="Times New Roman" w:hAnsi="Times New Roman" w:eastAsia="宋体" w:cs="Times New Roman"/>
                      <w:bCs/>
                      <w:color w:val="000000" w:themeColor="text1"/>
                      <w:sz w:val="18"/>
                      <w:szCs w:val="18"/>
                      <w:highlight w:val="none"/>
                      <w14:textFill>
                        <w14:solidFill>
                          <w14:schemeClr w14:val="tx1"/>
                        </w14:solidFill>
                      </w14:textFill>
                    </w:rPr>
                    <w:t>130.72029948</w:t>
                  </w:r>
                </w:p>
                <w:p w14:paraId="14CE968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纬度：</w:t>
                  </w:r>
                  <w:r>
                    <w:rPr>
                      <w:rFonts w:hint="default" w:ascii="Times New Roman" w:hAnsi="Times New Roman" w:eastAsia="宋体" w:cs="Times New Roman"/>
                      <w:bCs/>
                      <w:color w:val="000000" w:themeColor="text1"/>
                      <w:sz w:val="18"/>
                      <w:szCs w:val="18"/>
                      <w:highlight w:val="none"/>
                      <w14:textFill>
                        <w14:solidFill>
                          <w14:schemeClr w14:val="tx1"/>
                        </w14:solidFill>
                      </w14:textFill>
                    </w:rPr>
                    <w:t>45.26032827</w:t>
                  </w:r>
                </w:p>
              </w:tc>
            </w:tr>
          </w:tbl>
          <w:p w14:paraId="55A1A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）本项目非正常排放</w:t>
            </w:r>
          </w:p>
          <w:p w14:paraId="4A1F9FC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废气治理措施发生故障，废气未经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有效的</w:t>
            </w:r>
            <w:r>
              <w:rPr>
                <w:rFonts w:hint="default" w:ascii="Times New Roman" w:hAnsi="Times New Roman" w:eastAsia="宋体" w:cs="Times New Roman"/>
                <w:color w:val="000000" w:themeColor="text1"/>
                <w:sz w:val="21"/>
                <w:szCs w:val="21"/>
                <w:highlight w:val="none"/>
                <w14:textFill>
                  <w14:solidFill>
                    <w14:schemeClr w14:val="tx1"/>
                  </w14:solidFill>
                </w14:textFill>
              </w:rPr>
              <w:t>处理直接排放</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处理效率降低为70%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A320A40">
            <w:pPr>
              <w:pStyle w:val="7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表4-</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3 </w:t>
            </w:r>
            <w:r>
              <w:rPr>
                <w:rFonts w:hint="default" w:ascii="Times New Roman" w:hAnsi="Times New Roman" w:eastAsia="宋体" w:cs="Times New Roman"/>
                <w:b/>
                <w:color w:val="000000" w:themeColor="text1"/>
                <w:sz w:val="21"/>
                <w:szCs w:val="21"/>
                <w:highlight w:val="none"/>
                <w14:textFill>
                  <w14:solidFill>
                    <w14:schemeClr w14:val="tx1"/>
                  </w14:solidFill>
                </w14:textFill>
              </w:rPr>
              <w:t>非正常排放参数表</w:t>
            </w:r>
          </w:p>
          <w:tbl>
            <w:tblPr>
              <w:tblStyle w:val="34"/>
              <w:tblW w:w="5000" w:type="pct"/>
              <w:jc w:val="center"/>
              <w:tblBorders>
                <w:top w:val="single" w:color="auto" w:sz="4"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1398"/>
              <w:gridCol w:w="793"/>
              <w:gridCol w:w="1056"/>
              <w:gridCol w:w="1056"/>
              <w:gridCol w:w="829"/>
              <w:gridCol w:w="887"/>
              <w:gridCol w:w="911"/>
            </w:tblGrid>
            <w:tr w14:paraId="2F1E8F64">
              <w:tblPrEx>
                <w:tblBorders>
                  <w:top w:val="single" w:color="auto" w:sz="4"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7" w:type="pct"/>
                  <w:tcBorders>
                    <w:left w:val="nil"/>
                    <w:bottom w:val="single" w:color="000000" w:sz="4" w:space="0"/>
                    <w:right w:val="single" w:color="000000" w:sz="4" w:space="0"/>
                  </w:tcBorders>
                  <w:noWrap w:val="0"/>
                  <w:vAlign w:val="center"/>
                </w:tcPr>
                <w:p w14:paraId="04586CA0">
                  <w:pPr>
                    <w:pStyle w:val="7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非正常排放源</w:t>
                  </w:r>
                </w:p>
              </w:tc>
              <w:tc>
                <w:tcPr>
                  <w:tcW w:w="867" w:type="pct"/>
                  <w:tcBorders>
                    <w:left w:val="single" w:color="000000" w:sz="4" w:space="0"/>
                    <w:bottom w:val="single" w:color="000000" w:sz="4" w:space="0"/>
                    <w:right w:val="single" w:color="000000" w:sz="4" w:space="0"/>
                  </w:tcBorders>
                  <w:noWrap w:val="0"/>
                  <w:vAlign w:val="center"/>
                </w:tcPr>
                <w:p w14:paraId="02B03476">
                  <w:pPr>
                    <w:pStyle w:val="7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非正常</w:t>
                  </w:r>
                </w:p>
                <w:p w14:paraId="493203B3">
                  <w:pPr>
                    <w:pStyle w:val="7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排放原因</w:t>
                  </w:r>
                </w:p>
              </w:tc>
              <w:tc>
                <w:tcPr>
                  <w:tcW w:w="492" w:type="pct"/>
                  <w:tcBorders>
                    <w:left w:val="single" w:color="000000" w:sz="4" w:space="0"/>
                    <w:bottom w:val="single" w:color="000000" w:sz="4" w:space="0"/>
                    <w:right w:val="single" w:color="000000" w:sz="4" w:space="0"/>
                  </w:tcBorders>
                  <w:noWrap w:val="0"/>
                  <w:vAlign w:val="center"/>
                </w:tcPr>
                <w:p w14:paraId="2E49031F">
                  <w:pPr>
                    <w:pStyle w:val="7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655" w:type="pct"/>
                  <w:tcBorders>
                    <w:left w:val="single" w:color="auto" w:sz="4" w:space="0"/>
                    <w:bottom w:val="single" w:color="000000" w:sz="4" w:space="0"/>
                    <w:right w:val="single" w:color="000000" w:sz="4" w:space="0"/>
                  </w:tcBorders>
                  <w:noWrap w:val="0"/>
                  <w:vAlign w:val="center"/>
                </w:tcPr>
                <w:p w14:paraId="2DB66F2A">
                  <w:pPr>
                    <w:pStyle w:val="7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bCs/>
                      <w:color w:val="000000" w:themeColor="text1"/>
                      <w:spacing w:val="0"/>
                      <w:position w:val="0"/>
                      <w:sz w:val="18"/>
                      <w:szCs w:val="18"/>
                      <w:highlight w:val="none"/>
                      <w14:textFill>
                        <w14:solidFill>
                          <w14:schemeClr w14:val="tx1"/>
                        </w14:solidFill>
                      </w14:textFill>
                    </w:rPr>
                    <w:t>排放浓度mg/m</w:t>
                  </w:r>
                  <w:r>
                    <w:rPr>
                      <w:rFonts w:hint="default" w:ascii="Times New Roman" w:hAnsi="Times New Roman" w:eastAsia="宋体" w:cs="Times New Roman"/>
                      <w:bCs/>
                      <w:color w:val="000000" w:themeColor="text1"/>
                      <w:spacing w:val="0"/>
                      <w:position w:val="0"/>
                      <w:sz w:val="18"/>
                      <w:szCs w:val="18"/>
                      <w:highlight w:val="none"/>
                      <w:vertAlign w:val="superscript"/>
                      <w14:textFill>
                        <w14:solidFill>
                          <w14:schemeClr w14:val="tx1"/>
                        </w14:solidFill>
                      </w14:textFill>
                    </w:rPr>
                    <w:t>3</w:t>
                  </w:r>
                </w:p>
              </w:tc>
              <w:tc>
                <w:tcPr>
                  <w:tcW w:w="655" w:type="pct"/>
                  <w:tcBorders>
                    <w:left w:val="single" w:color="auto" w:sz="4" w:space="0"/>
                    <w:bottom w:val="single" w:color="000000" w:sz="4" w:space="0"/>
                    <w:right w:val="single" w:color="000000" w:sz="4" w:space="0"/>
                  </w:tcBorders>
                  <w:noWrap w:val="0"/>
                  <w:vAlign w:val="center"/>
                </w:tcPr>
                <w:p w14:paraId="1F816E79">
                  <w:pPr>
                    <w:pStyle w:val="7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非正常排放</w:t>
                  </w:r>
                  <w:r>
                    <w:rPr>
                      <w:rFonts w:hint="default" w:ascii="Times New Roman" w:hAnsi="Times New Roman" w:eastAsia="宋体" w:cs="Times New Roman"/>
                      <w:bCs/>
                      <w:color w:val="000000" w:themeColor="text1"/>
                      <w:sz w:val="18"/>
                      <w:szCs w:val="18"/>
                      <w:highlight w:val="none"/>
                      <w14:textFill>
                        <w14:solidFill>
                          <w14:schemeClr w14:val="tx1"/>
                        </w14:solidFill>
                      </w14:textFill>
                    </w:rPr>
                    <w:t>速率kg/h</w:t>
                  </w:r>
                </w:p>
              </w:tc>
              <w:tc>
                <w:tcPr>
                  <w:tcW w:w="514" w:type="pct"/>
                  <w:tcBorders>
                    <w:left w:val="single" w:color="000000" w:sz="4" w:space="0"/>
                    <w:bottom w:val="single" w:color="000000" w:sz="4" w:space="0"/>
                    <w:right w:val="single" w:color="000000" w:sz="4" w:space="0"/>
                  </w:tcBorders>
                  <w:noWrap w:val="0"/>
                  <w:vAlign w:val="center"/>
                </w:tcPr>
                <w:p w14:paraId="235E74E3">
                  <w:pPr>
                    <w:pStyle w:val="7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单次持续时间/h</w:t>
                  </w:r>
                </w:p>
              </w:tc>
              <w:tc>
                <w:tcPr>
                  <w:tcW w:w="550" w:type="pct"/>
                  <w:tcBorders>
                    <w:left w:val="single" w:color="000000" w:sz="4" w:space="0"/>
                    <w:bottom w:val="single" w:color="000000" w:sz="4" w:space="0"/>
                    <w:right w:val="single" w:color="auto" w:sz="4" w:space="0"/>
                  </w:tcBorders>
                  <w:noWrap w:val="0"/>
                  <w:vAlign w:val="center"/>
                </w:tcPr>
                <w:p w14:paraId="61AF1487">
                  <w:pPr>
                    <w:pStyle w:val="73"/>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年发生频次/次</w:t>
                  </w:r>
                </w:p>
              </w:tc>
              <w:tc>
                <w:tcPr>
                  <w:tcW w:w="565" w:type="pct"/>
                  <w:tcBorders>
                    <w:left w:val="single" w:color="auto" w:sz="4" w:space="0"/>
                    <w:bottom w:val="single" w:color="000000" w:sz="4" w:space="0"/>
                    <w:right w:val="nil"/>
                  </w:tcBorders>
                  <w:noWrap w:val="0"/>
                  <w:vAlign w:val="center"/>
                </w:tcPr>
                <w:p w14:paraId="702CE49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应对措施</w:t>
                  </w:r>
                </w:p>
              </w:tc>
            </w:tr>
            <w:tr w14:paraId="39804486">
              <w:tblPrEx>
                <w:tblBorders>
                  <w:top w:val="single" w:color="auto" w:sz="4"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7" w:type="pct"/>
                  <w:tcBorders>
                    <w:top w:val="single" w:color="000000" w:sz="4" w:space="0"/>
                    <w:left w:val="nil"/>
                    <w:bottom w:val="single" w:color="000000" w:sz="4" w:space="0"/>
                    <w:right w:val="single" w:color="000000" w:sz="4" w:space="0"/>
                  </w:tcBorders>
                  <w:noWrap w:val="0"/>
                  <w:vAlign w:val="center"/>
                </w:tcPr>
                <w:p w14:paraId="01752B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DA001</w:t>
                  </w:r>
                </w:p>
              </w:tc>
              <w:tc>
                <w:tcPr>
                  <w:tcW w:w="867" w:type="pct"/>
                  <w:tcBorders>
                    <w:top w:val="single" w:color="000000" w:sz="4" w:space="0"/>
                    <w:left w:val="single" w:color="000000" w:sz="4" w:space="0"/>
                    <w:bottom w:val="single" w:color="000000" w:sz="4" w:space="0"/>
                    <w:right w:val="single" w:color="000000" w:sz="4" w:space="0"/>
                  </w:tcBorders>
                  <w:noWrap w:val="0"/>
                  <w:vAlign w:val="center"/>
                </w:tcPr>
                <w:p w14:paraId="4657EE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布袋</w:t>
                  </w:r>
                  <w:r>
                    <w:rPr>
                      <w:rFonts w:hint="default" w:ascii="Times New Roman" w:hAnsi="Times New Roman" w:eastAsia="宋体" w:cs="Times New Roman"/>
                      <w:color w:val="000000" w:themeColor="text1"/>
                      <w:sz w:val="18"/>
                      <w:szCs w:val="18"/>
                      <w:highlight w:val="none"/>
                      <w14:textFill>
                        <w14:solidFill>
                          <w14:schemeClr w14:val="tx1"/>
                        </w14:solidFill>
                      </w14:textFill>
                    </w:rPr>
                    <w:t>除尘器发生故障，处理效率降低为</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70</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92" w:type="pct"/>
                  <w:tcBorders>
                    <w:top w:val="single" w:color="000000" w:sz="4" w:space="0"/>
                    <w:left w:val="single" w:color="000000" w:sz="4" w:space="0"/>
                    <w:bottom w:val="single" w:color="000000" w:sz="4" w:space="0"/>
                    <w:right w:val="single" w:color="000000" w:sz="4" w:space="0"/>
                  </w:tcBorders>
                  <w:noWrap w:val="0"/>
                  <w:vAlign w:val="center"/>
                </w:tcPr>
                <w:p w14:paraId="6115CC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颗粒物</w:t>
                  </w:r>
                </w:p>
              </w:tc>
              <w:tc>
                <w:tcPr>
                  <w:tcW w:w="655" w:type="pct"/>
                  <w:tcBorders>
                    <w:top w:val="single" w:color="000000" w:sz="4" w:space="0"/>
                    <w:left w:val="single" w:color="auto" w:sz="4" w:space="0"/>
                    <w:bottom w:val="single" w:color="000000" w:sz="4" w:space="0"/>
                    <w:right w:val="single" w:color="000000" w:sz="4" w:space="0"/>
                  </w:tcBorders>
                  <w:noWrap w:val="0"/>
                  <w:vAlign w:val="center"/>
                </w:tcPr>
                <w:p w14:paraId="78B298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t>853.8</w:t>
                  </w:r>
                </w:p>
              </w:tc>
              <w:tc>
                <w:tcPr>
                  <w:tcW w:w="655" w:type="pct"/>
                  <w:tcBorders>
                    <w:top w:val="single" w:color="000000" w:sz="4" w:space="0"/>
                    <w:left w:val="single" w:color="auto" w:sz="4" w:space="0"/>
                    <w:bottom w:val="single" w:color="000000" w:sz="4" w:space="0"/>
                    <w:right w:val="single" w:color="000000" w:sz="4" w:space="0"/>
                  </w:tcBorders>
                  <w:noWrap w:val="0"/>
                  <w:vAlign w:val="center"/>
                </w:tcPr>
                <w:p w14:paraId="64B021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t>7.92</w:t>
                  </w:r>
                </w:p>
              </w:tc>
              <w:tc>
                <w:tcPr>
                  <w:tcW w:w="514" w:type="pct"/>
                  <w:tcBorders>
                    <w:top w:val="single" w:color="000000" w:sz="4" w:space="0"/>
                    <w:left w:val="single" w:color="000000" w:sz="4" w:space="0"/>
                    <w:bottom w:val="single" w:color="000000" w:sz="4" w:space="0"/>
                    <w:right w:val="single" w:color="000000" w:sz="4" w:space="0"/>
                  </w:tcBorders>
                  <w:noWrap w:val="0"/>
                  <w:vAlign w:val="center"/>
                </w:tcPr>
                <w:p w14:paraId="56ACD5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w:t>
                  </w:r>
                </w:p>
              </w:tc>
              <w:tc>
                <w:tcPr>
                  <w:tcW w:w="550" w:type="pct"/>
                  <w:tcBorders>
                    <w:top w:val="single" w:color="000000" w:sz="4" w:space="0"/>
                    <w:left w:val="single" w:color="000000" w:sz="4" w:space="0"/>
                    <w:bottom w:val="single" w:color="000000" w:sz="4" w:space="0"/>
                    <w:right w:val="single" w:color="auto" w:sz="4" w:space="0"/>
                  </w:tcBorders>
                  <w:noWrap w:val="0"/>
                  <w:vAlign w:val="center"/>
                </w:tcPr>
                <w:p w14:paraId="3D2DB5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w:t>
                  </w:r>
                </w:p>
              </w:tc>
              <w:tc>
                <w:tcPr>
                  <w:tcW w:w="565" w:type="pct"/>
                  <w:tcBorders>
                    <w:top w:val="single" w:color="000000" w:sz="4" w:space="0"/>
                    <w:left w:val="single" w:color="auto" w:sz="4" w:space="0"/>
                    <w:bottom w:val="single" w:color="000000" w:sz="4" w:space="0"/>
                    <w:right w:val="nil"/>
                  </w:tcBorders>
                  <w:noWrap w:val="0"/>
                  <w:vAlign w:val="center"/>
                </w:tcPr>
                <w:p w14:paraId="5BAC48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设备停止运行，进行检修维护</w:t>
                  </w:r>
                </w:p>
              </w:tc>
            </w:tr>
          </w:tbl>
          <w:p w14:paraId="69779F63">
            <w:pPr>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废气监测计划</w:t>
            </w:r>
          </w:p>
          <w:p w14:paraId="2F956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根据《排污许可证申请与核发技术规范 工业炉窑》（HJ1121-2020）和《排污单位自行监测技术指南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总则》（HJ819-2017）</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制定本项目废气监测计划如下。</w:t>
            </w:r>
          </w:p>
          <w:p w14:paraId="5CC9AE4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表4-</w:t>
            </w: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 xml:space="preserve">4 </w:t>
            </w:r>
            <w:r>
              <w:rPr>
                <w:rFonts w:hint="default" w:ascii="Times New Roman" w:hAnsi="Times New Roman" w:eastAsia="宋体" w:cs="Times New Roman"/>
                <w:b/>
                <w:color w:val="000000" w:themeColor="text1"/>
                <w:szCs w:val="21"/>
                <w:highlight w:val="none"/>
                <w14:textFill>
                  <w14:solidFill>
                    <w14:schemeClr w14:val="tx1"/>
                  </w14:solidFill>
                </w14:textFill>
              </w:rPr>
              <w:t>废气监测方案</w:t>
            </w:r>
          </w:p>
          <w:tbl>
            <w:tblPr>
              <w:tblStyle w:val="3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150"/>
              <w:gridCol w:w="1888"/>
              <w:gridCol w:w="937"/>
              <w:gridCol w:w="1112"/>
              <w:gridCol w:w="2197"/>
            </w:tblGrid>
            <w:tr w14:paraId="71953C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70" w:type="dxa"/>
                  <w:tcBorders>
                    <w:left w:val="nil"/>
                    <w:bottom w:val="single" w:color="auto" w:sz="4" w:space="0"/>
                    <w:right w:val="single" w:color="auto" w:sz="4" w:space="0"/>
                  </w:tcBorders>
                  <w:noWrap w:val="0"/>
                  <w:vAlign w:val="center"/>
                </w:tcPr>
                <w:p w14:paraId="08AA42E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编号</w:t>
                  </w:r>
                </w:p>
              </w:tc>
              <w:tc>
                <w:tcPr>
                  <w:tcW w:w="1150" w:type="dxa"/>
                  <w:tcBorders>
                    <w:left w:val="single" w:color="auto" w:sz="4" w:space="0"/>
                    <w:bottom w:val="single" w:color="auto" w:sz="4" w:space="0"/>
                    <w:right w:val="single" w:color="auto" w:sz="4" w:space="0"/>
                  </w:tcBorders>
                  <w:noWrap w:val="0"/>
                  <w:vAlign w:val="center"/>
                </w:tcPr>
                <w:p w14:paraId="4BE1C4E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排放口名称</w:t>
                  </w:r>
                </w:p>
              </w:tc>
              <w:tc>
                <w:tcPr>
                  <w:tcW w:w="1888" w:type="dxa"/>
                  <w:tcBorders>
                    <w:left w:val="single" w:color="auto" w:sz="4" w:space="0"/>
                    <w:bottom w:val="single" w:color="auto" w:sz="4" w:space="0"/>
                    <w:right w:val="single" w:color="auto" w:sz="4" w:space="0"/>
                  </w:tcBorders>
                  <w:noWrap w:val="0"/>
                  <w:vAlign w:val="center"/>
                </w:tcPr>
                <w:p w14:paraId="2E8640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监测</w:t>
                  </w:r>
                  <w:r>
                    <w:rPr>
                      <w:rFonts w:hint="default" w:ascii="Times New Roman" w:hAnsi="Times New Roman" w:eastAsia="宋体" w:cs="Times New Roman"/>
                      <w:bCs/>
                      <w:color w:val="000000" w:themeColor="text1"/>
                      <w:sz w:val="18"/>
                      <w:szCs w:val="18"/>
                      <w:highlight w:val="none"/>
                      <w14:textFill>
                        <w14:solidFill>
                          <w14:schemeClr w14:val="tx1"/>
                        </w14:solidFill>
                      </w14:textFill>
                    </w:rPr>
                    <w:t>因子</w:t>
                  </w:r>
                </w:p>
              </w:tc>
              <w:tc>
                <w:tcPr>
                  <w:tcW w:w="937" w:type="dxa"/>
                  <w:tcBorders>
                    <w:left w:val="single" w:color="auto" w:sz="4" w:space="0"/>
                    <w:bottom w:val="single" w:color="auto" w:sz="4" w:space="0"/>
                    <w:right w:val="single" w:color="auto" w:sz="4" w:space="0"/>
                  </w:tcBorders>
                  <w:noWrap w:val="0"/>
                  <w:vAlign w:val="center"/>
                </w:tcPr>
                <w:p w14:paraId="040DCE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监测频次</w:t>
                  </w:r>
                </w:p>
              </w:tc>
              <w:tc>
                <w:tcPr>
                  <w:tcW w:w="1112" w:type="dxa"/>
                  <w:tcBorders>
                    <w:left w:val="single" w:color="auto" w:sz="4" w:space="0"/>
                    <w:bottom w:val="single" w:color="auto" w:sz="4" w:space="0"/>
                    <w:right w:val="nil"/>
                  </w:tcBorders>
                  <w:noWrap w:val="0"/>
                  <w:vAlign w:val="center"/>
                </w:tcPr>
                <w:p w14:paraId="3E5D5CB7">
                  <w:pPr>
                    <w:keepNext w:val="0"/>
                    <w:keepLines w:val="0"/>
                    <w:pageBreakBefore w:val="0"/>
                    <w:suppressLineNumbers w:val="0"/>
                    <w:tabs>
                      <w:tab w:val="left" w:pos="351"/>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监测时间</w:t>
                  </w:r>
                </w:p>
              </w:tc>
              <w:tc>
                <w:tcPr>
                  <w:tcW w:w="2197" w:type="dxa"/>
                  <w:tcBorders>
                    <w:left w:val="single" w:color="auto" w:sz="4" w:space="0"/>
                    <w:bottom w:val="single" w:color="auto" w:sz="4" w:space="0"/>
                    <w:right w:val="nil"/>
                  </w:tcBorders>
                  <w:noWrap w:val="0"/>
                  <w:vAlign w:val="center"/>
                </w:tcPr>
                <w:p w14:paraId="39B7C0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执行排放标准</w:t>
                  </w:r>
                </w:p>
              </w:tc>
            </w:tr>
            <w:tr w14:paraId="15891E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0" w:type="dxa"/>
                  <w:tcBorders>
                    <w:top w:val="single" w:color="auto" w:sz="4" w:space="0"/>
                    <w:left w:val="nil"/>
                    <w:bottom w:val="single" w:color="auto" w:sz="4" w:space="0"/>
                    <w:right w:val="single" w:color="auto" w:sz="4" w:space="0"/>
                  </w:tcBorders>
                  <w:noWrap w:val="0"/>
                  <w:vAlign w:val="center"/>
                </w:tcPr>
                <w:p w14:paraId="2CD298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DA001</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6BC5B0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热风炉烟囱</w:t>
                  </w:r>
                </w:p>
              </w:tc>
              <w:tc>
                <w:tcPr>
                  <w:tcW w:w="1888" w:type="dxa"/>
                  <w:tcBorders>
                    <w:top w:val="single" w:color="auto" w:sz="4" w:space="0"/>
                    <w:left w:val="single" w:color="auto" w:sz="4" w:space="0"/>
                    <w:bottom w:val="single" w:color="auto" w:sz="4" w:space="0"/>
                    <w:right w:val="single" w:color="auto" w:sz="4" w:space="0"/>
                  </w:tcBorders>
                  <w:noWrap w:val="0"/>
                  <w:vAlign w:val="center"/>
                </w:tcPr>
                <w:p w14:paraId="4DA37B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、烟气黑度</w:t>
                  </w:r>
                  <w:r>
                    <w:rPr>
                      <w:rFonts w:hint="default" w:ascii="Times New Roman" w:hAnsi="Times New Roman" w:eastAsia="宋体" w:cs="Times New Roman"/>
                      <w:color w:val="000000" w:themeColor="text1"/>
                      <w:sz w:val="18"/>
                      <w:szCs w:val="18"/>
                      <w:highlight w:val="none"/>
                      <w14:textFill>
                        <w14:solidFill>
                          <w14:schemeClr w14:val="tx1"/>
                        </w14:solidFill>
                      </w14:textFill>
                    </w:rPr>
                    <w:t>、SO</w:t>
                  </w:r>
                  <w:r>
                    <w:rPr>
                      <w:rFonts w:hint="default" w:ascii="Times New Roman" w:hAnsi="Times New Roman" w:eastAsia="宋体" w:cs="Times New Roman"/>
                      <w:color w:val="000000" w:themeColor="text1"/>
                      <w:sz w:val="18"/>
                      <w:szCs w:val="18"/>
                      <w:highlight w:val="none"/>
                      <w:vertAlign w:val="subscript"/>
                      <w14:textFill>
                        <w14:solidFill>
                          <w14:schemeClr w14:val="tx1"/>
                        </w14:solidFill>
                      </w14:textFill>
                    </w:rPr>
                    <w:t>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317D9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18"/>
                      <w:highlight w:val="none"/>
                      <w14:textFill>
                        <w14:solidFill>
                          <w14:schemeClr w14:val="tx1"/>
                        </w14:solidFill>
                      </w14:textFill>
                    </w:rPr>
                    <w:t>次/</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w:t>
                  </w:r>
                </w:p>
              </w:tc>
              <w:tc>
                <w:tcPr>
                  <w:tcW w:w="1112" w:type="dxa"/>
                  <w:tcBorders>
                    <w:top w:val="single" w:color="auto" w:sz="4" w:space="0"/>
                    <w:left w:val="single" w:color="auto" w:sz="4" w:space="0"/>
                    <w:bottom w:val="single" w:color="auto" w:sz="4" w:space="0"/>
                    <w:right w:val="nil"/>
                  </w:tcBorders>
                  <w:noWrap w:val="0"/>
                  <w:vAlign w:val="center"/>
                </w:tcPr>
                <w:p w14:paraId="00201D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10月-次年4月</w:t>
                  </w:r>
                </w:p>
              </w:tc>
              <w:tc>
                <w:tcPr>
                  <w:tcW w:w="2197" w:type="dxa"/>
                  <w:tcBorders>
                    <w:top w:val="single" w:color="auto" w:sz="4" w:space="0"/>
                    <w:left w:val="single" w:color="auto" w:sz="4" w:space="0"/>
                    <w:bottom w:val="single" w:color="auto" w:sz="4" w:space="0"/>
                    <w:right w:val="nil"/>
                  </w:tcBorders>
                  <w:noWrap w:val="0"/>
                  <w:vAlign w:val="center"/>
                </w:tcPr>
                <w:p w14:paraId="0869C3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《工业炉窑大气污染物排放标准》（GB9078-1996）</w:t>
                  </w:r>
                </w:p>
              </w:tc>
            </w:tr>
            <w:tr w14:paraId="16ECDD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0" w:type="dxa"/>
                  <w:tcBorders>
                    <w:top w:val="single" w:color="auto" w:sz="4" w:space="0"/>
                    <w:left w:val="nil"/>
                    <w:right w:val="single" w:color="auto" w:sz="4" w:space="0"/>
                  </w:tcBorders>
                  <w:noWrap w:val="0"/>
                  <w:vAlign w:val="center"/>
                </w:tcPr>
                <w:p w14:paraId="0B4A428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DA001</w:t>
                  </w:r>
                </w:p>
              </w:tc>
              <w:tc>
                <w:tcPr>
                  <w:tcW w:w="1150" w:type="dxa"/>
                  <w:tcBorders>
                    <w:top w:val="single" w:color="auto" w:sz="4" w:space="0"/>
                    <w:left w:val="single" w:color="auto" w:sz="4" w:space="0"/>
                    <w:right w:val="single" w:color="auto" w:sz="4" w:space="0"/>
                  </w:tcBorders>
                  <w:noWrap w:val="0"/>
                  <w:vAlign w:val="center"/>
                </w:tcPr>
                <w:p w14:paraId="460324B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热风炉烟囱</w:t>
                  </w:r>
                </w:p>
              </w:tc>
              <w:tc>
                <w:tcPr>
                  <w:tcW w:w="1888" w:type="dxa"/>
                  <w:tcBorders>
                    <w:top w:val="single" w:color="auto" w:sz="4" w:space="0"/>
                    <w:left w:val="single" w:color="auto" w:sz="4" w:space="0"/>
                    <w:right w:val="single" w:color="auto" w:sz="4" w:space="0"/>
                  </w:tcBorders>
                  <w:noWrap w:val="0"/>
                  <w:vAlign w:val="center"/>
                </w:tcPr>
                <w:p w14:paraId="642282A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NO</w:t>
                  </w:r>
                  <w:r>
                    <w:rPr>
                      <w:rFonts w:hint="default" w:ascii="Times New Roman" w:hAnsi="Times New Roman" w:eastAsia="宋体" w:cs="Times New Roman"/>
                      <w:color w:val="000000" w:themeColor="text1"/>
                      <w:sz w:val="18"/>
                      <w:szCs w:val="18"/>
                      <w:highlight w:val="none"/>
                      <w:vertAlign w:val="subscript"/>
                      <w14:textFill>
                        <w14:solidFill>
                          <w14:schemeClr w14:val="tx1"/>
                        </w14:solidFill>
                      </w14:textFill>
                    </w:rPr>
                    <w:t>X</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534BE69">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18"/>
                      <w:highlight w:val="none"/>
                      <w14:textFill>
                        <w14:solidFill>
                          <w14:schemeClr w14:val="tx1"/>
                        </w14:solidFill>
                      </w14:textFill>
                    </w:rPr>
                    <w:t>次/</w:t>
                  </w:r>
                  <w:r>
                    <w:rPr>
                      <w:rFonts w:hint="eastAsia" w:cs="Times New Roman"/>
                      <w:color w:val="000000" w:themeColor="text1"/>
                      <w:sz w:val="18"/>
                      <w:szCs w:val="18"/>
                      <w:highlight w:val="none"/>
                      <w:lang w:val="en-US" w:eastAsia="zh-CN"/>
                      <w14:textFill>
                        <w14:solidFill>
                          <w14:schemeClr w14:val="tx1"/>
                        </w14:solidFill>
                      </w14:textFill>
                    </w:rPr>
                    <w:t>月</w:t>
                  </w:r>
                </w:p>
              </w:tc>
              <w:tc>
                <w:tcPr>
                  <w:tcW w:w="1112" w:type="dxa"/>
                  <w:tcBorders>
                    <w:top w:val="single" w:color="auto" w:sz="4" w:space="0"/>
                    <w:left w:val="single" w:color="auto" w:sz="4" w:space="0"/>
                    <w:right w:val="nil"/>
                  </w:tcBorders>
                  <w:noWrap w:val="0"/>
                  <w:vAlign w:val="center"/>
                </w:tcPr>
                <w:p w14:paraId="62A1871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10月-次年4月</w:t>
                  </w:r>
                </w:p>
              </w:tc>
              <w:tc>
                <w:tcPr>
                  <w:tcW w:w="2197" w:type="dxa"/>
                  <w:tcBorders>
                    <w:top w:val="single" w:color="auto" w:sz="4" w:space="0"/>
                    <w:left w:val="single" w:color="auto" w:sz="4" w:space="0"/>
                    <w:right w:val="nil"/>
                  </w:tcBorders>
                  <w:noWrap w:val="0"/>
                  <w:vAlign w:val="center"/>
                </w:tcPr>
                <w:p w14:paraId="22B22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《工业炉窑大气污染物排放标准》（GB9078-1996）</w:t>
                  </w:r>
                </w:p>
              </w:tc>
            </w:tr>
          </w:tbl>
          <w:p w14:paraId="253181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表4-</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highlight w:val="none"/>
                <w14:textFill>
                  <w14:solidFill>
                    <w14:schemeClr w14:val="tx1"/>
                  </w14:solidFill>
                </w14:textFill>
              </w:rPr>
              <w:t xml:space="preserve"> 无组织废气监测要求</w:t>
            </w:r>
          </w:p>
          <w:tbl>
            <w:tblPr>
              <w:tblStyle w:val="3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108"/>
              <w:gridCol w:w="2109"/>
              <w:gridCol w:w="2109"/>
            </w:tblGrid>
            <w:tr w14:paraId="5D604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9" w:type="dxa"/>
                  <w:noWrap w:val="0"/>
                  <w:vAlign w:val="center"/>
                </w:tcPr>
                <w:p w14:paraId="0DAE0D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监测点位</w:t>
                  </w:r>
                </w:p>
              </w:tc>
              <w:tc>
                <w:tcPr>
                  <w:tcW w:w="2862" w:type="dxa"/>
                  <w:noWrap w:val="0"/>
                  <w:vAlign w:val="center"/>
                </w:tcPr>
                <w:p w14:paraId="612AAB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监测因子</w:t>
                  </w:r>
                </w:p>
              </w:tc>
              <w:tc>
                <w:tcPr>
                  <w:tcW w:w="2863" w:type="dxa"/>
                  <w:noWrap w:val="0"/>
                  <w:vAlign w:val="center"/>
                </w:tcPr>
                <w:p w14:paraId="579886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监测频次</w:t>
                  </w:r>
                </w:p>
              </w:tc>
              <w:tc>
                <w:tcPr>
                  <w:tcW w:w="2863" w:type="dxa"/>
                  <w:noWrap w:val="0"/>
                  <w:vAlign w:val="center"/>
                </w:tcPr>
                <w:p w14:paraId="635DDE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监测时间</w:t>
                  </w:r>
                </w:p>
              </w:tc>
            </w:tr>
            <w:tr w14:paraId="285C21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9" w:type="dxa"/>
                  <w:noWrap w:val="0"/>
                  <w:vAlign w:val="center"/>
                </w:tcPr>
                <w:p w14:paraId="7CCDC6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厂界</w:t>
                  </w:r>
                </w:p>
              </w:tc>
              <w:tc>
                <w:tcPr>
                  <w:tcW w:w="2862" w:type="dxa"/>
                  <w:noWrap w:val="0"/>
                  <w:vAlign w:val="center"/>
                </w:tcPr>
                <w:p w14:paraId="791004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颗粒物</w:t>
                  </w:r>
                </w:p>
              </w:tc>
              <w:tc>
                <w:tcPr>
                  <w:tcW w:w="2863" w:type="dxa"/>
                  <w:noWrap w:val="0"/>
                  <w:vAlign w:val="center"/>
                </w:tcPr>
                <w:p w14:paraId="227AFB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1次/</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w:t>
                  </w:r>
                </w:p>
              </w:tc>
              <w:tc>
                <w:tcPr>
                  <w:tcW w:w="2863" w:type="dxa"/>
                  <w:noWrap w:val="0"/>
                  <w:vAlign w:val="center"/>
                </w:tcPr>
                <w:p w14:paraId="134286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10月-次年4月</w:t>
                  </w:r>
                </w:p>
              </w:tc>
            </w:tr>
            <w:tr w14:paraId="1C58E3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9" w:type="dxa"/>
                  <w:noWrap w:val="0"/>
                  <w:vAlign w:val="center"/>
                </w:tcPr>
                <w:p w14:paraId="6C6BBE4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有车间厂房</w:t>
                  </w:r>
                </w:p>
              </w:tc>
              <w:tc>
                <w:tcPr>
                  <w:tcW w:w="2862" w:type="dxa"/>
                  <w:noWrap w:val="0"/>
                  <w:vAlign w:val="center"/>
                </w:tcPr>
                <w:p w14:paraId="5787532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颗粒物</w:t>
                  </w:r>
                </w:p>
              </w:tc>
              <w:tc>
                <w:tcPr>
                  <w:tcW w:w="2863" w:type="dxa"/>
                  <w:noWrap w:val="0"/>
                  <w:vAlign w:val="center"/>
                </w:tcPr>
                <w:p w14:paraId="3A57BF1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1次/</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w:t>
                  </w:r>
                </w:p>
              </w:tc>
              <w:tc>
                <w:tcPr>
                  <w:tcW w:w="2863" w:type="dxa"/>
                  <w:noWrap w:val="0"/>
                  <w:vAlign w:val="center"/>
                </w:tcPr>
                <w:p w14:paraId="515290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10月-次年4月</w:t>
                  </w:r>
                </w:p>
              </w:tc>
            </w:tr>
          </w:tbl>
          <w:p w14:paraId="645BCC7D">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5）废气处理技术</w:t>
            </w:r>
            <w:r>
              <w:rPr>
                <w:rFonts w:hint="default" w:ascii="Times New Roman" w:hAnsi="Times New Roman" w:eastAsia="宋体" w:cs="Times New Roman"/>
                <w:bCs/>
                <w:color w:val="000000" w:themeColor="text1"/>
                <w:szCs w:val="21"/>
                <w:highlight w:val="none"/>
                <w:lang w:eastAsia="zh-CN"/>
                <w14:textFill>
                  <w14:solidFill>
                    <w14:schemeClr w14:val="tx1"/>
                  </w14:solidFill>
                </w14:textFill>
              </w:rPr>
              <w:t>可行性分析</w:t>
            </w:r>
          </w:p>
          <w:p w14:paraId="49A77D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根据《排污许可证申请与核发技术规范 工业炉窑》（HJ1121-2020）中对污染防治可行技术的要求，燃气或净化后煤制气；袋式除尘；静电除尘属于可行技术。本项目燃生物质热风炉采取布袋除尘器处理烟气，属于可行技术。</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本项目热风炉烟气通过布袋除尘器处理后经25m</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（DA001）高空排放，SO</w:t>
            </w:r>
            <w:r>
              <w:rPr>
                <w:rFonts w:hint="default"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排放浓度符合《工业炉窑大气污染物排放标准》（GB9078-1996）中的表4中的二级标准，颗粒物排放浓度及烟气黑度符合《工业炉窑大气污染物排放标准》（GB9078-1996）中的表2中的二级标准。</w:t>
            </w:r>
          </w:p>
          <w:p w14:paraId="46ECDF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原料烘干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、运输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及筛分</w:t>
            </w:r>
            <w:r>
              <w:rPr>
                <w:rFonts w:hint="default" w:ascii="Times New Roman" w:hAnsi="Times New Roman" w:eastAsia="宋体" w:cs="Times New Roman"/>
                <w:color w:val="000000" w:themeColor="text1"/>
                <w:sz w:val="21"/>
                <w:szCs w:val="21"/>
                <w:highlight w:val="none"/>
                <w14:textFill>
                  <w14:solidFill>
                    <w14:schemeClr w14:val="tx1"/>
                  </w14:solidFill>
                </w14:textFill>
              </w:rPr>
              <w:t>过程会有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产生，此部分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以无组织的形式排放。装卸工段</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采用密闭性良好的设备，全封闭输送机、原粮入仓采取封闭和减小装卸高度</w:t>
            </w:r>
            <w:r>
              <w:rPr>
                <w:rFonts w:hint="default" w:ascii="Times New Roman" w:hAnsi="Times New Roman" w:eastAsia="宋体" w:cs="Times New Roman"/>
                <w:color w:val="000000" w:themeColor="text1"/>
                <w:sz w:val="21"/>
                <w:szCs w:val="21"/>
                <w:highlight w:val="none"/>
                <w14:textFill>
                  <w14:solidFill>
                    <w14:schemeClr w14:val="tx1"/>
                  </w14:solidFill>
                </w14:textFill>
              </w:rPr>
              <w:t>等降尘措施，运输过程中采用封闭输送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；清粮采用全密闭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处理后排放；烘干塔内部自带重力沉降室，烘干塔底部四周设置防尘挡板，粉尘受挡板格挡后受重力作用回落到烘干塔底部收尘设施中。燃料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仓</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密闭并定期洒水抑尘，减少粉尘扩散，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经以上措施处理后，</w:t>
            </w:r>
            <w:r>
              <w:rPr>
                <w:rFonts w:hint="default" w:ascii="Times New Roman" w:hAnsi="Times New Roman" w:eastAsia="宋体" w:cs="Times New Roman"/>
                <w:color w:val="000000" w:themeColor="text1"/>
                <w:sz w:val="21"/>
                <w:szCs w:val="21"/>
                <w:highlight w:val="none"/>
                <w14:textFill>
                  <w14:solidFill>
                    <w14:schemeClr w14:val="tx1"/>
                  </w14:solidFill>
                </w14:textFill>
              </w:rPr>
              <w:t>厂界颗粒物排放浓度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可</w:t>
            </w:r>
            <w:r>
              <w:rPr>
                <w:rFonts w:hint="default" w:ascii="Times New Roman" w:hAnsi="Times New Roman" w:eastAsia="宋体" w:cs="Times New Roman"/>
                <w:color w:val="000000" w:themeColor="text1"/>
                <w:sz w:val="21"/>
                <w:szCs w:val="21"/>
                <w:highlight w:val="none"/>
                <w14:textFill>
                  <w14:solidFill>
                    <w14:schemeClr w14:val="tx1"/>
                  </w14:solidFill>
                </w14:textFill>
              </w:rPr>
              <w:t>符合《大气污染物综合排放标准》（GB16297-1996）表2无组织排放浓度限值要求</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热风炉周边无组织排放烟尘浓度可符合</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《工业炉窑大气污染物排放标准》（GB9078-1996）中的表</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3中标准限值</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6691564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color w:val="000000" w:themeColor="text1"/>
                <w:sz w:val="21"/>
                <w:szCs w:val="21"/>
                <w:highlight w:val="none"/>
                <w14:textFill>
                  <w14:solidFill>
                    <w14:schemeClr w14:val="tx1"/>
                  </w14:solidFill>
                </w14:textFill>
              </w:rPr>
              <w:t>设置合理性分析</w:t>
            </w:r>
          </w:p>
          <w:p w14:paraId="78EE0C33">
            <w:pPr>
              <w:pStyle w:val="48"/>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rightChars="0" w:firstLine="420" w:firstLineChars="200"/>
              <w:jc w:val="both"/>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1"/>
                <w:szCs w:val="21"/>
                <w:highlight w:val="none"/>
                <w14:textFill>
                  <w14:solidFill>
                    <w14:schemeClr w14:val="tx1"/>
                  </w14:solidFill>
                </w14:textFill>
              </w:rPr>
              <w:t>《工业炉窑大气污染物排放标准》（GB9078-1996）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中对于</w:t>
            </w:r>
            <w:r>
              <w:rPr>
                <w:rFonts w:hint="default" w:ascii="Times New Roman" w:hAnsi="Times New Roman" w:eastAsia="宋体" w:cs="Times New Roman"/>
                <w:color w:val="000000" w:themeColor="text1"/>
                <w:sz w:val="21"/>
                <w:szCs w:val="21"/>
                <w:highlight w:val="none"/>
                <w14:textFill>
                  <w14:solidFill>
                    <w14:schemeClr w14:val="tx1"/>
                  </w14:solidFill>
                </w14:textFill>
              </w:rPr>
              <w:t>工业炉窑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烟囱的要求可知，</w:t>
            </w:r>
            <w:r>
              <w:rPr>
                <w:rFonts w:hint="default" w:ascii="Times New Roman" w:hAnsi="Times New Roman" w:eastAsia="宋体" w:cs="Times New Roman"/>
                <w:color w:val="000000" w:themeColor="text1"/>
                <w:sz w:val="21"/>
                <w:szCs w:val="21"/>
                <w:highlight w:val="none"/>
                <w14:textFill>
                  <w14:solidFill>
                    <w14:schemeClr w14:val="tx1"/>
                  </w14:solidFill>
                </w14:textFill>
              </w:rPr>
              <w:t>工业炉窑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烟囱应不低于15m，并应高于周边200m范围最高建筑物高度3m以上，本项目热风炉烟囱（DA001）高度25m，周边200m范围内最高建筑物建筑高度约18m，因此本项目热风炉烟囱符合</w:t>
            </w:r>
            <w:r>
              <w:rPr>
                <w:rFonts w:hint="default" w:ascii="Times New Roman" w:hAnsi="Times New Roman" w:eastAsia="宋体" w:cs="Times New Roman"/>
                <w:color w:val="000000" w:themeColor="text1"/>
                <w:sz w:val="21"/>
                <w:szCs w:val="21"/>
                <w:highlight w:val="none"/>
                <w14:textFill>
                  <w14:solidFill>
                    <w14:schemeClr w14:val="tx1"/>
                  </w14:solidFill>
                </w14:textFill>
              </w:rPr>
              <w:t>《工业炉窑大气污染物排放标准》（GB9078-1996）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对于</w:t>
            </w:r>
            <w:r>
              <w:rPr>
                <w:rFonts w:hint="default" w:ascii="Times New Roman" w:hAnsi="Times New Roman" w:eastAsia="宋体" w:cs="Times New Roman"/>
                <w:color w:val="000000" w:themeColor="text1"/>
                <w:sz w:val="21"/>
                <w:szCs w:val="21"/>
                <w:highlight w:val="none"/>
                <w14:textFill>
                  <w14:solidFill>
                    <w14:schemeClr w14:val="tx1"/>
                  </w14:solidFill>
                </w14:textFill>
              </w:rPr>
              <w:t>工业炉窑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烟囱高度的要求。</w:t>
            </w:r>
          </w:p>
          <w:p w14:paraId="6F1E32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废气排放环境影响</w:t>
            </w:r>
          </w:p>
          <w:p w14:paraId="62CC4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本项目热风炉烟气通过布袋除尘器处理后经25m</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（DA001）高空排放，SO</w:t>
            </w:r>
            <w:r>
              <w:rPr>
                <w:rFonts w:hint="default"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排放浓度符合《工业炉窑大气污染物排放标准》（GB9078-1996）中的表4中的二级标准，颗粒物排放浓度及烟气黑度符合《工业炉窑大气污染物排放标准》（GB9078-1996）中的表2中的二级标准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原料烘干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、运输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及筛分</w:t>
            </w:r>
            <w:r>
              <w:rPr>
                <w:rFonts w:hint="default" w:ascii="Times New Roman" w:hAnsi="Times New Roman" w:eastAsia="宋体" w:cs="Times New Roman"/>
                <w:color w:val="000000" w:themeColor="text1"/>
                <w:sz w:val="21"/>
                <w:szCs w:val="21"/>
                <w:highlight w:val="none"/>
                <w14:textFill>
                  <w14:solidFill>
                    <w14:schemeClr w14:val="tx1"/>
                  </w14:solidFill>
                </w14:textFill>
              </w:rPr>
              <w:t>过程会有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产生，此部分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以无组织的形式排放。装卸工段</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采用密闭性良好的设备，全封闭输送机、原粮入仓采取封闭和减小装卸高度</w:t>
            </w:r>
            <w:r>
              <w:rPr>
                <w:rFonts w:hint="default" w:ascii="Times New Roman" w:hAnsi="Times New Roman" w:eastAsia="宋体" w:cs="Times New Roman"/>
                <w:color w:val="000000" w:themeColor="text1"/>
                <w:sz w:val="21"/>
                <w:szCs w:val="21"/>
                <w:highlight w:val="none"/>
                <w14:textFill>
                  <w14:solidFill>
                    <w14:schemeClr w14:val="tx1"/>
                  </w14:solidFill>
                </w14:textFill>
              </w:rPr>
              <w:t>等降尘措施，运输过程中采用封闭输送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；清粮采用全密闭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处理后排放；烘干塔内部自带重力沉降室，烘干塔底部四周设置防尘挡板，粉尘受挡板格挡后受重力作用回落到烘干塔底部收尘设施中。</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密闭并定期洒水抑尘，减少粉尘扩散，</w:t>
            </w:r>
            <w:r>
              <w:rPr>
                <w:rFonts w:hint="default" w:ascii="Times New Roman" w:hAnsi="Times New Roman" w:eastAsia="宋体" w:cs="Times New Roman"/>
                <w:color w:val="000000" w:themeColor="text1"/>
                <w:sz w:val="21"/>
                <w:szCs w:val="21"/>
                <w:highlight w:val="none"/>
                <w14:textFill>
                  <w14:solidFill>
                    <w14:schemeClr w14:val="tx1"/>
                  </w14:solidFill>
                </w14:textFill>
              </w:rPr>
              <w:t>厂界颗粒物排放浓度符合《大气污染物综合排放标准》（GB16297-1996）表2无组织排放浓度限值要求</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热风炉周边无组织排放颗粒物浓度执行</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《工业炉窑大气污染物排放标准》（GB9078-1996）中的表</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3中标准限值</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4BECB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综上所述，在落实污染防治措施的前提下，并保证环保设施正常运行，本项目排放的污染物对评价区域环境空气质量影响较小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对周边环境保护目标产生影响较小</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4D63BF70">
            <w:pPr>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2、废水</w:t>
            </w:r>
          </w:p>
          <w:p w14:paraId="37237B9E">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（1）废水源强详见表4-</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szCs w:val="21"/>
                <w:highlight w:val="none"/>
                <w14:textFill>
                  <w14:solidFill>
                    <w14:schemeClr w14:val="tx1"/>
                  </w14:solidFill>
                </w14:textFill>
              </w:rPr>
              <w:t>。</w:t>
            </w:r>
          </w:p>
          <w:p w14:paraId="0DF83E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表4</w:t>
            </w: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 xml:space="preserve">-6 </w:t>
            </w:r>
            <w:r>
              <w:rPr>
                <w:rFonts w:hint="default" w:ascii="Times New Roman" w:hAnsi="Times New Roman" w:eastAsia="宋体" w:cs="Times New Roman"/>
                <w:b/>
                <w:bCs/>
                <w:color w:val="000000" w:themeColor="text1"/>
                <w:szCs w:val="21"/>
                <w:highlight w:val="none"/>
                <w14:textFill>
                  <w14:solidFill>
                    <w14:schemeClr w14:val="tx1"/>
                  </w14:solidFill>
                </w14:textFill>
              </w:rPr>
              <w:t>废水污染源源强核算结果及相关参数一览表</w:t>
            </w:r>
          </w:p>
          <w:tbl>
            <w:tblPr>
              <w:tblStyle w:val="3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3"/>
              <w:gridCol w:w="917"/>
              <w:gridCol w:w="359"/>
              <w:gridCol w:w="751"/>
              <w:gridCol w:w="792"/>
              <w:gridCol w:w="684"/>
              <w:gridCol w:w="921"/>
              <w:gridCol w:w="322"/>
              <w:gridCol w:w="333"/>
              <w:gridCol w:w="617"/>
              <w:gridCol w:w="845"/>
              <w:gridCol w:w="690"/>
            </w:tblGrid>
            <w:tr w14:paraId="49BBC2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restart"/>
                  <w:tcBorders>
                    <w:tl2br w:val="nil"/>
                    <w:tr2bl w:val="nil"/>
                  </w:tcBorders>
                  <w:vAlign w:val="center"/>
                </w:tcPr>
                <w:p w14:paraId="7805A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排放源</w:t>
                  </w:r>
                </w:p>
              </w:tc>
              <w:tc>
                <w:tcPr>
                  <w:tcW w:w="569" w:type="pct"/>
                  <w:vMerge w:val="restart"/>
                  <w:tcBorders>
                    <w:tl2br w:val="nil"/>
                    <w:tr2bl w:val="nil"/>
                  </w:tcBorders>
                  <w:vAlign w:val="center"/>
                </w:tcPr>
                <w:p w14:paraId="2852BF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1605" w:type="pct"/>
                  <w:gridSpan w:val="4"/>
                  <w:tcBorders>
                    <w:tl2br w:val="nil"/>
                    <w:tr2bl w:val="nil"/>
                  </w:tcBorders>
                  <w:vAlign w:val="center"/>
                </w:tcPr>
                <w:p w14:paraId="62A112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污染物产生</w:t>
                  </w:r>
                </w:p>
              </w:tc>
              <w:tc>
                <w:tcPr>
                  <w:tcW w:w="771" w:type="pct"/>
                  <w:gridSpan w:val="2"/>
                  <w:tcBorders>
                    <w:tl2br w:val="nil"/>
                    <w:tr2bl w:val="nil"/>
                  </w:tcBorders>
                  <w:vAlign w:val="center"/>
                </w:tcPr>
                <w:p w14:paraId="72F8EE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治理措施</w:t>
                  </w:r>
                </w:p>
              </w:tc>
              <w:tc>
                <w:tcPr>
                  <w:tcW w:w="1542" w:type="pct"/>
                  <w:gridSpan w:val="4"/>
                  <w:tcBorders>
                    <w:tl2br w:val="nil"/>
                    <w:tr2bl w:val="nil"/>
                  </w:tcBorders>
                  <w:vAlign w:val="center"/>
                </w:tcPr>
                <w:p w14:paraId="1B87E8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排放</w:t>
                  </w:r>
                </w:p>
              </w:tc>
            </w:tr>
            <w:tr w14:paraId="1CC495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vAlign w:val="center"/>
                </w:tcPr>
                <w:p w14:paraId="0CCF7D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69" w:type="pct"/>
                  <w:vMerge w:val="continue"/>
                  <w:tcBorders>
                    <w:tl2br w:val="nil"/>
                    <w:tr2bl w:val="nil"/>
                  </w:tcBorders>
                  <w:vAlign w:val="center"/>
                </w:tcPr>
                <w:p w14:paraId="01E555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22" w:type="pct"/>
                  <w:tcBorders>
                    <w:tl2br w:val="nil"/>
                    <w:tr2bl w:val="nil"/>
                  </w:tcBorders>
                  <w:vAlign w:val="center"/>
                </w:tcPr>
                <w:p w14:paraId="1A90D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核算方法</w:t>
                  </w:r>
                </w:p>
              </w:tc>
              <w:tc>
                <w:tcPr>
                  <w:tcW w:w="466" w:type="pct"/>
                  <w:tcBorders>
                    <w:tl2br w:val="nil"/>
                    <w:tr2bl w:val="nil"/>
                  </w:tcBorders>
                  <w:vAlign w:val="center"/>
                </w:tcPr>
                <w:p w14:paraId="7887F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废水量</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18"/>
                      <w:szCs w:val="18"/>
                      <w:highlight w:val="none"/>
                      <w14:textFill>
                        <w14:solidFill>
                          <w14:schemeClr w14:val="tx1"/>
                        </w14:solidFill>
                      </w14:textFill>
                    </w:rPr>
                    <w:t>/a</w:t>
                  </w:r>
                </w:p>
              </w:tc>
              <w:tc>
                <w:tcPr>
                  <w:tcW w:w="491" w:type="pct"/>
                  <w:tcBorders>
                    <w:tl2br w:val="nil"/>
                    <w:tr2bl w:val="nil"/>
                  </w:tcBorders>
                  <w:vAlign w:val="center"/>
                </w:tcPr>
                <w:p w14:paraId="366E0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产生</w:t>
                  </w:r>
                </w:p>
                <w:p w14:paraId="2E326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浓度mg/L</w:t>
                  </w:r>
                </w:p>
              </w:tc>
              <w:tc>
                <w:tcPr>
                  <w:tcW w:w="424" w:type="pct"/>
                  <w:tcBorders>
                    <w:tl2br w:val="nil"/>
                    <w:tr2bl w:val="nil"/>
                  </w:tcBorders>
                  <w:vAlign w:val="center"/>
                </w:tcPr>
                <w:p w14:paraId="30D68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产生量t/a</w:t>
                  </w:r>
                </w:p>
              </w:tc>
              <w:tc>
                <w:tcPr>
                  <w:tcW w:w="571" w:type="pct"/>
                  <w:tcBorders>
                    <w:tl2br w:val="nil"/>
                    <w:tr2bl w:val="nil"/>
                  </w:tcBorders>
                  <w:vAlign w:val="center"/>
                </w:tcPr>
                <w:p w14:paraId="3AA8E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工艺</w:t>
                  </w:r>
                </w:p>
              </w:tc>
              <w:tc>
                <w:tcPr>
                  <w:tcW w:w="199" w:type="pct"/>
                  <w:tcBorders>
                    <w:tl2br w:val="nil"/>
                    <w:tr2bl w:val="nil"/>
                  </w:tcBorders>
                  <w:vAlign w:val="center"/>
                </w:tcPr>
                <w:p w14:paraId="67FC01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效率</w:t>
                  </w:r>
                </w:p>
                <w:p w14:paraId="17BFE1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206" w:type="pct"/>
                  <w:tcBorders>
                    <w:tl2br w:val="nil"/>
                    <w:tr2bl w:val="nil"/>
                  </w:tcBorders>
                  <w:vAlign w:val="center"/>
                </w:tcPr>
                <w:p w14:paraId="513F1B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核算方法</w:t>
                  </w:r>
                </w:p>
              </w:tc>
              <w:tc>
                <w:tcPr>
                  <w:tcW w:w="383" w:type="pct"/>
                  <w:tcBorders>
                    <w:tl2br w:val="nil"/>
                    <w:tr2bl w:val="nil"/>
                  </w:tcBorders>
                  <w:vAlign w:val="center"/>
                </w:tcPr>
                <w:p w14:paraId="7583A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废水量</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18"/>
                      <w:szCs w:val="18"/>
                      <w:highlight w:val="none"/>
                      <w14:textFill>
                        <w14:solidFill>
                          <w14:schemeClr w14:val="tx1"/>
                        </w14:solidFill>
                      </w14:textFill>
                    </w:rPr>
                    <w:t>/a</w:t>
                  </w:r>
                </w:p>
              </w:tc>
              <w:tc>
                <w:tcPr>
                  <w:tcW w:w="524" w:type="pct"/>
                  <w:tcBorders>
                    <w:tl2br w:val="nil"/>
                    <w:tr2bl w:val="nil"/>
                  </w:tcBorders>
                  <w:vAlign w:val="center"/>
                </w:tcPr>
                <w:p w14:paraId="282484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排放浓度mg/L</w:t>
                  </w:r>
                </w:p>
              </w:tc>
              <w:tc>
                <w:tcPr>
                  <w:tcW w:w="428" w:type="pct"/>
                  <w:tcBorders>
                    <w:tl2br w:val="nil"/>
                    <w:tr2bl w:val="nil"/>
                  </w:tcBorders>
                  <w:vAlign w:val="center"/>
                </w:tcPr>
                <w:p w14:paraId="4E7FC2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排放量t/a</w:t>
                  </w:r>
                </w:p>
              </w:tc>
            </w:tr>
            <w:tr w14:paraId="4C8241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restart"/>
                  <w:tcBorders>
                    <w:tl2br w:val="nil"/>
                    <w:tr2bl w:val="nil"/>
                  </w:tcBorders>
                  <w:vAlign w:val="center"/>
                </w:tcPr>
                <w:p w14:paraId="3EBB17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生活污水</w:t>
                  </w:r>
                </w:p>
              </w:tc>
              <w:tc>
                <w:tcPr>
                  <w:tcW w:w="569" w:type="pct"/>
                  <w:tcBorders>
                    <w:tl2br w:val="nil"/>
                    <w:tr2bl w:val="nil"/>
                  </w:tcBorders>
                  <w:vAlign w:val="center"/>
                </w:tcPr>
                <w:p w14:paraId="7D1EC1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COD</w:t>
                  </w:r>
                </w:p>
              </w:tc>
              <w:tc>
                <w:tcPr>
                  <w:tcW w:w="222" w:type="pct"/>
                  <w:vMerge w:val="restart"/>
                  <w:tcBorders>
                    <w:tl2br w:val="nil"/>
                    <w:tr2bl w:val="nil"/>
                  </w:tcBorders>
                  <w:vAlign w:val="center"/>
                </w:tcPr>
                <w:p w14:paraId="1A55A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类比法</w:t>
                  </w:r>
                </w:p>
              </w:tc>
              <w:tc>
                <w:tcPr>
                  <w:tcW w:w="466" w:type="pct"/>
                  <w:vMerge w:val="restart"/>
                  <w:tcBorders>
                    <w:tl2br w:val="nil"/>
                    <w:tr2bl w:val="nil"/>
                  </w:tcBorders>
                  <w:vAlign w:val="center"/>
                </w:tcPr>
                <w:p w14:paraId="483CF2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57.6</w:t>
                  </w:r>
                </w:p>
              </w:tc>
              <w:tc>
                <w:tcPr>
                  <w:tcW w:w="491" w:type="pct"/>
                  <w:tcBorders>
                    <w:tl2br w:val="nil"/>
                    <w:tr2bl w:val="nil"/>
                  </w:tcBorders>
                  <w:vAlign w:val="center"/>
                </w:tcPr>
                <w:p w14:paraId="45A6F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300</w:t>
                  </w:r>
                </w:p>
              </w:tc>
              <w:tc>
                <w:tcPr>
                  <w:tcW w:w="424" w:type="pct"/>
                  <w:tcBorders>
                    <w:tl2br w:val="nil"/>
                    <w:tr2bl w:val="nil"/>
                  </w:tcBorders>
                  <w:vAlign w:val="center"/>
                </w:tcPr>
                <w:p w14:paraId="33B5C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kern w:val="0"/>
                      <w:sz w:val="18"/>
                      <w:szCs w:val="18"/>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shd w:val="clear" w:color="auto" w:fill="auto"/>
                      <w:lang w:val="en-US" w:eastAsia="zh-CN"/>
                      <w14:textFill>
                        <w14:solidFill>
                          <w14:schemeClr w14:val="tx1"/>
                        </w14:solidFill>
                      </w14:textFill>
                    </w:rPr>
                    <w:t>0.0</w:t>
                  </w:r>
                  <w:r>
                    <w:rPr>
                      <w:rFonts w:hint="eastAsia" w:cs="Times New Roman"/>
                      <w:color w:val="000000" w:themeColor="text1"/>
                      <w:kern w:val="0"/>
                      <w:sz w:val="18"/>
                      <w:szCs w:val="18"/>
                      <w:highlight w:val="none"/>
                      <w:shd w:val="clear" w:color="auto" w:fill="auto"/>
                      <w:lang w:val="en-US" w:eastAsia="zh-CN"/>
                      <w14:textFill>
                        <w14:solidFill>
                          <w14:schemeClr w14:val="tx1"/>
                        </w14:solidFill>
                      </w14:textFill>
                    </w:rPr>
                    <w:t>173</w:t>
                  </w:r>
                </w:p>
              </w:tc>
              <w:tc>
                <w:tcPr>
                  <w:tcW w:w="571" w:type="pct"/>
                  <w:vMerge w:val="restart"/>
                  <w:tcBorders>
                    <w:tl2br w:val="nil"/>
                    <w:tr2bl w:val="nil"/>
                  </w:tcBorders>
                  <w:vAlign w:val="center"/>
                </w:tcPr>
                <w:p w14:paraId="3C176F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p w14:paraId="03DE5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kern w:val="0"/>
                      <w:sz w:val="18"/>
                      <w:szCs w:val="18"/>
                      <w:highlight w:val="none"/>
                      <w:shd w:val="clear" w:color="auto" w:fill="auto"/>
                      <w:lang w:val="en-US" w:eastAsia="zh-CN"/>
                      <w14:textFill>
                        <w14:solidFill>
                          <w14:schemeClr w14:val="tx1"/>
                        </w14:solidFill>
                      </w14:textFill>
                    </w:rPr>
                  </w:pPr>
                </w:p>
              </w:tc>
              <w:tc>
                <w:tcPr>
                  <w:tcW w:w="199" w:type="pct"/>
                  <w:vMerge w:val="restart"/>
                  <w:tcBorders>
                    <w:tl2br w:val="nil"/>
                    <w:tr2bl w:val="nil"/>
                  </w:tcBorders>
                  <w:vAlign w:val="center"/>
                </w:tcPr>
                <w:p w14:paraId="3CFE5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p w14:paraId="2A09C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206" w:type="pct"/>
                  <w:vMerge w:val="restart"/>
                  <w:tcBorders>
                    <w:tl2br w:val="nil"/>
                    <w:tr2bl w:val="nil"/>
                  </w:tcBorders>
                  <w:vAlign w:val="center"/>
                </w:tcPr>
                <w:p w14:paraId="431B8E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物料衡算法</w:t>
                  </w:r>
                </w:p>
              </w:tc>
              <w:tc>
                <w:tcPr>
                  <w:tcW w:w="383" w:type="pct"/>
                  <w:vMerge w:val="restart"/>
                  <w:tcBorders>
                    <w:tl2br w:val="nil"/>
                    <w:tr2bl w:val="nil"/>
                  </w:tcBorders>
                  <w:vAlign w:val="center"/>
                </w:tcPr>
                <w:p w14:paraId="7C7FC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tc>
              <w:tc>
                <w:tcPr>
                  <w:tcW w:w="524" w:type="pct"/>
                  <w:tcBorders>
                    <w:tl2br w:val="nil"/>
                    <w:tr2bl w:val="nil"/>
                  </w:tcBorders>
                  <w:vAlign w:val="center"/>
                </w:tcPr>
                <w:p w14:paraId="2D594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tc>
              <w:tc>
                <w:tcPr>
                  <w:tcW w:w="428" w:type="pct"/>
                  <w:tcBorders>
                    <w:tl2br w:val="nil"/>
                    <w:tr2bl w:val="nil"/>
                  </w:tcBorders>
                  <w:vAlign w:val="center"/>
                </w:tcPr>
                <w:p w14:paraId="40F3CA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tc>
            </w:tr>
            <w:tr w14:paraId="7C514A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vAlign w:val="center"/>
                </w:tcPr>
                <w:p w14:paraId="04A31F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69" w:type="pct"/>
                  <w:tcBorders>
                    <w:tl2br w:val="nil"/>
                    <w:tr2bl w:val="nil"/>
                  </w:tcBorders>
                  <w:vAlign w:val="center"/>
                </w:tcPr>
                <w:p w14:paraId="1D82C2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BOD</w:t>
                  </w:r>
                  <w:r>
                    <w:rPr>
                      <w:rFonts w:hint="default" w:ascii="Times New Roman" w:hAnsi="Times New Roman" w:eastAsia="宋体" w:cs="Times New Roman"/>
                      <w:color w:val="000000" w:themeColor="text1"/>
                      <w:sz w:val="18"/>
                      <w:szCs w:val="18"/>
                      <w:highlight w:val="none"/>
                      <w:vertAlign w:val="subscript"/>
                      <w14:textFill>
                        <w14:solidFill>
                          <w14:schemeClr w14:val="tx1"/>
                        </w14:solidFill>
                      </w14:textFill>
                    </w:rPr>
                    <w:t>5</w:t>
                  </w:r>
                </w:p>
              </w:tc>
              <w:tc>
                <w:tcPr>
                  <w:tcW w:w="222" w:type="pct"/>
                  <w:vMerge w:val="continue"/>
                  <w:tcBorders>
                    <w:tl2br w:val="nil"/>
                    <w:tr2bl w:val="nil"/>
                  </w:tcBorders>
                  <w:vAlign w:val="center"/>
                </w:tcPr>
                <w:p w14:paraId="02F9F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466" w:type="pct"/>
                  <w:vMerge w:val="continue"/>
                  <w:tcBorders>
                    <w:tl2br w:val="nil"/>
                    <w:tr2bl w:val="nil"/>
                  </w:tcBorders>
                  <w:vAlign w:val="center"/>
                </w:tcPr>
                <w:p w14:paraId="02434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491" w:type="pct"/>
                  <w:tcBorders>
                    <w:tl2br w:val="nil"/>
                    <w:tr2bl w:val="nil"/>
                  </w:tcBorders>
                  <w:vAlign w:val="center"/>
                </w:tcPr>
                <w:p w14:paraId="33D51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200</w:t>
                  </w:r>
                </w:p>
              </w:tc>
              <w:tc>
                <w:tcPr>
                  <w:tcW w:w="424" w:type="pct"/>
                  <w:tcBorders>
                    <w:tl2br w:val="nil"/>
                    <w:tr2bl w:val="nil"/>
                  </w:tcBorders>
                  <w:vAlign w:val="center"/>
                </w:tcPr>
                <w:p w14:paraId="3E2E1A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shd w:val="clear" w:color="auto" w:fill="auto"/>
                      <w14:textFill>
                        <w14:solidFill>
                          <w14:schemeClr w14:val="tx1"/>
                        </w14:solidFill>
                      </w14:textFill>
                    </w:rPr>
                    <w:t>0.</w:t>
                  </w:r>
                  <w:r>
                    <w:rPr>
                      <w:rFonts w:hint="default" w:ascii="Times New Roman" w:hAnsi="Times New Roman" w:eastAsia="宋体" w:cs="Times New Roman"/>
                      <w:color w:val="000000" w:themeColor="text1"/>
                      <w:kern w:val="0"/>
                      <w:sz w:val="18"/>
                      <w:szCs w:val="18"/>
                      <w:highlight w:val="none"/>
                      <w:shd w:val="clear" w:color="auto" w:fill="auto"/>
                      <w:lang w:val="en-US" w:eastAsia="zh-CN"/>
                      <w14:textFill>
                        <w14:solidFill>
                          <w14:schemeClr w14:val="tx1"/>
                        </w14:solidFill>
                      </w14:textFill>
                    </w:rPr>
                    <w:t>0</w:t>
                  </w:r>
                  <w:r>
                    <w:rPr>
                      <w:rFonts w:hint="eastAsia" w:cs="Times New Roman"/>
                      <w:color w:val="000000" w:themeColor="text1"/>
                      <w:kern w:val="0"/>
                      <w:sz w:val="18"/>
                      <w:szCs w:val="18"/>
                      <w:highlight w:val="none"/>
                      <w:shd w:val="clear" w:color="auto" w:fill="auto"/>
                      <w:lang w:val="en-US" w:eastAsia="zh-CN"/>
                      <w14:textFill>
                        <w14:solidFill>
                          <w14:schemeClr w14:val="tx1"/>
                        </w14:solidFill>
                      </w14:textFill>
                    </w:rPr>
                    <w:t>115</w:t>
                  </w:r>
                </w:p>
              </w:tc>
              <w:tc>
                <w:tcPr>
                  <w:tcW w:w="571" w:type="pct"/>
                  <w:vMerge w:val="continue"/>
                  <w:tcBorders>
                    <w:tl2br w:val="nil"/>
                    <w:tr2bl w:val="nil"/>
                  </w:tcBorders>
                  <w:vAlign w:val="center"/>
                </w:tcPr>
                <w:p w14:paraId="53BD76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 w:type="pct"/>
                  <w:vMerge w:val="continue"/>
                  <w:tcBorders>
                    <w:tl2br w:val="nil"/>
                    <w:tr2bl w:val="nil"/>
                  </w:tcBorders>
                  <w:vAlign w:val="center"/>
                </w:tcPr>
                <w:p w14:paraId="2662DB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206" w:type="pct"/>
                  <w:vMerge w:val="continue"/>
                  <w:tcBorders>
                    <w:tl2br w:val="nil"/>
                    <w:tr2bl w:val="nil"/>
                  </w:tcBorders>
                  <w:vAlign w:val="center"/>
                </w:tcPr>
                <w:p w14:paraId="2C68A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83" w:type="pct"/>
                  <w:vMerge w:val="continue"/>
                  <w:tcBorders>
                    <w:tl2br w:val="nil"/>
                    <w:tr2bl w:val="nil"/>
                  </w:tcBorders>
                  <w:vAlign w:val="center"/>
                </w:tcPr>
                <w:p w14:paraId="3ABE9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24" w:type="pct"/>
                  <w:tcBorders>
                    <w:tl2br w:val="nil"/>
                    <w:tr2bl w:val="nil"/>
                  </w:tcBorders>
                  <w:vAlign w:val="center"/>
                </w:tcPr>
                <w:p w14:paraId="16AA9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tc>
              <w:tc>
                <w:tcPr>
                  <w:tcW w:w="428" w:type="pct"/>
                  <w:tcBorders>
                    <w:tl2br w:val="nil"/>
                    <w:tr2bl w:val="nil"/>
                  </w:tcBorders>
                  <w:vAlign w:val="center"/>
                </w:tcPr>
                <w:p w14:paraId="70B91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tc>
            </w:tr>
            <w:tr w14:paraId="4BACC7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vAlign w:val="center"/>
                </w:tcPr>
                <w:p w14:paraId="6C0DBA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69" w:type="pct"/>
                  <w:tcBorders>
                    <w:tl2br w:val="nil"/>
                    <w:tr2bl w:val="nil"/>
                  </w:tcBorders>
                  <w:vAlign w:val="center"/>
                </w:tcPr>
                <w:p w14:paraId="53F57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SS</w:t>
                  </w:r>
                </w:p>
              </w:tc>
              <w:tc>
                <w:tcPr>
                  <w:tcW w:w="222" w:type="pct"/>
                  <w:vMerge w:val="continue"/>
                  <w:tcBorders>
                    <w:tl2br w:val="nil"/>
                    <w:tr2bl w:val="nil"/>
                  </w:tcBorders>
                  <w:vAlign w:val="center"/>
                </w:tcPr>
                <w:p w14:paraId="5A4830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466" w:type="pct"/>
                  <w:vMerge w:val="continue"/>
                  <w:tcBorders>
                    <w:tl2br w:val="nil"/>
                    <w:tr2bl w:val="nil"/>
                  </w:tcBorders>
                  <w:vAlign w:val="center"/>
                </w:tcPr>
                <w:p w14:paraId="65B5D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491" w:type="pct"/>
                  <w:tcBorders>
                    <w:tl2br w:val="nil"/>
                    <w:tr2bl w:val="nil"/>
                  </w:tcBorders>
                  <w:vAlign w:val="center"/>
                </w:tcPr>
                <w:p w14:paraId="04E64C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200</w:t>
                  </w:r>
                </w:p>
              </w:tc>
              <w:tc>
                <w:tcPr>
                  <w:tcW w:w="424" w:type="pct"/>
                  <w:tcBorders>
                    <w:tl2br w:val="nil"/>
                    <w:tr2bl w:val="nil"/>
                  </w:tcBorders>
                  <w:vAlign w:val="center"/>
                </w:tcPr>
                <w:p w14:paraId="4C4D4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shd w:val="clear" w:color="auto" w:fill="auto"/>
                      <w14:textFill>
                        <w14:solidFill>
                          <w14:schemeClr w14:val="tx1"/>
                        </w14:solidFill>
                      </w14:textFill>
                    </w:rPr>
                    <w:t>0.</w:t>
                  </w:r>
                  <w:r>
                    <w:rPr>
                      <w:rFonts w:hint="default" w:ascii="Times New Roman" w:hAnsi="Times New Roman" w:eastAsia="宋体" w:cs="Times New Roman"/>
                      <w:color w:val="000000" w:themeColor="text1"/>
                      <w:kern w:val="0"/>
                      <w:sz w:val="18"/>
                      <w:szCs w:val="18"/>
                      <w:highlight w:val="none"/>
                      <w:shd w:val="clear" w:color="auto" w:fill="auto"/>
                      <w:lang w:val="en-US" w:eastAsia="zh-CN"/>
                      <w14:textFill>
                        <w14:solidFill>
                          <w14:schemeClr w14:val="tx1"/>
                        </w14:solidFill>
                      </w14:textFill>
                    </w:rPr>
                    <w:t>0</w:t>
                  </w:r>
                  <w:r>
                    <w:rPr>
                      <w:rFonts w:hint="eastAsia" w:cs="Times New Roman"/>
                      <w:color w:val="000000" w:themeColor="text1"/>
                      <w:kern w:val="0"/>
                      <w:sz w:val="18"/>
                      <w:szCs w:val="18"/>
                      <w:highlight w:val="none"/>
                      <w:shd w:val="clear" w:color="auto" w:fill="auto"/>
                      <w:lang w:val="en-US" w:eastAsia="zh-CN"/>
                      <w14:textFill>
                        <w14:solidFill>
                          <w14:schemeClr w14:val="tx1"/>
                        </w14:solidFill>
                      </w14:textFill>
                    </w:rPr>
                    <w:t>115</w:t>
                  </w:r>
                </w:p>
              </w:tc>
              <w:tc>
                <w:tcPr>
                  <w:tcW w:w="571" w:type="pct"/>
                  <w:vMerge w:val="continue"/>
                  <w:tcBorders>
                    <w:tl2br w:val="nil"/>
                    <w:tr2bl w:val="nil"/>
                  </w:tcBorders>
                  <w:vAlign w:val="center"/>
                </w:tcPr>
                <w:p w14:paraId="3C55E1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 w:type="pct"/>
                  <w:vMerge w:val="continue"/>
                  <w:tcBorders>
                    <w:tl2br w:val="nil"/>
                    <w:tr2bl w:val="nil"/>
                  </w:tcBorders>
                  <w:vAlign w:val="center"/>
                </w:tcPr>
                <w:p w14:paraId="091AEF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206" w:type="pct"/>
                  <w:vMerge w:val="continue"/>
                  <w:tcBorders>
                    <w:tl2br w:val="nil"/>
                    <w:tr2bl w:val="nil"/>
                  </w:tcBorders>
                  <w:vAlign w:val="center"/>
                </w:tcPr>
                <w:p w14:paraId="0BB08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83" w:type="pct"/>
                  <w:vMerge w:val="continue"/>
                  <w:tcBorders>
                    <w:tl2br w:val="nil"/>
                    <w:tr2bl w:val="nil"/>
                  </w:tcBorders>
                  <w:vAlign w:val="center"/>
                </w:tcPr>
                <w:p w14:paraId="1079DC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24" w:type="pct"/>
                  <w:tcBorders>
                    <w:tl2br w:val="nil"/>
                    <w:tr2bl w:val="nil"/>
                  </w:tcBorders>
                  <w:vAlign w:val="center"/>
                </w:tcPr>
                <w:p w14:paraId="516A9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tc>
              <w:tc>
                <w:tcPr>
                  <w:tcW w:w="428" w:type="pct"/>
                  <w:tcBorders>
                    <w:tl2br w:val="nil"/>
                    <w:tr2bl w:val="nil"/>
                  </w:tcBorders>
                  <w:vAlign w:val="center"/>
                </w:tcPr>
                <w:p w14:paraId="16B560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tc>
            </w:tr>
            <w:tr w14:paraId="0266C1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Merge w:val="continue"/>
                  <w:tcBorders>
                    <w:tl2br w:val="nil"/>
                    <w:tr2bl w:val="nil"/>
                  </w:tcBorders>
                  <w:vAlign w:val="center"/>
                </w:tcPr>
                <w:p w14:paraId="71372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69" w:type="pct"/>
                  <w:tcBorders>
                    <w:tl2br w:val="nil"/>
                    <w:tr2bl w:val="nil"/>
                  </w:tcBorders>
                  <w:vAlign w:val="center"/>
                </w:tcPr>
                <w:p w14:paraId="08FAB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氨氮</w:t>
                  </w:r>
                </w:p>
              </w:tc>
              <w:tc>
                <w:tcPr>
                  <w:tcW w:w="222" w:type="pct"/>
                  <w:vMerge w:val="continue"/>
                  <w:tcBorders>
                    <w:tl2br w:val="nil"/>
                    <w:tr2bl w:val="nil"/>
                  </w:tcBorders>
                  <w:vAlign w:val="center"/>
                </w:tcPr>
                <w:p w14:paraId="5EC24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466" w:type="pct"/>
                  <w:vMerge w:val="continue"/>
                  <w:tcBorders>
                    <w:tl2br w:val="nil"/>
                    <w:tr2bl w:val="nil"/>
                  </w:tcBorders>
                  <w:vAlign w:val="center"/>
                </w:tcPr>
                <w:p w14:paraId="5EB5B8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491" w:type="pct"/>
                  <w:tcBorders>
                    <w:tl2br w:val="nil"/>
                    <w:tr2bl w:val="nil"/>
                  </w:tcBorders>
                  <w:vAlign w:val="center"/>
                </w:tcPr>
                <w:p w14:paraId="6D49B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25</w:t>
                  </w:r>
                </w:p>
              </w:tc>
              <w:tc>
                <w:tcPr>
                  <w:tcW w:w="424" w:type="pct"/>
                  <w:tcBorders>
                    <w:tl2br w:val="nil"/>
                    <w:tr2bl w:val="nil"/>
                  </w:tcBorders>
                  <w:vAlign w:val="center"/>
                </w:tcPr>
                <w:p w14:paraId="520A5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shd w:val="clear" w:color="auto" w:fill="auto"/>
                      <w:lang w:val="en-US" w:eastAsia="zh-CN"/>
                      <w14:textFill>
                        <w14:solidFill>
                          <w14:schemeClr w14:val="tx1"/>
                        </w14:solidFill>
                      </w14:textFill>
                    </w:rPr>
                    <w:t>0.00</w:t>
                  </w:r>
                  <w:r>
                    <w:rPr>
                      <w:rFonts w:hint="eastAsia" w:cs="Times New Roman"/>
                      <w:color w:val="000000" w:themeColor="text1"/>
                      <w:kern w:val="0"/>
                      <w:sz w:val="18"/>
                      <w:szCs w:val="18"/>
                      <w:highlight w:val="none"/>
                      <w:shd w:val="clear" w:color="auto" w:fill="auto"/>
                      <w:lang w:val="en-US" w:eastAsia="zh-CN"/>
                      <w14:textFill>
                        <w14:solidFill>
                          <w14:schemeClr w14:val="tx1"/>
                        </w14:solidFill>
                      </w14:textFill>
                    </w:rPr>
                    <w:t>144</w:t>
                  </w:r>
                </w:p>
              </w:tc>
              <w:tc>
                <w:tcPr>
                  <w:tcW w:w="571" w:type="pct"/>
                  <w:vMerge w:val="continue"/>
                  <w:tcBorders>
                    <w:tl2br w:val="nil"/>
                    <w:tr2bl w:val="nil"/>
                  </w:tcBorders>
                  <w:vAlign w:val="center"/>
                </w:tcPr>
                <w:p w14:paraId="3D973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99" w:type="pct"/>
                  <w:vMerge w:val="continue"/>
                  <w:tcBorders>
                    <w:tl2br w:val="nil"/>
                    <w:tr2bl w:val="nil"/>
                  </w:tcBorders>
                  <w:vAlign w:val="center"/>
                </w:tcPr>
                <w:p w14:paraId="50D8C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206" w:type="pct"/>
                  <w:vMerge w:val="continue"/>
                  <w:tcBorders>
                    <w:tl2br w:val="nil"/>
                    <w:tr2bl w:val="nil"/>
                  </w:tcBorders>
                  <w:vAlign w:val="center"/>
                </w:tcPr>
                <w:p w14:paraId="3E096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83" w:type="pct"/>
                  <w:vMerge w:val="continue"/>
                  <w:tcBorders>
                    <w:tl2br w:val="nil"/>
                    <w:tr2bl w:val="nil"/>
                  </w:tcBorders>
                  <w:vAlign w:val="center"/>
                </w:tcPr>
                <w:p w14:paraId="24E630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24" w:type="pct"/>
                  <w:tcBorders>
                    <w:tl2br w:val="nil"/>
                    <w:tr2bl w:val="nil"/>
                  </w:tcBorders>
                  <w:vAlign w:val="center"/>
                </w:tcPr>
                <w:p w14:paraId="75951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tc>
              <w:tc>
                <w:tcPr>
                  <w:tcW w:w="428" w:type="pct"/>
                  <w:tcBorders>
                    <w:tl2br w:val="nil"/>
                    <w:tr2bl w:val="nil"/>
                  </w:tcBorders>
                  <w:vAlign w:val="center"/>
                </w:tcPr>
                <w:p w14:paraId="465C6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w:t>
                  </w:r>
                </w:p>
              </w:tc>
            </w:tr>
          </w:tbl>
          <w:p w14:paraId="29F44D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生活污水</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量为</w:t>
            </w: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57.6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参照《社会区域类环境影响评价》（主编：吴波，编制时间2007年）中给出的生活污水中各项污染物浓度</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生活污水COD</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浓度取值3</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0mg/L，氨氮</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浓度取值25mg/L，BOD</w:t>
            </w:r>
            <w:r>
              <w:rPr>
                <w:rFonts w:hint="default" w:ascii="Times New Roman" w:hAnsi="Times New Roman" w:eastAsia="宋体" w:cs="Times New Roman"/>
                <w:color w:val="000000" w:themeColor="text1"/>
                <w:kern w:val="0"/>
                <w:sz w:val="21"/>
                <w:szCs w:val="21"/>
                <w:highlight w:val="none"/>
                <w:shd w:val="clear" w:color="auto" w:fill="auto"/>
                <w:vertAlign w:val="subscript"/>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浓度取值200mg/L，SS</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浓度取值</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00mg/L。经计算生活污水COD</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量为</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0.0</w:t>
            </w: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173</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t/a、氨氮</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量为0.</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00</w:t>
            </w: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144</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t/a、SS</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量为0.</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0</w:t>
            </w: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115</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t/a、BOD</w:t>
            </w:r>
            <w:r>
              <w:rPr>
                <w:rFonts w:hint="default" w:ascii="Times New Roman" w:hAnsi="Times New Roman" w:eastAsia="宋体" w:cs="Times New Roman"/>
                <w:color w:val="000000" w:themeColor="text1"/>
                <w:kern w:val="0"/>
                <w:sz w:val="21"/>
                <w:szCs w:val="21"/>
                <w:highlight w:val="none"/>
                <w:shd w:val="clear" w:color="auto" w:fill="auto"/>
                <w:vertAlign w:val="subscript"/>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量为0</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.0</w:t>
            </w: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115</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t/a。</w:t>
            </w:r>
          </w:p>
          <w:p w14:paraId="463CA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污染防治措施及</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环境影响分析</w:t>
            </w:r>
          </w:p>
          <w:p w14:paraId="29C9C69B">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本项目无生产废水，新增</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排入</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防渗旱厕</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，定期清掏，外运堆肥，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不会对周边地表水环境产生较大影响</w:t>
            </w:r>
            <w:r>
              <w:rPr>
                <w:rFonts w:hint="default" w:ascii="Times New Roman" w:hAnsi="Times New Roman" w:eastAsia="宋体" w:cs="Times New Roman"/>
                <w:bCs/>
                <w:color w:val="000000" w:themeColor="text1"/>
                <w:spacing w:val="-2"/>
                <w:szCs w:val="21"/>
                <w:highlight w:val="none"/>
                <w:lang w:eastAsia="zh-CN"/>
                <w14:textFill>
                  <w14:solidFill>
                    <w14:schemeClr w14:val="tx1"/>
                  </w14:solidFill>
                </w14:textFill>
              </w:rPr>
              <w:t>。</w:t>
            </w:r>
          </w:p>
          <w:p w14:paraId="233E1B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3、噪声</w:t>
            </w:r>
          </w:p>
          <w:p w14:paraId="1D8AFC8C">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（1）噪声污染源源强核算结果及相关参数见表4-</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zCs w:val="21"/>
                <w:highlight w:val="none"/>
                <w14:textFill>
                  <w14:solidFill>
                    <w14:schemeClr w14:val="tx1"/>
                  </w14:solidFill>
                </w14:textFill>
              </w:rPr>
              <w:t>。</w:t>
            </w:r>
          </w:p>
          <w:p w14:paraId="42B13E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pacing w:val="0"/>
                <w:kern w:val="2"/>
                <w:sz w:val="21"/>
                <w:szCs w:val="21"/>
                <w:highlight w:val="none"/>
                <w:lang w:val="en-US" w:eastAsia="zh-CN" w:bidi="ar-SA"/>
                <w14:textFill>
                  <w14:solidFill>
                    <w14:schemeClr w14:val="tx1"/>
                  </w14:solidFill>
                </w14:textFill>
              </w:rPr>
              <w:t xml:space="preserve">表4-7 </w:t>
            </w:r>
            <w:r>
              <w:rPr>
                <w:rFonts w:hint="default" w:ascii="Times New Roman" w:hAnsi="Times New Roman" w:eastAsia="宋体" w:cs="Times New Roman"/>
                <w:b/>
                <w:color w:val="000000" w:themeColor="text1"/>
                <w:szCs w:val="21"/>
                <w:highlight w:val="none"/>
                <w14:textFill>
                  <w14:solidFill>
                    <w14:schemeClr w14:val="tx1"/>
                  </w14:solidFill>
                </w14:textFill>
              </w:rPr>
              <w:t>污染源源强核算结果及相关参数一览表</w:t>
            </w:r>
          </w:p>
          <w:tbl>
            <w:tblPr>
              <w:tblStyle w:val="34"/>
              <w:tblW w:w="5000" w:type="pct"/>
              <w:jc w:val="center"/>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826"/>
              <w:gridCol w:w="1639"/>
              <w:gridCol w:w="1435"/>
              <w:gridCol w:w="1048"/>
              <w:gridCol w:w="995"/>
              <w:gridCol w:w="1051"/>
              <w:gridCol w:w="628"/>
            </w:tblGrid>
            <w:tr w14:paraId="54932B42">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vMerge w:val="restart"/>
                  <w:tcBorders>
                    <w:left w:val="nil"/>
                    <w:right w:val="single" w:color="auto" w:sz="4" w:space="0"/>
                  </w:tcBorders>
                  <w:noWrap w:val="0"/>
                  <w:vAlign w:val="center"/>
                </w:tcPr>
                <w:p w14:paraId="4FB04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序号</w:t>
                  </w:r>
                </w:p>
              </w:tc>
              <w:tc>
                <w:tcPr>
                  <w:tcW w:w="512" w:type="pct"/>
                  <w:vMerge w:val="restart"/>
                  <w:tcBorders>
                    <w:left w:val="nil"/>
                    <w:right w:val="single" w:color="auto" w:sz="4" w:space="0"/>
                  </w:tcBorders>
                  <w:noWrap w:val="0"/>
                  <w:vAlign w:val="center"/>
                </w:tcPr>
                <w:p w14:paraId="2086A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工序/生产线</w:t>
                  </w:r>
                </w:p>
              </w:tc>
              <w:tc>
                <w:tcPr>
                  <w:tcW w:w="1017" w:type="pct"/>
                  <w:vMerge w:val="restart"/>
                  <w:tcBorders>
                    <w:left w:val="single" w:color="auto" w:sz="4" w:space="0"/>
                    <w:right w:val="single" w:color="auto" w:sz="4" w:space="0"/>
                  </w:tcBorders>
                  <w:noWrap w:val="0"/>
                  <w:vAlign w:val="center"/>
                </w:tcPr>
                <w:p w14:paraId="3B4EA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噪声源</w:t>
                  </w:r>
                </w:p>
              </w:tc>
              <w:tc>
                <w:tcPr>
                  <w:tcW w:w="890" w:type="pct"/>
                  <w:tcBorders>
                    <w:left w:val="single" w:color="auto" w:sz="4" w:space="0"/>
                    <w:bottom w:val="single" w:color="auto" w:sz="4" w:space="0"/>
                    <w:right w:val="single" w:color="auto" w:sz="4" w:space="0"/>
                  </w:tcBorders>
                  <w:noWrap w:val="0"/>
                  <w:vAlign w:val="center"/>
                </w:tcPr>
                <w:p w14:paraId="131D25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噪声源源强</w:t>
                  </w:r>
                </w:p>
              </w:tc>
              <w:tc>
                <w:tcPr>
                  <w:tcW w:w="1268" w:type="pct"/>
                  <w:gridSpan w:val="2"/>
                  <w:tcBorders>
                    <w:left w:val="single" w:color="auto" w:sz="4" w:space="0"/>
                    <w:bottom w:val="single" w:color="auto" w:sz="4" w:space="0"/>
                    <w:right w:val="nil"/>
                  </w:tcBorders>
                  <w:noWrap w:val="0"/>
                  <w:vAlign w:val="center"/>
                </w:tcPr>
                <w:p w14:paraId="4996E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降噪措施</w:t>
                  </w:r>
                </w:p>
              </w:tc>
              <w:tc>
                <w:tcPr>
                  <w:tcW w:w="652" w:type="pct"/>
                  <w:tcBorders>
                    <w:left w:val="single" w:color="auto" w:sz="4" w:space="0"/>
                    <w:bottom w:val="single" w:color="auto" w:sz="4" w:space="0"/>
                    <w:right w:val="nil"/>
                  </w:tcBorders>
                  <w:noWrap w:val="0"/>
                  <w:vAlign w:val="center"/>
                </w:tcPr>
                <w:p w14:paraId="2E76A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噪声排放值</w:t>
                  </w:r>
                </w:p>
              </w:tc>
              <w:tc>
                <w:tcPr>
                  <w:tcW w:w="389" w:type="pct"/>
                  <w:vMerge w:val="restart"/>
                  <w:tcBorders>
                    <w:left w:val="single" w:color="auto" w:sz="4" w:space="0"/>
                    <w:right w:val="nil"/>
                  </w:tcBorders>
                  <w:noWrap w:val="0"/>
                  <w:vAlign w:val="center"/>
                </w:tcPr>
                <w:p w14:paraId="195483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运行时段</w:t>
                  </w:r>
                </w:p>
              </w:tc>
            </w:tr>
            <w:tr w14:paraId="472DFEBF">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vMerge w:val="continue"/>
                  <w:tcBorders>
                    <w:left w:val="nil"/>
                    <w:bottom w:val="single" w:color="auto" w:sz="4" w:space="0"/>
                    <w:right w:val="single" w:color="auto" w:sz="4" w:space="0"/>
                  </w:tcBorders>
                  <w:noWrap w:val="0"/>
                  <w:vAlign w:val="center"/>
                </w:tcPr>
                <w:p w14:paraId="194CE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512" w:type="pct"/>
                  <w:vMerge w:val="continue"/>
                  <w:tcBorders>
                    <w:left w:val="nil"/>
                    <w:bottom w:val="single" w:color="auto" w:sz="4" w:space="0"/>
                    <w:right w:val="single" w:color="auto" w:sz="4" w:space="0"/>
                  </w:tcBorders>
                  <w:noWrap w:val="0"/>
                  <w:vAlign w:val="center"/>
                </w:tcPr>
                <w:p w14:paraId="0BAB1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017" w:type="pct"/>
                  <w:vMerge w:val="continue"/>
                  <w:tcBorders>
                    <w:left w:val="single" w:color="auto" w:sz="4" w:space="0"/>
                    <w:bottom w:val="single" w:color="auto" w:sz="4" w:space="0"/>
                    <w:right w:val="single" w:color="auto" w:sz="4" w:space="0"/>
                  </w:tcBorders>
                  <w:noWrap w:val="0"/>
                  <w:vAlign w:val="center"/>
                </w:tcPr>
                <w:p w14:paraId="3762F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890" w:type="pct"/>
                  <w:tcBorders>
                    <w:top w:val="single" w:color="auto" w:sz="4" w:space="0"/>
                    <w:left w:val="single" w:color="auto" w:sz="4" w:space="0"/>
                    <w:bottom w:val="single" w:color="auto" w:sz="4" w:space="0"/>
                    <w:right w:val="single" w:color="auto" w:sz="4" w:space="0"/>
                  </w:tcBorders>
                  <w:noWrap w:val="0"/>
                  <w:vAlign w:val="center"/>
                </w:tcPr>
                <w:p w14:paraId="36D90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噪声值</w:t>
                  </w: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/dB(</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w:t>
                  </w:r>
                </w:p>
              </w:tc>
              <w:tc>
                <w:tcPr>
                  <w:tcW w:w="650" w:type="pct"/>
                  <w:tcBorders>
                    <w:top w:val="single" w:color="auto" w:sz="4" w:space="0"/>
                    <w:left w:val="single" w:color="auto" w:sz="4" w:space="0"/>
                    <w:bottom w:val="single" w:color="auto" w:sz="4" w:space="0"/>
                    <w:right w:val="nil"/>
                  </w:tcBorders>
                  <w:noWrap w:val="0"/>
                  <w:vAlign w:val="center"/>
                </w:tcPr>
                <w:p w14:paraId="2D7E97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工艺</w:t>
                  </w:r>
                </w:p>
              </w:tc>
              <w:tc>
                <w:tcPr>
                  <w:tcW w:w="617" w:type="pct"/>
                  <w:tcBorders>
                    <w:left w:val="single" w:color="auto" w:sz="4" w:space="0"/>
                    <w:bottom w:val="single" w:color="auto" w:sz="4" w:space="0"/>
                    <w:right w:val="nil"/>
                  </w:tcBorders>
                  <w:noWrap w:val="0"/>
                  <w:vAlign w:val="center"/>
                </w:tcPr>
                <w:p w14:paraId="3854C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降噪效果/(dB)</w:t>
                  </w:r>
                </w:p>
              </w:tc>
              <w:tc>
                <w:tcPr>
                  <w:tcW w:w="652" w:type="pct"/>
                  <w:tcBorders>
                    <w:top w:val="single" w:color="auto" w:sz="4" w:space="0"/>
                    <w:left w:val="single" w:color="auto" w:sz="4" w:space="0"/>
                    <w:bottom w:val="single" w:color="auto" w:sz="4" w:space="0"/>
                    <w:right w:val="nil"/>
                  </w:tcBorders>
                  <w:noWrap w:val="0"/>
                  <w:vAlign w:val="center"/>
                </w:tcPr>
                <w:p w14:paraId="1A7134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噪声值/(dB)</w:t>
                  </w:r>
                </w:p>
              </w:tc>
              <w:tc>
                <w:tcPr>
                  <w:tcW w:w="389" w:type="pct"/>
                  <w:vMerge w:val="continue"/>
                  <w:tcBorders>
                    <w:left w:val="single" w:color="auto" w:sz="4" w:space="0"/>
                    <w:bottom w:val="single" w:color="auto" w:sz="4" w:space="0"/>
                    <w:right w:val="nil"/>
                  </w:tcBorders>
                  <w:noWrap w:val="0"/>
                  <w:vAlign w:val="center"/>
                </w:tcPr>
                <w:p w14:paraId="2ACE8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kern w:val="0"/>
                      <w:sz w:val="18"/>
                      <w:szCs w:val="18"/>
                      <w:highlight w:val="none"/>
                      <w:lang w:val="en-US" w:eastAsia="zh-CN" w:bidi="ar-SA"/>
                      <w14:textFill>
                        <w14:solidFill>
                          <w14:schemeClr w14:val="tx1"/>
                        </w14:solidFill>
                      </w14:textFill>
                    </w:rPr>
                  </w:pPr>
                </w:p>
              </w:tc>
            </w:tr>
            <w:tr w14:paraId="504FA688">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op w:val="single" w:color="auto" w:sz="4" w:space="0"/>
                    <w:left w:val="nil"/>
                    <w:right w:val="single" w:color="auto" w:sz="4" w:space="0"/>
                  </w:tcBorders>
                  <w:noWrap w:val="0"/>
                  <w:vAlign w:val="center"/>
                </w:tcPr>
                <w:p w14:paraId="09AAD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1</w:t>
                  </w:r>
                </w:p>
              </w:tc>
              <w:tc>
                <w:tcPr>
                  <w:tcW w:w="512" w:type="pct"/>
                  <w:vMerge w:val="restart"/>
                  <w:tcBorders>
                    <w:top w:val="single" w:color="auto" w:sz="4" w:space="0"/>
                    <w:left w:val="nil"/>
                    <w:right w:val="single" w:color="auto" w:sz="4" w:space="0"/>
                  </w:tcBorders>
                  <w:noWrap w:val="0"/>
                  <w:vAlign w:val="center"/>
                </w:tcPr>
                <w:p w14:paraId="73C30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烘干</w:t>
                  </w:r>
                </w:p>
                <w:p w14:paraId="553E5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工序</w:t>
                  </w:r>
                </w:p>
              </w:tc>
              <w:tc>
                <w:tcPr>
                  <w:tcW w:w="1017" w:type="pct"/>
                  <w:tcBorders>
                    <w:top w:val="single" w:color="auto" w:sz="4" w:space="0"/>
                    <w:left w:val="single" w:color="auto" w:sz="4" w:space="0"/>
                    <w:bottom w:val="single" w:color="auto" w:sz="4" w:space="0"/>
                    <w:right w:val="single" w:color="auto" w:sz="4" w:space="0"/>
                  </w:tcBorders>
                  <w:noWrap w:val="0"/>
                  <w:vAlign w:val="center"/>
                </w:tcPr>
                <w:p w14:paraId="643995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提升机</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4626D9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80</w:t>
                  </w:r>
                </w:p>
              </w:tc>
              <w:tc>
                <w:tcPr>
                  <w:tcW w:w="650" w:type="pct"/>
                  <w:vMerge w:val="restart"/>
                  <w:tcBorders>
                    <w:top w:val="single" w:color="auto" w:sz="4" w:space="0"/>
                    <w:left w:val="single" w:color="auto" w:sz="4" w:space="0"/>
                    <w:right w:val="nil"/>
                  </w:tcBorders>
                  <w:noWrap w:val="0"/>
                  <w:vAlign w:val="center"/>
                </w:tcPr>
                <w:p w14:paraId="136B8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低噪声设备、基础减振</w:t>
                  </w:r>
                </w:p>
              </w:tc>
              <w:tc>
                <w:tcPr>
                  <w:tcW w:w="617" w:type="pct"/>
                  <w:tcBorders>
                    <w:top w:val="single" w:color="auto" w:sz="4" w:space="0"/>
                    <w:left w:val="single" w:color="auto" w:sz="4" w:space="0"/>
                    <w:right w:val="nil"/>
                  </w:tcBorders>
                  <w:noWrap w:val="0"/>
                  <w:vAlign w:val="center"/>
                </w:tcPr>
                <w:p w14:paraId="5AACE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top w:val="single" w:color="auto" w:sz="4" w:space="0"/>
                    <w:left w:val="single" w:color="auto" w:sz="4" w:space="0"/>
                    <w:right w:val="nil"/>
                  </w:tcBorders>
                  <w:noWrap w:val="0"/>
                  <w:vAlign w:val="center"/>
                </w:tcPr>
                <w:p w14:paraId="3C385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60</w:t>
                  </w:r>
                </w:p>
              </w:tc>
              <w:tc>
                <w:tcPr>
                  <w:tcW w:w="389" w:type="pct"/>
                  <w:vMerge w:val="restart"/>
                  <w:tcBorders>
                    <w:top w:val="single" w:color="auto" w:sz="4" w:space="0"/>
                    <w:left w:val="single" w:color="auto" w:sz="4" w:space="0"/>
                    <w:right w:val="nil"/>
                  </w:tcBorders>
                  <w:noWrap w:val="0"/>
                  <w:vAlign w:val="center"/>
                </w:tcPr>
                <w:p w14:paraId="340A2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3600</w:t>
                  </w:r>
                </w:p>
              </w:tc>
            </w:tr>
            <w:tr w14:paraId="26C3FEF3">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left w:val="nil"/>
                    <w:right w:val="single" w:color="auto" w:sz="4" w:space="0"/>
                  </w:tcBorders>
                  <w:noWrap w:val="0"/>
                  <w:vAlign w:val="center"/>
                </w:tcPr>
                <w:p w14:paraId="745656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w:t>
                  </w:r>
                </w:p>
              </w:tc>
              <w:tc>
                <w:tcPr>
                  <w:tcW w:w="512" w:type="pct"/>
                  <w:vMerge w:val="continue"/>
                  <w:tcBorders>
                    <w:left w:val="nil"/>
                    <w:right w:val="single" w:color="auto" w:sz="4" w:space="0"/>
                  </w:tcBorders>
                  <w:noWrap w:val="0"/>
                  <w:vAlign w:val="center"/>
                </w:tcPr>
                <w:p w14:paraId="5CFF1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017" w:type="pct"/>
                  <w:tcBorders>
                    <w:top w:val="single" w:color="auto" w:sz="4" w:space="0"/>
                    <w:left w:val="single" w:color="auto" w:sz="4" w:space="0"/>
                    <w:bottom w:val="single" w:color="auto" w:sz="4" w:space="0"/>
                    <w:right w:val="single" w:color="auto" w:sz="4" w:space="0"/>
                  </w:tcBorders>
                  <w:noWrap w:val="0"/>
                  <w:vAlign w:val="center"/>
                </w:tcPr>
                <w:p w14:paraId="62F04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输送机</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132AE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70</w:t>
                  </w:r>
                </w:p>
              </w:tc>
              <w:tc>
                <w:tcPr>
                  <w:tcW w:w="650" w:type="pct"/>
                  <w:vMerge w:val="continue"/>
                  <w:tcBorders>
                    <w:left w:val="single" w:color="auto" w:sz="4" w:space="0"/>
                    <w:right w:val="nil"/>
                  </w:tcBorders>
                  <w:noWrap w:val="0"/>
                  <w:vAlign w:val="center"/>
                </w:tcPr>
                <w:p w14:paraId="76F589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617" w:type="pct"/>
                  <w:tcBorders>
                    <w:left w:val="single" w:color="auto" w:sz="4" w:space="0"/>
                    <w:right w:val="nil"/>
                  </w:tcBorders>
                  <w:noWrap w:val="0"/>
                  <w:vAlign w:val="center"/>
                </w:tcPr>
                <w:p w14:paraId="572F5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left w:val="single" w:color="auto" w:sz="4" w:space="0"/>
                    <w:right w:val="nil"/>
                  </w:tcBorders>
                  <w:noWrap w:val="0"/>
                  <w:vAlign w:val="center"/>
                </w:tcPr>
                <w:p w14:paraId="06BBA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50</w:t>
                  </w:r>
                </w:p>
              </w:tc>
              <w:tc>
                <w:tcPr>
                  <w:tcW w:w="389" w:type="pct"/>
                  <w:vMerge w:val="continue"/>
                  <w:tcBorders>
                    <w:left w:val="single" w:color="auto" w:sz="4" w:space="0"/>
                    <w:right w:val="nil"/>
                  </w:tcBorders>
                  <w:noWrap w:val="0"/>
                  <w:vAlign w:val="center"/>
                </w:tcPr>
                <w:p w14:paraId="3E48C3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r>
            <w:tr w14:paraId="1D120CA3">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op w:val="single" w:color="auto" w:sz="4" w:space="0"/>
                    <w:left w:val="nil"/>
                    <w:bottom w:val="single" w:color="auto" w:sz="4" w:space="0"/>
                    <w:right w:val="single" w:color="auto" w:sz="4" w:space="0"/>
                  </w:tcBorders>
                  <w:noWrap w:val="0"/>
                  <w:vAlign w:val="center"/>
                </w:tcPr>
                <w:p w14:paraId="3BB01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3</w:t>
                  </w:r>
                </w:p>
              </w:tc>
              <w:tc>
                <w:tcPr>
                  <w:tcW w:w="512" w:type="pct"/>
                  <w:vMerge w:val="continue"/>
                  <w:tcBorders>
                    <w:left w:val="nil"/>
                    <w:right w:val="single" w:color="auto" w:sz="4" w:space="0"/>
                  </w:tcBorders>
                  <w:noWrap w:val="0"/>
                  <w:vAlign w:val="center"/>
                </w:tcPr>
                <w:p w14:paraId="4B289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c>
                <w:tcPr>
                  <w:tcW w:w="1017" w:type="pct"/>
                  <w:tcBorders>
                    <w:top w:val="single" w:color="auto" w:sz="4" w:space="0"/>
                    <w:left w:val="single" w:color="auto" w:sz="4" w:space="0"/>
                    <w:bottom w:val="single" w:color="auto" w:sz="4" w:space="0"/>
                    <w:right w:val="single" w:color="auto" w:sz="4" w:space="0"/>
                  </w:tcBorders>
                  <w:noWrap w:val="0"/>
                  <w:vAlign w:val="center"/>
                </w:tcPr>
                <w:p w14:paraId="7F082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i w:val="0"/>
                      <w:iCs w:val="0"/>
                      <w:caps w:val="0"/>
                      <w:color w:val="000000" w:themeColor="text1"/>
                      <w:spacing w:val="0"/>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筛选机</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3A87E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75</w:t>
                  </w:r>
                </w:p>
              </w:tc>
              <w:tc>
                <w:tcPr>
                  <w:tcW w:w="650" w:type="pct"/>
                  <w:vMerge w:val="continue"/>
                  <w:tcBorders>
                    <w:left w:val="single" w:color="auto" w:sz="4" w:space="0"/>
                    <w:right w:val="nil"/>
                  </w:tcBorders>
                  <w:noWrap w:val="0"/>
                  <w:vAlign w:val="center"/>
                </w:tcPr>
                <w:p w14:paraId="6E4F59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c>
                <w:tcPr>
                  <w:tcW w:w="617" w:type="pct"/>
                  <w:tcBorders>
                    <w:left w:val="single" w:color="auto" w:sz="4" w:space="0"/>
                    <w:right w:val="nil"/>
                  </w:tcBorders>
                  <w:noWrap w:val="0"/>
                  <w:vAlign w:val="center"/>
                </w:tcPr>
                <w:p w14:paraId="5405A9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left w:val="single" w:color="auto" w:sz="4" w:space="0"/>
                    <w:right w:val="nil"/>
                  </w:tcBorders>
                  <w:noWrap w:val="0"/>
                  <w:vAlign w:val="center"/>
                </w:tcPr>
                <w:p w14:paraId="0C68D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55</w:t>
                  </w:r>
                </w:p>
              </w:tc>
              <w:tc>
                <w:tcPr>
                  <w:tcW w:w="389" w:type="pct"/>
                  <w:vMerge w:val="continue"/>
                  <w:tcBorders>
                    <w:left w:val="single" w:color="auto" w:sz="4" w:space="0"/>
                    <w:right w:val="nil"/>
                  </w:tcBorders>
                  <w:noWrap w:val="0"/>
                  <w:vAlign w:val="center"/>
                </w:tcPr>
                <w:p w14:paraId="59290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r>
            <w:tr w14:paraId="4420AE43">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op w:val="single" w:color="auto" w:sz="4" w:space="0"/>
                    <w:left w:val="nil"/>
                    <w:bottom w:val="single" w:color="auto" w:sz="4" w:space="0"/>
                    <w:right w:val="single" w:color="auto" w:sz="4" w:space="0"/>
                  </w:tcBorders>
                  <w:noWrap w:val="0"/>
                  <w:vAlign w:val="center"/>
                </w:tcPr>
                <w:p w14:paraId="71AEF3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4</w:t>
                  </w:r>
                </w:p>
              </w:tc>
              <w:tc>
                <w:tcPr>
                  <w:tcW w:w="512" w:type="pct"/>
                  <w:vMerge w:val="continue"/>
                  <w:tcBorders>
                    <w:left w:val="nil"/>
                    <w:right w:val="single" w:color="auto" w:sz="4" w:space="0"/>
                  </w:tcBorders>
                  <w:noWrap w:val="0"/>
                  <w:vAlign w:val="center"/>
                </w:tcPr>
                <w:p w14:paraId="73CCD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c>
                <w:tcPr>
                  <w:tcW w:w="1017" w:type="pct"/>
                  <w:tcBorders>
                    <w:top w:val="single" w:color="auto" w:sz="4" w:space="0"/>
                    <w:left w:val="single" w:color="auto" w:sz="4" w:space="0"/>
                    <w:bottom w:val="single" w:color="auto" w:sz="4" w:space="0"/>
                    <w:right w:val="single" w:color="auto" w:sz="4" w:space="0"/>
                  </w:tcBorders>
                  <w:noWrap w:val="0"/>
                  <w:vAlign w:val="center"/>
                </w:tcPr>
                <w:p w14:paraId="40B0E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制冷设备外机</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496990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70</w:t>
                  </w:r>
                </w:p>
              </w:tc>
              <w:tc>
                <w:tcPr>
                  <w:tcW w:w="650" w:type="pct"/>
                  <w:vMerge w:val="continue"/>
                  <w:tcBorders>
                    <w:left w:val="single" w:color="auto" w:sz="4" w:space="0"/>
                    <w:right w:val="nil"/>
                  </w:tcBorders>
                  <w:noWrap w:val="0"/>
                  <w:vAlign w:val="center"/>
                </w:tcPr>
                <w:p w14:paraId="6C484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c>
                <w:tcPr>
                  <w:tcW w:w="617" w:type="pct"/>
                  <w:tcBorders>
                    <w:left w:val="single" w:color="auto" w:sz="4" w:space="0"/>
                    <w:right w:val="nil"/>
                  </w:tcBorders>
                  <w:noWrap w:val="0"/>
                  <w:vAlign w:val="center"/>
                </w:tcPr>
                <w:p w14:paraId="6FEC2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left w:val="single" w:color="auto" w:sz="4" w:space="0"/>
                    <w:right w:val="nil"/>
                  </w:tcBorders>
                  <w:noWrap w:val="0"/>
                  <w:vAlign w:val="center"/>
                </w:tcPr>
                <w:p w14:paraId="5FF328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50</w:t>
                  </w:r>
                </w:p>
              </w:tc>
              <w:tc>
                <w:tcPr>
                  <w:tcW w:w="389" w:type="pct"/>
                  <w:vMerge w:val="continue"/>
                  <w:tcBorders>
                    <w:left w:val="single" w:color="auto" w:sz="4" w:space="0"/>
                    <w:right w:val="nil"/>
                  </w:tcBorders>
                  <w:noWrap w:val="0"/>
                  <w:vAlign w:val="center"/>
                </w:tcPr>
                <w:p w14:paraId="459F63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r>
            <w:tr w14:paraId="5FED5CB3">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op w:val="single" w:color="auto" w:sz="4" w:space="0"/>
                    <w:left w:val="nil"/>
                    <w:bottom w:val="single" w:color="auto" w:sz="4" w:space="0"/>
                    <w:right w:val="single" w:color="auto" w:sz="4" w:space="0"/>
                  </w:tcBorders>
                  <w:noWrap w:val="0"/>
                  <w:vAlign w:val="center"/>
                </w:tcPr>
                <w:p w14:paraId="4CF02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5</w:t>
                  </w:r>
                </w:p>
              </w:tc>
              <w:tc>
                <w:tcPr>
                  <w:tcW w:w="512" w:type="pct"/>
                  <w:vMerge w:val="continue"/>
                  <w:tcBorders>
                    <w:left w:val="nil"/>
                    <w:right w:val="single" w:color="auto" w:sz="4" w:space="0"/>
                  </w:tcBorders>
                  <w:noWrap w:val="0"/>
                  <w:vAlign w:val="center"/>
                </w:tcPr>
                <w:p w14:paraId="728AD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c>
                <w:tcPr>
                  <w:tcW w:w="1017" w:type="pct"/>
                  <w:tcBorders>
                    <w:top w:val="single" w:color="auto" w:sz="4" w:space="0"/>
                    <w:left w:val="single" w:color="auto" w:sz="4" w:space="0"/>
                    <w:bottom w:val="single" w:color="auto" w:sz="4" w:space="0"/>
                    <w:right w:val="single" w:color="auto" w:sz="4" w:space="0"/>
                  </w:tcBorders>
                  <w:noWrap w:val="0"/>
                  <w:vAlign w:val="center"/>
                </w:tcPr>
                <w:p w14:paraId="53AE8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i w:val="0"/>
                      <w:iCs w:val="0"/>
                      <w:caps w:val="0"/>
                      <w:color w:val="000000" w:themeColor="text1"/>
                      <w:spacing w:val="0"/>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18"/>
                      <w:szCs w:val="18"/>
                      <w:highlight w:val="none"/>
                      <w:u w:val="none"/>
                      <w:lang w:val="en-US" w:eastAsia="zh-CN" w:bidi="ar"/>
                      <w14:textFill>
                        <w14:solidFill>
                          <w14:schemeClr w14:val="tx1"/>
                        </w14:solidFill>
                      </w14:textFill>
                    </w:rPr>
                    <w:t>布袋除尘器</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7A697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80</w:t>
                  </w:r>
                </w:p>
              </w:tc>
              <w:tc>
                <w:tcPr>
                  <w:tcW w:w="650" w:type="pct"/>
                  <w:tcBorders>
                    <w:left w:val="single" w:color="auto" w:sz="4" w:space="0"/>
                    <w:right w:val="nil"/>
                  </w:tcBorders>
                  <w:noWrap w:val="0"/>
                  <w:vAlign w:val="center"/>
                </w:tcPr>
                <w:p w14:paraId="457A4A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基础减振</w:t>
                  </w:r>
                  <w:r>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隔声</w:t>
                  </w:r>
                </w:p>
              </w:tc>
              <w:tc>
                <w:tcPr>
                  <w:tcW w:w="617" w:type="pct"/>
                  <w:tcBorders>
                    <w:left w:val="single" w:color="auto" w:sz="4" w:space="0"/>
                    <w:right w:val="nil"/>
                  </w:tcBorders>
                  <w:noWrap w:val="0"/>
                  <w:vAlign w:val="center"/>
                </w:tcPr>
                <w:p w14:paraId="6C0EC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left w:val="single" w:color="auto" w:sz="4" w:space="0"/>
                    <w:right w:val="nil"/>
                  </w:tcBorders>
                  <w:noWrap w:val="0"/>
                  <w:vAlign w:val="center"/>
                </w:tcPr>
                <w:p w14:paraId="2E7835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60</w:t>
                  </w:r>
                </w:p>
              </w:tc>
              <w:tc>
                <w:tcPr>
                  <w:tcW w:w="389" w:type="pct"/>
                  <w:vMerge w:val="continue"/>
                  <w:tcBorders>
                    <w:left w:val="single" w:color="auto" w:sz="4" w:space="0"/>
                    <w:right w:val="nil"/>
                  </w:tcBorders>
                  <w:noWrap w:val="0"/>
                  <w:vAlign w:val="center"/>
                </w:tcPr>
                <w:p w14:paraId="226926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r>
            <w:tr w14:paraId="4379AF97">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tcBorders>
                    <w:top w:val="single" w:color="auto" w:sz="4" w:space="0"/>
                    <w:left w:val="nil"/>
                    <w:bottom w:val="single" w:color="auto" w:sz="4" w:space="0"/>
                    <w:right w:val="single" w:color="auto" w:sz="4" w:space="0"/>
                  </w:tcBorders>
                  <w:noWrap w:val="0"/>
                  <w:vAlign w:val="center"/>
                </w:tcPr>
                <w:p w14:paraId="27F20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6</w:t>
                  </w:r>
                </w:p>
              </w:tc>
              <w:tc>
                <w:tcPr>
                  <w:tcW w:w="512" w:type="pct"/>
                  <w:vMerge w:val="continue"/>
                  <w:tcBorders>
                    <w:left w:val="nil"/>
                    <w:right w:val="single" w:color="auto" w:sz="4" w:space="0"/>
                  </w:tcBorders>
                  <w:noWrap w:val="0"/>
                  <w:vAlign w:val="center"/>
                </w:tcPr>
                <w:p w14:paraId="34B32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c>
                <w:tcPr>
                  <w:tcW w:w="1017" w:type="pct"/>
                  <w:tcBorders>
                    <w:top w:val="single" w:color="auto" w:sz="4" w:space="0"/>
                    <w:left w:val="single" w:color="auto" w:sz="4" w:space="0"/>
                    <w:bottom w:val="single" w:color="auto" w:sz="4" w:space="0"/>
                    <w:right w:val="single" w:color="auto" w:sz="4" w:space="0"/>
                  </w:tcBorders>
                  <w:noWrap w:val="0"/>
                  <w:vAlign w:val="center"/>
                </w:tcPr>
                <w:p w14:paraId="0DA8B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i w:val="0"/>
                      <w:iCs w:val="0"/>
                      <w:caps w:val="0"/>
                      <w:color w:val="000000" w:themeColor="text1"/>
                      <w:spacing w:val="0"/>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烘干塔</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562F21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80</w:t>
                  </w:r>
                </w:p>
              </w:tc>
              <w:tc>
                <w:tcPr>
                  <w:tcW w:w="650" w:type="pct"/>
                  <w:tcBorders>
                    <w:left w:val="single" w:color="auto" w:sz="4" w:space="0"/>
                    <w:right w:val="nil"/>
                  </w:tcBorders>
                  <w:noWrap w:val="0"/>
                  <w:vAlign w:val="center"/>
                </w:tcPr>
                <w:p w14:paraId="06FFB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基础减振</w:t>
                  </w:r>
                  <w:r>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隔声</w:t>
                  </w:r>
                </w:p>
              </w:tc>
              <w:tc>
                <w:tcPr>
                  <w:tcW w:w="617" w:type="pct"/>
                  <w:tcBorders>
                    <w:left w:val="single" w:color="auto" w:sz="4" w:space="0"/>
                    <w:right w:val="nil"/>
                  </w:tcBorders>
                  <w:noWrap w:val="0"/>
                  <w:vAlign w:val="center"/>
                </w:tcPr>
                <w:p w14:paraId="5903D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left w:val="single" w:color="auto" w:sz="4" w:space="0"/>
                    <w:right w:val="nil"/>
                  </w:tcBorders>
                  <w:noWrap w:val="0"/>
                  <w:vAlign w:val="center"/>
                </w:tcPr>
                <w:p w14:paraId="5025C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60</w:t>
                  </w:r>
                </w:p>
              </w:tc>
              <w:tc>
                <w:tcPr>
                  <w:tcW w:w="389" w:type="pct"/>
                  <w:vMerge w:val="continue"/>
                  <w:tcBorders>
                    <w:left w:val="single" w:color="auto" w:sz="4" w:space="0"/>
                    <w:right w:val="nil"/>
                  </w:tcBorders>
                  <w:noWrap w:val="0"/>
                  <w:vAlign w:val="center"/>
                </w:tcPr>
                <w:p w14:paraId="4BCD9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r>
            <w:tr w14:paraId="6D825A8E">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op w:val="single" w:color="auto" w:sz="4" w:space="0"/>
                    <w:left w:val="nil"/>
                    <w:bottom w:val="single" w:color="auto" w:sz="4" w:space="0"/>
                    <w:right w:val="single" w:color="auto" w:sz="4" w:space="0"/>
                  </w:tcBorders>
                  <w:noWrap w:val="0"/>
                  <w:vAlign w:val="center"/>
                </w:tcPr>
                <w:p w14:paraId="7ADC5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7</w:t>
                  </w:r>
                </w:p>
              </w:tc>
              <w:tc>
                <w:tcPr>
                  <w:tcW w:w="512" w:type="pct"/>
                  <w:tcBorders>
                    <w:left w:val="nil"/>
                    <w:right w:val="single" w:color="auto" w:sz="4" w:space="0"/>
                  </w:tcBorders>
                  <w:noWrap w:val="0"/>
                  <w:vAlign w:val="center"/>
                </w:tcPr>
                <w:p w14:paraId="07F1C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热风炉房</w:t>
                  </w:r>
                </w:p>
              </w:tc>
              <w:tc>
                <w:tcPr>
                  <w:tcW w:w="1017" w:type="pct"/>
                  <w:tcBorders>
                    <w:top w:val="single" w:color="auto" w:sz="4" w:space="0"/>
                    <w:left w:val="single" w:color="auto" w:sz="4" w:space="0"/>
                    <w:bottom w:val="single" w:color="auto" w:sz="4" w:space="0"/>
                    <w:right w:val="single" w:color="auto" w:sz="4" w:space="0"/>
                  </w:tcBorders>
                  <w:noWrap w:val="0"/>
                  <w:vAlign w:val="center"/>
                </w:tcPr>
                <w:p w14:paraId="28C300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热风炉风机</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1DFBE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80</w:t>
                  </w:r>
                </w:p>
              </w:tc>
              <w:tc>
                <w:tcPr>
                  <w:tcW w:w="650" w:type="pct"/>
                  <w:tcBorders>
                    <w:left w:val="single" w:color="auto" w:sz="4" w:space="0"/>
                    <w:right w:val="nil"/>
                  </w:tcBorders>
                  <w:noWrap w:val="0"/>
                  <w:vAlign w:val="center"/>
                </w:tcPr>
                <w:p w14:paraId="0926AA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基础减振，</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隔声</w:t>
                  </w:r>
                </w:p>
              </w:tc>
              <w:tc>
                <w:tcPr>
                  <w:tcW w:w="617" w:type="pct"/>
                  <w:tcBorders>
                    <w:left w:val="single" w:color="auto" w:sz="4" w:space="0"/>
                    <w:right w:val="nil"/>
                  </w:tcBorders>
                  <w:noWrap w:val="0"/>
                  <w:vAlign w:val="center"/>
                </w:tcPr>
                <w:p w14:paraId="10EE0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left w:val="single" w:color="auto" w:sz="4" w:space="0"/>
                    <w:right w:val="nil"/>
                  </w:tcBorders>
                  <w:noWrap w:val="0"/>
                  <w:vAlign w:val="center"/>
                </w:tcPr>
                <w:p w14:paraId="394D80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60</w:t>
                  </w:r>
                </w:p>
              </w:tc>
              <w:tc>
                <w:tcPr>
                  <w:tcW w:w="389" w:type="pct"/>
                  <w:vMerge w:val="continue"/>
                  <w:tcBorders>
                    <w:left w:val="single" w:color="auto" w:sz="4" w:space="0"/>
                    <w:right w:val="nil"/>
                  </w:tcBorders>
                  <w:noWrap w:val="0"/>
                  <w:vAlign w:val="center"/>
                </w:tcPr>
                <w:p w14:paraId="7D90A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r>
          </w:tbl>
          <w:p w14:paraId="4683D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Cs w:val="21"/>
                <w:highlight w:val="none"/>
                <w14:textFill>
                  <w14:solidFill>
                    <w14:schemeClr w14:val="tx1"/>
                  </w14:solidFill>
                </w14:textFill>
              </w:rPr>
              <w:t>）污染防治措施及环境影响分析</w:t>
            </w:r>
          </w:p>
          <w:p w14:paraId="062D1B70">
            <w:pPr>
              <w:pStyle w:val="3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根据《污染源源强核算技术指南  锅炉》（HJ991-2018）附录D中内容，项目噪声污染防治措施具体如下：①在设备选型中，选取同类设备中噪声较低的设备。②风机可在进风口处安装消声器、管道外壳阻尼，降噪效果可达到15dB(A)以上。③各设备均安装在厂房内，建筑隔声可达到20dB(A)以上。</w:t>
            </w:r>
          </w:p>
          <w:p w14:paraId="40CCC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采用</w:t>
            </w: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《环境影响评价技术导则声环境》（HJ2.4-2021）预测</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模式，</w:t>
            </w:r>
            <w:r>
              <w:rPr>
                <w:rFonts w:hint="default" w:ascii="Times New Roman" w:hAnsi="Times New Roman" w:eastAsia="宋体" w:cs="Times New Roman"/>
                <w:color w:val="000000" w:themeColor="text1"/>
                <w:sz w:val="21"/>
                <w:szCs w:val="21"/>
                <w:highlight w:val="none"/>
                <w14:textFill>
                  <w14:solidFill>
                    <w14:schemeClr w14:val="tx1"/>
                  </w14:solidFill>
                </w14:textFill>
              </w:rPr>
              <w:t>根据项目特点，本次预测不考虑大气吸收、地面效应等衰减因素，仅考</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建筑物隔声和几何发散</w:t>
            </w:r>
            <w:r>
              <w:rPr>
                <w:rFonts w:hint="default" w:ascii="Times New Roman" w:hAnsi="Times New Roman" w:eastAsia="宋体" w:cs="Times New Roman"/>
                <w:color w:val="000000" w:themeColor="text1"/>
                <w:sz w:val="21"/>
                <w:szCs w:val="21"/>
                <w:highlight w:val="none"/>
                <w14:textFill>
                  <w14:solidFill>
                    <w14:schemeClr w14:val="tx1"/>
                  </w14:solidFill>
                </w14:textFill>
              </w:rPr>
              <w:t>衰减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预测点的A声级</w:t>
            </w:r>
            <w:r>
              <w:rPr>
                <w:rFonts w:hint="default" w:ascii="Times New Roman" w:hAnsi="Times New Roman" w:eastAsia="宋体" w:cs="Times New Roman"/>
                <w:color w:val="000000" w:themeColor="text1"/>
                <w:sz w:val="21"/>
                <w:szCs w:val="21"/>
                <w:highlight w:val="none"/>
                <w14:textFill>
                  <w14:solidFill>
                    <w14:schemeClr w14:val="tx1"/>
                  </w14:solidFill>
                </w14:textFill>
              </w:rPr>
              <w:object>
                <v:shape id="_x0000_i1027" o:spt="75" type="#_x0000_t75" style="height:17.25pt;width:30.75pt;" o:ole="t" fillcolor="#6D6D6D"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default" w:ascii="Times New Roman" w:hAnsi="Times New Roman" w:eastAsia="宋体" w:cs="Times New Roman"/>
                <w:color w:val="000000" w:themeColor="text1"/>
                <w:sz w:val="21"/>
                <w:szCs w:val="21"/>
                <w:highlight w:val="none"/>
                <w14:textFill>
                  <w14:solidFill>
                    <w14:schemeClr w14:val="tx1"/>
                  </w14:solidFill>
                </w14:textFill>
              </w:rPr>
              <w:t>可按下式计算</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7D94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(r)=L</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div</w:t>
            </w:r>
          </w:p>
          <w:p w14:paraId="42252F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式中：L</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(r)——距声源r处的A声级，dB(A)；</w:t>
            </w:r>
          </w:p>
          <w:p w14:paraId="79D14E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(r</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)——参考位置r0处的A声级，dB(A)；</w:t>
            </w:r>
          </w:p>
          <w:p w14:paraId="45C144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div</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——几何发散引起的衰减，dB。</w:t>
            </w:r>
          </w:p>
          <w:p w14:paraId="242677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预测结果见表4-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3F8ED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表4-</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厂界声环境影响预测结果     单位：dB(A)</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742"/>
              <w:gridCol w:w="1190"/>
              <w:gridCol w:w="1192"/>
              <w:gridCol w:w="1098"/>
              <w:gridCol w:w="1094"/>
            </w:tblGrid>
            <w:tr w14:paraId="2A0F8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Merge w:val="restart"/>
                  <w:vAlign w:val="center"/>
                </w:tcPr>
                <w:p w14:paraId="57D0F779">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编号</w:t>
                  </w:r>
                </w:p>
              </w:tc>
              <w:tc>
                <w:tcPr>
                  <w:tcW w:w="2742" w:type="dxa"/>
                  <w:vMerge w:val="restart"/>
                  <w:vAlign w:val="center"/>
                </w:tcPr>
                <w:p w14:paraId="72EFD5A7">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预测点</w:t>
                  </w:r>
                </w:p>
              </w:tc>
              <w:tc>
                <w:tcPr>
                  <w:tcW w:w="2382" w:type="dxa"/>
                  <w:gridSpan w:val="2"/>
                  <w:vAlign w:val="center"/>
                </w:tcPr>
                <w:p w14:paraId="39D7A2C9">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贡献值</w:t>
                  </w:r>
                </w:p>
              </w:tc>
              <w:tc>
                <w:tcPr>
                  <w:tcW w:w="2192" w:type="dxa"/>
                  <w:gridSpan w:val="2"/>
                  <w:vAlign w:val="center"/>
                </w:tcPr>
                <w:p w14:paraId="29E0A7BB">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标准</w:t>
                  </w:r>
                </w:p>
              </w:tc>
            </w:tr>
            <w:tr w14:paraId="4DA8B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Merge w:val="continue"/>
                  <w:vAlign w:val="center"/>
                </w:tcPr>
                <w:p w14:paraId="1809E3FE">
                  <w:pPr>
                    <w:pStyle w:val="91"/>
                    <w:keepNext w:val="0"/>
                    <w:keepLines w:val="0"/>
                    <w:suppressLineNumbers w:val="0"/>
                    <w:spacing w:before="0" w:beforeAutospacing="0" w:after="0" w:afterAutospacing="0"/>
                    <w:ind w:left="0" w:right="0" w:firstLine="360" w:firstLineChars="200"/>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742" w:type="dxa"/>
                  <w:vMerge w:val="continue"/>
                  <w:vAlign w:val="center"/>
                </w:tcPr>
                <w:p w14:paraId="24D8C58C">
                  <w:pPr>
                    <w:pStyle w:val="91"/>
                    <w:keepNext w:val="0"/>
                    <w:keepLines w:val="0"/>
                    <w:suppressLineNumbers w:val="0"/>
                    <w:spacing w:before="0" w:beforeAutospacing="0" w:after="0" w:afterAutospacing="0"/>
                    <w:ind w:left="0" w:right="0" w:firstLine="360" w:firstLineChars="200"/>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90" w:type="dxa"/>
                  <w:vAlign w:val="center"/>
                </w:tcPr>
                <w:p w14:paraId="10F65FF0">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昼间</w:t>
                  </w:r>
                </w:p>
              </w:tc>
              <w:tc>
                <w:tcPr>
                  <w:tcW w:w="1192" w:type="dxa"/>
                  <w:vAlign w:val="center"/>
                </w:tcPr>
                <w:p w14:paraId="49C4F2C0">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夜间</w:t>
                  </w:r>
                </w:p>
              </w:tc>
              <w:tc>
                <w:tcPr>
                  <w:tcW w:w="1098" w:type="dxa"/>
                  <w:vAlign w:val="center"/>
                </w:tcPr>
                <w:p w14:paraId="53AFCABD">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昼间</w:t>
                  </w:r>
                </w:p>
              </w:tc>
              <w:tc>
                <w:tcPr>
                  <w:tcW w:w="1094" w:type="dxa"/>
                  <w:vAlign w:val="center"/>
                </w:tcPr>
                <w:p w14:paraId="16C072EF">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夜间</w:t>
                  </w:r>
                </w:p>
              </w:tc>
            </w:tr>
            <w:tr w14:paraId="7C6FE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Align w:val="center"/>
                </w:tcPr>
                <w:p w14:paraId="4F6F659A">
                  <w:pPr>
                    <w:pStyle w:val="91"/>
                    <w:keepNext w:val="0"/>
                    <w:keepLines w:val="0"/>
                    <w:suppressLineNumbers w:val="0"/>
                    <w:spacing w:before="0" w:beforeAutospacing="0" w:after="0" w:afterAutospacing="0"/>
                    <w:ind w:left="0" w:right="0" w:firstLine="360" w:firstLineChars="200"/>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1</w:t>
                  </w:r>
                </w:p>
              </w:tc>
              <w:tc>
                <w:tcPr>
                  <w:tcW w:w="2742" w:type="dxa"/>
                  <w:vAlign w:val="center"/>
                </w:tcPr>
                <w:p w14:paraId="0D1962F4">
                  <w:pPr>
                    <w:pStyle w:val="147"/>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东侧厂界外1m</w:t>
                  </w:r>
                </w:p>
              </w:tc>
              <w:tc>
                <w:tcPr>
                  <w:tcW w:w="1190" w:type="dxa"/>
                  <w:vAlign w:val="center"/>
                </w:tcPr>
                <w:p w14:paraId="3DCE7C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42.4</w:t>
                  </w:r>
                </w:p>
              </w:tc>
              <w:tc>
                <w:tcPr>
                  <w:tcW w:w="1192" w:type="dxa"/>
                  <w:vAlign w:val="center"/>
                </w:tcPr>
                <w:p w14:paraId="452220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42.4</w:t>
                  </w:r>
                </w:p>
              </w:tc>
              <w:tc>
                <w:tcPr>
                  <w:tcW w:w="1098" w:type="dxa"/>
                  <w:vAlign w:val="center"/>
                </w:tcPr>
                <w:p w14:paraId="74A07F66">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60</w:t>
                  </w:r>
                </w:p>
              </w:tc>
              <w:tc>
                <w:tcPr>
                  <w:tcW w:w="1094" w:type="dxa"/>
                  <w:vAlign w:val="center"/>
                </w:tcPr>
                <w:p w14:paraId="004224E2">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50</w:t>
                  </w:r>
                </w:p>
              </w:tc>
            </w:tr>
            <w:tr w14:paraId="5BD62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Align w:val="center"/>
                </w:tcPr>
                <w:p w14:paraId="2C946503">
                  <w:pPr>
                    <w:pStyle w:val="91"/>
                    <w:keepNext w:val="0"/>
                    <w:keepLines w:val="0"/>
                    <w:suppressLineNumbers w:val="0"/>
                    <w:spacing w:before="0" w:beforeAutospacing="0" w:after="0" w:afterAutospacing="0"/>
                    <w:ind w:left="0" w:right="0" w:firstLine="360" w:firstLineChars="200"/>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2</w:t>
                  </w:r>
                </w:p>
              </w:tc>
              <w:tc>
                <w:tcPr>
                  <w:tcW w:w="2742" w:type="dxa"/>
                  <w:vAlign w:val="center"/>
                </w:tcPr>
                <w:p w14:paraId="747321CA">
                  <w:pPr>
                    <w:pStyle w:val="147"/>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南侧厂界外1m</w:t>
                  </w:r>
                </w:p>
              </w:tc>
              <w:tc>
                <w:tcPr>
                  <w:tcW w:w="1190" w:type="dxa"/>
                  <w:vAlign w:val="center"/>
                </w:tcPr>
                <w:p w14:paraId="03BE3B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29.2</w:t>
                  </w:r>
                </w:p>
              </w:tc>
              <w:tc>
                <w:tcPr>
                  <w:tcW w:w="1192" w:type="dxa"/>
                  <w:vAlign w:val="center"/>
                </w:tcPr>
                <w:p w14:paraId="5A4387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29.2</w:t>
                  </w:r>
                </w:p>
              </w:tc>
              <w:tc>
                <w:tcPr>
                  <w:tcW w:w="1098" w:type="dxa"/>
                  <w:vAlign w:val="center"/>
                </w:tcPr>
                <w:p w14:paraId="68E6C757">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60</w:t>
                  </w:r>
                </w:p>
              </w:tc>
              <w:tc>
                <w:tcPr>
                  <w:tcW w:w="1094" w:type="dxa"/>
                  <w:vAlign w:val="center"/>
                </w:tcPr>
                <w:p w14:paraId="75B993C4">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50</w:t>
                  </w:r>
                </w:p>
              </w:tc>
            </w:tr>
            <w:tr w14:paraId="0C964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Align w:val="center"/>
                </w:tcPr>
                <w:p w14:paraId="6A4B44A4">
                  <w:pPr>
                    <w:pStyle w:val="91"/>
                    <w:keepNext w:val="0"/>
                    <w:keepLines w:val="0"/>
                    <w:suppressLineNumbers w:val="0"/>
                    <w:spacing w:before="0" w:beforeAutospacing="0" w:after="0" w:afterAutospacing="0"/>
                    <w:ind w:left="0" w:right="0" w:firstLine="360" w:firstLineChars="200"/>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3</w:t>
                  </w:r>
                </w:p>
              </w:tc>
              <w:tc>
                <w:tcPr>
                  <w:tcW w:w="2742" w:type="dxa"/>
                  <w:vAlign w:val="center"/>
                </w:tcPr>
                <w:p w14:paraId="495FA7EA">
                  <w:pPr>
                    <w:pStyle w:val="147"/>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西侧厂界外1m</w:t>
                  </w:r>
                </w:p>
              </w:tc>
              <w:tc>
                <w:tcPr>
                  <w:tcW w:w="1190" w:type="dxa"/>
                  <w:vAlign w:val="center"/>
                </w:tcPr>
                <w:p w14:paraId="6D368D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37.9</w:t>
                  </w:r>
                </w:p>
              </w:tc>
              <w:tc>
                <w:tcPr>
                  <w:tcW w:w="1192" w:type="dxa"/>
                  <w:vAlign w:val="center"/>
                </w:tcPr>
                <w:p w14:paraId="4AAB45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37.9</w:t>
                  </w:r>
                </w:p>
              </w:tc>
              <w:tc>
                <w:tcPr>
                  <w:tcW w:w="1098" w:type="dxa"/>
                  <w:vAlign w:val="center"/>
                </w:tcPr>
                <w:p w14:paraId="41B9DC62">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60</w:t>
                  </w:r>
                </w:p>
              </w:tc>
              <w:tc>
                <w:tcPr>
                  <w:tcW w:w="1094" w:type="dxa"/>
                  <w:vAlign w:val="center"/>
                </w:tcPr>
                <w:p w14:paraId="4D4A01C6">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50</w:t>
                  </w:r>
                </w:p>
              </w:tc>
            </w:tr>
            <w:tr w14:paraId="38511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Align w:val="center"/>
                </w:tcPr>
                <w:p w14:paraId="599A5768">
                  <w:pPr>
                    <w:pStyle w:val="91"/>
                    <w:keepNext w:val="0"/>
                    <w:keepLines w:val="0"/>
                    <w:suppressLineNumbers w:val="0"/>
                    <w:spacing w:before="0" w:beforeAutospacing="0" w:after="0" w:afterAutospacing="0"/>
                    <w:ind w:left="0" w:right="0" w:firstLine="360" w:firstLineChars="200"/>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4</w:t>
                  </w:r>
                </w:p>
              </w:tc>
              <w:tc>
                <w:tcPr>
                  <w:tcW w:w="2742" w:type="dxa"/>
                  <w:vAlign w:val="center"/>
                </w:tcPr>
                <w:p w14:paraId="08C0A19F">
                  <w:pPr>
                    <w:pStyle w:val="147"/>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北侧厂界外1m</w:t>
                  </w:r>
                </w:p>
              </w:tc>
              <w:tc>
                <w:tcPr>
                  <w:tcW w:w="1190" w:type="dxa"/>
                  <w:vAlign w:val="center"/>
                </w:tcPr>
                <w:p w14:paraId="0B9A47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33.8</w:t>
                  </w:r>
                </w:p>
              </w:tc>
              <w:tc>
                <w:tcPr>
                  <w:tcW w:w="1192" w:type="dxa"/>
                  <w:vAlign w:val="center"/>
                </w:tcPr>
                <w:p w14:paraId="6C6828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33.8</w:t>
                  </w:r>
                </w:p>
              </w:tc>
              <w:tc>
                <w:tcPr>
                  <w:tcW w:w="1098" w:type="dxa"/>
                  <w:vAlign w:val="center"/>
                </w:tcPr>
                <w:p w14:paraId="1B7B71FB">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60</w:t>
                  </w:r>
                </w:p>
              </w:tc>
              <w:tc>
                <w:tcPr>
                  <w:tcW w:w="1094" w:type="dxa"/>
                  <w:vAlign w:val="center"/>
                </w:tcPr>
                <w:p w14:paraId="5EC2751F">
                  <w:pPr>
                    <w:pStyle w:val="91"/>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Style w:val="162"/>
                      <w:rFonts w:hint="default" w:ascii="Times New Roman" w:hAnsi="Times New Roman" w:eastAsia="宋体" w:cs="Times New Roman"/>
                      <w:color w:val="000000" w:themeColor="text1"/>
                      <w:sz w:val="18"/>
                      <w:szCs w:val="18"/>
                      <w:highlight w:val="none"/>
                      <w14:textFill>
                        <w14:solidFill>
                          <w14:schemeClr w14:val="tx1"/>
                        </w14:solidFill>
                      </w14:textFill>
                    </w:rPr>
                    <w:t>50</w:t>
                  </w:r>
                </w:p>
              </w:tc>
            </w:tr>
          </w:tbl>
          <w:p w14:paraId="053D0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由预测结果可以看出，本项目选用低噪声设备，通过采取减振、消声、隔声等措施后，本项目厂界噪声贡献值满足《工业企业厂界环境噪声排放标准》（GB12348-2008）中的2类标准限值要求，同时运营期落实好报告中提出的监测要求，发现超标及时采取降噪措施，保证厂界噪声达标排放，避免噪声扰民情况发生，项目建设对对周围声环境影响较小。</w:t>
            </w:r>
          </w:p>
          <w:p w14:paraId="152215B8">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（3）监测要求</w:t>
            </w:r>
          </w:p>
          <w:p w14:paraId="775A02F0">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根据《排污单位自行监测技术指南 总则》（HJ819-2017），本项目噪声监测计划如下：</w:t>
            </w:r>
          </w:p>
          <w:p w14:paraId="00C0363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表4</w:t>
            </w: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 xml:space="preserve">-9 </w:t>
            </w:r>
            <w:r>
              <w:rPr>
                <w:rFonts w:hint="default" w:ascii="Times New Roman" w:hAnsi="Times New Roman" w:eastAsia="宋体" w:cs="Times New Roman"/>
                <w:b/>
                <w:color w:val="000000" w:themeColor="text1"/>
                <w:szCs w:val="21"/>
                <w:highlight w:val="none"/>
                <w14:textFill>
                  <w14:solidFill>
                    <w14:schemeClr w14:val="tx1"/>
                  </w14:solidFill>
                </w14:textFill>
              </w:rPr>
              <w:t>项目噪声监测计划表</w:t>
            </w:r>
          </w:p>
          <w:tbl>
            <w:tblPr>
              <w:tblStyle w:val="3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173"/>
              <w:gridCol w:w="1631"/>
              <w:gridCol w:w="2063"/>
              <w:gridCol w:w="2063"/>
            </w:tblGrid>
            <w:tr w14:paraId="6FA265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0" w:type="dxa"/>
                  <w:tcBorders>
                    <w:left w:val="nil"/>
                    <w:bottom w:val="single" w:color="auto" w:sz="4" w:space="0"/>
                    <w:right w:val="single" w:color="auto" w:sz="4" w:space="0"/>
                  </w:tcBorders>
                  <w:noWrap w:val="0"/>
                  <w:vAlign w:val="center"/>
                </w:tcPr>
                <w:p w14:paraId="7B2590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类别</w:t>
                  </w:r>
                </w:p>
              </w:tc>
              <w:tc>
                <w:tcPr>
                  <w:tcW w:w="1557" w:type="dxa"/>
                  <w:tcBorders>
                    <w:left w:val="single" w:color="auto" w:sz="4" w:space="0"/>
                    <w:bottom w:val="single" w:color="auto" w:sz="4" w:space="0"/>
                    <w:right w:val="single" w:color="auto" w:sz="4" w:space="0"/>
                  </w:tcBorders>
                  <w:noWrap w:val="0"/>
                  <w:vAlign w:val="center"/>
                </w:tcPr>
                <w:p w14:paraId="0BB1A9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监测点位</w:t>
                  </w:r>
                </w:p>
              </w:tc>
              <w:tc>
                <w:tcPr>
                  <w:tcW w:w="2200" w:type="dxa"/>
                  <w:tcBorders>
                    <w:left w:val="single" w:color="auto" w:sz="4" w:space="0"/>
                    <w:bottom w:val="single" w:color="auto" w:sz="4" w:space="0"/>
                    <w:right w:val="single" w:color="auto" w:sz="4" w:space="0"/>
                  </w:tcBorders>
                  <w:noWrap w:val="0"/>
                  <w:vAlign w:val="center"/>
                </w:tcPr>
                <w:p w14:paraId="3E0783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监测项目</w:t>
                  </w:r>
                </w:p>
              </w:tc>
              <w:tc>
                <w:tcPr>
                  <w:tcW w:w="2807" w:type="dxa"/>
                  <w:tcBorders>
                    <w:left w:val="single" w:color="auto" w:sz="4" w:space="0"/>
                    <w:bottom w:val="single" w:color="auto" w:sz="4" w:space="0"/>
                    <w:right w:val="nil"/>
                  </w:tcBorders>
                  <w:noWrap w:val="0"/>
                  <w:vAlign w:val="center"/>
                </w:tcPr>
                <w:p w14:paraId="3CEC15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监测频次</w:t>
                  </w:r>
                </w:p>
              </w:tc>
              <w:tc>
                <w:tcPr>
                  <w:tcW w:w="2807" w:type="dxa"/>
                  <w:tcBorders>
                    <w:left w:val="single" w:color="auto" w:sz="4" w:space="0"/>
                    <w:bottom w:val="single" w:color="auto" w:sz="4" w:space="0"/>
                    <w:right w:val="nil"/>
                  </w:tcBorders>
                  <w:noWrap w:val="0"/>
                  <w:vAlign w:val="center"/>
                </w:tcPr>
                <w:p w14:paraId="38277E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监测时间</w:t>
                  </w:r>
                </w:p>
              </w:tc>
            </w:tr>
            <w:tr w14:paraId="01D5F2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0" w:type="dxa"/>
                  <w:tcBorders>
                    <w:top w:val="single" w:color="auto" w:sz="4" w:space="0"/>
                    <w:left w:val="nil"/>
                    <w:right w:val="single" w:color="auto" w:sz="4" w:space="0"/>
                  </w:tcBorders>
                  <w:noWrap w:val="0"/>
                  <w:vAlign w:val="center"/>
                </w:tcPr>
                <w:p w14:paraId="1916F6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厂界噪声</w:t>
                  </w:r>
                </w:p>
              </w:tc>
              <w:tc>
                <w:tcPr>
                  <w:tcW w:w="1557" w:type="dxa"/>
                  <w:tcBorders>
                    <w:top w:val="single" w:color="auto" w:sz="4" w:space="0"/>
                    <w:left w:val="single" w:color="auto" w:sz="4" w:space="0"/>
                    <w:right w:val="single" w:color="auto" w:sz="4" w:space="0"/>
                  </w:tcBorders>
                  <w:noWrap w:val="0"/>
                  <w:vAlign w:val="center"/>
                </w:tcPr>
                <w:p w14:paraId="03779C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厂界四周</w:t>
                  </w:r>
                </w:p>
              </w:tc>
              <w:tc>
                <w:tcPr>
                  <w:tcW w:w="2200" w:type="dxa"/>
                  <w:tcBorders>
                    <w:top w:val="single" w:color="auto" w:sz="4" w:space="0"/>
                    <w:left w:val="single" w:color="auto" w:sz="4" w:space="0"/>
                    <w:right w:val="single" w:color="auto" w:sz="4" w:space="0"/>
                  </w:tcBorders>
                  <w:noWrap w:val="0"/>
                  <w:vAlign w:val="center"/>
                </w:tcPr>
                <w:p w14:paraId="32B0D8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等效连续A声级</w:t>
                  </w:r>
                </w:p>
              </w:tc>
              <w:tc>
                <w:tcPr>
                  <w:tcW w:w="2807" w:type="dxa"/>
                  <w:tcBorders>
                    <w:top w:val="single" w:color="auto" w:sz="4" w:space="0"/>
                    <w:left w:val="single" w:color="auto" w:sz="4" w:space="0"/>
                    <w:right w:val="nil"/>
                  </w:tcBorders>
                  <w:noWrap w:val="0"/>
                  <w:vAlign w:val="center"/>
                </w:tcPr>
                <w:p w14:paraId="04E6C1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1次/季度</w:t>
                  </w:r>
                </w:p>
              </w:tc>
              <w:tc>
                <w:tcPr>
                  <w:tcW w:w="2807" w:type="dxa"/>
                  <w:tcBorders>
                    <w:top w:val="single" w:color="auto" w:sz="4" w:space="0"/>
                    <w:left w:val="single" w:color="auto" w:sz="4" w:space="0"/>
                    <w:right w:val="nil"/>
                  </w:tcBorders>
                  <w:noWrap w:val="0"/>
                  <w:vAlign w:val="center"/>
                </w:tcPr>
                <w:p w14:paraId="103376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10月-次年4月</w:t>
                  </w:r>
                </w:p>
              </w:tc>
            </w:tr>
          </w:tbl>
          <w:p w14:paraId="06A01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4、固体废物</w:t>
            </w:r>
          </w:p>
          <w:p w14:paraId="29BE5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（1）固体废物排放信息</w:t>
            </w:r>
          </w:p>
          <w:p w14:paraId="51479B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表4-</w:t>
            </w: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 xml:space="preserve">10 </w:t>
            </w:r>
            <w:r>
              <w:rPr>
                <w:rFonts w:hint="default" w:ascii="Times New Roman" w:hAnsi="Times New Roman" w:eastAsia="宋体" w:cs="Times New Roman"/>
                <w:b/>
                <w:color w:val="000000" w:themeColor="text1"/>
                <w:szCs w:val="21"/>
                <w:highlight w:val="none"/>
                <w14:textFill>
                  <w14:solidFill>
                    <w14:schemeClr w14:val="tx1"/>
                  </w14:solidFill>
                </w14:textFill>
              </w:rPr>
              <w:t>固体废物排放</w:t>
            </w: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一览表</w:t>
            </w:r>
          </w:p>
          <w:tbl>
            <w:tblPr>
              <w:tblStyle w:val="34"/>
              <w:tblW w:w="462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139"/>
              <w:gridCol w:w="1349"/>
              <w:gridCol w:w="750"/>
              <w:gridCol w:w="1463"/>
              <w:gridCol w:w="787"/>
              <w:gridCol w:w="1009"/>
            </w:tblGrid>
            <w:tr w14:paraId="17D4F4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945" w:type="dxa"/>
                  <w:noWrap w:val="0"/>
                  <w:vAlign w:val="center"/>
                </w:tcPr>
                <w:p w14:paraId="0A18369D">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产生环节</w:t>
                  </w:r>
                </w:p>
              </w:tc>
              <w:tc>
                <w:tcPr>
                  <w:tcW w:w="1139" w:type="dxa"/>
                  <w:noWrap w:val="0"/>
                  <w:vAlign w:val="center"/>
                </w:tcPr>
                <w:p w14:paraId="72ABC9DB">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固体废物</w:t>
                  </w:r>
                </w:p>
                <w:p w14:paraId="4638C30F">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名称</w:t>
                  </w:r>
                </w:p>
              </w:tc>
              <w:tc>
                <w:tcPr>
                  <w:tcW w:w="1349" w:type="dxa"/>
                  <w:noWrap w:val="0"/>
                  <w:vAlign w:val="center"/>
                </w:tcPr>
                <w:p w14:paraId="13F0E944">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固体废物</w:t>
                  </w:r>
                </w:p>
                <w:p w14:paraId="10E6CCF5">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属性</w:t>
                  </w:r>
                </w:p>
              </w:tc>
              <w:tc>
                <w:tcPr>
                  <w:tcW w:w="750" w:type="dxa"/>
                  <w:noWrap w:val="0"/>
                  <w:vAlign w:val="center"/>
                </w:tcPr>
                <w:p w14:paraId="633A7A73">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产生量t/a</w:t>
                  </w:r>
                </w:p>
              </w:tc>
              <w:tc>
                <w:tcPr>
                  <w:tcW w:w="1463" w:type="dxa"/>
                  <w:noWrap w:val="0"/>
                  <w:vAlign w:val="center"/>
                </w:tcPr>
                <w:p w14:paraId="1240AD21">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贮存方式</w:t>
                  </w:r>
                </w:p>
              </w:tc>
              <w:tc>
                <w:tcPr>
                  <w:tcW w:w="787" w:type="dxa"/>
                  <w:noWrap w:val="0"/>
                  <w:vAlign w:val="center"/>
                </w:tcPr>
                <w:p w14:paraId="6CE657D8">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处置量t/a</w:t>
                  </w:r>
                </w:p>
              </w:tc>
              <w:tc>
                <w:tcPr>
                  <w:tcW w:w="1009" w:type="dxa"/>
                  <w:noWrap w:val="0"/>
                  <w:vAlign w:val="center"/>
                </w:tcPr>
                <w:p w14:paraId="314F3417">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最终去向</w:t>
                  </w:r>
                </w:p>
              </w:tc>
            </w:tr>
            <w:tr w14:paraId="27A198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noWrap w:val="0"/>
                  <w:vAlign w:val="center"/>
                </w:tcPr>
                <w:p w14:paraId="7940F842">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生活</w:t>
                  </w:r>
                </w:p>
              </w:tc>
              <w:tc>
                <w:tcPr>
                  <w:tcW w:w="1139" w:type="dxa"/>
                  <w:noWrap w:val="0"/>
                  <w:vAlign w:val="center"/>
                </w:tcPr>
                <w:p w14:paraId="3873E1D3">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生活垃圾</w:t>
                  </w:r>
                </w:p>
              </w:tc>
              <w:tc>
                <w:tcPr>
                  <w:tcW w:w="1349" w:type="dxa"/>
                  <w:noWrap w:val="0"/>
                  <w:vAlign w:val="center"/>
                </w:tcPr>
                <w:p w14:paraId="5DBE7D10">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生活垃圾900-099-S64</w:t>
                  </w:r>
                </w:p>
              </w:tc>
              <w:tc>
                <w:tcPr>
                  <w:tcW w:w="750" w:type="dxa"/>
                  <w:noWrap w:val="0"/>
                  <w:vAlign w:val="center"/>
                </w:tcPr>
                <w:p w14:paraId="095252A6">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0.45</w:t>
                  </w:r>
                </w:p>
              </w:tc>
              <w:tc>
                <w:tcPr>
                  <w:tcW w:w="1463" w:type="dxa"/>
                  <w:noWrap w:val="0"/>
                  <w:vAlign w:val="center"/>
                </w:tcPr>
                <w:p w14:paraId="281A4AC1">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垃圾桶</w:t>
                  </w:r>
                </w:p>
              </w:tc>
              <w:tc>
                <w:tcPr>
                  <w:tcW w:w="787" w:type="dxa"/>
                  <w:noWrap w:val="0"/>
                  <w:vAlign w:val="center"/>
                </w:tcPr>
                <w:p w14:paraId="6916227F">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0.45</w:t>
                  </w:r>
                </w:p>
              </w:tc>
              <w:tc>
                <w:tcPr>
                  <w:tcW w:w="1009" w:type="dxa"/>
                  <w:noWrap w:val="0"/>
                  <w:vAlign w:val="center"/>
                </w:tcPr>
                <w:p w14:paraId="38DFFF1B">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市政部门统一处理</w:t>
                  </w:r>
                </w:p>
              </w:tc>
            </w:tr>
            <w:tr w14:paraId="629D93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945" w:type="dxa"/>
                  <w:vMerge w:val="restart"/>
                  <w:noWrap w:val="0"/>
                  <w:vAlign w:val="center"/>
                </w:tcPr>
                <w:p w14:paraId="2F62DFB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热风炉</w:t>
                  </w:r>
                </w:p>
              </w:tc>
              <w:tc>
                <w:tcPr>
                  <w:tcW w:w="1139" w:type="dxa"/>
                  <w:noWrap w:val="0"/>
                  <w:vAlign w:val="center"/>
                </w:tcPr>
                <w:p w14:paraId="374D2FBE">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热风炉炉</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渣及</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除尘器回收粉尘</w:t>
                  </w:r>
                </w:p>
              </w:tc>
              <w:tc>
                <w:tcPr>
                  <w:tcW w:w="1349" w:type="dxa"/>
                  <w:noWrap w:val="0"/>
                  <w:vAlign w:val="center"/>
                </w:tcPr>
                <w:p w14:paraId="70940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工业固体废物900-099-S03</w:t>
                  </w:r>
                </w:p>
              </w:tc>
              <w:tc>
                <w:tcPr>
                  <w:tcW w:w="750" w:type="dxa"/>
                  <w:noWrap w:val="0"/>
                  <w:vAlign w:val="center"/>
                </w:tcPr>
                <w:p w14:paraId="69AC7857">
                  <w:pPr>
                    <w:pStyle w:val="130"/>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426.51</w:t>
                  </w:r>
                </w:p>
              </w:tc>
              <w:tc>
                <w:tcPr>
                  <w:tcW w:w="1463" w:type="dxa"/>
                  <w:noWrap w:val="0"/>
                  <w:vAlign w:val="center"/>
                </w:tcPr>
                <w:p w14:paraId="391C4FD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袋装储存，暂存于灰渣间内，每10天清运1次，不在厂区长期储存</w:t>
                  </w:r>
                </w:p>
              </w:tc>
              <w:tc>
                <w:tcPr>
                  <w:tcW w:w="787" w:type="dxa"/>
                  <w:noWrap w:val="0"/>
                  <w:vAlign w:val="center"/>
                </w:tcPr>
                <w:p w14:paraId="166DA2F2">
                  <w:pPr>
                    <w:pStyle w:val="130"/>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426.51</w:t>
                  </w:r>
                </w:p>
              </w:tc>
              <w:tc>
                <w:tcPr>
                  <w:tcW w:w="1009" w:type="dxa"/>
                  <w:noWrap w:val="0"/>
                  <w:vAlign w:val="center"/>
                </w:tcPr>
                <w:p w14:paraId="4AD6A92F">
                  <w:pPr>
                    <w:pStyle w:val="130"/>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外售综合利用</w:t>
                  </w:r>
                </w:p>
              </w:tc>
            </w:tr>
            <w:tr w14:paraId="695983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noWrap w:val="0"/>
                  <w:vAlign w:val="center"/>
                </w:tcPr>
                <w:p w14:paraId="005FD673">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39" w:type="dxa"/>
                  <w:noWrap w:val="0"/>
                  <w:vAlign w:val="center"/>
                </w:tcPr>
                <w:p w14:paraId="2B2834DE">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废布袋</w:t>
                  </w:r>
                </w:p>
              </w:tc>
              <w:tc>
                <w:tcPr>
                  <w:tcW w:w="1349" w:type="dxa"/>
                  <w:noWrap w:val="0"/>
                  <w:vAlign w:val="center"/>
                </w:tcPr>
                <w:p w14:paraId="543B3AD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工业固体废物</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900</w:t>
                  </w:r>
                  <w:r>
                    <w:rPr>
                      <w:rFonts w:hint="default" w:ascii="Times New Roman" w:hAnsi="Times New Roman" w:eastAsia="宋体" w:cs="Times New Roman"/>
                      <w:color w:val="000000" w:themeColor="text1"/>
                      <w:sz w:val="18"/>
                      <w:szCs w:val="18"/>
                      <w:highlight w:val="none"/>
                      <w14:textFill>
                        <w14:solidFill>
                          <w14:schemeClr w14:val="tx1"/>
                        </w14:solidFill>
                      </w14:textFill>
                    </w:rPr>
                    <w:t>-00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18"/>
                      <w:szCs w:val="18"/>
                      <w:highlight w:val="none"/>
                      <w14:textFill>
                        <w14:solidFill>
                          <w14:schemeClr w14:val="tx1"/>
                        </w14:solidFill>
                      </w14:textFill>
                    </w:rPr>
                    <w:t>-S</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59</w:t>
                  </w:r>
                </w:p>
              </w:tc>
              <w:tc>
                <w:tcPr>
                  <w:tcW w:w="750" w:type="dxa"/>
                  <w:noWrap w:val="0"/>
                  <w:vAlign w:val="center"/>
                </w:tcPr>
                <w:p w14:paraId="1FD4928D">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0.10</w:t>
                  </w:r>
                </w:p>
              </w:tc>
              <w:tc>
                <w:tcPr>
                  <w:tcW w:w="1463" w:type="dxa"/>
                  <w:noWrap w:val="0"/>
                  <w:vAlign w:val="center"/>
                </w:tcPr>
                <w:p w14:paraId="151867A8">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袋装</w:t>
                  </w:r>
                </w:p>
              </w:tc>
              <w:tc>
                <w:tcPr>
                  <w:tcW w:w="787" w:type="dxa"/>
                  <w:noWrap w:val="0"/>
                  <w:vAlign w:val="center"/>
                </w:tcPr>
                <w:p w14:paraId="0617AF75">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0.10</w:t>
                  </w:r>
                </w:p>
              </w:tc>
              <w:tc>
                <w:tcPr>
                  <w:tcW w:w="1009" w:type="dxa"/>
                  <w:noWrap w:val="0"/>
                  <w:vAlign w:val="center"/>
                </w:tcPr>
                <w:p w14:paraId="140301B4">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除尘器厂家更换后直接带走</w:t>
                  </w:r>
                </w:p>
              </w:tc>
            </w:tr>
            <w:tr w14:paraId="5C6B50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noWrap w:val="0"/>
                  <w:vAlign w:val="center"/>
                </w:tcPr>
                <w:p w14:paraId="3C58217C">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工艺粉尘</w:t>
                  </w:r>
                </w:p>
              </w:tc>
              <w:tc>
                <w:tcPr>
                  <w:tcW w:w="1139" w:type="dxa"/>
                  <w:noWrap w:val="0"/>
                  <w:vAlign w:val="center"/>
                </w:tcPr>
                <w:p w14:paraId="17BF4A1E">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初清杂质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及输送装卸、筛分、烘干</w:t>
                  </w:r>
                  <w:r>
                    <w:rPr>
                      <w:rFonts w:hint="default" w:ascii="Times New Roman" w:hAnsi="Times New Roman" w:eastAsia="宋体" w:cs="Times New Roman"/>
                      <w:color w:val="000000" w:themeColor="text1"/>
                      <w:sz w:val="18"/>
                      <w:szCs w:val="18"/>
                      <w:highlight w:val="none"/>
                      <w14:textFill>
                        <w14:solidFill>
                          <w14:schemeClr w14:val="tx1"/>
                        </w14:solidFill>
                      </w14:textFill>
                    </w:rPr>
                    <w:t>粉尘</w:t>
                  </w:r>
                </w:p>
              </w:tc>
              <w:tc>
                <w:tcPr>
                  <w:tcW w:w="1349" w:type="dxa"/>
                  <w:noWrap w:val="0"/>
                  <w:vAlign w:val="center"/>
                </w:tcPr>
                <w:p w14:paraId="4FBC8FC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工业固体废物900-0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18"/>
                      <w:szCs w:val="18"/>
                      <w:highlight w:val="none"/>
                      <w14:textFill>
                        <w14:solidFill>
                          <w14:schemeClr w14:val="tx1"/>
                        </w14:solidFill>
                      </w14:textFill>
                    </w:rPr>
                    <w:t>9-S</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59</w:t>
                  </w:r>
                </w:p>
              </w:tc>
              <w:tc>
                <w:tcPr>
                  <w:tcW w:w="750" w:type="dxa"/>
                  <w:noWrap w:val="0"/>
                  <w:vAlign w:val="center"/>
                </w:tcPr>
                <w:p w14:paraId="0868D05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99.891</w:t>
                  </w:r>
                </w:p>
              </w:tc>
              <w:tc>
                <w:tcPr>
                  <w:tcW w:w="1463" w:type="dxa"/>
                  <w:noWrap w:val="0"/>
                  <w:vAlign w:val="center"/>
                </w:tcPr>
                <w:p w14:paraId="720F6A6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集中收集</w:t>
                  </w:r>
                </w:p>
              </w:tc>
              <w:tc>
                <w:tcPr>
                  <w:tcW w:w="787" w:type="dxa"/>
                  <w:noWrap w:val="0"/>
                  <w:vAlign w:val="center"/>
                </w:tcPr>
                <w:p w14:paraId="019CC3C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99.891</w:t>
                  </w:r>
                </w:p>
              </w:tc>
              <w:tc>
                <w:tcPr>
                  <w:tcW w:w="1009" w:type="dxa"/>
                  <w:noWrap w:val="0"/>
                  <w:vAlign w:val="center"/>
                </w:tcPr>
                <w:p w14:paraId="334C4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初清、输送装卸、筛分产生杂质外售砖厂综合利用，筛分过程产生劣质粮、烘干粉尘外售饲料厂家综合利用</w:t>
                  </w:r>
                </w:p>
              </w:tc>
            </w:tr>
            <w:tr w14:paraId="0423BF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5" w:type="dxa"/>
                  <w:vMerge w:val="restart"/>
                  <w:noWrap w:val="0"/>
                  <w:vAlign w:val="center"/>
                </w:tcPr>
                <w:p w14:paraId="08B43F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维护</w:t>
                  </w:r>
                </w:p>
              </w:tc>
              <w:tc>
                <w:tcPr>
                  <w:tcW w:w="1139" w:type="dxa"/>
                  <w:noWrap w:val="0"/>
                  <w:vAlign w:val="center"/>
                </w:tcPr>
                <w:p w14:paraId="7BA41F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废机油</w:t>
                  </w:r>
                </w:p>
              </w:tc>
              <w:tc>
                <w:tcPr>
                  <w:tcW w:w="1349" w:type="dxa"/>
                  <w:noWrap w:val="0"/>
                  <w:vAlign w:val="center"/>
                </w:tcPr>
                <w:p w14:paraId="67AF4A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危险废物900-217-08</w:t>
                  </w:r>
                </w:p>
              </w:tc>
              <w:tc>
                <w:tcPr>
                  <w:tcW w:w="750" w:type="dxa"/>
                  <w:noWrap w:val="0"/>
                  <w:vAlign w:val="center"/>
                </w:tcPr>
                <w:p w14:paraId="339B88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0.02</w:t>
                  </w:r>
                </w:p>
              </w:tc>
              <w:tc>
                <w:tcPr>
                  <w:tcW w:w="1463" w:type="dxa"/>
                  <w:noWrap w:val="0"/>
                  <w:vAlign w:val="center"/>
                </w:tcPr>
                <w:p w14:paraId="757641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暂存</w:t>
                  </w:r>
                  <w:r>
                    <w:rPr>
                      <w:rFonts w:hint="default" w:ascii="Times New Roman" w:hAnsi="Times New Roman" w:eastAsia="宋体" w:cs="Times New Roman"/>
                      <w:color w:val="000000" w:themeColor="text1"/>
                      <w:highlight w:val="none"/>
                      <w:lang w:val="en-US" w:eastAsia="zh-CN"/>
                      <w14:textFill>
                        <w14:solidFill>
                          <w14:schemeClr w14:val="tx1"/>
                        </w14:solidFill>
                      </w14:textFill>
                    </w:rPr>
                    <w:t>危险废物贮存点</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内密闭废油桶</w:t>
                  </w:r>
                </w:p>
              </w:tc>
              <w:tc>
                <w:tcPr>
                  <w:tcW w:w="787" w:type="dxa"/>
                  <w:vMerge w:val="restart"/>
                  <w:noWrap w:val="0"/>
                  <w:vAlign w:val="center"/>
                </w:tcPr>
                <w:p w14:paraId="148CA7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0.03</w:t>
                  </w:r>
                </w:p>
              </w:tc>
              <w:tc>
                <w:tcPr>
                  <w:tcW w:w="1009" w:type="dxa"/>
                  <w:vMerge w:val="restart"/>
                  <w:noWrap w:val="0"/>
                  <w:vAlign w:val="center"/>
                </w:tcPr>
                <w:p w14:paraId="6A082C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委托有资质单位处理</w:t>
                  </w:r>
                </w:p>
              </w:tc>
            </w:tr>
            <w:tr w14:paraId="521049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5" w:type="dxa"/>
                  <w:vMerge w:val="continue"/>
                  <w:noWrap w:val="0"/>
                  <w:vAlign w:val="center"/>
                </w:tcPr>
                <w:p w14:paraId="3C16EE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139" w:type="dxa"/>
                  <w:noWrap w:val="0"/>
                  <w:vAlign w:val="center"/>
                </w:tcPr>
                <w:p w14:paraId="33BD5A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废弃含油抹布手套</w:t>
                  </w:r>
                </w:p>
              </w:tc>
              <w:tc>
                <w:tcPr>
                  <w:tcW w:w="1349" w:type="dxa"/>
                  <w:noWrap w:val="0"/>
                  <w:vAlign w:val="center"/>
                </w:tcPr>
                <w:p w14:paraId="380522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危险废物900-041-49</w:t>
                  </w:r>
                </w:p>
              </w:tc>
              <w:tc>
                <w:tcPr>
                  <w:tcW w:w="750" w:type="dxa"/>
                  <w:noWrap w:val="0"/>
                  <w:vAlign w:val="center"/>
                </w:tcPr>
                <w:p w14:paraId="25F3BD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0.01</w:t>
                  </w:r>
                </w:p>
              </w:tc>
              <w:tc>
                <w:tcPr>
                  <w:tcW w:w="1463" w:type="dxa"/>
                  <w:noWrap w:val="0"/>
                  <w:vAlign w:val="center"/>
                </w:tcPr>
                <w:p w14:paraId="01385B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暂存</w:t>
                  </w:r>
                  <w:r>
                    <w:rPr>
                      <w:rFonts w:hint="default" w:ascii="Times New Roman" w:hAnsi="Times New Roman" w:eastAsia="宋体" w:cs="Times New Roman"/>
                      <w:color w:val="000000" w:themeColor="text1"/>
                      <w:highlight w:val="none"/>
                      <w:lang w:val="en-US" w:eastAsia="zh-CN"/>
                      <w14:textFill>
                        <w14:solidFill>
                          <w14:schemeClr w14:val="tx1"/>
                        </w14:solidFill>
                      </w14:textFill>
                    </w:rPr>
                    <w:t>危险废物贮存点</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内密闭容器内</w:t>
                  </w:r>
                </w:p>
              </w:tc>
              <w:tc>
                <w:tcPr>
                  <w:tcW w:w="787" w:type="dxa"/>
                  <w:vMerge w:val="continue"/>
                  <w:noWrap w:val="0"/>
                  <w:vAlign w:val="center"/>
                </w:tcPr>
                <w:p w14:paraId="525088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p>
              </w:tc>
              <w:tc>
                <w:tcPr>
                  <w:tcW w:w="1009" w:type="dxa"/>
                  <w:vMerge w:val="continue"/>
                  <w:noWrap w:val="0"/>
                  <w:vAlign w:val="center"/>
                </w:tcPr>
                <w:p w14:paraId="16E487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p>
              </w:tc>
            </w:tr>
          </w:tbl>
          <w:p w14:paraId="2D8F47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经核实，</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本项目运营期产生的固体废物主要为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炉渣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及除尘器收尘</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废布袋、</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初清杂质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及输送装卸、筛分、烘干</w:t>
            </w:r>
            <w:r>
              <w:rPr>
                <w:rFonts w:hint="default" w:ascii="Times New Roman" w:hAnsi="Times New Roman" w:eastAsia="宋体" w:cs="Times New Roman"/>
                <w:color w:val="000000" w:themeColor="text1"/>
                <w:sz w:val="21"/>
                <w:szCs w:val="21"/>
                <w:highlight w:val="none"/>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废机油、含油抹布手套</w:t>
            </w:r>
            <w:r>
              <w:rPr>
                <w:rFonts w:hint="default" w:ascii="Times New Roman" w:hAnsi="Times New Roman" w:eastAsia="宋体" w:cs="Times New Roman"/>
                <w:color w:val="000000" w:themeColor="text1"/>
                <w:highlight w:val="none"/>
                <w14:textFill>
                  <w14:solidFill>
                    <w14:schemeClr w14:val="tx1"/>
                  </w14:solidFill>
                </w14:textFill>
              </w:rPr>
              <w:t>。</w:t>
            </w:r>
          </w:p>
          <w:p w14:paraId="049CA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①生活垃圾：生活垃圾按0.5kg/人·d计，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现有工程</w:t>
            </w:r>
            <w:r>
              <w:rPr>
                <w:rFonts w:hint="default" w:ascii="Times New Roman" w:hAnsi="Times New Roman" w:eastAsia="宋体" w:cs="Times New Roman"/>
                <w:color w:val="000000" w:themeColor="text1"/>
                <w:sz w:val="21"/>
                <w:szCs w:val="21"/>
                <w:highlight w:val="none"/>
                <w14:textFill>
                  <w14:solidFill>
                    <w14:schemeClr w14:val="tx1"/>
                  </w14:solidFill>
                </w14:textFill>
              </w:rPr>
              <w:t>劳动定员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14:textFill>
                  <w14:solidFill>
                    <w14:schemeClr w14:val="tx1"/>
                  </w14:solidFill>
                </w14:textFill>
              </w:rPr>
              <w:t>人，</w:t>
            </w:r>
            <w:r>
              <w:rPr>
                <w:rFonts w:hint="eastAsia" w:cs="Times New Roman"/>
                <w:color w:val="000000" w:themeColor="text1"/>
                <w:sz w:val="21"/>
                <w:szCs w:val="21"/>
                <w:highlight w:val="none"/>
                <w:lang w:val="en-US" w:eastAsia="zh-CN"/>
                <w14:textFill>
                  <w14:solidFill>
                    <w14:schemeClr w14:val="tx1"/>
                  </w14:solidFill>
                </w14:textFill>
              </w:rPr>
              <w:t>新增</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工作</w:t>
            </w:r>
            <w:r>
              <w:rPr>
                <w:rFonts w:hint="default" w:ascii="Times New Roman" w:hAnsi="Times New Roman" w:eastAsia="宋体" w:cs="Times New Roman"/>
                <w:color w:val="000000" w:themeColor="text1"/>
                <w:sz w:val="21"/>
                <w:szCs w:val="21"/>
                <w:highlight w:val="none"/>
                <w14:textFill>
                  <w14:solidFill>
                    <w14:schemeClr w14:val="tx1"/>
                  </w14:solidFill>
                </w14:textFill>
              </w:rPr>
              <w:t>天数按</w:t>
            </w:r>
            <w:r>
              <w:rPr>
                <w:rFonts w:hint="eastAsia"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d计，则生活垃圾产生量为</w:t>
            </w:r>
            <w:r>
              <w:rPr>
                <w:rFonts w:hint="eastAsia" w:cs="Times New Roman"/>
                <w:color w:val="000000" w:themeColor="text1"/>
                <w:sz w:val="21"/>
                <w:szCs w:val="21"/>
                <w:highlight w:val="none"/>
                <w:lang w:val="en-US" w:eastAsia="zh-CN"/>
                <w14:textFill>
                  <w14:solidFill>
                    <w14:schemeClr w14:val="tx1"/>
                  </w14:solidFill>
                </w14:textFill>
              </w:rPr>
              <w:t>0.45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由市政部门统一处理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CF7B3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②热风炉炉渣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及除尘器收尘</w:t>
            </w:r>
          </w:p>
          <w:p w14:paraId="5120F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热风炉灰渣产生量参考《污染源源强核算技术指南 锅炉》（HJ 991-2018）中8.1生物质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灰渣产生量计算方法进行核算。</w:t>
            </w:r>
          </w:p>
          <w:p w14:paraId="651DF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30"/>
                <w:sz w:val="21"/>
                <w:szCs w:val="21"/>
                <w:highlight w:val="none"/>
                <w14:textFill>
                  <w14:solidFill>
                    <w14:schemeClr w14:val="tx1"/>
                  </w14:solidFill>
                </w14:textFill>
              </w:rPr>
              <w:object>
                <v:shape id="_x0000_i1028" o:spt="75" type="#_x0000_t75" style="height:36pt;width:147pt;" o:ole="t" filled="f" o:preferrelative="t" stroked="f" coordsize="21600,21600">
                  <v:path/>
                  <v:fill on="f" focussize="0,0"/>
                  <v:stroke on="f"/>
                  <v:imagedata r:id="rId22" o:title=""/>
                  <o:lock v:ext="edit" aspectratio="t"/>
                  <w10:wrap type="none"/>
                  <w10:anchorlock/>
                </v:shape>
                <o:OLEObject Type="Embed" ProgID="Equation.KSEE3" ShapeID="_x0000_i1028" DrawAspect="Content" ObjectID="_1468075728" r:id="rId21">
                  <o:LockedField>false</o:LockedField>
                </o:OLEObject>
              </w:object>
            </w:r>
          </w:p>
          <w:p w14:paraId="068883D7">
            <w:pPr>
              <w:pStyle w:val="31"/>
              <w:keepNext w:val="0"/>
              <w:keepLines w:val="0"/>
              <w:suppressLineNumbers w:val="0"/>
              <w:spacing w:before="0" w:beforeAutospacing="0" w:after="0" w:afterAutospacing="0" w:line="360" w:lineRule="auto"/>
              <w:ind w:left="0" w:right="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式中：E</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hc</w:t>
            </w:r>
            <w:r>
              <w:rPr>
                <w:rFonts w:hint="default" w:ascii="Times New Roman" w:hAnsi="Times New Roman" w:eastAsia="宋体" w:cs="Times New Roman"/>
                <w:color w:val="000000" w:themeColor="text1"/>
                <w:sz w:val="21"/>
                <w:szCs w:val="21"/>
                <w:highlight w:val="none"/>
                <w14:textFill>
                  <w14:solidFill>
                    <w14:schemeClr w14:val="tx1"/>
                  </w14:solidFill>
                </w14:textFill>
              </w:rPr>
              <w:t>----核算时段内灰渣产生量，t；</w:t>
            </w:r>
          </w:p>
          <w:p w14:paraId="5BF480BC">
            <w:pPr>
              <w:pStyle w:val="31"/>
              <w:keepNext w:val="0"/>
              <w:keepLines w:val="0"/>
              <w:suppressLineNumbers w:val="0"/>
              <w:spacing w:before="0" w:beforeAutospacing="0" w:after="0" w:afterAutospacing="0" w:line="360" w:lineRule="auto"/>
              <w:ind w:left="0" w:right="0" w:firstLine="1050" w:firstLineChars="5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R----核算时段内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燃料耗量，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4300.7</w:t>
            </w:r>
            <w:r>
              <w:rPr>
                <w:rFonts w:hint="default" w:ascii="Times New Roman" w:hAnsi="Times New Roman" w:eastAsia="宋体" w:cs="Times New Roman"/>
                <w:color w:val="000000" w:themeColor="text1"/>
                <w:sz w:val="21"/>
                <w:szCs w:val="21"/>
                <w:highlight w:val="none"/>
                <w14:textFill>
                  <w14:solidFill>
                    <w14:schemeClr w14:val="tx1"/>
                  </w14:solidFill>
                </w14:textFill>
              </w:rPr>
              <w:t>t；</w:t>
            </w:r>
          </w:p>
          <w:p w14:paraId="31B6E6C5">
            <w:pPr>
              <w:pStyle w:val="31"/>
              <w:keepNext w:val="0"/>
              <w:keepLines w:val="0"/>
              <w:suppressLineNumbers w:val="0"/>
              <w:spacing w:before="0" w:beforeAutospacing="0" w:after="0" w:afterAutospacing="0" w:line="360" w:lineRule="auto"/>
              <w:ind w:left="0" w:right="0" w:firstLine="1050" w:firstLineChars="5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ar</w:t>
            </w:r>
            <w:r>
              <w:rPr>
                <w:rFonts w:hint="default" w:ascii="Times New Roman" w:hAnsi="Times New Roman" w:eastAsia="宋体" w:cs="Times New Roman"/>
                <w:color w:val="000000" w:themeColor="text1"/>
                <w:sz w:val="21"/>
                <w:szCs w:val="21"/>
                <w:highlight w:val="none"/>
                <w14:textFill>
                  <w14:solidFill>
                    <w14:schemeClr w14:val="tx1"/>
                  </w14:solidFill>
                </w14:textFill>
              </w:rPr>
              <w:t>----收到基灰分的质量分数，%；取</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3.71</w:t>
            </w:r>
            <w:r>
              <w:rPr>
                <w:rFonts w:hint="default" w:ascii="Times New Roman" w:hAnsi="Times New Roman" w:eastAsia="宋体" w:cs="Times New Roman"/>
                <w:bCs w:val="0"/>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69EFC7ED">
            <w:pPr>
              <w:pStyle w:val="31"/>
              <w:keepNext w:val="0"/>
              <w:keepLines w:val="0"/>
              <w:suppressLineNumbers w:val="0"/>
              <w:spacing w:before="0" w:beforeAutospacing="0" w:after="0" w:afterAutospacing="0" w:line="360" w:lineRule="auto"/>
              <w:ind w:left="0" w:right="0" w:firstLine="1050" w:firstLineChars="500"/>
              <w:jc w:val="both"/>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q</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机械不完全燃烧热损失，%；取</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取</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p w14:paraId="533A6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Q</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net，ar</w:t>
            </w:r>
            <w:r>
              <w:rPr>
                <w:rFonts w:hint="default" w:ascii="Times New Roman" w:hAnsi="Times New Roman" w:eastAsia="宋体" w:cs="Times New Roman"/>
                <w:color w:val="000000" w:themeColor="text1"/>
                <w:sz w:val="21"/>
                <w:szCs w:val="21"/>
                <w:highlight w:val="none"/>
                <w14:textFill>
                  <w14:solidFill>
                    <w14:schemeClr w14:val="tx1"/>
                  </w14:solidFill>
                </w14:textFill>
              </w:rPr>
              <w:t>----收到基低位发热量，kJ/kg。</w:t>
            </w:r>
            <w:r>
              <w:rPr>
                <w:rFonts w:hint="default" w:ascii="Times New Roman" w:hAnsi="Times New Roman" w:eastAsia="宋体" w:cs="Times New Roman"/>
                <w:bCs w:val="0"/>
                <w:color w:val="000000" w:themeColor="text1"/>
                <w:highlight w:val="none"/>
                <w:lang w:val="en-US" w:eastAsia="zh-CN"/>
                <w14:textFill>
                  <w14:solidFill>
                    <w14:schemeClr w14:val="tx1"/>
                  </w14:solidFill>
                </w14:textFill>
              </w:rPr>
              <w:t>取17.52</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；（根据生物质成分分析报告）；</w:t>
            </w:r>
          </w:p>
          <w:p w14:paraId="7DA6AF59">
            <w:pPr>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Ehc=</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4300.7</w:t>
            </w:r>
            <w:r>
              <w:rPr>
                <w:rFonts w:hint="default" w:ascii="Times New Roman" w:hAnsi="Times New Roman" w:eastAsia="宋体" w:cs="Times New Roman"/>
                <w:color w:val="000000" w:themeColor="text1"/>
                <w:sz w:val="21"/>
                <w:szCs w:val="21"/>
                <w:highlight w:val="none"/>
                <w14:textFill>
                  <w14:solidFill>
                    <w14:schemeClr w14:val="tx1"/>
                  </w14:solidFill>
                </w14:textFill>
              </w:rPr>
              <w:t>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3.71</w:t>
            </w:r>
            <w:r>
              <w:rPr>
                <w:rFonts w:hint="default" w:ascii="Times New Roman" w:hAnsi="Times New Roman" w:eastAsia="宋体" w:cs="Times New Roman"/>
                <w:bCs w:val="0"/>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2%×</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1</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7520</w:t>
            </w:r>
            <w:r>
              <w:rPr>
                <w:rFonts w:hint="default" w:ascii="Times New Roman" w:hAnsi="Times New Roman" w:eastAsia="宋体" w:cs="Times New Roman"/>
                <w:color w:val="000000" w:themeColor="text1"/>
                <w:sz w:val="21"/>
                <w:szCs w:val="21"/>
                <w:highlight w:val="none"/>
                <w14:textFill>
                  <w14:solidFill>
                    <w14:schemeClr w14:val="tx1"/>
                  </w14:solidFill>
                </w14:textFill>
              </w:rPr>
              <w:t>/33870）=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426.51</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p w14:paraId="1D3DD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经计算，本项目</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炉</w:t>
            </w:r>
            <w:r>
              <w:rPr>
                <w:rFonts w:hint="default" w:ascii="Times New Roman" w:hAnsi="Times New Roman" w:eastAsia="宋体" w:cs="Times New Roman"/>
                <w:bCs/>
                <w:color w:val="000000" w:themeColor="text1"/>
                <w:sz w:val="21"/>
                <w:szCs w:val="21"/>
                <w:highlight w:val="none"/>
                <w14:textFill>
                  <w14:solidFill>
                    <w14:schemeClr w14:val="tx1"/>
                  </w14:solidFill>
                </w14:textFill>
              </w:rPr>
              <w:t>渣</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及除尘器收尘</w:t>
            </w:r>
            <w:r>
              <w:rPr>
                <w:rFonts w:hint="default" w:ascii="Times New Roman" w:hAnsi="Times New Roman" w:eastAsia="宋体" w:cs="Times New Roman"/>
                <w:bCs/>
                <w:color w:val="000000" w:themeColor="text1"/>
                <w:sz w:val="21"/>
                <w:szCs w:val="21"/>
                <w:highlight w:val="none"/>
                <w14:textFill>
                  <w14:solidFill>
                    <w14:schemeClr w14:val="tx1"/>
                  </w14:solidFill>
                </w14:textFill>
              </w:rPr>
              <w:t>的产生量为</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426.51</w:t>
            </w:r>
            <w:r>
              <w:rPr>
                <w:rFonts w:hint="default" w:ascii="Times New Roman" w:hAnsi="Times New Roman" w:eastAsia="宋体" w:cs="Times New Roman"/>
                <w:bCs/>
                <w:color w:val="000000" w:themeColor="text1"/>
                <w:sz w:val="21"/>
                <w:szCs w:val="21"/>
                <w:highlight w:val="none"/>
                <w14:textFill>
                  <w14:solidFill>
                    <w14:schemeClr w14:val="tx1"/>
                  </w14:solidFill>
                </w14:textFill>
              </w:rPr>
              <w:t>t/a，</w:t>
            </w:r>
          </w:p>
          <w:p w14:paraId="07D81C82">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根据上述大气计算，本项目布袋除尘器收尘量</w:t>
            </w: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为94.05t/a，与</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炉</w:t>
            </w:r>
            <w:r>
              <w:rPr>
                <w:rFonts w:hint="default" w:ascii="Times New Roman" w:hAnsi="Times New Roman" w:eastAsia="宋体" w:cs="Times New Roman"/>
                <w:bCs/>
                <w:color w:val="000000" w:themeColor="text1"/>
                <w:sz w:val="21"/>
                <w:szCs w:val="21"/>
                <w:highlight w:val="none"/>
                <w14:textFill>
                  <w14:solidFill>
                    <w14:schemeClr w14:val="tx1"/>
                  </w14:solidFill>
                </w14:textFill>
              </w:rPr>
              <w:t>渣</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及除尘器收尘</w:t>
            </w:r>
            <w:r>
              <w:rPr>
                <w:rFonts w:hint="default" w:ascii="Times New Roman" w:hAnsi="Times New Roman" w:eastAsia="宋体" w:cs="Times New Roman"/>
                <w:bCs/>
                <w:color w:val="000000" w:themeColor="text1"/>
                <w:sz w:val="21"/>
                <w:szCs w:val="21"/>
                <w:highlight w:val="none"/>
                <w14:textFill>
                  <w14:solidFill>
                    <w14:schemeClr w14:val="tx1"/>
                  </w14:solidFill>
                </w14:textFill>
              </w:rPr>
              <w:t>的产生量</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426.51</w:t>
            </w:r>
            <w:r>
              <w:rPr>
                <w:rFonts w:hint="default" w:ascii="Times New Roman" w:hAnsi="Times New Roman" w:eastAsia="宋体" w:cs="Times New Roman"/>
                <w:bCs/>
                <w:color w:val="000000" w:themeColor="text1"/>
                <w:sz w:val="21"/>
                <w:szCs w:val="21"/>
                <w:highlight w:val="none"/>
                <w14:textFill>
                  <w14:solidFill>
                    <w14:schemeClr w14:val="tx1"/>
                  </w14:solidFill>
                </w14:textFill>
              </w:rPr>
              <w:t>t/a</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可以匹配。</w:t>
            </w:r>
          </w:p>
          <w:p w14:paraId="2DB0B240">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布袋除尘器收尘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14:textFill>
                  <w14:solidFill>
                    <w14:schemeClr w14:val="tx1"/>
                  </w14:solidFill>
                </w14:textFill>
              </w:rPr>
              <w:t>热风炉炉渣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集中收集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袋装存储于灰渣间，每10天清运1次，不在厂区长期储存，外售肥料厂家综合利用。</w:t>
            </w:r>
          </w:p>
          <w:p w14:paraId="6424B960">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③</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废布袋</w:t>
            </w:r>
          </w:p>
          <w:p w14:paraId="21CDD01F">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本项目除尘器为保证除尘效率，定期更换布袋，</w:t>
            </w:r>
            <w:r>
              <w:rPr>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t>每年</w:t>
            </w:r>
            <w:r>
              <w:rPr>
                <w:rFonts w:hint="default" w:ascii="Times New Roman" w:hAnsi="Times New Roman" w:eastAsia="宋体" w:cs="Times New Roman"/>
                <w:color w:val="000000" w:themeColor="text1"/>
                <w:sz w:val="21"/>
                <w:szCs w:val="21"/>
                <w:highlight w:val="none"/>
                <w14:textFill>
                  <w14:solidFill>
                    <w14:schemeClr w14:val="tx1"/>
                  </w14:solidFill>
                </w14:textFill>
              </w:rPr>
              <w:t>更换一次，废弃布袋产生量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约</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t/a，更换后由厂家直接带走。</w:t>
            </w:r>
          </w:p>
          <w:p w14:paraId="5399B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④</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初清杂质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及输送装卸、筛分、烘干</w:t>
            </w:r>
            <w:r>
              <w:rPr>
                <w:rFonts w:hint="default" w:ascii="Times New Roman" w:hAnsi="Times New Roman" w:eastAsia="宋体" w:cs="Times New Roman"/>
                <w:color w:val="000000" w:themeColor="text1"/>
                <w:sz w:val="21"/>
                <w:szCs w:val="21"/>
                <w:highlight w:val="none"/>
                <w14:textFill>
                  <w14:solidFill>
                    <w14:schemeClr w14:val="tx1"/>
                  </w14:solidFill>
                </w14:textFill>
              </w:rPr>
              <w:t>粉尘</w:t>
            </w:r>
          </w:p>
          <w:p w14:paraId="30590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初清杂质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及输送装卸、筛分、烘干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过程</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新增</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的</w:t>
            </w:r>
            <w:r>
              <w:rPr>
                <w:rFonts w:hint="default" w:ascii="Times New Roman" w:hAnsi="Times New Roman" w:eastAsia="宋体" w:cs="Times New Roman"/>
                <w:color w:val="000000" w:themeColor="text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量为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99.891</w:t>
            </w:r>
            <w:r>
              <w:rPr>
                <w:rFonts w:hint="default" w:ascii="Times New Roman" w:hAnsi="Times New Roman" w:eastAsia="宋体" w:cs="Times New Roman"/>
                <w:color w:val="000000" w:themeColor="text1"/>
                <w:sz w:val="21"/>
                <w:szCs w:val="21"/>
                <w:highlight w:val="none"/>
                <w14:textFill>
                  <w14:solidFill>
                    <w14:schemeClr w14:val="tx1"/>
                  </w14:solidFill>
                </w14:textFill>
              </w:rPr>
              <w:t>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初清、输送装卸、筛分产生杂质外售砖厂综合利用，筛分过程产生劣质粮、烘干粉尘外售饲料厂家综合利用</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38D8CC2">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⑤危险废物</w:t>
            </w:r>
          </w:p>
          <w:p w14:paraId="1E1D0D9D">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机油、废弃含油抹布手套等统一储存在危险废物贮存点内密闭废油桶、容器内，产生量0.03t/a，集中收集后，定期交由有资质单位处理。危险废物贮存点必须地面与裙脚要用坚固、防渗的建筑材料建造，防渗层为至少2mm厚的防渗人工材料，防渗系数≤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cm/s，地面与裙脚表面防渗处理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危险废物须做好危险废物情况的记录、记录上须标明危险废物的名称、来源、数量、入库时间、废物出库日期及接受单位名称。危险废物经过统一收集后再交给有资质的危险废物处置单位处理。</w:t>
            </w:r>
          </w:p>
          <w:p w14:paraId="280AEB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2）环境管理</w:t>
            </w:r>
            <w:r>
              <w:rPr>
                <w:rFonts w:hint="default" w:ascii="Times New Roman" w:hAnsi="Times New Roman" w:eastAsia="宋体" w:cs="Times New Roman"/>
                <w:bCs/>
                <w:color w:val="000000" w:themeColor="text1"/>
                <w:sz w:val="21"/>
                <w:szCs w:val="21"/>
                <w:highlight w:val="none"/>
                <w14:textFill>
                  <w14:solidFill>
                    <w14:schemeClr w14:val="tx1"/>
                  </w14:solidFill>
                </w14:textFill>
              </w:rPr>
              <w:t>要求</w:t>
            </w:r>
          </w:p>
          <w:p w14:paraId="57E5E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生活垃圾由市政环卫部门统一清运；热风炉灰</w:t>
            </w:r>
            <w:r>
              <w:rPr>
                <w:rFonts w:hint="default" w:ascii="Times New Roman" w:hAnsi="Times New Roman" w:eastAsia="宋体" w:cs="Times New Roman"/>
                <w:color w:val="000000" w:themeColor="text1"/>
                <w:sz w:val="21"/>
                <w:szCs w:val="21"/>
                <w:highlight w:val="none"/>
                <w14:textFill>
                  <w14:solidFill>
                    <w14:schemeClr w14:val="tx1"/>
                  </w14:solidFill>
                </w14:textFill>
              </w:rPr>
              <w:t>渣</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除尘器收尘灰，</w:t>
            </w:r>
            <w:r>
              <w:rPr>
                <w:rFonts w:hint="default" w:ascii="Times New Roman" w:hAnsi="Times New Roman" w:eastAsia="宋体" w:cs="Times New Roman"/>
                <w:color w:val="000000" w:themeColor="text1"/>
                <w:sz w:val="21"/>
                <w:szCs w:val="21"/>
                <w:highlight w:val="none"/>
                <w14:textFill>
                  <w14:solidFill>
                    <w14:schemeClr w14:val="tx1"/>
                  </w14:solidFill>
                </w14:textFill>
              </w:rPr>
              <w:t>集中收集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存储于灰渣间，每10天清运1次，不在厂区长期储存，外售综合利用；废布袋，</w:t>
            </w:r>
            <w:r>
              <w:rPr>
                <w:rFonts w:hint="default" w:ascii="Times New Roman" w:hAnsi="Times New Roman" w:eastAsia="宋体" w:cs="Times New Roman"/>
                <w:color w:val="000000" w:themeColor="text1"/>
                <w:sz w:val="21"/>
                <w:szCs w:val="21"/>
                <w:highlight w:val="none"/>
                <w14:textFill>
                  <w14:solidFill>
                    <w14:schemeClr w14:val="tx1"/>
                  </w14:solidFill>
                </w14:textFill>
              </w:rPr>
              <w:t>由除尘器厂家更换后直接带走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；初清、输送装卸、筛分产生杂质外售砖厂综合利用，筛分过程产生劣质粮、烘干粉尘外售饲料厂家综合利用。</w:t>
            </w:r>
          </w:p>
          <w:p w14:paraId="213DED72">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一般固体废物环境管理要求</w:t>
            </w:r>
          </w:p>
          <w:p w14:paraId="24047DD1">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0B814357">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instrText xml:space="preserve"> = 2 \* GB3 </w:instrTex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禁止向生活垃圾收集设施中投放工业固体废物。</w:t>
            </w:r>
          </w:p>
          <w:p w14:paraId="394641C8">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instrText xml:space="preserve"> = 3 \* GB3 </w:instrTex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履行污染防治要求，并将运输、利用、处置情况告知产生工业固体废物的单位。</w:t>
            </w:r>
          </w:p>
          <w:p w14:paraId="06E2F41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危险废物环境管理要求</w:t>
            </w:r>
          </w:p>
          <w:p w14:paraId="7C27798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本项目危险废物贮存点的设置应按《危险废物贮存污染控制标准》（GB18597-2023）相关要求进行设置，并做到以下几点：</w:t>
            </w:r>
          </w:p>
          <w:p w14:paraId="0F2C585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①贮存点环境管理要求</w:t>
            </w:r>
          </w:p>
          <w:p w14:paraId="745874E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A贮存点应具有固定的区域边界，并应采取与其他区域进行隔离的措施。</w:t>
            </w:r>
          </w:p>
          <w:p w14:paraId="59FACE5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B贮存点应采取防风、防雨、防晒和防止危险废物流失、扬散等措施。</w:t>
            </w:r>
          </w:p>
          <w:p w14:paraId="4BFD7F2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C贮存点贮存的危险废物应置于容器或包装物中，不应直接散堆。</w:t>
            </w:r>
          </w:p>
          <w:p w14:paraId="28D2740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D贮存点应根据危险废物的形态、物理化学性质、包装形式等，采取防渗、防漏等污染防治措施或采用具有相应功能的装置。</w:t>
            </w:r>
          </w:p>
          <w:p w14:paraId="3D4F874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E贮存点应及时清运贮存的危险废物，实时贮存量不应超过 3 吨。</w:t>
            </w:r>
          </w:p>
          <w:p w14:paraId="5178A03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②对于委托处理的固体废物，其运输转移过程中需做到以下几点：</w:t>
            </w:r>
          </w:p>
          <w:p w14:paraId="1032C58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A本项目危险废物必须及时运送至危险废物处置单位进行处置，运输过程必须符合国家对危险废物的运输要求。应由固废接收单位的专用车进行运输，该运输车辆须经主管单位检查，并持有有关单位签发的许可证，负责运输的司机应通过培训，持有证明文件。承载危险废物的车辆须有明显的标志或适当的危险符号，以引起注意。运输过程中要注意危险废物安全单独运输，固废的包装容器要注意密闭，以免在运输途中发生泄漏，从而危害环境；</w:t>
            </w:r>
          </w:p>
          <w:p w14:paraId="623CCCB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B本项目在危险废物转移的过程中严格执行《危险废物转移管理办法》（生态环境部 公安部 交通运输部 部令 第23号），危险废物的转运必须填写“五联单”，且必须符合国家及黑龙江省对危险废物转运的相关规定；</w:t>
            </w:r>
          </w:p>
          <w:p w14:paraId="497D992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载有危险废物的车辆在公路上行驶时，需持有运输许可证，其上应注明废物来源、性质和运往地点。装载危险废物车辆的行驶路线须绕开人口密集的居民区和受保护的水体等环境保护目标。组织危险废物的运输单位，在事先需作出周密的运输计划和行驶路线，其中包括有效的废物泄露情况下的应急措施。</w:t>
            </w:r>
          </w:p>
          <w:p w14:paraId="7D404CEE">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（3）环境影响分析</w:t>
            </w:r>
          </w:p>
          <w:p w14:paraId="09C4B044">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本项目所产生的固体废物做到及时收集，妥善处置，本项目一般固体废物满足《一般工业固体废物贮存和填埋污染控制标准》（GB18599-2020）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Cs w:val="21"/>
                <w:highlight w:val="none"/>
                <w14:textFill>
                  <w14:solidFill>
                    <w14:schemeClr w14:val="tx1"/>
                  </w14:solidFill>
                </w14:textFill>
              </w:rPr>
              <w:t>《固体废物分类与代码</w:t>
            </w:r>
            <w:r>
              <w:rPr>
                <w:rFonts w:hint="default" w:ascii="Times New Roman" w:hAnsi="Times New Roman" w:eastAsia="宋体" w:cs="Times New Roman"/>
                <w:bCs/>
                <w:color w:val="000000" w:themeColor="text1"/>
                <w:szCs w:val="21"/>
                <w:highlight w:val="none"/>
                <w:lang w:eastAsia="zh-CN"/>
                <w14:textFill>
                  <w14:solidFill>
                    <w14:schemeClr w14:val="tx1"/>
                  </w14:solidFill>
                </w14:textFill>
              </w:rPr>
              <w:t>目录</w:t>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bCs/>
                <w:color w:val="000000" w:themeColor="text1"/>
                <w:szCs w:val="21"/>
                <w:highlight w:val="none"/>
                <w:lang w:eastAsia="zh-CN"/>
                <w14:textFill>
                  <w14:solidFill>
                    <w14:schemeClr w14:val="tx1"/>
                  </w14:solidFill>
                </w14:textFill>
              </w:rPr>
              <w:t>公告</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2024年第4号</w:t>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危险废物满足《危险废物贮存污染控制标准》（GB18597-2023），</w:t>
            </w:r>
            <w:r>
              <w:rPr>
                <w:rFonts w:hint="default" w:ascii="Times New Roman" w:hAnsi="Times New Roman" w:eastAsia="宋体" w:cs="Times New Roman"/>
                <w:color w:val="000000" w:themeColor="text1"/>
                <w:sz w:val="21"/>
                <w:szCs w:val="21"/>
                <w:highlight w:val="none"/>
                <w14:textFill>
                  <w14:solidFill>
                    <w14:schemeClr w14:val="tx1"/>
                  </w14:solidFill>
                </w14:textFill>
              </w:rPr>
              <w:t>本项目产生的固体废物经过妥善处理后，处置率达到100%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不会影响周边环境。</w:t>
            </w:r>
          </w:p>
          <w:p w14:paraId="25243A42">
            <w:pPr>
              <w:keepNext w:val="0"/>
              <w:keepLines w:val="0"/>
              <w:pageBreakBefore w:val="0"/>
              <w:numPr>
                <w:ilvl w:val="0"/>
                <w:numId w:val="8"/>
              </w:numPr>
              <w:suppressLineNumbers w:val="0"/>
              <w:kinsoku/>
              <w:wordWrap/>
              <w:overflowPunct/>
              <w:topLinePunct w:val="0"/>
              <w:bidi w:val="0"/>
              <w:adjustRightInd w:val="0"/>
              <w:snapToGrid w:val="0"/>
              <w:spacing w:before="0" w:beforeAutospacing="0" w:after="0" w:afterAutospacing="0" w:line="360" w:lineRule="auto"/>
              <w:ind w:left="0" w:leftChars="0" w:right="0" w:firstLine="422" w:firstLineChars="200"/>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运营期对环境保护目标影响分析</w:t>
            </w:r>
          </w:p>
          <w:p w14:paraId="4688532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热风炉烟气通过布袋除尘器处理后经25m烟囱（DA001）高空排放，SO2排放浓度符合《工业炉窑大气污染物排放标准》（GB9078-1996）中的表4中的二级标准，颗粒物排放浓度及烟气黑度符合《工业炉窑大气污染物排放标准》（GB9078-1996）中的表2中的二级标准；原料烘干、运输及筛分过程会有粉尘产生，此部分粉尘以无组织的形式排放。装卸工段采用密闭性良好的设备，全封闭输送机、原粮入仓采取封闭和减小装卸高度等降尘措施，运输过程中采用封闭输送；清粮采用全密闭筛分机，产生的粉尘经设备自带袋式除尘器处理后排放；烘干塔内部自带重力沉降室，烘干塔底部四周设置防尘挡板，粉尘受挡板格挡后受重力作用回落到烘干塔底部收尘设施中。燃料库、热风炉房密闭并定期洒水抑尘，减少粉尘扩散，厂界颗粒物排放浓度符合《大气污染物综合排放标准》（GB16297-1996）表2无组织排放浓度限值要求。热风炉周边无组织排放颗粒物浓度执行《工业炉窑大气污染物排放标准》（GB9078-1996）中的表3中标准限值。</w:t>
            </w:r>
          </w:p>
          <w:p w14:paraId="3A3D49F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本项目选用低噪声设备，通过采取减振、消声、隔声等措施后，本项目周围敏感点满足《声环境质量标准》(GB3096-2008)中2类标准要求。</w:t>
            </w:r>
          </w:p>
          <w:p w14:paraId="34C2A51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所产生的固体废物做到及时收集，妥善处置，本项目一般固体废物满足《一般工业固体废物贮存和填埋污染控制标准》（GB18599-2020）、《固体废物分类与代码目录》（公告2024年第4号），危险废物满足《危险废物贮存污染控制标准》（GB18597-2023），本项目产生的固体废物经过妥善处理后，处置率达到100%。</w:t>
            </w:r>
          </w:p>
          <w:p w14:paraId="2615F9F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  综上所述，在落实污染防治措施，并保证相应环保措施正常运行后，本项目所产生污染对周围环境保护目标影响较小。运营期间做好相关监测，发现超标及时采取措施，本项目基本不会对周围环境保护目标产生相关环境影响。</w:t>
            </w:r>
          </w:p>
          <w:p w14:paraId="2B5C912E">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jc w:val="both"/>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6、土壤和地下水</w:t>
            </w:r>
          </w:p>
          <w:p w14:paraId="6B163FD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本项目危险废物贮存点采取重点防渗，</w:t>
            </w:r>
            <w:r>
              <w:rPr>
                <w:rFonts w:hint="eastAsia" w:cs="Times New Roman"/>
                <w:b w:val="0"/>
                <w:bCs/>
                <w:color w:val="000000" w:themeColor="text1"/>
                <w:sz w:val="21"/>
                <w:szCs w:val="21"/>
                <w:highlight w:val="none"/>
                <w:lang w:val="en-US" w:eastAsia="zh-CN"/>
                <w14:textFill>
                  <w14:solidFill>
                    <w14:schemeClr w14:val="tx1"/>
                  </w14:solidFill>
                </w14:textFill>
              </w:rPr>
              <w:t>采用至少2mm厚的防渗人工材料，防渗系数≤10</w:t>
            </w:r>
            <w:r>
              <w:rPr>
                <w:rFonts w:hint="eastAsia" w:cs="Times New Roman"/>
                <w:b w:val="0"/>
                <w:bCs/>
                <w:color w:val="000000" w:themeColor="text1"/>
                <w:sz w:val="21"/>
                <w:szCs w:val="21"/>
                <w:highlight w:val="none"/>
                <w:vertAlign w:val="superscript"/>
                <w:lang w:val="en-US" w:eastAsia="zh-CN"/>
                <w14:textFill>
                  <w14:solidFill>
                    <w14:schemeClr w14:val="tx1"/>
                  </w14:solidFill>
                </w14:textFill>
              </w:rPr>
              <w:t>-10</w:t>
            </w:r>
            <w:r>
              <w:rPr>
                <w:rFonts w:hint="eastAsia" w:cs="Times New Roman"/>
                <w:b w:val="0"/>
                <w:bCs/>
                <w:color w:val="000000" w:themeColor="text1"/>
                <w:sz w:val="21"/>
                <w:szCs w:val="21"/>
                <w:highlight w:val="none"/>
                <w:lang w:val="en-US" w:eastAsia="zh-CN"/>
                <w14:textFill>
                  <w14:solidFill>
                    <w14:schemeClr w14:val="tx1"/>
                  </w14:solidFill>
                </w14:textFill>
              </w:rPr>
              <w:t>cm/s，地面与裙脚表面防渗处理，防渗旱厕采取一般防渗（等效黏土防渗层Mb≥1.5m，渗透系数≤10</w:t>
            </w:r>
            <w:r>
              <w:rPr>
                <w:rFonts w:hint="eastAsia" w:cs="Times New Roman"/>
                <w:b w:val="0"/>
                <w:bCs/>
                <w:color w:val="000000" w:themeColor="text1"/>
                <w:sz w:val="21"/>
                <w:szCs w:val="21"/>
                <w:highlight w:val="none"/>
                <w:vertAlign w:val="superscript"/>
                <w:lang w:val="en-US" w:eastAsia="zh-CN"/>
                <w14:textFill>
                  <w14:solidFill>
                    <w14:schemeClr w14:val="tx1"/>
                  </w14:solidFill>
                </w14:textFill>
              </w:rPr>
              <w:t>-7</w:t>
            </w:r>
            <w:r>
              <w:rPr>
                <w:rFonts w:hint="eastAsia" w:cs="Times New Roman"/>
                <w:b w:val="0"/>
                <w:bCs/>
                <w:color w:val="000000" w:themeColor="text1"/>
                <w:sz w:val="21"/>
                <w:szCs w:val="21"/>
                <w:highlight w:val="none"/>
                <w:lang w:val="en-US" w:eastAsia="zh-CN"/>
                <w14:textFill>
                  <w14:solidFill>
                    <w14:schemeClr w14:val="tx1"/>
                  </w14:solidFill>
                </w14:textFill>
              </w:rPr>
              <w:t>cm/s），厂区内其他区域采取简单防渗，采用水泥硬化。</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不存在土壤、地下水环境污染途径，运营期无地下水、土壤跟踪监测要求。</w:t>
            </w:r>
          </w:p>
          <w:p w14:paraId="22F26A1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22" w:firstLineChars="200"/>
              <w:rPr>
                <w:rFonts w:hint="default" w:ascii="Times New Roman" w:hAnsi="Times New Roman" w:eastAsia="宋体" w:cs="Times New Roman"/>
                <w:b/>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Cs w:val="21"/>
                <w:highlight w:val="none"/>
                <w14:textFill>
                  <w14:solidFill>
                    <w14:schemeClr w14:val="tx1"/>
                  </w14:solidFill>
                </w14:textFill>
              </w:rPr>
              <w:t>、环境风险</w:t>
            </w:r>
          </w:p>
          <w:p w14:paraId="17B055B1">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（1）环境风险识别</w:t>
            </w:r>
          </w:p>
          <w:p w14:paraId="50129330">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依据《建设项目环境风险评价技术导则》（HJ169-2018）中的危险物质或危险化学品，对项目的环境风险物质进行判断，本项目风险物质主要为废机油。</w:t>
            </w:r>
          </w:p>
          <w:p w14:paraId="173C7411">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（2）建设项目风险物质存储情况</w:t>
            </w:r>
          </w:p>
          <w:p w14:paraId="6D22E25B">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根据《建设项目环境风险评价技术导则》（HJ 169-2018）附录B可知，本项目机油不在厂区内储存，本项目风险物质主要为废机油，产生的废机油暂存在内的危险废物贮存点，危险废物贮存点内最大储存量1t。</w:t>
            </w:r>
          </w:p>
          <w:p w14:paraId="4CF2DF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表4-11  环境风险物质统计表</w:t>
            </w:r>
          </w:p>
          <w:tbl>
            <w:tblPr>
              <w:tblStyle w:val="34"/>
              <w:tblW w:w="4997"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12"/>
              <w:gridCol w:w="3164"/>
              <w:gridCol w:w="1019"/>
              <w:gridCol w:w="1449"/>
              <w:gridCol w:w="1175"/>
              <w:gridCol w:w="730"/>
            </w:tblGrid>
            <w:tr w14:paraId="2E5DB4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18" w:type="pct"/>
                  <w:tcBorders>
                    <w:tl2br w:val="nil"/>
                    <w:tr2bl w:val="nil"/>
                  </w:tcBorders>
                  <w:noWrap w:val="0"/>
                  <w:vAlign w:val="center"/>
                </w:tcPr>
                <w:p w14:paraId="4482ED1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序号</w:t>
                  </w:r>
                </w:p>
              </w:tc>
              <w:tc>
                <w:tcPr>
                  <w:tcW w:w="1965" w:type="pct"/>
                  <w:tcBorders>
                    <w:tl2br w:val="nil"/>
                    <w:tr2bl w:val="nil"/>
                  </w:tcBorders>
                  <w:noWrap w:val="0"/>
                  <w:vAlign w:val="center"/>
                </w:tcPr>
                <w:p w14:paraId="1B1279A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危险物质</w:t>
                  </w:r>
                </w:p>
              </w:tc>
              <w:tc>
                <w:tcPr>
                  <w:tcW w:w="633" w:type="pct"/>
                  <w:tcBorders>
                    <w:tl2br w:val="nil"/>
                    <w:tr2bl w:val="nil"/>
                  </w:tcBorders>
                  <w:noWrap w:val="0"/>
                  <w:vAlign w:val="center"/>
                </w:tcPr>
                <w:p w14:paraId="5D27F18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CAS号</w:t>
                  </w:r>
                </w:p>
              </w:tc>
              <w:tc>
                <w:tcPr>
                  <w:tcW w:w="900" w:type="pct"/>
                  <w:tcBorders>
                    <w:tl2br w:val="nil"/>
                    <w:tr2bl w:val="nil"/>
                  </w:tcBorders>
                  <w:noWrap w:val="0"/>
                  <w:vAlign w:val="center"/>
                </w:tcPr>
                <w:p w14:paraId="2B3DE0C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最大储存量（t）</w:t>
                  </w:r>
                </w:p>
              </w:tc>
              <w:tc>
                <w:tcPr>
                  <w:tcW w:w="729" w:type="pct"/>
                  <w:tcBorders>
                    <w:tl2br w:val="nil"/>
                    <w:tr2bl w:val="nil"/>
                  </w:tcBorders>
                  <w:noWrap w:val="0"/>
                  <w:vAlign w:val="center"/>
                </w:tcPr>
                <w:p w14:paraId="45A2131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临界量（t）</w:t>
                  </w:r>
                </w:p>
              </w:tc>
              <w:tc>
                <w:tcPr>
                  <w:tcW w:w="453" w:type="pct"/>
                  <w:tcBorders>
                    <w:tl2br w:val="nil"/>
                    <w:tr2bl w:val="nil"/>
                  </w:tcBorders>
                  <w:noWrap w:val="0"/>
                  <w:vAlign w:val="center"/>
                </w:tcPr>
                <w:p w14:paraId="5A8F016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q值</w:t>
                  </w:r>
                </w:p>
              </w:tc>
            </w:tr>
            <w:tr w14:paraId="67D272B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18" w:type="pct"/>
                  <w:tcBorders>
                    <w:tl2br w:val="nil"/>
                    <w:tr2bl w:val="nil"/>
                  </w:tcBorders>
                  <w:noWrap w:val="0"/>
                  <w:vAlign w:val="center"/>
                </w:tcPr>
                <w:p w14:paraId="0BAAAAE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w:t>
                  </w:r>
                </w:p>
              </w:tc>
              <w:tc>
                <w:tcPr>
                  <w:tcW w:w="1965" w:type="pct"/>
                  <w:tcBorders>
                    <w:tl2br w:val="nil"/>
                    <w:tr2bl w:val="nil"/>
                  </w:tcBorders>
                  <w:noWrap w:val="0"/>
                  <w:vAlign w:val="center"/>
                </w:tcPr>
                <w:p w14:paraId="70585F9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油类物质（矿物油类，如石油、汽油、柴油；生物柴油等）</w:t>
                  </w:r>
                </w:p>
              </w:tc>
              <w:tc>
                <w:tcPr>
                  <w:tcW w:w="633" w:type="pct"/>
                  <w:tcBorders>
                    <w:tl2br w:val="nil"/>
                    <w:tr2bl w:val="nil"/>
                  </w:tcBorders>
                  <w:noWrap w:val="0"/>
                  <w:vAlign w:val="center"/>
                </w:tcPr>
                <w:p w14:paraId="5B59447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900" w:type="pct"/>
                  <w:tcBorders>
                    <w:tl2br w:val="nil"/>
                    <w:tr2bl w:val="nil"/>
                  </w:tcBorders>
                  <w:noWrap w:val="0"/>
                  <w:vAlign w:val="center"/>
                </w:tcPr>
                <w:p w14:paraId="08F8915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0.02</w:t>
                  </w:r>
                </w:p>
              </w:tc>
              <w:tc>
                <w:tcPr>
                  <w:tcW w:w="729" w:type="pct"/>
                  <w:tcBorders>
                    <w:tl2br w:val="nil"/>
                    <w:tr2bl w:val="nil"/>
                  </w:tcBorders>
                  <w:noWrap w:val="0"/>
                  <w:vAlign w:val="center"/>
                </w:tcPr>
                <w:p w14:paraId="53FA80C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2500</w:t>
                  </w:r>
                </w:p>
              </w:tc>
              <w:tc>
                <w:tcPr>
                  <w:tcW w:w="453" w:type="pct"/>
                  <w:tcBorders>
                    <w:tl2br w:val="nil"/>
                    <w:tr2bl w:val="nil"/>
                  </w:tcBorders>
                  <w:noWrap w:val="0"/>
                  <w:vAlign w:val="center"/>
                </w:tcPr>
                <w:p w14:paraId="77E3B40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8.0×10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-6</w:t>
                  </w:r>
                </w:p>
              </w:tc>
            </w:tr>
            <w:tr w14:paraId="51EEB55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46" w:type="pct"/>
                  <w:gridSpan w:val="5"/>
                  <w:tcBorders>
                    <w:tl2br w:val="nil"/>
                    <w:tr2bl w:val="nil"/>
                  </w:tcBorders>
                  <w:noWrap w:val="0"/>
                  <w:vAlign w:val="center"/>
                </w:tcPr>
                <w:p w14:paraId="09F20AB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合计</w:t>
                  </w:r>
                </w:p>
              </w:tc>
              <w:tc>
                <w:tcPr>
                  <w:tcW w:w="453" w:type="pct"/>
                  <w:tcBorders>
                    <w:tl2br w:val="nil"/>
                    <w:tr2bl w:val="nil"/>
                  </w:tcBorders>
                  <w:noWrap w:val="0"/>
                  <w:vAlign w:val="center"/>
                </w:tcPr>
                <w:p w14:paraId="3B4A8E8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8.0×10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-6</w:t>
                  </w:r>
                </w:p>
              </w:tc>
            </w:tr>
          </w:tbl>
          <w:p w14:paraId="6E3307AB">
            <w:pPr>
              <w:keepNext w:val="0"/>
              <w:keepLines w:val="0"/>
              <w:pageBreakBefore w:val="0"/>
              <w:numPr>
                <w:ilvl w:val="0"/>
                <w:numId w:val="9"/>
              </w:numPr>
              <w:suppressLineNumbers w:val="0"/>
              <w:kinsoku/>
              <w:wordWrap/>
              <w:overflowPunct/>
              <w:topLinePunct w:val="0"/>
              <w:bidi w:val="0"/>
              <w:spacing w:before="0" w:beforeAutospacing="0" w:after="0" w:afterAutospacing="0" w:line="360" w:lineRule="auto"/>
              <w:ind w:left="0" w:right="0" w:firstLine="420" w:firstLineChars="200"/>
              <w:contextualSpacing/>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环境风险影响分析</w:t>
            </w:r>
          </w:p>
          <w:p w14:paraId="1305C2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表4-12  环境风险简单分析内容表</w:t>
            </w:r>
          </w:p>
          <w:tbl>
            <w:tblPr>
              <w:tblStyle w:val="34"/>
              <w:tblW w:w="4996"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06"/>
              <w:gridCol w:w="996"/>
              <w:gridCol w:w="2018"/>
              <w:gridCol w:w="1091"/>
              <w:gridCol w:w="1838"/>
            </w:tblGrid>
            <w:tr w14:paraId="6737178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308" w:type="pct"/>
                  <w:tcBorders>
                    <w:tl2br w:val="nil"/>
                    <w:tr2bl w:val="nil"/>
                  </w:tcBorders>
                  <w:noWrap w:val="0"/>
                  <w:vAlign w:val="center"/>
                </w:tcPr>
                <w:p w14:paraId="014D11B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建设项目名称</w:t>
                  </w:r>
                </w:p>
              </w:tc>
              <w:tc>
                <w:tcPr>
                  <w:tcW w:w="3691" w:type="pct"/>
                  <w:gridSpan w:val="4"/>
                  <w:tcBorders>
                    <w:tl2br w:val="nil"/>
                    <w:tr2bl w:val="nil"/>
                  </w:tcBorders>
                  <w:noWrap w:val="0"/>
                  <w:vAlign w:val="center"/>
                </w:tcPr>
                <w:p w14:paraId="21B9BBE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鸡西市龙广粮食农民专业合作社建设项目</w:t>
                  </w:r>
                </w:p>
              </w:tc>
            </w:tr>
            <w:tr w14:paraId="5916A41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308" w:type="pct"/>
                  <w:tcBorders>
                    <w:tl2br w:val="nil"/>
                    <w:tr2bl w:val="nil"/>
                  </w:tcBorders>
                  <w:noWrap w:val="0"/>
                  <w:vAlign w:val="center"/>
                </w:tcPr>
                <w:p w14:paraId="14EDA60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建设地点</w:t>
                  </w:r>
                </w:p>
              </w:tc>
              <w:tc>
                <w:tcPr>
                  <w:tcW w:w="3691" w:type="pct"/>
                  <w:gridSpan w:val="4"/>
                  <w:tcBorders>
                    <w:tl2br w:val="nil"/>
                    <w:tr2bl w:val="nil"/>
                  </w:tcBorders>
                  <w:noWrap w:val="0"/>
                  <w:vAlign w:val="center"/>
                </w:tcPr>
                <w:p w14:paraId="18B39849">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right="0" w:rightChars="0"/>
                    <w:contextualSpacing/>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黑龙江省鸡西市滴道区兰岭乡兰岭村</w:t>
                  </w:r>
                </w:p>
              </w:tc>
            </w:tr>
            <w:tr w14:paraId="4539DA7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308" w:type="pct"/>
                  <w:tcBorders>
                    <w:tl2br w:val="nil"/>
                    <w:tr2bl w:val="nil"/>
                  </w:tcBorders>
                  <w:noWrap w:val="0"/>
                  <w:vAlign w:val="center"/>
                </w:tcPr>
                <w:p w14:paraId="1C90201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地理坐标</w:t>
                  </w:r>
                </w:p>
              </w:tc>
              <w:tc>
                <w:tcPr>
                  <w:tcW w:w="618" w:type="pct"/>
                  <w:tcBorders>
                    <w:tl2br w:val="nil"/>
                    <w:tr2bl w:val="nil"/>
                  </w:tcBorders>
                  <w:noWrap w:val="0"/>
                  <w:vAlign w:val="center"/>
                </w:tcPr>
                <w:p w14:paraId="4B6A021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经度</w:t>
                  </w:r>
                </w:p>
              </w:tc>
              <w:tc>
                <w:tcPr>
                  <w:tcW w:w="1253" w:type="pct"/>
                  <w:tcBorders>
                    <w:tl2br w:val="nil"/>
                    <w:tr2bl w:val="nil"/>
                  </w:tcBorders>
                  <w:noWrap w:val="0"/>
                  <w:vAlign w:val="center"/>
                </w:tcPr>
                <w:p w14:paraId="1844112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130°43′11.490″</w:t>
                  </w:r>
                </w:p>
              </w:tc>
              <w:tc>
                <w:tcPr>
                  <w:tcW w:w="677" w:type="pct"/>
                  <w:tcBorders>
                    <w:tl2br w:val="nil"/>
                    <w:tr2bl w:val="nil"/>
                  </w:tcBorders>
                  <w:noWrap w:val="0"/>
                  <w:vAlign w:val="center"/>
                </w:tcPr>
                <w:p w14:paraId="400DC9D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纬度</w:t>
                  </w:r>
                </w:p>
              </w:tc>
              <w:tc>
                <w:tcPr>
                  <w:tcW w:w="1141" w:type="pct"/>
                  <w:tcBorders>
                    <w:tl2br w:val="nil"/>
                    <w:tr2bl w:val="nil"/>
                  </w:tcBorders>
                  <w:noWrap w:val="0"/>
                  <w:vAlign w:val="center"/>
                </w:tcPr>
                <w:p w14:paraId="21F90E1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45°15′37.640″</w:t>
                  </w:r>
                </w:p>
              </w:tc>
            </w:tr>
            <w:tr w14:paraId="58ED805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308" w:type="pct"/>
                  <w:tcBorders>
                    <w:tl2br w:val="nil"/>
                    <w:tr2bl w:val="nil"/>
                  </w:tcBorders>
                  <w:noWrap w:val="0"/>
                  <w:vAlign w:val="center"/>
                </w:tcPr>
                <w:p w14:paraId="3AC7D9F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主要危险物质及分布</w:t>
                  </w:r>
                </w:p>
              </w:tc>
              <w:tc>
                <w:tcPr>
                  <w:tcW w:w="3691" w:type="pct"/>
                  <w:gridSpan w:val="4"/>
                  <w:tcBorders>
                    <w:tl2br w:val="nil"/>
                    <w:tr2bl w:val="nil"/>
                  </w:tcBorders>
                  <w:noWrap w:val="0"/>
                  <w:vAlign w:val="center"/>
                </w:tcPr>
                <w:p w14:paraId="4BDCF27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危废贮存点内废机油</w:t>
                  </w:r>
                </w:p>
              </w:tc>
            </w:tr>
            <w:tr w14:paraId="767E13D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1308" w:type="pct"/>
                  <w:tcBorders>
                    <w:tl2br w:val="nil"/>
                    <w:tr2bl w:val="nil"/>
                  </w:tcBorders>
                  <w:noWrap w:val="0"/>
                  <w:vAlign w:val="center"/>
                </w:tcPr>
                <w:p w14:paraId="3254C7D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环境影响途径及危害后果</w:t>
                  </w:r>
                </w:p>
              </w:tc>
              <w:tc>
                <w:tcPr>
                  <w:tcW w:w="3691" w:type="pct"/>
                  <w:gridSpan w:val="4"/>
                  <w:tcBorders>
                    <w:tl2br w:val="nil"/>
                    <w:tr2bl w:val="nil"/>
                  </w:tcBorders>
                  <w:noWrap w:val="0"/>
                  <w:vAlign w:val="center"/>
                </w:tcPr>
                <w:p w14:paraId="57E1272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废机油泄露对土壤、地下水造成污染</w:t>
                  </w:r>
                </w:p>
              </w:tc>
            </w:tr>
            <w:tr w14:paraId="656302D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08" w:type="pct"/>
                  <w:tcBorders>
                    <w:tl2br w:val="nil"/>
                    <w:tr2bl w:val="nil"/>
                  </w:tcBorders>
                  <w:noWrap w:val="0"/>
                  <w:vAlign w:val="center"/>
                </w:tcPr>
                <w:p w14:paraId="30FB040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风险防范措施要求</w:t>
                  </w:r>
                </w:p>
              </w:tc>
              <w:tc>
                <w:tcPr>
                  <w:tcW w:w="3691" w:type="pct"/>
                  <w:gridSpan w:val="4"/>
                  <w:tcBorders>
                    <w:tl2br w:val="nil"/>
                    <w:tr2bl w:val="nil"/>
                  </w:tcBorders>
                  <w:noWrap w:val="0"/>
                  <w:vAlign w:val="center"/>
                </w:tcPr>
                <w:p w14:paraId="2DE470E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危险废物贮存点内地面硬化，防渗性能不低于2mm厚的防渗人工材料，防渗系数为10</w:t>
                  </w:r>
                  <w:r>
                    <w:rPr>
                      <w:rFonts w:hint="default" w:ascii="Times New Roman" w:hAnsi="Times New Roman" w:eastAsia="宋体" w:cs="Times New Roman"/>
                      <w:color w:val="000000" w:themeColor="text1"/>
                      <w:sz w:val="18"/>
                      <w:szCs w:val="18"/>
                      <w:highlight w:val="none"/>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cm/s</w:t>
                  </w:r>
                  <w:r>
                    <w:rPr>
                      <w:rFonts w:hint="eastAsia" w:cs="Times New Roman"/>
                      <w:color w:val="000000" w:themeColor="text1"/>
                      <w:sz w:val="18"/>
                      <w:szCs w:val="18"/>
                      <w:highlight w:val="none"/>
                      <w:lang w:val="en-US" w:eastAsia="zh-CN"/>
                      <w14:textFill>
                        <w14:solidFill>
                          <w14:schemeClr w14:val="tx1"/>
                        </w14:solidFill>
                      </w14:textFill>
                    </w:rPr>
                    <w:t>，地面与裙脚表面防渗处理</w:t>
                  </w:r>
                </w:p>
              </w:tc>
            </w:tr>
          </w:tbl>
          <w:p w14:paraId="06C8A502">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选址不涉及环境敏感区，不存在重大危险源，风险水平值较低。项目运营期存在一定潜在的环境风险事故，主要为废机油泄露对土壤、地下水造成污染。废机油储存在危险废物贮存点，危险废物贮存点内地面硬化，防渗性能不低于2mm厚的防渗人工材料，防渗系数为10</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cm/s</w:t>
            </w:r>
            <w:r>
              <w:rPr>
                <w:rFonts w:hint="eastAsia" w:cs="Times New Roman"/>
                <w:color w:val="000000" w:themeColor="text1"/>
                <w:szCs w:val="21"/>
                <w:highlight w:val="none"/>
                <w:lang w:val="en-US" w:eastAsia="zh-CN"/>
                <w14:textFill>
                  <w14:solidFill>
                    <w14:schemeClr w14:val="tx1"/>
                  </w14:solidFill>
                </w14:textFill>
              </w:rPr>
              <w:t>，地面与裙脚表面防渗处理</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只要建设单位加强风险管理，在项目建设、实施过程中认真落实各种环境风险防范措施，并在环境风险事故发生后，及时采取有效的风险应急措施，使环境风险事故得到有效的控制，将事故风险控制在可接受的范围内，项目环境风险值处于可接受水平范围内。</w:t>
            </w:r>
          </w:p>
          <w:p w14:paraId="1E87861B">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2" w:firstLineChars="200"/>
              <w:contextualSpacing/>
              <w:jc w:val="both"/>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8、与排污许可证衔接</w:t>
            </w:r>
          </w:p>
          <w:p w14:paraId="0202E9F2">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根据《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国家将分行业制定建设项目重大变动清单。建设项目的环境影响报告书（表）经批准后，建设项目的性质、规模、地点、采用的生产工艺或者防治污染、防止生态破坏的措施发生重大变动的，建设单位应当依法重新报批环境影响评价文件，并在申请排污许可时提交重新报批的环评批复（文号）。发生变动但不属于重大变动情形的建设项目，环境影响报告书（表）2015年1月1日（含）后获得批准的，排污许可证核发部门按照污染物排放标准、总量控制要求、环境影响报告书（表）以及审批文件从严核发，其他建设项目由排污许可证核发部门按照排污许可证申请与核发技术规范要求核发。</w:t>
            </w:r>
          </w:p>
          <w:p w14:paraId="0B451A9A">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根据《排污许可管理办法》（2024年7月1日），第三条：依照法律规定实行排污许可管理的企业事业单位和其他生产经营者（以下简称排污单位），应当依法申请取得排污许可证，并按照排污许可证的规定排放污染物；未取得排污许可证的，不得排放污染物。依法需要填报排污登记表的企业事业单位和其他生产经营者（以下简称排污登记单位），应当在全国排污许可证管理信息平台进行排污登记。第四条：根据污染物产生量、排放量、对环境的影响程度等因素，对企业事业单位和其他生产经营者实行排污许可重点管理、简化管理和排污登记管理。实行排污许可重点管理、简化管理的排污单位具体范围，依照固定污染源排污许可分类管理名录规定执行。实行排污登记管理的排污登记单位具体范围由国务院生态环境主管部门制定并公布。</w:t>
            </w:r>
          </w:p>
          <w:p w14:paraId="51AEE317">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本项目属于实施简化管理的行业，本项目当在启</w:t>
            </w:r>
            <w:bookmarkStart w:id="19" w:name="_GoBack"/>
            <w:bookmarkEnd w:id="19"/>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动生产设施或者发生实际排污之前，应当在全国排污许可证管理信息平台完成重新申请排污许可证。填报基本信息、污染物排放去向、执行的污染物排放标准以及采取的污染防治措施等信息。</w:t>
            </w:r>
          </w:p>
          <w:p w14:paraId="1A3305C8">
            <w:pPr>
              <w:pStyle w:val="3"/>
              <w:keepNext/>
              <w:keepLines/>
              <w:pageBreakBefore w:val="0"/>
              <w:widowControl/>
              <w:suppressLineNumbers w:val="0"/>
              <w:tabs>
                <w:tab w:val="left" w:pos="3600"/>
              </w:tabs>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环境保护“三同时”竣工验收内容</w:t>
            </w:r>
          </w:p>
          <w:p w14:paraId="2AD482AA">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根据《建设项目环境保护管理条例》（国务院令第682号）和《建设项目竣工环境保护验收暂行办法》（国环规环评[2017]4号）规定，建设单位是建设项目竣工环境保护验收的责任主体，建设单位应按照《建设项目竣工环境保护验收暂行办法》相关规定对本项目配套建设的环境保护设施进行验收，编制验收报告，公开相关信息，接受社会监督，确保本项目需要配套建设的环境保护设施与主体工程同时投产或者使用，并对验收内容、结论和所公开信息的真实性、准确性和完整性负责，不得在验收过程中弄虚作假。本项目竣工后，建设单位应当如实查验、监测、记载本项目环境保护设施的建设和调试情况，编制验收监测（调查）报告。本项目环保设施竣工验收情况见表</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4-13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p w14:paraId="34ADA3F4">
            <w:pPr>
              <w:pStyle w:val="16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bCs/>
                <w:color w:val="000000" w:themeColor="text1"/>
                <w:szCs w:val="24"/>
                <w:highlight w:val="none"/>
                <w14:textFill>
                  <w14:solidFill>
                    <w14:schemeClr w14:val="tx1"/>
                  </w14:solidFill>
                </w14:textFill>
              </w:rPr>
            </w:pPr>
            <w:r>
              <w:rPr>
                <w:rFonts w:hint="default" w:ascii="Times New Roman" w:hAnsi="Times New Roman" w:eastAsia="宋体" w:cs="Times New Roman"/>
                <w:b/>
                <w:bCs/>
                <w:color w:val="000000" w:themeColor="text1"/>
                <w:szCs w:val="24"/>
                <w:highlight w:val="none"/>
                <w14:textFill>
                  <w14:solidFill>
                    <w14:schemeClr w14:val="tx1"/>
                  </w14:solidFill>
                </w14:textFill>
              </w:rPr>
              <w:t>表</w:t>
            </w:r>
            <w:r>
              <w:rPr>
                <w:rFonts w:hint="default" w:ascii="Times New Roman" w:hAnsi="Times New Roman" w:eastAsia="宋体" w:cs="Times New Roman"/>
                <w:b/>
                <w:bCs/>
                <w:color w:val="000000" w:themeColor="text1"/>
                <w:szCs w:val="24"/>
                <w:highlight w:val="none"/>
                <w:lang w:val="en-US" w:eastAsia="zh-CN"/>
                <w14:textFill>
                  <w14:solidFill>
                    <w14:schemeClr w14:val="tx1"/>
                  </w14:solidFill>
                </w14:textFill>
              </w:rPr>
              <w:t>4-13</w:t>
            </w:r>
            <w:r>
              <w:rPr>
                <w:rFonts w:hint="default" w:ascii="Times New Roman" w:hAnsi="Times New Roman" w:eastAsia="宋体" w:cs="Times New Roman"/>
                <w:b/>
                <w:bCs/>
                <w:color w:val="000000" w:themeColor="text1"/>
                <w:szCs w:val="24"/>
                <w:highlight w:val="none"/>
                <w14:textFill>
                  <w14:solidFill>
                    <w14:schemeClr w14:val="tx1"/>
                  </w14:solidFill>
                </w14:textFill>
              </w:rPr>
              <w:t xml:space="preserve">  本项目环保措施“三同时”验收内容</w:t>
            </w:r>
          </w:p>
          <w:tbl>
            <w:tblPr>
              <w:tblStyle w:val="34"/>
              <w:tblW w:w="5000"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33"/>
              <w:gridCol w:w="910"/>
              <w:gridCol w:w="1542"/>
              <w:gridCol w:w="2396"/>
              <w:gridCol w:w="2573"/>
            </w:tblGrid>
            <w:tr w14:paraId="62052C3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noWrap w:val="0"/>
                  <w:vAlign w:val="center"/>
                </w:tcPr>
                <w:p w14:paraId="039E2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类别</w:t>
                  </w:r>
                </w:p>
              </w:tc>
              <w:tc>
                <w:tcPr>
                  <w:tcW w:w="564" w:type="pct"/>
                  <w:noWrap w:val="0"/>
                  <w:vAlign w:val="center"/>
                </w:tcPr>
                <w:p w14:paraId="2CFB49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污染源</w:t>
                  </w:r>
                </w:p>
              </w:tc>
              <w:tc>
                <w:tcPr>
                  <w:tcW w:w="957" w:type="pct"/>
                  <w:noWrap w:val="0"/>
                  <w:vAlign w:val="center"/>
                </w:tcPr>
                <w:p w14:paraId="11ABF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污染物名称</w:t>
                  </w:r>
                </w:p>
              </w:tc>
              <w:tc>
                <w:tcPr>
                  <w:tcW w:w="1487" w:type="pct"/>
                  <w:noWrap w:val="0"/>
                  <w:vAlign w:val="center"/>
                </w:tcPr>
                <w:p w14:paraId="75B4E0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环境保护措施</w:t>
                  </w:r>
                </w:p>
              </w:tc>
              <w:tc>
                <w:tcPr>
                  <w:tcW w:w="1597" w:type="pct"/>
                  <w:noWrap w:val="0"/>
                  <w:vAlign w:val="center"/>
                </w:tcPr>
                <w:p w14:paraId="65399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执行的环境标准</w:t>
                  </w:r>
                </w:p>
              </w:tc>
            </w:tr>
            <w:tr w14:paraId="0DBD081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26" w:hRule="atLeast"/>
                <w:jc w:val="center"/>
              </w:trPr>
              <w:tc>
                <w:tcPr>
                  <w:tcW w:w="392" w:type="pct"/>
                  <w:vMerge w:val="restart"/>
                  <w:noWrap w:val="0"/>
                  <w:vAlign w:val="center"/>
                </w:tcPr>
                <w:p w14:paraId="174AF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废气</w:t>
                  </w:r>
                </w:p>
              </w:tc>
              <w:tc>
                <w:tcPr>
                  <w:tcW w:w="564" w:type="pct"/>
                  <w:noWrap w:val="0"/>
                  <w:vAlign w:val="center"/>
                </w:tcPr>
                <w:p w14:paraId="403DB1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热风炉烟囱（</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DA001</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957" w:type="pct"/>
                  <w:noWrap w:val="0"/>
                  <w:vAlign w:val="center"/>
                </w:tcPr>
                <w:p w14:paraId="4DFCF18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、SO</w:t>
                  </w:r>
                  <w:r>
                    <w:rPr>
                      <w:rFonts w:hint="default" w:ascii="Times New Roman" w:hAnsi="Times New Roman" w:eastAsia="宋体" w:cs="Times New Roman"/>
                      <w:color w:val="000000" w:themeColor="text1"/>
                      <w:sz w:val="18"/>
                      <w:szCs w:val="18"/>
                      <w:highlight w:val="none"/>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、烟气黑度、</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氮氧化物</w:t>
                  </w:r>
                </w:p>
              </w:tc>
              <w:tc>
                <w:tcPr>
                  <w:tcW w:w="1487" w:type="pct"/>
                  <w:noWrap w:val="0"/>
                  <w:vAlign w:val="center"/>
                </w:tcPr>
                <w:p w14:paraId="25334B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布袋除尘器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18"/>
                      <w:szCs w:val="18"/>
                      <w:highlight w:val="none"/>
                      <w14:textFill>
                        <w14:solidFill>
                          <w14:schemeClr w14:val="tx1"/>
                        </w14:solidFill>
                      </w14:textFill>
                    </w:rPr>
                    <w:t>m高</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烟囱</w:t>
                  </w:r>
                  <w:r>
                    <w:rPr>
                      <w:rFonts w:hint="default" w:ascii="Times New Roman" w:hAnsi="Times New Roman" w:eastAsia="宋体" w:cs="Times New Roman"/>
                      <w:color w:val="000000" w:themeColor="text1"/>
                      <w:sz w:val="18"/>
                      <w:szCs w:val="18"/>
                      <w:highlight w:val="none"/>
                      <w14:textFill>
                        <w14:solidFill>
                          <w14:schemeClr w14:val="tx1"/>
                        </w14:solidFill>
                      </w14:textFill>
                    </w:rPr>
                    <w:t>排放</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烟囱设置永久采样、监测孔</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1597" w:type="pct"/>
                  <w:noWrap w:val="0"/>
                  <w:vAlign w:val="center"/>
                </w:tcPr>
                <w:p w14:paraId="37A1E5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《工业炉窑大气污染物排放标准》（GB9078-1996）表2和表4中标准要求</w:t>
                  </w:r>
                </w:p>
              </w:tc>
            </w:tr>
            <w:tr w14:paraId="5405DEF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5E25E0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64" w:type="pct"/>
                  <w:noWrap w:val="0"/>
                  <w:vAlign w:val="center"/>
                </w:tcPr>
                <w:p w14:paraId="5E7F51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装卸粉尘</w:t>
                  </w:r>
                </w:p>
              </w:tc>
              <w:tc>
                <w:tcPr>
                  <w:tcW w:w="957" w:type="pct"/>
                  <w:vMerge w:val="restart"/>
                  <w:noWrap w:val="0"/>
                  <w:vAlign w:val="center"/>
                </w:tcPr>
                <w:p w14:paraId="223F47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eastAsia="zh-CN"/>
                      <w14:textFill>
                        <w14:solidFill>
                          <w14:schemeClr w14:val="tx1"/>
                        </w14:solidFill>
                      </w14:textFill>
                    </w:rPr>
                    <w:t>颗粒物</w:t>
                  </w:r>
                </w:p>
              </w:tc>
              <w:tc>
                <w:tcPr>
                  <w:tcW w:w="1487" w:type="pct"/>
                  <w:noWrap w:val="0"/>
                  <w:vAlign w:val="center"/>
                </w:tcPr>
                <w:p w14:paraId="47B002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18"/>
                      <w:szCs w:val="18"/>
                      <w:highlight w:val="none"/>
                      <w:lang w:val="en-US" w:eastAsia="zh-CN" w:bidi="ar"/>
                      <w14:textFill>
                        <w14:solidFill>
                          <w14:schemeClr w14:val="tx1"/>
                        </w14:solidFill>
                      </w14:textFill>
                    </w:rPr>
                    <w:t>选用密闭性良好的设备，全封闭输送、原粮入仓采取封闭和减小装卸高度</w:t>
                  </w:r>
                </w:p>
              </w:tc>
              <w:tc>
                <w:tcPr>
                  <w:tcW w:w="1597" w:type="pct"/>
                  <w:vMerge w:val="restart"/>
                  <w:noWrap w:val="0"/>
                  <w:vAlign w:val="center"/>
                </w:tcPr>
                <w:p w14:paraId="16E300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大气污染物综合排放标准》</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GB16297</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1996</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14:textFill>
                        <w14:solidFill>
                          <w14:schemeClr w14:val="tx1"/>
                        </w14:solidFill>
                      </w14:textFill>
                    </w:rPr>
                    <w:t>中</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无组织</w:t>
                  </w:r>
                  <w:r>
                    <w:rPr>
                      <w:rFonts w:hint="default" w:ascii="Times New Roman" w:hAnsi="Times New Roman" w:eastAsia="宋体" w:cs="Times New Roman"/>
                      <w:color w:val="000000" w:themeColor="text1"/>
                      <w:sz w:val="18"/>
                      <w:szCs w:val="18"/>
                      <w:highlight w:val="none"/>
                      <w14:textFill>
                        <w14:solidFill>
                          <w14:schemeClr w14:val="tx1"/>
                        </w14:solidFill>
                      </w14:textFill>
                    </w:rPr>
                    <w:t>排放标准</w:t>
                  </w:r>
                </w:p>
              </w:tc>
            </w:tr>
            <w:tr w14:paraId="0B2763A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7DE18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64" w:type="pct"/>
                  <w:noWrap w:val="0"/>
                  <w:vAlign w:val="center"/>
                </w:tcPr>
                <w:p w14:paraId="09192B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筛分粉尘</w:t>
                  </w:r>
                </w:p>
              </w:tc>
              <w:tc>
                <w:tcPr>
                  <w:tcW w:w="957" w:type="pct"/>
                  <w:vMerge w:val="continue"/>
                  <w:noWrap w:val="0"/>
                  <w:vAlign w:val="center"/>
                </w:tcPr>
                <w:p w14:paraId="5471F89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487" w:type="pct"/>
                  <w:noWrap w:val="0"/>
                  <w:vAlign w:val="center"/>
                </w:tcPr>
                <w:p w14:paraId="5C5994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清粮采用全密闭</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处理后排放</w:t>
                  </w:r>
                </w:p>
              </w:tc>
              <w:tc>
                <w:tcPr>
                  <w:tcW w:w="1597" w:type="pct"/>
                  <w:vMerge w:val="continue"/>
                  <w:noWrap w:val="0"/>
                  <w:vAlign w:val="center"/>
                </w:tcPr>
                <w:p w14:paraId="25A60D03">
                  <w:pPr>
                    <w:pStyle w:val="7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r w14:paraId="597EF7B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65633F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64" w:type="pct"/>
                  <w:noWrap w:val="0"/>
                  <w:vAlign w:val="center"/>
                </w:tcPr>
                <w:p w14:paraId="2BEBF6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烘干粉尘</w:t>
                  </w:r>
                </w:p>
              </w:tc>
              <w:tc>
                <w:tcPr>
                  <w:tcW w:w="957" w:type="pct"/>
                  <w:vMerge w:val="continue"/>
                  <w:noWrap w:val="0"/>
                  <w:vAlign w:val="center"/>
                </w:tcPr>
                <w:p w14:paraId="354881F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487" w:type="pct"/>
                  <w:noWrap w:val="0"/>
                  <w:vAlign w:val="center"/>
                </w:tcPr>
                <w:p w14:paraId="29E838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烘干塔内部自带重力沉降室，烘干塔底部四周设置防尘挡板，粉尘受挡板格挡后受重力作用回落到烘干塔底部收尘设施中</w:t>
                  </w:r>
                </w:p>
              </w:tc>
              <w:tc>
                <w:tcPr>
                  <w:tcW w:w="1597" w:type="pct"/>
                  <w:vMerge w:val="continue"/>
                  <w:noWrap w:val="0"/>
                  <w:vAlign w:val="center"/>
                </w:tcPr>
                <w:p w14:paraId="0BB47B41">
                  <w:pPr>
                    <w:pStyle w:val="7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p>
              </w:tc>
            </w:tr>
            <w:tr w14:paraId="3F2D94C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6DDA8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64" w:type="pct"/>
                  <w:noWrap w:val="0"/>
                  <w:vAlign w:val="center"/>
                </w:tcPr>
                <w:p w14:paraId="6037DD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厂界</w:t>
                  </w:r>
                </w:p>
              </w:tc>
              <w:tc>
                <w:tcPr>
                  <w:tcW w:w="957" w:type="pct"/>
                  <w:noWrap w:val="0"/>
                  <w:vAlign w:val="center"/>
                </w:tcPr>
                <w:p w14:paraId="617415D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颗粒物</w:t>
                  </w:r>
                </w:p>
              </w:tc>
              <w:tc>
                <w:tcPr>
                  <w:tcW w:w="1487" w:type="pct"/>
                  <w:noWrap w:val="0"/>
                  <w:vAlign w:val="center"/>
                </w:tcPr>
                <w:p w14:paraId="1BAF3D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597" w:type="pct"/>
                  <w:vMerge w:val="continue"/>
                  <w:noWrap w:val="0"/>
                  <w:vAlign w:val="center"/>
                </w:tcPr>
                <w:p w14:paraId="2A3BF58B">
                  <w:pPr>
                    <w:pStyle w:val="7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p>
              </w:tc>
            </w:tr>
            <w:tr w14:paraId="7FBB27C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7A15D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64" w:type="pct"/>
                  <w:noWrap w:val="0"/>
                  <w:vAlign w:val="center"/>
                </w:tcPr>
                <w:p w14:paraId="7EA58F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热风炉房（热风炉）</w:t>
                  </w:r>
                </w:p>
              </w:tc>
              <w:tc>
                <w:tcPr>
                  <w:tcW w:w="957" w:type="pct"/>
                  <w:noWrap w:val="0"/>
                  <w:vAlign w:val="center"/>
                </w:tcPr>
                <w:p w14:paraId="78CE46B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颗粒物</w:t>
                  </w:r>
                </w:p>
              </w:tc>
              <w:tc>
                <w:tcPr>
                  <w:tcW w:w="1487" w:type="pct"/>
                  <w:noWrap w:val="0"/>
                  <w:vAlign w:val="center"/>
                </w:tcPr>
                <w:p w14:paraId="2897B0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洒水降尘</w:t>
                  </w:r>
                </w:p>
              </w:tc>
              <w:tc>
                <w:tcPr>
                  <w:tcW w:w="1597" w:type="pct"/>
                  <w:noWrap w:val="0"/>
                  <w:vAlign w:val="center"/>
                </w:tcPr>
                <w:p w14:paraId="6F2AE89A">
                  <w:pPr>
                    <w:pStyle w:val="7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《工业炉窑大气污染物排放标准》（GB9078-1996）中的表</w:t>
                  </w: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3中标准要求</w:t>
                  </w:r>
                </w:p>
              </w:tc>
            </w:tr>
            <w:tr w14:paraId="412172E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noWrap w:val="0"/>
                  <w:vAlign w:val="center"/>
                </w:tcPr>
                <w:p w14:paraId="5D55B7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废水</w:t>
                  </w:r>
                </w:p>
              </w:tc>
              <w:tc>
                <w:tcPr>
                  <w:tcW w:w="564" w:type="pct"/>
                  <w:noWrap w:val="0"/>
                  <w:vAlign w:val="center"/>
                </w:tcPr>
                <w:p w14:paraId="3CBAFB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生活污水</w:t>
                  </w:r>
                </w:p>
              </w:tc>
              <w:tc>
                <w:tcPr>
                  <w:tcW w:w="957" w:type="pct"/>
                  <w:noWrap w:val="0"/>
                  <w:vAlign w:val="center"/>
                </w:tcPr>
                <w:p w14:paraId="3CCF6E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COD、BOD5、SS、氨氮</w:t>
                  </w:r>
                </w:p>
              </w:tc>
              <w:tc>
                <w:tcPr>
                  <w:tcW w:w="1487" w:type="pct"/>
                  <w:noWrap w:val="0"/>
                  <w:vAlign w:val="center"/>
                </w:tcPr>
                <w:p w14:paraId="25AFDE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排入防渗旱厕，定期清掏，外运堆肥，不外排。</w:t>
                  </w:r>
                </w:p>
              </w:tc>
              <w:tc>
                <w:tcPr>
                  <w:tcW w:w="1597" w:type="pct"/>
                  <w:noWrap w:val="0"/>
                  <w:vAlign w:val="center"/>
                </w:tcPr>
                <w:p w14:paraId="30039A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r>
            <w:tr w14:paraId="3C30BAF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noWrap w:val="0"/>
                  <w:vAlign w:val="center"/>
                </w:tcPr>
                <w:p w14:paraId="4F3FCE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噪声</w:t>
                  </w:r>
                </w:p>
              </w:tc>
              <w:tc>
                <w:tcPr>
                  <w:tcW w:w="564" w:type="pct"/>
                  <w:noWrap w:val="0"/>
                  <w:vAlign w:val="center"/>
                </w:tcPr>
                <w:p w14:paraId="60E720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21"/>
                      <w:sz w:val="18"/>
                      <w:szCs w:val="18"/>
                      <w:highlight w:val="none"/>
                      <w14:textFill>
                        <w14:solidFill>
                          <w14:schemeClr w14:val="tx1"/>
                        </w14:solidFill>
                      </w14:textFill>
                    </w:rPr>
                    <w:t>设备运行</w:t>
                  </w:r>
                </w:p>
              </w:tc>
              <w:tc>
                <w:tcPr>
                  <w:tcW w:w="957" w:type="pct"/>
                  <w:noWrap w:val="0"/>
                  <w:vAlign w:val="center"/>
                </w:tcPr>
                <w:p w14:paraId="6F94BF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21"/>
                      <w:sz w:val="18"/>
                      <w:szCs w:val="18"/>
                      <w:highlight w:val="none"/>
                      <w:lang w:val="en-US" w:eastAsia="zh-CN"/>
                      <w14:textFill>
                        <w14:solidFill>
                          <w14:schemeClr w14:val="tx1"/>
                        </w14:solidFill>
                      </w14:textFill>
                    </w:rPr>
                    <w:t>噪声</w:t>
                  </w:r>
                </w:p>
              </w:tc>
              <w:tc>
                <w:tcPr>
                  <w:tcW w:w="1487" w:type="pct"/>
                  <w:noWrap w:val="0"/>
                  <w:vAlign w:val="center"/>
                </w:tcPr>
                <w:p w14:paraId="60BE1B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选取低噪声设备，采取减振、隔声</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等措施</w:t>
                  </w:r>
                </w:p>
              </w:tc>
              <w:tc>
                <w:tcPr>
                  <w:tcW w:w="1597" w:type="pct"/>
                  <w:noWrap w:val="0"/>
                  <w:vAlign w:val="center"/>
                </w:tcPr>
                <w:p w14:paraId="20C339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《工业企业厂界环境噪声排放标准》(GB12348-2008)表1中2类</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标准</w:t>
                  </w:r>
                </w:p>
              </w:tc>
            </w:tr>
            <w:tr w14:paraId="062B97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392" w:type="pct"/>
                  <w:vMerge w:val="restart"/>
                  <w:noWrap w:val="0"/>
                  <w:vAlign w:val="center"/>
                </w:tcPr>
                <w:p w14:paraId="45BC4F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固废</w:t>
                  </w:r>
                </w:p>
              </w:tc>
              <w:tc>
                <w:tcPr>
                  <w:tcW w:w="1522" w:type="pct"/>
                  <w:gridSpan w:val="2"/>
                  <w:tcBorders>
                    <w:top w:val="single" w:color="auto" w:sz="4" w:space="0"/>
                  </w:tcBorders>
                  <w:noWrap w:val="0"/>
                  <w:vAlign w:val="center"/>
                </w:tcPr>
                <w:p w14:paraId="6067DBCD">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生活垃圾</w:t>
                  </w:r>
                </w:p>
              </w:tc>
              <w:tc>
                <w:tcPr>
                  <w:tcW w:w="1487" w:type="pct"/>
                  <w:tcBorders>
                    <w:top w:val="single" w:color="auto" w:sz="4" w:space="0"/>
                  </w:tcBorders>
                  <w:noWrap w:val="0"/>
                  <w:vAlign w:val="center"/>
                </w:tcPr>
                <w:p w14:paraId="4FC6DE75">
                  <w:pPr>
                    <w:pStyle w:val="130"/>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交由市政部门统一处理</w:t>
                  </w:r>
                </w:p>
              </w:tc>
              <w:tc>
                <w:tcPr>
                  <w:tcW w:w="1597" w:type="pct"/>
                  <w:vMerge w:val="restart"/>
                  <w:noWrap w:val="0"/>
                  <w:vAlign w:val="center"/>
                </w:tcPr>
                <w:p w14:paraId="169CC4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处置率100%</w:t>
                  </w:r>
                </w:p>
              </w:tc>
            </w:tr>
            <w:tr w14:paraId="1C30746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392" w:type="pct"/>
                  <w:vMerge w:val="continue"/>
                  <w:noWrap w:val="0"/>
                  <w:vAlign w:val="center"/>
                </w:tcPr>
                <w:p w14:paraId="22ADB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522" w:type="pct"/>
                  <w:gridSpan w:val="2"/>
                  <w:tcBorders>
                    <w:top w:val="single" w:color="auto" w:sz="4" w:space="0"/>
                  </w:tcBorders>
                  <w:noWrap w:val="0"/>
                  <w:vAlign w:val="center"/>
                </w:tcPr>
                <w:p w14:paraId="278BF165">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snapToGrid w:val="0"/>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热风炉炉渣</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除尘器回收粉尘</w:t>
                  </w:r>
                </w:p>
              </w:tc>
              <w:tc>
                <w:tcPr>
                  <w:tcW w:w="1487" w:type="pct"/>
                  <w:tcBorders>
                    <w:top w:val="single" w:color="auto" w:sz="4" w:space="0"/>
                  </w:tcBorders>
                  <w:noWrap w:val="0"/>
                  <w:vAlign w:val="center"/>
                </w:tcPr>
                <w:p w14:paraId="5CFE979A">
                  <w:pPr>
                    <w:pStyle w:val="130"/>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外售</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综合利用</w:t>
                  </w:r>
                </w:p>
              </w:tc>
              <w:tc>
                <w:tcPr>
                  <w:tcW w:w="1597" w:type="pct"/>
                  <w:vMerge w:val="continue"/>
                  <w:noWrap w:val="0"/>
                  <w:vAlign w:val="center"/>
                </w:tcPr>
                <w:p w14:paraId="207B9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r>
            <w:tr w14:paraId="15F835E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662F0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522" w:type="pct"/>
                  <w:gridSpan w:val="2"/>
                  <w:noWrap w:val="0"/>
                  <w:vAlign w:val="center"/>
                </w:tcPr>
                <w:p w14:paraId="53C361F9">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废布袋</w:t>
                  </w:r>
                </w:p>
              </w:tc>
              <w:tc>
                <w:tcPr>
                  <w:tcW w:w="1487" w:type="pct"/>
                  <w:noWrap w:val="0"/>
                  <w:vAlign w:val="center"/>
                </w:tcPr>
                <w:p w14:paraId="79054E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由除尘器厂家更换直接带走</w:t>
                  </w:r>
                </w:p>
              </w:tc>
              <w:tc>
                <w:tcPr>
                  <w:tcW w:w="1597" w:type="pct"/>
                  <w:vMerge w:val="continue"/>
                  <w:noWrap w:val="0"/>
                  <w:vAlign w:val="center"/>
                </w:tcPr>
                <w:p w14:paraId="3FD80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r w14:paraId="0A9037F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3ACA7B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522" w:type="pct"/>
                  <w:gridSpan w:val="2"/>
                  <w:noWrap w:val="0"/>
                  <w:vAlign w:val="center"/>
                </w:tcPr>
                <w:p w14:paraId="3C9989D7">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snapToGrid w:val="0"/>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初清杂质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及输送装卸、筛分、烘干</w:t>
                  </w:r>
                  <w:r>
                    <w:rPr>
                      <w:rFonts w:hint="default" w:ascii="Times New Roman" w:hAnsi="Times New Roman" w:eastAsia="宋体" w:cs="Times New Roman"/>
                      <w:color w:val="000000" w:themeColor="text1"/>
                      <w:sz w:val="18"/>
                      <w:szCs w:val="18"/>
                      <w:highlight w:val="none"/>
                      <w14:textFill>
                        <w14:solidFill>
                          <w14:schemeClr w14:val="tx1"/>
                        </w14:solidFill>
                      </w14:textFill>
                    </w:rPr>
                    <w:t>粉尘</w:t>
                  </w:r>
                </w:p>
              </w:tc>
              <w:tc>
                <w:tcPr>
                  <w:tcW w:w="1487" w:type="pct"/>
                  <w:noWrap w:val="0"/>
                  <w:vAlign w:val="center"/>
                </w:tcPr>
                <w:p w14:paraId="48A95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初清、输送装卸、筛分产生杂质外售砖厂综合利用，筛分过程产生劣质粮、烘干粉尘外售饲料厂家综合利用</w:t>
                  </w:r>
                </w:p>
              </w:tc>
              <w:tc>
                <w:tcPr>
                  <w:tcW w:w="1597" w:type="pct"/>
                  <w:vMerge w:val="continue"/>
                  <w:noWrap w:val="0"/>
                  <w:vAlign w:val="center"/>
                </w:tcPr>
                <w:p w14:paraId="492773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r w14:paraId="6272235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62E9F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522" w:type="pct"/>
                  <w:gridSpan w:val="2"/>
                  <w:noWrap w:val="0"/>
                  <w:vAlign w:val="center"/>
                </w:tcPr>
                <w:p w14:paraId="709F98E0">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废机油，废弃含油抹布手套</w:t>
                  </w:r>
                </w:p>
              </w:tc>
              <w:tc>
                <w:tcPr>
                  <w:tcW w:w="1487" w:type="pct"/>
                  <w:noWrap w:val="0"/>
                  <w:vAlign w:val="center"/>
                </w:tcPr>
                <w:p w14:paraId="7A24F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委托有资质单位处理</w:t>
                  </w:r>
                </w:p>
              </w:tc>
              <w:tc>
                <w:tcPr>
                  <w:tcW w:w="1597" w:type="pct"/>
                  <w:vMerge w:val="continue"/>
                  <w:noWrap w:val="0"/>
                  <w:vAlign w:val="center"/>
                </w:tcPr>
                <w:p w14:paraId="689A79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r w14:paraId="5033897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noWrap w:val="0"/>
                  <w:vAlign w:val="center"/>
                </w:tcPr>
                <w:p w14:paraId="36F3E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地下水</w:t>
                  </w:r>
                </w:p>
              </w:tc>
              <w:tc>
                <w:tcPr>
                  <w:tcW w:w="4607" w:type="pct"/>
                  <w:gridSpan w:val="4"/>
                  <w:noWrap w:val="0"/>
                  <w:vAlign w:val="center"/>
                </w:tcPr>
                <w:p w14:paraId="677DA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本项目危险废物贮存点采取重点防渗，</w:t>
                  </w:r>
                  <w:r>
                    <w:rPr>
                      <w:rFonts w:hint="eastAsia" w:cs="Times New Roman"/>
                      <w:color w:val="000000" w:themeColor="text1"/>
                      <w:sz w:val="18"/>
                      <w:szCs w:val="18"/>
                      <w:highlight w:val="none"/>
                      <w:lang w:val="en-US" w:eastAsia="zh-CN"/>
                      <w14:textFill>
                        <w14:solidFill>
                          <w14:schemeClr w14:val="tx1"/>
                        </w14:solidFill>
                      </w14:textFill>
                    </w:rPr>
                    <w:t>采用至少2mm厚的防渗人工材料，防渗系数≤10</w:t>
                  </w:r>
                  <w:r>
                    <w:rPr>
                      <w:rFonts w:hint="eastAsia" w:cs="Times New Roman"/>
                      <w:color w:val="000000" w:themeColor="text1"/>
                      <w:sz w:val="18"/>
                      <w:szCs w:val="18"/>
                      <w:highlight w:val="none"/>
                      <w:vertAlign w:val="superscript"/>
                      <w:lang w:val="en-US" w:eastAsia="zh-CN"/>
                      <w14:textFill>
                        <w14:solidFill>
                          <w14:schemeClr w14:val="tx1"/>
                        </w14:solidFill>
                      </w14:textFill>
                    </w:rPr>
                    <w:t>-10</w:t>
                  </w:r>
                  <w:r>
                    <w:rPr>
                      <w:rFonts w:hint="eastAsia" w:cs="Times New Roman"/>
                      <w:color w:val="000000" w:themeColor="text1"/>
                      <w:sz w:val="18"/>
                      <w:szCs w:val="18"/>
                      <w:highlight w:val="none"/>
                      <w:lang w:val="en-US" w:eastAsia="zh-CN"/>
                      <w14:textFill>
                        <w14:solidFill>
                          <w14:schemeClr w14:val="tx1"/>
                        </w14:solidFill>
                      </w14:textFill>
                    </w:rPr>
                    <w:t>cm/s，地面与裙脚表面防渗处理，防渗旱厕采取一般防渗（等效黏土防渗层Mb≥1.5m，渗透系数≤10</w:t>
                  </w:r>
                  <w:r>
                    <w:rPr>
                      <w:rFonts w:hint="eastAsia" w:cs="Times New Roman"/>
                      <w:color w:val="000000" w:themeColor="text1"/>
                      <w:sz w:val="18"/>
                      <w:szCs w:val="18"/>
                      <w:highlight w:val="none"/>
                      <w:vertAlign w:val="superscript"/>
                      <w:lang w:val="en-US" w:eastAsia="zh-CN"/>
                      <w14:textFill>
                        <w14:solidFill>
                          <w14:schemeClr w14:val="tx1"/>
                        </w14:solidFill>
                      </w14:textFill>
                    </w:rPr>
                    <w:t>-7</w:t>
                  </w:r>
                  <w:r>
                    <w:rPr>
                      <w:rFonts w:hint="eastAsia" w:cs="Times New Roman"/>
                      <w:color w:val="000000" w:themeColor="text1"/>
                      <w:sz w:val="18"/>
                      <w:szCs w:val="18"/>
                      <w:highlight w:val="none"/>
                      <w:lang w:val="en-US" w:eastAsia="zh-CN"/>
                      <w14:textFill>
                        <w14:solidFill>
                          <w14:schemeClr w14:val="tx1"/>
                        </w14:solidFill>
                      </w14:textFill>
                    </w:rPr>
                    <w:t>cm/s），</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不存在土壤、地下水环境污染途径。</w:t>
                  </w:r>
                </w:p>
              </w:tc>
            </w:tr>
          </w:tbl>
          <w:p w14:paraId="4221520D">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bCs/>
                <w:color w:val="000000" w:themeColor="text1"/>
                <w:spacing w:val="-10"/>
                <w:szCs w:val="21"/>
                <w:highlight w:val="none"/>
                <w:lang w:val="en-US" w:eastAsia="zh-CN"/>
                <w14:textFill>
                  <w14:solidFill>
                    <w14:schemeClr w14:val="tx1"/>
                  </w14:solidFill>
                </w14:textFill>
              </w:rPr>
            </w:pPr>
          </w:p>
        </w:tc>
      </w:tr>
    </w:tbl>
    <w:p w14:paraId="23A186CF">
      <w:pPr>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br w:type="page"/>
      </w:r>
    </w:p>
    <w:p w14:paraId="36975FA7">
      <w:pPr>
        <w:pStyle w:val="28"/>
        <w:spacing w:before="0" w:beforeAutospacing="0" w:after="158" w:afterLines="50" w:afterAutospacing="0"/>
        <w:jc w:val="center"/>
        <w:outlineLvl w:val="0"/>
        <w:rPr>
          <w:rFonts w:hint="default" w:ascii="Times New Roman" w:hAnsi="Times New Roman" w:eastAsia="宋体" w:cs="Times New Roman"/>
          <w:snapToGrid w:val="0"/>
          <w:color w:val="000000" w:themeColor="text1"/>
          <w:kern w:val="21"/>
          <w:sz w:val="30"/>
          <w:szCs w:val="30"/>
          <w:highlight w:val="none"/>
          <w:lang w:eastAsia="zh-CN"/>
          <w14:textFill>
            <w14:solidFill>
              <w14:schemeClr w14:val="tx1"/>
            </w14:solidFill>
          </w14:textFill>
        </w:rPr>
      </w:pPr>
      <w:bookmarkStart w:id="10" w:name="_Toc21713"/>
      <w:r>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t>五、</w:t>
      </w:r>
      <w:bookmarkStart w:id="11" w:name="_Hlk54167917"/>
      <w:r>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t>环境保护措施监督检查清单</w:t>
      </w:r>
      <w:bookmarkEnd w:id="10"/>
      <w:bookmarkEnd w:id="11"/>
    </w:p>
    <w:tbl>
      <w:tblPr>
        <w:tblStyle w:val="34"/>
        <w:tblW w:w="503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498"/>
        <w:gridCol w:w="1459"/>
        <w:gridCol w:w="1677"/>
        <w:gridCol w:w="1891"/>
        <w:gridCol w:w="2546"/>
      </w:tblGrid>
      <w:tr w14:paraId="0F58A2E6">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tcBorders>
              <w:tl2br w:val="single" w:color="auto" w:sz="4" w:space="0"/>
            </w:tcBorders>
            <w:vAlign w:val="center"/>
          </w:tcPr>
          <w:p w14:paraId="50BA25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right"/>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内容</w:t>
            </w:r>
          </w:p>
          <w:p w14:paraId="5963FF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p>
          <w:p w14:paraId="3AC79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要素</w:t>
            </w:r>
          </w:p>
        </w:tc>
        <w:tc>
          <w:tcPr>
            <w:tcW w:w="804" w:type="pct"/>
            <w:vAlign w:val="center"/>
          </w:tcPr>
          <w:p w14:paraId="41E047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排放口（编号、名称）/污染源</w:t>
            </w:r>
          </w:p>
        </w:tc>
        <w:tc>
          <w:tcPr>
            <w:tcW w:w="924" w:type="pct"/>
            <w:vAlign w:val="center"/>
          </w:tcPr>
          <w:p w14:paraId="5D1CC4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污染物项目</w:t>
            </w:r>
          </w:p>
        </w:tc>
        <w:tc>
          <w:tcPr>
            <w:tcW w:w="1042" w:type="pct"/>
            <w:vAlign w:val="center"/>
          </w:tcPr>
          <w:p w14:paraId="268A4E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环境保护措施</w:t>
            </w:r>
          </w:p>
        </w:tc>
        <w:tc>
          <w:tcPr>
            <w:tcW w:w="1403" w:type="pct"/>
            <w:vAlign w:val="center"/>
          </w:tcPr>
          <w:p w14:paraId="5B8C48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执行标准</w:t>
            </w:r>
          </w:p>
        </w:tc>
      </w:tr>
      <w:tr w14:paraId="206BAB75">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restart"/>
            <w:vAlign w:val="center"/>
          </w:tcPr>
          <w:p w14:paraId="4837F2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大气环境</w:t>
            </w:r>
          </w:p>
        </w:tc>
        <w:tc>
          <w:tcPr>
            <w:tcW w:w="804" w:type="pct"/>
            <w:vAlign w:val="center"/>
          </w:tcPr>
          <w:p w14:paraId="5074AD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热风炉烟囱（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DA001</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924" w:type="pct"/>
            <w:vAlign w:val="center"/>
          </w:tcPr>
          <w:p w14:paraId="2A834ED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、烟气黑度、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氮氧化物</w:t>
            </w:r>
          </w:p>
        </w:tc>
        <w:tc>
          <w:tcPr>
            <w:tcW w:w="1042" w:type="pct"/>
            <w:vAlign w:val="center"/>
          </w:tcPr>
          <w:p w14:paraId="5608DD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布袋除尘器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t>m高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烟囱设置永久采样、监测孔</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403" w:type="pct"/>
            <w:vAlign w:val="center"/>
          </w:tcPr>
          <w:p w14:paraId="375BE8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《工业炉窑大气污染物排放标准》（GB9078-1996）表2和表4中标准要求</w:t>
            </w:r>
          </w:p>
        </w:tc>
      </w:tr>
      <w:tr w14:paraId="6BCF165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vAlign w:val="center"/>
          </w:tcPr>
          <w:p w14:paraId="498077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804" w:type="pct"/>
            <w:vAlign w:val="center"/>
          </w:tcPr>
          <w:p w14:paraId="61C457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装卸粉尘</w:t>
            </w:r>
          </w:p>
        </w:tc>
        <w:tc>
          <w:tcPr>
            <w:tcW w:w="924" w:type="pct"/>
            <w:vMerge w:val="restart"/>
            <w:vAlign w:val="center"/>
          </w:tcPr>
          <w:p w14:paraId="07504D5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颗粒物</w:t>
            </w:r>
          </w:p>
        </w:tc>
        <w:tc>
          <w:tcPr>
            <w:tcW w:w="1042" w:type="pct"/>
            <w:vAlign w:val="center"/>
          </w:tcPr>
          <w:p w14:paraId="233CA4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选用密闭性良好的设备，全封闭输送、原粮入仓采取封闭和减小装卸高度</w:t>
            </w:r>
          </w:p>
        </w:tc>
        <w:tc>
          <w:tcPr>
            <w:tcW w:w="1403" w:type="pct"/>
            <w:vMerge w:val="restart"/>
            <w:vAlign w:val="center"/>
          </w:tcPr>
          <w:p w14:paraId="744A2D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大气污染物综合排放标准》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GB16297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1996</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中</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无组织</w:t>
            </w:r>
            <w:r>
              <w:rPr>
                <w:rFonts w:hint="default" w:ascii="Times New Roman" w:hAnsi="Times New Roman" w:eastAsia="宋体" w:cs="Times New Roman"/>
                <w:color w:val="000000" w:themeColor="text1"/>
                <w:sz w:val="21"/>
                <w:szCs w:val="21"/>
                <w:highlight w:val="none"/>
                <w14:textFill>
                  <w14:solidFill>
                    <w14:schemeClr w14:val="tx1"/>
                  </w14:solidFill>
                </w14:textFill>
              </w:rPr>
              <w:t>排放标准</w:t>
            </w:r>
          </w:p>
        </w:tc>
      </w:tr>
      <w:tr w14:paraId="46B74754">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vAlign w:val="center"/>
          </w:tcPr>
          <w:p w14:paraId="7CB41A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804" w:type="pct"/>
            <w:vAlign w:val="center"/>
          </w:tcPr>
          <w:p w14:paraId="62C9C3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筛分粉尘</w:t>
            </w:r>
          </w:p>
        </w:tc>
        <w:tc>
          <w:tcPr>
            <w:tcW w:w="924" w:type="pct"/>
            <w:vMerge w:val="continue"/>
            <w:vAlign w:val="center"/>
          </w:tcPr>
          <w:p w14:paraId="4D3F6EE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1042" w:type="pct"/>
            <w:vAlign w:val="center"/>
          </w:tcPr>
          <w:p w14:paraId="2C4C28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清粮采用全密闭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处理后排放</w:t>
            </w:r>
          </w:p>
        </w:tc>
        <w:tc>
          <w:tcPr>
            <w:tcW w:w="1403" w:type="pct"/>
            <w:vMerge w:val="continue"/>
            <w:vAlign w:val="center"/>
          </w:tcPr>
          <w:p w14:paraId="2F7724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7752DF2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vAlign w:val="center"/>
          </w:tcPr>
          <w:p w14:paraId="08D4F9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804" w:type="pct"/>
            <w:vAlign w:val="center"/>
          </w:tcPr>
          <w:p w14:paraId="1ADEA8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烘干粉尘</w:t>
            </w:r>
          </w:p>
        </w:tc>
        <w:tc>
          <w:tcPr>
            <w:tcW w:w="924" w:type="pct"/>
            <w:vMerge w:val="continue"/>
            <w:vAlign w:val="center"/>
          </w:tcPr>
          <w:p w14:paraId="4770A55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42" w:type="pct"/>
            <w:vAlign w:val="center"/>
          </w:tcPr>
          <w:p w14:paraId="47BF88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烘干塔内部自带重力沉降室，烘干塔底部四周设置防尘挡板，粉尘受挡板格挡后受重力作用回落到烘干塔底部收尘设施中</w:t>
            </w:r>
          </w:p>
        </w:tc>
        <w:tc>
          <w:tcPr>
            <w:tcW w:w="1403" w:type="pct"/>
            <w:vMerge w:val="continue"/>
            <w:vAlign w:val="center"/>
          </w:tcPr>
          <w:p w14:paraId="118C2E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BE65E75">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vAlign w:val="center"/>
          </w:tcPr>
          <w:p w14:paraId="1BEA9C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804" w:type="pct"/>
            <w:vAlign w:val="center"/>
          </w:tcPr>
          <w:p w14:paraId="359EA3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p>
        </w:tc>
        <w:tc>
          <w:tcPr>
            <w:tcW w:w="924" w:type="pct"/>
            <w:vAlign w:val="center"/>
          </w:tcPr>
          <w:p w14:paraId="2A0DEA2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42" w:type="pct"/>
            <w:vAlign w:val="center"/>
          </w:tcPr>
          <w:p w14:paraId="653FF8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403" w:type="pct"/>
            <w:vMerge w:val="continue"/>
            <w:vAlign w:val="center"/>
          </w:tcPr>
          <w:p w14:paraId="7A5897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20037BB">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vAlign w:val="center"/>
          </w:tcPr>
          <w:p w14:paraId="43A25F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804" w:type="pct"/>
            <w:vAlign w:val="center"/>
          </w:tcPr>
          <w:p w14:paraId="374BAB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（热风炉）</w:t>
            </w:r>
          </w:p>
        </w:tc>
        <w:tc>
          <w:tcPr>
            <w:tcW w:w="924" w:type="pct"/>
            <w:vAlign w:val="center"/>
          </w:tcPr>
          <w:p w14:paraId="2782CE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42" w:type="pct"/>
            <w:vAlign w:val="center"/>
          </w:tcPr>
          <w:p w14:paraId="7440FE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洒水降尘</w:t>
            </w:r>
          </w:p>
        </w:tc>
        <w:tc>
          <w:tcPr>
            <w:tcW w:w="1403" w:type="pct"/>
            <w:vAlign w:val="center"/>
          </w:tcPr>
          <w:p w14:paraId="2E5FA3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《工业炉窑大气污染物排放标准》（GB9078-1996）中的表</w:t>
            </w: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3中标准要求</w:t>
            </w:r>
          </w:p>
        </w:tc>
      </w:tr>
      <w:tr w14:paraId="766E77B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789F54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地表水环境</w:t>
            </w:r>
          </w:p>
        </w:tc>
        <w:tc>
          <w:tcPr>
            <w:tcW w:w="1459" w:type="dxa"/>
            <w:vAlign w:val="center"/>
          </w:tcPr>
          <w:p w14:paraId="60C6C0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1677" w:type="dxa"/>
            <w:vAlign w:val="center"/>
          </w:tcPr>
          <w:p w14:paraId="174A0879">
            <w:pPr>
              <w:pStyle w:val="107"/>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BOD</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SS、氨氮</w:t>
            </w:r>
          </w:p>
        </w:tc>
        <w:tc>
          <w:tcPr>
            <w:tcW w:w="1891" w:type="dxa"/>
            <w:vAlign w:val="center"/>
          </w:tcPr>
          <w:p w14:paraId="4511236C">
            <w:pPr>
              <w:pStyle w:val="107"/>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排入</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防渗旱厕</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，定期清掏，外运堆肥，不外排。</w:t>
            </w:r>
          </w:p>
        </w:tc>
        <w:tc>
          <w:tcPr>
            <w:tcW w:w="2546" w:type="dxa"/>
            <w:vAlign w:val="center"/>
          </w:tcPr>
          <w:p w14:paraId="53E8E5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549052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52F718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地下水及土壤环境</w:t>
            </w:r>
          </w:p>
        </w:tc>
        <w:tc>
          <w:tcPr>
            <w:tcW w:w="804" w:type="pct"/>
            <w:vAlign w:val="center"/>
          </w:tcPr>
          <w:p w14:paraId="47F982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924" w:type="pct"/>
            <w:vAlign w:val="center"/>
          </w:tcPr>
          <w:p w14:paraId="2B9302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1042" w:type="pct"/>
            <w:vAlign w:val="center"/>
          </w:tcPr>
          <w:p w14:paraId="5B4673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1403" w:type="pct"/>
            <w:vAlign w:val="center"/>
          </w:tcPr>
          <w:p w14:paraId="577F88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r>
      <w:tr w14:paraId="34AB267F">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074394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声环境</w:t>
            </w:r>
          </w:p>
        </w:tc>
        <w:tc>
          <w:tcPr>
            <w:tcW w:w="804" w:type="pct"/>
            <w:vAlign w:val="center"/>
          </w:tcPr>
          <w:p w14:paraId="0E590C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设备运行</w:t>
            </w:r>
          </w:p>
        </w:tc>
        <w:tc>
          <w:tcPr>
            <w:tcW w:w="924" w:type="pct"/>
            <w:vAlign w:val="center"/>
          </w:tcPr>
          <w:p w14:paraId="726378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噪声</w:t>
            </w:r>
          </w:p>
        </w:tc>
        <w:tc>
          <w:tcPr>
            <w:tcW w:w="1042" w:type="pct"/>
            <w:vAlign w:val="center"/>
          </w:tcPr>
          <w:p w14:paraId="0846CB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选取低噪声设备，采取减振、隔声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等措施</w:t>
            </w:r>
          </w:p>
        </w:tc>
        <w:tc>
          <w:tcPr>
            <w:tcW w:w="1403" w:type="pct"/>
            <w:vAlign w:val="center"/>
          </w:tcPr>
          <w:p w14:paraId="109D38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《工业企业厂界环境噪声排放标准》(GB12348-2008)表1中2类</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标准</w:t>
            </w:r>
          </w:p>
        </w:tc>
      </w:tr>
      <w:tr w14:paraId="30FD92FA">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0E54F3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电磁辐射</w:t>
            </w:r>
          </w:p>
        </w:tc>
        <w:tc>
          <w:tcPr>
            <w:tcW w:w="804" w:type="pct"/>
            <w:vAlign w:val="center"/>
          </w:tcPr>
          <w:p w14:paraId="7CB681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924" w:type="pct"/>
            <w:vAlign w:val="center"/>
          </w:tcPr>
          <w:p w14:paraId="3C6AAD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1042" w:type="pct"/>
            <w:vAlign w:val="center"/>
          </w:tcPr>
          <w:p w14:paraId="5B139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1403" w:type="pct"/>
            <w:vAlign w:val="center"/>
          </w:tcPr>
          <w:p w14:paraId="7570C4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r>
      <w:tr w14:paraId="16A6E93E">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504144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固体废物</w:t>
            </w:r>
          </w:p>
        </w:tc>
        <w:tc>
          <w:tcPr>
            <w:tcW w:w="4174" w:type="pct"/>
            <w:gridSpan w:val="4"/>
            <w:vAlign w:val="center"/>
          </w:tcPr>
          <w:p w14:paraId="5E0BE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本项目生活垃圾交由市政部门统一处理；热风炉</w:t>
            </w:r>
            <w:r>
              <w:rPr>
                <w:rFonts w:hint="default" w:ascii="Times New Roman" w:hAnsi="Times New Roman" w:eastAsia="宋体" w:cs="Times New Roman"/>
                <w:color w:val="000000" w:themeColor="text1"/>
                <w:highlight w:val="none"/>
                <w14:textFill>
                  <w14:solidFill>
                    <w14:schemeClr w14:val="tx1"/>
                  </w14:solidFill>
                </w14:textFill>
              </w:rPr>
              <w:t>布袋除尘器收尘</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highlight w:val="none"/>
                <w14:textFill>
                  <w14:solidFill>
                    <w14:schemeClr w14:val="tx1"/>
                  </w14:solidFill>
                </w14:textFill>
              </w:rPr>
              <w:t>热风炉炉渣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集中收集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袋装存储于灰渣间，每10天清运1次，不在厂区长期储存，外售肥料厂家综合利用</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废布袋，</w:t>
            </w:r>
            <w:r>
              <w:rPr>
                <w:rFonts w:hint="default" w:ascii="Times New Roman" w:hAnsi="Times New Roman" w:eastAsia="宋体" w:cs="Times New Roman"/>
                <w:color w:val="000000" w:themeColor="text1"/>
                <w:sz w:val="21"/>
                <w:szCs w:val="21"/>
                <w:highlight w:val="none"/>
                <w14:textFill>
                  <w14:solidFill>
                    <w14:schemeClr w14:val="tx1"/>
                  </w14:solidFill>
                </w14:textFill>
              </w:rPr>
              <w:t>由除尘器厂家更换后直接带走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；初清、输送装卸、筛分产生杂质外售砖厂综合利用，筛分过程产生劣质粮、烘干粉尘外售饲料厂家综合利用；</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废机油，废弃含油抹布手套暂存危废贮存点，定期委托有资质单位处理</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0D5B42D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2AB26A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土壤及地下水污染防治措施</w:t>
            </w:r>
          </w:p>
        </w:tc>
        <w:tc>
          <w:tcPr>
            <w:tcW w:w="4174" w:type="pct"/>
            <w:gridSpan w:val="4"/>
            <w:vAlign w:val="center"/>
          </w:tcPr>
          <w:p w14:paraId="2579FB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本项目危险废物贮存点采取重点防渗，</w:t>
            </w:r>
            <w:r>
              <w:rPr>
                <w:rFonts w:hint="eastAsia" w:cs="Times New Roman"/>
                <w:color w:val="000000" w:themeColor="text1"/>
                <w:kern w:val="21"/>
                <w:sz w:val="21"/>
                <w:szCs w:val="21"/>
                <w:highlight w:val="none"/>
                <w:lang w:val="en-US" w:eastAsia="zh-CN"/>
                <w14:textFill>
                  <w14:solidFill>
                    <w14:schemeClr w14:val="tx1"/>
                  </w14:solidFill>
                </w14:textFill>
              </w:rPr>
              <w:t>采用至少2mm厚的防渗人工材料，防渗系数≤10</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-10</w:t>
            </w:r>
            <w:r>
              <w:rPr>
                <w:rFonts w:hint="eastAsia" w:cs="Times New Roman"/>
                <w:color w:val="000000" w:themeColor="text1"/>
                <w:kern w:val="21"/>
                <w:sz w:val="21"/>
                <w:szCs w:val="21"/>
                <w:highlight w:val="none"/>
                <w:lang w:val="en-US" w:eastAsia="zh-CN"/>
                <w14:textFill>
                  <w14:solidFill>
                    <w14:schemeClr w14:val="tx1"/>
                  </w14:solidFill>
                </w14:textFill>
              </w:rPr>
              <w:t>cm/s，地面与裙脚表面防渗处理</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，防渗旱厕采取一般防渗（等效黏土防渗层Mb≥1.5m，渗透系数≤10</w:t>
            </w:r>
            <w:r>
              <w:rPr>
                <w:rFonts w:hint="eastAsia" w:ascii="Times New Roman" w:hAnsi="Times New Roman" w:eastAsia="宋体" w:cs="Times New Roman"/>
                <w:color w:val="000000" w:themeColor="text1"/>
                <w:kern w:val="21"/>
                <w:sz w:val="21"/>
                <w:szCs w:val="21"/>
                <w:highlight w:val="none"/>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cm/s），</w:t>
            </w: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厂区内其他区域采取简单防渗，采用水泥硬化。</w:t>
            </w:r>
          </w:p>
        </w:tc>
      </w:tr>
      <w:tr w14:paraId="5507A6C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3BF9F3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生态保护措施</w:t>
            </w:r>
          </w:p>
        </w:tc>
        <w:tc>
          <w:tcPr>
            <w:tcW w:w="4174" w:type="pct"/>
            <w:gridSpan w:val="4"/>
            <w:vAlign w:val="center"/>
          </w:tcPr>
          <w:p w14:paraId="269CCE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w:t>
            </w:r>
          </w:p>
        </w:tc>
      </w:tr>
      <w:tr w14:paraId="54D420AF">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1722EC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环境风险防范措施</w:t>
            </w:r>
          </w:p>
        </w:tc>
        <w:tc>
          <w:tcPr>
            <w:tcW w:w="4174" w:type="pct"/>
            <w:gridSpan w:val="4"/>
            <w:vAlign w:val="center"/>
          </w:tcPr>
          <w:p w14:paraId="67C379AB">
            <w:pPr>
              <w:pStyle w:val="8"/>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1、组织人员定期巡查；2、设置安全警示标识及公告栏；3、建立台账</w:t>
            </w:r>
          </w:p>
        </w:tc>
      </w:tr>
      <w:tr w14:paraId="7369BF34">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742" w:hRule="atLeast"/>
          <w:jc w:val="center"/>
        </w:trPr>
        <w:tc>
          <w:tcPr>
            <w:tcW w:w="825" w:type="pct"/>
            <w:vAlign w:val="center"/>
          </w:tcPr>
          <w:p w14:paraId="508D68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其他环境管理要求</w:t>
            </w:r>
          </w:p>
        </w:tc>
        <w:tc>
          <w:tcPr>
            <w:tcW w:w="4174" w:type="pct"/>
            <w:gridSpan w:val="4"/>
            <w:vAlign w:val="top"/>
          </w:tcPr>
          <w:p w14:paraId="37C3DAC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投产运行前，应按照《固定污染源排污许可分类管理名录（2019年版）》填报排污许可证。工作区内需指定专门的人员，在本项目实施时严格执行“三同时”制度，保证项目运营时三废均能得到有效处理后达标排放。在日常生产中，应加强环保管理，大力推行清洁生产，并加强职工对污染要“以防为主，防治结合”的认识。另外，应加强对设备运行状况的检查，特别是环保设施要做到定期检查，制定检查方案与实施计划，严防出故障，对三废处理装置要定期检修，以确保污染物达标排放。按照相关要求，对排污口进行规范化管理，在正确的排放点位设置标识，以便进行自行验收和规范化管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bl>
    <w:p w14:paraId="2D6342B4">
      <w:pPr>
        <w:pStyle w:val="28"/>
        <w:spacing w:before="0" w:beforeAutospacing="0" w:after="158" w:afterLines="50" w:afterAutospacing="0"/>
        <w:jc w:val="center"/>
        <w:outlineLvl w:val="0"/>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br w:type="page"/>
      </w:r>
      <w:bookmarkStart w:id="12" w:name="_Toc19724"/>
      <w:r>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t>六、结论</w:t>
      </w:r>
      <w:bookmarkEnd w:id="12"/>
    </w:p>
    <w:tbl>
      <w:tblPr>
        <w:tblStyle w:val="3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0EAAB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68" w:hRule="atLeast"/>
          <w:jc w:val="center"/>
        </w:trPr>
        <w:tc>
          <w:tcPr>
            <w:tcW w:w="5000" w:type="pct"/>
            <w:vAlign w:val="top"/>
          </w:tcPr>
          <w:p w14:paraId="76031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本项目符合国家产业政策，环保治理措施技术可行、污染物达标排放。企业在确实落实各项治理措施的情况下，在环保方面是可行的。</w:t>
            </w:r>
          </w:p>
        </w:tc>
      </w:tr>
    </w:tbl>
    <w:p w14:paraId="26E2B028">
      <w:pPr>
        <w:pStyle w:val="28"/>
        <w:spacing w:before="0" w:beforeAutospacing="0" w:after="158" w:afterLines="50" w:afterAutospacing="0"/>
        <w:outlineLvl w:val="0"/>
        <w:rPr>
          <w:rFonts w:hint="default" w:ascii="Times New Roman" w:hAnsi="Times New Roman" w:eastAsia="宋体" w:cs="Times New Roman"/>
          <w:snapToGrid w:val="0"/>
          <w:color w:val="000000" w:themeColor="text1"/>
          <w:sz w:val="32"/>
          <w:szCs w:val="32"/>
          <w:highlight w:val="none"/>
          <w14:textFill>
            <w14:solidFill>
              <w14:schemeClr w14:val="tx1"/>
            </w14:solidFill>
          </w14:textFill>
        </w:rPr>
        <w:sectPr>
          <w:footerReference r:id="rId5" w:type="default"/>
          <w:pgSz w:w="11849" w:h="16781"/>
          <w:pgMar w:top="1701" w:right="1531" w:bottom="1701" w:left="1531" w:header="851" w:footer="1077" w:gutter="0"/>
          <w:pgBorders>
            <w:top w:val="none" w:sz="0" w:space="0"/>
            <w:left w:val="none" w:sz="0" w:space="0"/>
            <w:bottom w:val="none" w:sz="0" w:space="0"/>
            <w:right w:val="none" w:sz="0" w:space="0"/>
          </w:pgBorders>
          <w:pgNumType w:fmt="numberInDash"/>
          <w:cols w:space="0" w:num="1"/>
          <w:docGrid w:type="lines" w:linePitch="316" w:charSpace="0"/>
        </w:sectPr>
      </w:pPr>
    </w:p>
    <w:p w14:paraId="07B8CD26">
      <w:pPr>
        <w:pStyle w:val="28"/>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pPr>
      <w:bookmarkStart w:id="13" w:name="_Toc17733"/>
      <w:r>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t>附表</w:t>
      </w:r>
      <w:bookmarkEnd w:id="13"/>
    </w:p>
    <w:p w14:paraId="4C903D0D">
      <w:pPr>
        <w:pStyle w:val="2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宋体" w:cs="Times New Roman"/>
          <w:snapToGrid w:val="0"/>
          <w:color w:val="000000" w:themeColor="text1"/>
          <w:kern w:val="21"/>
          <w:sz w:val="30"/>
          <w:szCs w:val="38"/>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30"/>
          <w:szCs w:val="38"/>
          <w:highlight w:val="none"/>
          <w14:textFill>
            <w14:solidFill>
              <w14:schemeClr w14:val="tx1"/>
            </w14:solidFill>
          </w14:textFill>
        </w:rPr>
        <w:t>建设项目污染物排放量汇总表</w:t>
      </w:r>
    </w:p>
    <w:tbl>
      <w:tblPr>
        <w:tblStyle w:val="34"/>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2471"/>
        <w:gridCol w:w="1364"/>
        <w:gridCol w:w="1296"/>
        <w:gridCol w:w="1409"/>
        <w:gridCol w:w="1559"/>
        <w:gridCol w:w="1535"/>
        <w:gridCol w:w="1786"/>
        <w:gridCol w:w="1225"/>
      </w:tblGrid>
      <w:tr w14:paraId="6E870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tcBorders>
              <w:tl2br w:val="single" w:color="auto" w:sz="4" w:space="0"/>
            </w:tcBorders>
            <w:tcMar>
              <w:left w:w="28" w:type="dxa"/>
              <w:right w:w="28" w:type="dxa"/>
            </w:tcMar>
            <w:vAlign w:val="center"/>
          </w:tcPr>
          <w:p w14:paraId="0C861534">
            <w:pPr>
              <w:pStyle w:val="65"/>
              <w:keepNext w:val="0"/>
              <w:keepLines w:val="0"/>
              <w:suppressLineNumbers w:val="0"/>
              <w:spacing w:before="0" w:beforeLines="0" w:beforeAutospacing="0" w:after="0" w:afterLines="0" w:afterAutospacing="0" w:line="240" w:lineRule="auto"/>
              <w:ind w:left="0" w:right="0" w:firstLine="0" w:firstLineChars="0"/>
              <w:jc w:val="right"/>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项目</w:t>
            </w:r>
          </w:p>
          <w:p w14:paraId="35587A2F">
            <w:pPr>
              <w:pStyle w:val="65"/>
              <w:keepNext w:val="0"/>
              <w:keepLines w:val="0"/>
              <w:suppressLineNumbers w:val="0"/>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分类</w:t>
            </w:r>
          </w:p>
        </w:tc>
        <w:tc>
          <w:tcPr>
            <w:tcW w:w="2471" w:type="dxa"/>
            <w:tcMar>
              <w:left w:w="28" w:type="dxa"/>
              <w:right w:w="28" w:type="dxa"/>
            </w:tcMar>
            <w:vAlign w:val="center"/>
          </w:tcPr>
          <w:p w14:paraId="14D6FE7A">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污染物名称</w:t>
            </w:r>
          </w:p>
        </w:tc>
        <w:tc>
          <w:tcPr>
            <w:tcW w:w="1364" w:type="dxa"/>
            <w:tcMar>
              <w:left w:w="28" w:type="dxa"/>
              <w:right w:w="28" w:type="dxa"/>
            </w:tcMar>
            <w:vAlign w:val="center"/>
          </w:tcPr>
          <w:p w14:paraId="6B3FD2E2">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现有工程</w:t>
            </w:r>
          </w:p>
          <w:p w14:paraId="2450ABF7">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c>
          <w:tcPr>
            <w:tcW w:w="1296" w:type="dxa"/>
            <w:tcMar>
              <w:left w:w="28" w:type="dxa"/>
              <w:right w:w="28" w:type="dxa"/>
            </w:tcMar>
            <w:vAlign w:val="center"/>
          </w:tcPr>
          <w:p w14:paraId="3E4C8FC7">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现有工程</w:t>
            </w:r>
          </w:p>
          <w:p w14:paraId="412BC488">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许可排放量</w:t>
            </w:r>
          </w:p>
          <w:p w14:paraId="2761ED77">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c>
          <w:tcPr>
            <w:tcW w:w="1409" w:type="dxa"/>
            <w:tcMar>
              <w:left w:w="28" w:type="dxa"/>
              <w:right w:w="28" w:type="dxa"/>
            </w:tcMar>
            <w:vAlign w:val="center"/>
          </w:tcPr>
          <w:p w14:paraId="5B50537B">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在建工程</w:t>
            </w:r>
          </w:p>
          <w:p w14:paraId="5DC7620E">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c>
          <w:tcPr>
            <w:tcW w:w="1559" w:type="dxa"/>
            <w:tcMar>
              <w:left w:w="28" w:type="dxa"/>
              <w:right w:w="28" w:type="dxa"/>
            </w:tcMar>
            <w:vAlign w:val="center"/>
          </w:tcPr>
          <w:p w14:paraId="7D09F808">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本项目</w:t>
            </w:r>
          </w:p>
          <w:p w14:paraId="05E00EB4">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c>
          <w:tcPr>
            <w:tcW w:w="1535" w:type="dxa"/>
            <w:tcMar>
              <w:left w:w="28" w:type="dxa"/>
              <w:right w:w="28" w:type="dxa"/>
            </w:tcMar>
            <w:vAlign w:val="center"/>
          </w:tcPr>
          <w:p w14:paraId="758CD5F7">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t>以新带老削减量</w:t>
            </w:r>
          </w:p>
          <w:p w14:paraId="0939E4D0">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t>（新建项目不填）</w:t>
            </w: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fldChar w:fldCharType="end"/>
            </w:r>
          </w:p>
        </w:tc>
        <w:tc>
          <w:tcPr>
            <w:tcW w:w="1786" w:type="dxa"/>
            <w:tcMar>
              <w:left w:w="28" w:type="dxa"/>
              <w:right w:w="28" w:type="dxa"/>
            </w:tcMar>
            <w:vAlign w:val="center"/>
          </w:tcPr>
          <w:p w14:paraId="74861CF5">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t>本项目建成后</w:t>
            </w:r>
          </w:p>
          <w:p w14:paraId="3BCC806E">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1"/>
                <w:szCs w:val="21"/>
                <w:highlight w:val="none"/>
                <w14:textFill>
                  <w14:solidFill>
                    <w14:schemeClr w14:val="tx1"/>
                  </w14:solidFill>
                </w14:textFill>
              </w:rPr>
              <w:fldChar w:fldCharType="end"/>
            </w:r>
          </w:p>
        </w:tc>
        <w:tc>
          <w:tcPr>
            <w:tcW w:w="1225" w:type="dxa"/>
            <w:tcMar>
              <w:left w:w="28" w:type="dxa"/>
              <w:right w:w="28" w:type="dxa"/>
            </w:tcMar>
            <w:vAlign w:val="center"/>
          </w:tcPr>
          <w:p w14:paraId="129D5064">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变化量</w:t>
            </w:r>
          </w:p>
          <w:p w14:paraId="66C4C801">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r>
      <w:tr w14:paraId="3B268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restart"/>
            <w:vAlign w:val="center"/>
          </w:tcPr>
          <w:p w14:paraId="308815F6">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废气</w:t>
            </w:r>
          </w:p>
        </w:tc>
        <w:tc>
          <w:tcPr>
            <w:tcW w:w="2471" w:type="dxa"/>
            <w:vAlign w:val="center"/>
          </w:tcPr>
          <w:p w14:paraId="1AF30F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364" w:type="dxa"/>
            <w:vAlign w:val="center"/>
          </w:tcPr>
          <w:p w14:paraId="3B7C3E16">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0.225t/a</w:t>
            </w:r>
          </w:p>
        </w:tc>
        <w:tc>
          <w:tcPr>
            <w:tcW w:w="1296" w:type="dxa"/>
            <w:vAlign w:val="center"/>
          </w:tcPr>
          <w:p w14:paraId="07E5F6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409" w:type="dxa"/>
            <w:vAlign w:val="center"/>
          </w:tcPr>
          <w:p w14:paraId="5ED2B3D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559" w:type="dxa"/>
            <w:vAlign w:val="center"/>
          </w:tcPr>
          <w:p w14:paraId="708BFD52">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0.950</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535" w:type="dxa"/>
            <w:vAlign w:val="center"/>
          </w:tcPr>
          <w:p w14:paraId="4A4CD82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0.225t/a</w:t>
            </w:r>
          </w:p>
        </w:tc>
        <w:tc>
          <w:tcPr>
            <w:tcW w:w="1786" w:type="dxa"/>
            <w:vAlign w:val="center"/>
          </w:tcPr>
          <w:p w14:paraId="4C7A3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0.950t/a</w:t>
            </w:r>
          </w:p>
        </w:tc>
        <w:tc>
          <w:tcPr>
            <w:tcW w:w="1225" w:type="dxa"/>
            <w:vAlign w:val="center"/>
          </w:tcPr>
          <w:p w14:paraId="7606D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+0.</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725</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r>
      <w:tr w14:paraId="21ECE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72F015EB">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471" w:type="dxa"/>
            <w:vAlign w:val="center"/>
          </w:tcPr>
          <w:p w14:paraId="1D2FBC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364" w:type="dxa"/>
            <w:vAlign w:val="center"/>
          </w:tcPr>
          <w:p w14:paraId="68ABF437">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2.880t/a</w:t>
            </w:r>
          </w:p>
        </w:tc>
        <w:tc>
          <w:tcPr>
            <w:tcW w:w="1296" w:type="dxa"/>
            <w:vAlign w:val="center"/>
          </w:tcPr>
          <w:p w14:paraId="6C01530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409" w:type="dxa"/>
            <w:vAlign w:val="center"/>
          </w:tcPr>
          <w:p w14:paraId="6CE9462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559" w:type="dxa"/>
            <w:vAlign w:val="center"/>
          </w:tcPr>
          <w:p w14:paraId="2D5C7BFD">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1.135</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535" w:type="dxa"/>
            <w:vAlign w:val="center"/>
          </w:tcPr>
          <w:p w14:paraId="2E9F28B2">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2.880t/a</w:t>
            </w:r>
          </w:p>
        </w:tc>
        <w:tc>
          <w:tcPr>
            <w:tcW w:w="1786" w:type="dxa"/>
            <w:vAlign w:val="center"/>
          </w:tcPr>
          <w:p w14:paraId="2D9C74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1.135</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25" w:type="dxa"/>
            <w:vAlign w:val="center"/>
          </w:tcPr>
          <w:p w14:paraId="6B38D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-1.745</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r>
      <w:tr w14:paraId="6CE54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553F2F56">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471" w:type="dxa"/>
            <w:vAlign w:val="center"/>
          </w:tcPr>
          <w:p w14:paraId="03C2EC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x</w:t>
            </w:r>
          </w:p>
        </w:tc>
        <w:tc>
          <w:tcPr>
            <w:tcW w:w="1364" w:type="dxa"/>
            <w:vAlign w:val="center"/>
          </w:tcPr>
          <w:p w14:paraId="04C3220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1.764t/a</w:t>
            </w:r>
          </w:p>
        </w:tc>
        <w:tc>
          <w:tcPr>
            <w:tcW w:w="1296" w:type="dxa"/>
            <w:vAlign w:val="center"/>
          </w:tcPr>
          <w:p w14:paraId="1A1E77B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409" w:type="dxa"/>
            <w:vAlign w:val="center"/>
          </w:tcPr>
          <w:p w14:paraId="0A2466D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559" w:type="dxa"/>
            <w:vAlign w:val="center"/>
          </w:tcPr>
          <w:p w14:paraId="1C576A4F">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6.675</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535" w:type="dxa"/>
            <w:vAlign w:val="center"/>
          </w:tcPr>
          <w:p w14:paraId="0661880B">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1.764t/a</w:t>
            </w:r>
          </w:p>
        </w:tc>
        <w:tc>
          <w:tcPr>
            <w:tcW w:w="1786" w:type="dxa"/>
            <w:vAlign w:val="center"/>
          </w:tcPr>
          <w:p w14:paraId="6F65D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6.675t/a</w:t>
            </w:r>
          </w:p>
        </w:tc>
        <w:tc>
          <w:tcPr>
            <w:tcW w:w="1225" w:type="dxa"/>
            <w:vAlign w:val="center"/>
          </w:tcPr>
          <w:p w14:paraId="4CC1A5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4.911</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r>
      <w:tr w14:paraId="20FFA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70578686">
            <w:pPr>
              <w:pStyle w:val="65"/>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471" w:type="dxa"/>
            <w:vAlign w:val="center"/>
          </w:tcPr>
          <w:p w14:paraId="04265D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工业粉尘</w:t>
            </w:r>
          </w:p>
        </w:tc>
        <w:tc>
          <w:tcPr>
            <w:tcW w:w="1364" w:type="dxa"/>
            <w:vAlign w:val="center"/>
          </w:tcPr>
          <w:p w14:paraId="3FEEF4B3">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0.7t/a</w:t>
            </w:r>
          </w:p>
        </w:tc>
        <w:tc>
          <w:tcPr>
            <w:tcW w:w="1296" w:type="dxa"/>
            <w:vAlign w:val="center"/>
          </w:tcPr>
          <w:p w14:paraId="2F9293F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409" w:type="dxa"/>
            <w:vAlign w:val="center"/>
          </w:tcPr>
          <w:p w14:paraId="15EC0C5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559" w:type="dxa"/>
            <w:vAlign w:val="center"/>
          </w:tcPr>
          <w:p w14:paraId="2B7011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2.099</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535" w:type="dxa"/>
            <w:vAlign w:val="center"/>
          </w:tcPr>
          <w:p w14:paraId="1E80EB52">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0.7t/a</w:t>
            </w:r>
          </w:p>
        </w:tc>
        <w:tc>
          <w:tcPr>
            <w:tcW w:w="1786" w:type="dxa"/>
            <w:vAlign w:val="center"/>
          </w:tcPr>
          <w:p w14:paraId="67E24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2.099</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25" w:type="dxa"/>
            <w:vAlign w:val="center"/>
          </w:tcPr>
          <w:p w14:paraId="3E4882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1.399</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r>
      <w:tr w14:paraId="3CCB6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restart"/>
            <w:vAlign w:val="center"/>
          </w:tcPr>
          <w:p w14:paraId="71EC42A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一般固体废物</w:t>
            </w:r>
          </w:p>
        </w:tc>
        <w:tc>
          <w:tcPr>
            <w:tcW w:w="2471" w:type="dxa"/>
            <w:vAlign w:val="center"/>
          </w:tcPr>
          <w:p w14:paraId="15BB386B">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1364" w:type="dxa"/>
            <w:vAlign w:val="center"/>
          </w:tcPr>
          <w:p w14:paraId="0131B7FE">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lang w:val="en-US"/>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0.72t/a</w:t>
            </w:r>
          </w:p>
        </w:tc>
        <w:tc>
          <w:tcPr>
            <w:tcW w:w="1296" w:type="dxa"/>
            <w:vAlign w:val="center"/>
          </w:tcPr>
          <w:p w14:paraId="77A5E9B6">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409" w:type="dxa"/>
            <w:vAlign w:val="center"/>
          </w:tcPr>
          <w:p w14:paraId="44A1B69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559" w:type="dxa"/>
            <w:vAlign w:val="center"/>
          </w:tcPr>
          <w:p w14:paraId="48641552">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0.45</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535" w:type="dxa"/>
            <w:vAlign w:val="center"/>
          </w:tcPr>
          <w:p w14:paraId="36C7648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c>
          <w:tcPr>
            <w:tcW w:w="1786" w:type="dxa"/>
            <w:vAlign w:val="center"/>
          </w:tcPr>
          <w:p w14:paraId="5CCF733F">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w:t>
            </w:r>
            <w:r>
              <w:rPr>
                <w:rFonts w:hint="eastAsia"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25" w:type="dxa"/>
            <w:vAlign w:val="center"/>
          </w:tcPr>
          <w:p w14:paraId="4F2EA23A">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0.45</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r>
      <w:tr w14:paraId="36769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061A823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2471" w:type="dxa"/>
            <w:vAlign w:val="center"/>
          </w:tcPr>
          <w:p w14:paraId="4794B5E5">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热风炉炉渣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及除尘器收尘</w:t>
            </w:r>
          </w:p>
        </w:tc>
        <w:tc>
          <w:tcPr>
            <w:tcW w:w="1364" w:type="dxa"/>
            <w:vAlign w:val="center"/>
          </w:tcPr>
          <w:p w14:paraId="049A4EF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180</w:t>
            </w:r>
            <w:r>
              <w:rPr>
                <w:rFonts w:hint="eastAsia" w:cs="Times New Roman"/>
                <w:snapToGrid w:val="0"/>
                <w:color w:val="000000" w:themeColor="text1"/>
                <w:kern w:val="21"/>
                <w:sz w:val="21"/>
                <w:szCs w:val="21"/>
                <w:highlight w:val="none"/>
                <w:lang w:val="en-US" w:eastAsia="zh-CN"/>
                <w14:textFill>
                  <w14:solidFill>
                    <w14:schemeClr w14:val="tx1"/>
                  </w14:solidFill>
                </w14:textFill>
              </w:rPr>
              <w:t>t/a</w:t>
            </w:r>
          </w:p>
        </w:tc>
        <w:tc>
          <w:tcPr>
            <w:tcW w:w="1296" w:type="dxa"/>
            <w:vAlign w:val="center"/>
          </w:tcPr>
          <w:p w14:paraId="3FECDE98">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409" w:type="dxa"/>
            <w:vAlign w:val="center"/>
          </w:tcPr>
          <w:p w14:paraId="78DED1D7">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559" w:type="dxa"/>
            <w:vAlign w:val="center"/>
          </w:tcPr>
          <w:p w14:paraId="68147025">
            <w:pPr>
              <w:pStyle w:val="130"/>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426.51</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535" w:type="dxa"/>
            <w:vAlign w:val="center"/>
          </w:tcPr>
          <w:p w14:paraId="54BA7C7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180</w:t>
            </w:r>
            <w:r>
              <w:rPr>
                <w:rFonts w:hint="eastAsia" w:cs="Times New Roman"/>
                <w:snapToGrid w:val="0"/>
                <w:color w:val="000000" w:themeColor="text1"/>
                <w:kern w:val="21"/>
                <w:sz w:val="21"/>
                <w:szCs w:val="21"/>
                <w:highlight w:val="none"/>
                <w:lang w:val="en-US" w:eastAsia="zh-CN"/>
                <w14:textFill>
                  <w14:solidFill>
                    <w14:schemeClr w14:val="tx1"/>
                  </w14:solidFill>
                </w14:textFill>
              </w:rPr>
              <w:t>t/a</w:t>
            </w:r>
          </w:p>
        </w:tc>
        <w:tc>
          <w:tcPr>
            <w:tcW w:w="1786" w:type="dxa"/>
            <w:vAlign w:val="center"/>
          </w:tcPr>
          <w:p w14:paraId="57AB1703">
            <w:pPr>
              <w:pStyle w:val="130"/>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426.51</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25" w:type="dxa"/>
            <w:vAlign w:val="center"/>
          </w:tcPr>
          <w:p w14:paraId="6181AABD">
            <w:pPr>
              <w:pStyle w:val="130"/>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246.51</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r>
      <w:tr w14:paraId="204342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1846D22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2471" w:type="dxa"/>
            <w:vAlign w:val="center"/>
          </w:tcPr>
          <w:p w14:paraId="2A69DB3B">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废布袋</w:t>
            </w:r>
          </w:p>
        </w:tc>
        <w:tc>
          <w:tcPr>
            <w:tcW w:w="1364" w:type="dxa"/>
            <w:vAlign w:val="center"/>
          </w:tcPr>
          <w:p w14:paraId="07A209F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0.10</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96" w:type="dxa"/>
            <w:vAlign w:val="center"/>
          </w:tcPr>
          <w:p w14:paraId="5116F89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409" w:type="dxa"/>
            <w:vAlign w:val="center"/>
          </w:tcPr>
          <w:p w14:paraId="675E5DE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559" w:type="dxa"/>
            <w:vAlign w:val="center"/>
          </w:tcPr>
          <w:p w14:paraId="21DD5C4A">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0.10</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535" w:type="dxa"/>
            <w:vAlign w:val="center"/>
          </w:tcPr>
          <w:p w14:paraId="0141BFEF">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0.10</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786" w:type="dxa"/>
            <w:vAlign w:val="center"/>
          </w:tcPr>
          <w:p w14:paraId="7F58E8DF">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0.10</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25" w:type="dxa"/>
            <w:vAlign w:val="center"/>
          </w:tcPr>
          <w:p w14:paraId="4E6D8C7E">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09945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1957167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2471" w:type="dxa"/>
            <w:vAlign w:val="center"/>
          </w:tcPr>
          <w:p w14:paraId="0F710108">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初清杂质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及输送装卸、筛分、烘干</w:t>
            </w:r>
            <w:r>
              <w:rPr>
                <w:rFonts w:hint="default" w:ascii="Times New Roman" w:hAnsi="Times New Roman" w:eastAsia="宋体" w:cs="Times New Roman"/>
                <w:color w:val="000000" w:themeColor="text1"/>
                <w:sz w:val="21"/>
                <w:szCs w:val="21"/>
                <w:highlight w:val="none"/>
                <w14:textFill>
                  <w14:solidFill>
                    <w14:schemeClr w14:val="tx1"/>
                  </w14:solidFill>
                </w14:textFill>
              </w:rPr>
              <w:t>粉尘</w:t>
            </w:r>
          </w:p>
        </w:tc>
        <w:tc>
          <w:tcPr>
            <w:tcW w:w="1364" w:type="dxa"/>
            <w:vAlign w:val="center"/>
          </w:tcPr>
          <w:p w14:paraId="5825426B">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33.297</w:t>
            </w:r>
            <w:r>
              <w:rPr>
                <w:rFonts w:hint="eastAsia" w:cs="Times New Roman"/>
                <w:snapToGrid w:val="0"/>
                <w:color w:val="000000" w:themeColor="text1"/>
                <w:kern w:val="21"/>
                <w:sz w:val="21"/>
                <w:szCs w:val="21"/>
                <w:highlight w:val="none"/>
                <w:lang w:val="en-US" w:eastAsia="zh-CN"/>
                <w14:textFill>
                  <w14:solidFill>
                    <w14:schemeClr w14:val="tx1"/>
                  </w14:solidFill>
                </w14:textFill>
              </w:rPr>
              <w:t>t/a</w:t>
            </w:r>
          </w:p>
        </w:tc>
        <w:tc>
          <w:tcPr>
            <w:tcW w:w="1296" w:type="dxa"/>
            <w:vAlign w:val="center"/>
          </w:tcPr>
          <w:p w14:paraId="2F177B1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409" w:type="dxa"/>
            <w:vAlign w:val="center"/>
          </w:tcPr>
          <w:p w14:paraId="28E17A9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559" w:type="dxa"/>
            <w:vAlign w:val="center"/>
          </w:tcPr>
          <w:p w14:paraId="158DEF1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99.891</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535" w:type="dxa"/>
            <w:vAlign w:val="center"/>
          </w:tcPr>
          <w:p w14:paraId="33059231">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33.297</w:t>
            </w:r>
            <w:r>
              <w:rPr>
                <w:rFonts w:hint="eastAsia" w:cs="Times New Roman"/>
                <w:snapToGrid w:val="0"/>
                <w:color w:val="000000" w:themeColor="text1"/>
                <w:kern w:val="21"/>
                <w:sz w:val="21"/>
                <w:szCs w:val="21"/>
                <w:highlight w:val="none"/>
                <w:lang w:val="en-US" w:eastAsia="zh-CN"/>
                <w14:textFill>
                  <w14:solidFill>
                    <w14:schemeClr w14:val="tx1"/>
                  </w14:solidFill>
                </w14:textFill>
              </w:rPr>
              <w:t>t/a</w:t>
            </w:r>
          </w:p>
        </w:tc>
        <w:tc>
          <w:tcPr>
            <w:tcW w:w="1786" w:type="dxa"/>
            <w:vAlign w:val="center"/>
          </w:tcPr>
          <w:p w14:paraId="1B2085E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99.891</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25" w:type="dxa"/>
            <w:vAlign w:val="center"/>
          </w:tcPr>
          <w:p w14:paraId="46F1057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66.594</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t/a</w:t>
            </w:r>
          </w:p>
        </w:tc>
      </w:tr>
      <w:tr w14:paraId="17905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14:paraId="22F8383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危险废物</w:t>
            </w:r>
          </w:p>
        </w:tc>
        <w:tc>
          <w:tcPr>
            <w:tcW w:w="2471" w:type="dxa"/>
            <w:vAlign w:val="center"/>
          </w:tcPr>
          <w:p w14:paraId="6ECD4965">
            <w:pPr>
              <w:pStyle w:val="1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废机油、废弃含油抹布手套</w:t>
            </w:r>
          </w:p>
        </w:tc>
        <w:tc>
          <w:tcPr>
            <w:tcW w:w="1364" w:type="dxa"/>
            <w:vAlign w:val="center"/>
          </w:tcPr>
          <w:p w14:paraId="5ED071C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w:t>
            </w:r>
          </w:p>
        </w:tc>
        <w:tc>
          <w:tcPr>
            <w:tcW w:w="1296" w:type="dxa"/>
            <w:vAlign w:val="center"/>
          </w:tcPr>
          <w:p w14:paraId="1EE2DB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409" w:type="dxa"/>
            <w:vAlign w:val="center"/>
          </w:tcPr>
          <w:p w14:paraId="1FF062D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559" w:type="dxa"/>
            <w:vAlign w:val="center"/>
          </w:tcPr>
          <w:p w14:paraId="336166E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0.03t/a</w:t>
            </w:r>
          </w:p>
        </w:tc>
        <w:tc>
          <w:tcPr>
            <w:tcW w:w="1535" w:type="dxa"/>
            <w:vAlign w:val="center"/>
          </w:tcPr>
          <w:p w14:paraId="48984F1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786" w:type="dxa"/>
            <w:vAlign w:val="center"/>
          </w:tcPr>
          <w:p w14:paraId="5CF1432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0.03t/a</w:t>
            </w:r>
          </w:p>
        </w:tc>
        <w:tc>
          <w:tcPr>
            <w:tcW w:w="1225" w:type="dxa"/>
            <w:vAlign w:val="center"/>
          </w:tcPr>
          <w:p w14:paraId="65EB0B6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+0.03t/a</w:t>
            </w:r>
          </w:p>
        </w:tc>
      </w:tr>
    </w:tbl>
    <w:p w14:paraId="16B8C635">
      <w:pPr>
        <w:rPr>
          <w:rFonts w:hint="default" w:ascii="Times New Roman" w:hAnsi="Times New Roman" w:eastAsia="宋体" w:cs="Times New Roman"/>
          <w:snapToGrid w:val="0"/>
          <w:color w:val="000000" w:themeColor="text1"/>
          <w:kern w:val="21"/>
          <w:sz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highlight w:val="none"/>
          <w14:textFill>
            <w14:solidFill>
              <w14:schemeClr w14:val="tx1"/>
            </w14:solidFill>
          </w14:textFill>
        </w:rPr>
        <w:t>注：⑥=①+③+④-⑤；⑦=⑥-①</w:t>
      </w:r>
    </w:p>
    <w:p w14:paraId="3A5C1991">
      <w:pPr>
        <w:pStyle w:val="2"/>
        <w:spacing w:line="360" w:lineRule="auto"/>
        <w:ind w:left="0" w:leftChars="0" w:firstLine="0" w:firstLineChars="0"/>
        <w:rPr>
          <w:rFonts w:hint="default" w:ascii="Times New Roman" w:hAnsi="Times New Roman" w:eastAsia="宋体" w:cs="Times New Roman"/>
          <w:color w:val="000000" w:themeColor="text1"/>
          <w:highlight w:val="none"/>
          <w:lang w:eastAsia="zh-CN"/>
          <w14:textFill>
            <w14:solidFill>
              <w14:schemeClr w14:val="tx1"/>
            </w14:solidFill>
          </w14:textFill>
        </w:rPr>
      </w:pPr>
      <w:bookmarkStart w:id="14" w:name="_Toc20292"/>
      <w:bookmarkStart w:id="15" w:name="_Toc11995"/>
      <w:bookmarkStart w:id="16" w:name="_Toc24197"/>
      <w:r>
        <w:rPr>
          <w:rFonts w:hint="default" w:ascii="Times New Roman" w:hAnsi="Times New Roman" w:eastAsia="宋体" w:cs="Times New Roman"/>
          <w:color w:val="000000" w:themeColor="text1"/>
          <w:sz w:val="21"/>
          <w:szCs w:val="21"/>
          <w:highlight w:val="none"/>
          <w14:textFill>
            <w14:solidFill>
              <w14:schemeClr w14:val="tx1"/>
            </w14:solidFill>
          </w14:textFill>
        </w:rPr>
        <w:t>附件1</w:t>
      </w:r>
      <w:bookmarkEnd w:id="14"/>
      <w:bookmarkEnd w:id="15"/>
      <w:bookmarkEnd w:id="16"/>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营业执照</w:t>
      </w:r>
    </w:p>
    <w:p w14:paraId="5B381FC1">
      <w:pPr>
        <w:widowControl/>
        <w:adjustRightInd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7646035" cy="4302760"/>
            <wp:effectExtent l="0" t="0" r="12065" b="2540"/>
            <wp:docPr id="22" name="图片 22"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营业执照"/>
                    <pic:cNvPicPr>
                      <a:picLocks noChangeAspect="1"/>
                    </pic:cNvPicPr>
                  </pic:nvPicPr>
                  <pic:blipFill>
                    <a:blip r:embed="rId23"/>
                    <a:stretch>
                      <a:fillRect/>
                    </a:stretch>
                  </pic:blipFill>
                  <pic:spPr>
                    <a:xfrm>
                      <a:off x="0" y="0"/>
                      <a:ext cx="7646035" cy="4302760"/>
                    </a:xfrm>
                    <a:prstGeom prst="rect">
                      <a:avLst/>
                    </a:prstGeom>
                  </pic:spPr>
                </pic:pic>
              </a:graphicData>
            </a:graphic>
          </wp:inline>
        </w:drawing>
      </w:r>
    </w:p>
    <w:p w14:paraId="227605EE">
      <w:pPr>
        <w:bidi w:val="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3B44DFE9">
      <w:pP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1CF6B22E">
      <w:pPr>
        <w:pStyle w:val="43"/>
        <w:jc w:val="both"/>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附件2土地手续</w:t>
      </w:r>
    </w:p>
    <w:p w14:paraId="56850EEC">
      <w:pPr>
        <w:pStyle w:val="43"/>
        <w:jc w:val="both"/>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207A45C9">
      <w:pPr>
        <w:pStyle w:val="43"/>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drawing>
          <wp:inline distT="0" distB="0" distL="114300" distR="114300">
            <wp:extent cx="4467225" cy="7938135"/>
            <wp:effectExtent l="0" t="0" r="9525" b="5715"/>
            <wp:docPr id="23" name="图片 23" descr="a7fe193360fc169855419866fa4c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7fe193360fc169855419866fa4cd9b"/>
                    <pic:cNvPicPr>
                      <a:picLocks noChangeAspect="1"/>
                    </pic:cNvPicPr>
                  </pic:nvPicPr>
                  <pic:blipFill>
                    <a:blip r:embed="rId24"/>
                    <a:stretch>
                      <a:fillRect/>
                    </a:stretch>
                  </pic:blipFill>
                  <pic:spPr>
                    <a:xfrm>
                      <a:off x="0" y="0"/>
                      <a:ext cx="4467225" cy="7938135"/>
                    </a:xfrm>
                    <a:prstGeom prst="rect">
                      <a:avLst/>
                    </a:prstGeom>
                  </pic:spPr>
                </pic:pic>
              </a:graphicData>
            </a:graphic>
          </wp:inline>
        </w:drawing>
      </w:r>
    </w:p>
    <w:p w14:paraId="02F21BEB">
      <w:pPr>
        <w:pStyle w:val="43"/>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3FF47441">
      <w:pPr>
        <w:pStyle w:val="43"/>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3A22E8FD">
      <w:pPr>
        <w:pStyle w:val="43"/>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3E296D97">
      <w:pPr>
        <w:pStyle w:val="43"/>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5485E0D0">
      <w:pPr>
        <w:pStyle w:val="43"/>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7BACAED4">
      <w:pPr>
        <w:pStyle w:val="43"/>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592C7868">
      <w:pPr>
        <w:pStyle w:val="43"/>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3421A105">
      <w:pPr>
        <w:pStyle w:val="43"/>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421766AF">
      <w:pPr>
        <w:pStyle w:val="43"/>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6C2A88DA">
      <w:pPr>
        <w:pStyle w:val="43"/>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drawing>
          <wp:inline distT="0" distB="0" distL="114300" distR="114300">
            <wp:extent cx="5611495" cy="3919855"/>
            <wp:effectExtent l="0" t="0" r="8255" b="4445"/>
            <wp:docPr id="24" name="图片 24" descr="2ab6d47e1c705034d4ee5dfe8e71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ab6d47e1c705034d4ee5dfe8e7113a"/>
                    <pic:cNvPicPr>
                      <a:picLocks noChangeAspect="1"/>
                    </pic:cNvPicPr>
                  </pic:nvPicPr>
                  <pic:blipFill>
                    <a:blip r:embed="rId25"/>
                    <a:stretch>
                      <a:fillRect/>
                    </a:stretch>
                  </pic:blipFill>
                  <pic:spPr>
                    <a:xfrm>
                      <a:off x="0" y="0"/>
                      <a:ext cx="5611495" cy="3919855"/>
                    </a:xfrm>
                    <a:prstGeom prst="rect">
                      <a:avLst/>
                    </a:prstGeom>
                  </pic:spPr>
                </pic:pic>
              </a:graphicData>
            </a:graphic>
          </wp:inline>
        </w:drawing>
      </w:r>
    </w:p>
    <w:p w14:paraId="52B734E3">
      <w:pPr>
        <w:pStyle w:val="43"/>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1DE2E11A">
      <w:pP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附件3本项目检测报告</w:t>
      </w:r>
    </w:p>
    <w:p w14:paraId="777E21CE">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4893945" cy="6886575"/>
            <wp:effectExtent l="0" t="0" r="1905" b="952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6"/>
                    <a:stretch>
                      <a:fillRect/>
                    </a:stretch>
                  </pic:blipFill>
                  <pic:spPr>
                    <a:xfrm>
                      <a:off x="0" y="0"/>
                      <a:ext cx="4893945" cy="6886575"/>
                    </a:xfrm>
                    <a:prstGeom prst="rect">
                      <a:avLst/>
                    </a:prstGeom>
                    <a:noFill/>
                    <a:ln>
                      <a:noFill/>
                    </a:ln>
                  </pic:spPr>
                </pic:pic>
              </a:graphicData>
            </a:graphic>
          </wp:inline>
        </w:drawing>
      </w:r>
    </w:p>
    <w:p w14:paraId="6B431655">
      <w:pP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57823629">
      <w:pPr>
        <w:pStyle w:val="7"/>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4626610" cy="6491605"/>
            <wp:effectExtent l="0" t="0" r="2540" b="444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7"/>
                    <a:stretch>
                      <a:fillRect/>
                    </a:stretch>
                  </pic:blipFill>
                  <pic:spPr>
                    <a:xfrm>
                      <a:off x="0" y="0"/>
                      <a:ext cx="4626610" cy="64916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4615180" cy="6304915"/>
            <wp:effectExtent l="0" t="0" r="13970" b="63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8"/>
                    <a:stretch>
                      <a:fillRect/>
                    </a:stretch>
                  </pic:blipFill>
                  <pic:spPr>
                    <a:xfrm>
                      <a:off x="0" y="0"/>
                      <a:ext cx="4615180" cy="630491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4927600" cy="6804025"/>
            <wp:effectExtent l="0" t="0" r="6350" b="1587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9"/>
                    <a:stretch>
                      <a:fillRect/>
                    </a:stretch>
                  </pic:blipFill>
                  <pic:spPr>
                    <a:xfrm>
                      <a:off x="0" y="0"/>
                      <a:ext cx="4927600" cy="6804025"/>
                    </a:xfrm>
                    <a:prstGeom prst="rect">
                      <a:avLst/>
                    </a:prstGeom>
                    <a:noFill/>
                    <a:ln>
                      <a:noFill/>
                    </a:ln>
                  </pic:spPr>
                </pic:pic>
              </a:graphicData>
            </a:graphic>
          </wp:inline>
        </w:drawing>
      </w:r>
    </w:p>
    <w:p w14:paraId="1D18A777">
      <w:pPr>
        <w:pStyle w:val="2"/>
        <w:ind w:left="0" w:leftChars="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附件4 </w:t>
      </w:r>
      <w:r>
        <w:rPr>
          <w:rFonts w:hint="default" w:ascii="Times New Roman" w:hAnsi="Times New Roman" w:eastAsia="宋体" w:cs="Times New Roman"/>
          <w:color w:val="000000" w:themeColor="text1"/>
          <w:sz w:val="21"/>
          <w:szCs w:val="21"/>
          <w:highlight w:val="none"/>
          <w14:textFill>
            <w14:solidFill>
              <w14:schemeClr w14:val="tx1"/>
            </w14:solidFill>
          </w14:textFill>
        </w:rPr>
        <w:t>生物质成型</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压块</w:t>
      </w:r>
      <w:r>
        <w:rPr>
          <w:rFonts w:hint="default" w:ascii="Times New Roman" w:hAnsi="Times New Roman" w:eastAsia="宋体" w:cs="Times New Roman"/>
          <w:color w:val="000000" w:themeColor="text1"/>
          <w:sz w:val="21"/>
          <w:szCs w:val="21"/>
          <w:highlight w:val="none"/>
          <w14:textFill>
            <w14:solidFill>
              <w14:schemeClr w14:val="tx1"/>
            </w14:solidFill>
          </w14:textFill>
        </w:rPr>
        <w:t>分析报告</w:t>
      </w:r>
    </w:p>
    <w:p w14:paraId="30258B3F">
      <w:pPr>
        <w:bidi w:val="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612765" cy="7571740"/>
            <wp:effectExtent l="0" t="0" r="6985" b="10160"/>
            <wp:docPr id="27" name="图片 27" descr="13eff12c15d816775a5492979a4b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3eff12c15d816775a5492979a4bc7c"/>
                    <pic:cNvPicPr>
                      <a:picLocks noChangeAspect="1"/>
                    </pic:cNvPicPr>
                  </pic:nvPicPr>
                  <pic:blipFill>
                    <a:blip r:embed="rId30"/>
                    <a:stretch>
                      <a:fillRect/>
                    </a:stretch>
                  </pic:blipFill>
                  <pic:spPr>
                    <a:xfrm>
                      <a:off x="0" y="0"/>
                      <a:ext cx="5612765" cy="7571740"/>
                    </a:xfrm>
                    <a:prstGeom prst="rect">
                      <a:avLst/>
                    </a:prstGeom>
                  </pic:spPr>
                </pic:pic>
              </a:graphicData>
            </a:graphic>
          </wp:inline>
        </w:drawing>
      </w:r>
    </w:p>
    <w:p w14:paraId="694C9F22">
      <w:pPr>
        <w:bidi w:val="0"/>
        <w:rPr>
          <w:rFonts w:hint="default" w:ascii="Times New Roman" w:hAnsi="Times New Roman" w:eastAsia="宋体" w:cs="Times New Roman"/>
          <w:color w:val="000000" w:themeColor="text1"/>
          <w:sz w:val="21"/>
          <w:szCs w:val="21"/>
          <w:highlight w:val="none"/>
          <w14:textFill>
            <w14:solidFill>
              <w14:schemeClr w14:val="tx1"/>
            </w14:solidFill>
          </w14:textFill>
        </w:rPr>
      </w:pPr>
    </w:p>
    <w:p w14:paraId="674AF870">
      <w:pP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br w:type="page"/>
      </w:r>
    </w:p>
    <w:p w14:paraId="734691E5">
      <w:pPr>
        <w:pStyle w:val="2"/>
        <w:spacing w:line="260" w:lineRule="auto"/>
        <w:ind w:left="0" w:firstLine="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附件</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 核定排放量计算说明</w:t>
      </w:r>
    </w:p>
    <w:p w14:paraId="40288288">
      <w:pPr>
        <w:keepNext w:val="0"/>
        <w:keepLines w:val="0"/>
        <w:pageBreakBefore w:val="0"/>
        <w:widowControl/>
        <w:numPr>
          <w:ilvl w:val="0"/>
          <w:numId w:val="1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废气排放总量</w:t>
      </w:r>
    </w:p>
    <w:p w14:paraId="0066C91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lang w:val="en-US" w:eastAsia="zh-CN"/>
          <w14:textFill>
            <w14:solidFill>
              <w14:schemeClr w14:val="tx1"/>
            </w14:solidFill>
          </w14:textFill>
        </w:rPr>
        <w:t>本项目核定</w:t>
      </w:r>
      <w:r>
        <w:rPr>
          <w:rFonts w:hint="default" w:ascii="Times New Roman" w:hAnsi="Times New Roman" w:eastAsia="宋体" w:cs="Times New Roman"/>
          <w:b w:val="0"/>
          <w:bCs/>
          <w:color w:val="000000" w:themeColor="text1"/>
          <w:szCs w:val="21"/>
          <w:highlight w:val="none"/>
          <w14:textFill>
            <w14:solidFill>
              <w14:schemeClr w14:val="tx1"/>
            </w14:solidFill>
          </w14:textFill>
        </w:rPr>
        <w:t>排放总量</w:t>
      </w:r>
    </w:p>
    <w:p w14:paraId="0149A06F">
      <w:pPr>
        <w:pStyle w:val="154"/>
        <w:adjustRightInd w:val="0"/>
        <w:snapToGrid w:val="0"/>
        <w:spacing w:line="360" w:lineRule="auto"/>
        <w:ind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1、热风炉污染物：</w:t>
      </w:r>
      <w:r>
        <w:rPr>
          <w:rFonts w:hint="default" w:ascii="Times New Roman" w:hAnsi="Times New Roman" w:eastAsia="宋体" w:cs="Times New Roman"/>
          <w:color w:val="000000" w:themeColor="text1"/>
          <w:sz w:val="21"/>
          <w:szCs w:val="21"/>
          <w:highlight w:val="none"/>
          <w14:textFill>
            <w14:solidFill>
              <w14:schemeClr w14:val="tx1"/>
            </w14:solidFill>
          </w14:textFill>
        </w:rPr>
        <w:t>根据《排污许可证申请与核发技术规范 工业炉窑》（HJ1121-2020）中表6取值表计算本项目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、二氧化硫、</w:t>
      </w:r>
      <w:r>
        <w:rPr>
          <w:rFonts w:hint="default" w:ascii="Times New Roman" w:hAnsi="Times New Roman" w:eastAsia="宋体" w:cs="Times New Roman"/>
          <w:color w:val="000000" w:themeColor="text1"/>
          <w:sz w:val="21"/>
          <w:szCs w:val="21"/>
          <w:highlight w:val="none"/>
          <w14:textFill>
            <w14:solidFill>
              <w14:schemeClr w14:val="tx1"/>
            </w14:solidFill>
          </w14:textFill>
        </w:rPr>
        <w:t>氮氧化物绩效值。本项目低位发热量（Q</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net，ar</w:t>
      </w:r>
      <w:r>
        <w:rPr>
          <w:rFonts w:hint="default" w:ascii="Times New Roman" w:hAnsi="Times New Roman" w:eastAsia="宋体" w:cs="Times New Roman"/>
          <w:color w:val="000000" w:themeColor="text1"/>
          <w:sz w:val="21"/>
          <w:szCs w:val="21"/>
          <w:highlight w:val="none"/>
          <w14:textFill>
            <w14:solidFill>
              <w14:schemeClr w14:val="tx1"/>
            </w14:solidFill>
          </w14:textFill>
        </w:rPr>
        <w:t>）为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17.52</w:t>
      </w:r>
      <w:r>
        <w:rPr>
          <w:rFonts w:hint="default" w:ascii="Times New Roman" w:hAnsi="Times New Roman" w:eastAsia="宋体" w:cs="Times New Roman"/>
          <w:color w:val="000000" w:themeColor="text1"/>
          <w:sz w:val="21"/>
          <w:szCs w:val="21"/>
          <w:highlight w:val="none"/>
          <w14:textFill>
            <w14:solidFill>
              <w14:schemeClr w14:val="tx1"/>
            </w14:solidFill>
          </w14:textFill>
        </w:rPr>
        <w:t>MJ/kg，采用插值法计算绩效值：</w:t>
      </w:r>
    </w:p>
    <w:p w14:paraId="6FDFA93E">
      <w:pPr>
        <w:pStyle w:val="154"/>
        <w:adjustRightInd w:val="0"/>
        <w:snapToGrid w:val="0"/>
        <w:spacing w:line="360" w:lineRule="auto"/>
        <w:ind w:left="0" w:leftChars="0"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highlight w:val="none"/>
          <w14:textFill>
            <w14:solidFill>
              <w14:schemeClr w14:val="tx1"/>
            </w14:solidFill>
          </w14:textFill>
        </w:rPr>
        <w:t>绩效值=0.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0.276</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17.52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16.75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18.84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17.52</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2660</w:t>
      </w:r>
      <w:r>
        <w:rPr>
          <w:rFonts w:hint="default" w:ascii="Times New Roman" w:hAnsi="Times New Roman" w:eastAsia="宋体" w:cs="Times New Roman"/>
          <w:color w:val="000000" w:themeColor="text1"/>
          <w:sz w:val="21"/>
          <w:szCs w:val="21"/>
          <w:highlight w:val="none"/>
          <w14:textFill>
            <w14:solidFill>
              <w14:schemeClr w14:val="tx1"/>
            </w14:solidFill>
          </w14:textFill>
        </w:rPr>
        <w:t>kg/t原料</w:t>
      </w:r>
    </w:p>
    <w:p w14:paraId="700EF721">
      <w:pPr>
        <w:pStyle w:val="154"/>
        <w:adjustRightInd w:val="0"/>
        <w:snapToGrid w:val="0"/>
        <w:spacing w:line="360" w:lineRule="auto"/>
        <w:ind w:left="0" w:leftChars="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二氧化硫绩效值</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=0.839+（0.919-0.839）</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17.52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16.75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18.84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17.52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=0.8857</w:t>
      </w:r>
      <w:r>
        <w:rPr>
          <w:rFonts w:hint="default" w:ascii="Times New Roman" w:hAnsi="Times New Roman" w:eastAsia="宋体" w:cs="Times New Roman"/>
          <w:color w:val="000000" w:themeColor="text1"/>
          <w:sz w:val="21"/>
          <w:szCs w:val="21"/>
          <w:highlight w:val="none"/>
          <w14:textFill>
            <w14:solidFill>
              <w14:schemeClr w14:val="tx1"/>
            </w14:solidFill>
          </w14:textFill>
        </w:rPr>
        <w:t>kg/t原料</w:t>
      </w:r>
    </w:p>
    <w:p w14:paraId="1BE05A14">
      <w:pPr>
        <w:pStyle w:val="154"/>
        <w:adjustRightInd w:val="0"/>
        <w:snapToGrid w:val="0"/>
        <w:spacing w:line="360" w:lineRule="auto"/>
        <w:ind w:left="0" w:leftChars="0"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氮氧化合物绩效值=</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2.516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2.756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2.516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17.52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16.75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18.84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17.52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2.656</w:t>
      </w:r>
      <w:r>
        <w:rPr>
          <w:rFonts w:hint="default" w:ascii="Times New Roman" w:hAnsi="Times New Roman" w:eastAsia="宋体" w:cs="Times New Roman"/>
          <w:color w:val="000000" w:themeColor="text1"/>
          <w:sz w:val="21"/>
          <w:szCs w:val="21"/>
          <w:highlight w:val="none"/>
          <w14:textFill>
            <w14:solidFill>
              <w14:schemeClr w14:val="tx1"/>
            </w14:solidFill>
          </w14:textFill>
        </w:rPr>
        <w:t>kg/t原料</w:t>
      </w:r>
    </w:p>
    <w:p w14:paraId="4FBBA216">
      <w:pPr>
        <w:pStyle w:val="154"/>
        <w:adjustRightInd w:val="0"/>
        <w:snapToGrid w:val="0"/>
        <w:spacing w:line="500" w:lineRule="exact"/>
        <w:ind w:firstLine="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表1加热炉、热处理炉、干燥炉（窑）排放口参考绩效值表</w:t>
      </w:r>
    </w:p>
    <w:p w14:paraId="69AE3006">
      <w:pPr>
        <w:pStyle w:val="154"/>
        <w:adjustRightInd w:val="0"/>
        <w:snapToGrid w:val="0"/>
        <w:ind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274310" cy="1818640"/>
            <wp:effectExtent l="0" t="0" r="2540" b="1016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31"/>
                    <a:stretch>
                      <a:fillRect/>
                    </a:stretch>
                  </pic:blipFill>
                  <pic:spPr>
                    <a:xfrm>
                      <a:off x="0" y="0"/>
                      <a:ext cx="5274310" cy="1818640"/>
                    </a:xfrm>
                    <a:prstGeom prst="rect">
                      <a:avLst/>
                    </a:prstGeom>
                    <a:noFill/>
                    <a:ln>
                      <a:noFill/>
                    </a:ln>
                  </pic:spPr>
                </pic:pic>
              </a:graphicData>
            </a:graphic>
          </wp:inline>
        </w:drawing>
      </w:r>
    </w:p>
    <w:p w14:paraId="7FF47165">
      <w:pPr>
        <w:pStyle w:val="154"/>
        <w:adjustRightInd w:val="0"/>
        <w:snapToGrid w:val="0"/>
        <w:spacing w:line="360" w:lineRule="auto"/>
        <w:ind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根据《排污许可证申请与核发技术规范 工业炉窑》（HJ1121-2020）绩效值法核算方法</w:t>
      </w:r>
    </w:p>
    <w:p w14:paraId="7B536BD0">
      <w:pPr>
        <w:spacing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drawing>
          <wp:inline distT="0" distB="0" distL="114300" distR="114300">
            <wp:extent cx="1423035" cy="742315"/>
            <wp:effectExtent l="0" t="0" r="5715" b="63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32"/>
                    <a:stretch>
                      <a:fillRect/>
                    </a:stretch>
                  </pic:blipFill>
                  <pic:spPr>
                    <a:xfrm>
                      <a:off x="0" y="0"/>
                      <a:ext cx="1423035" cy="742315"/>
                    </a:xfrm>
                    <a:prstGeom prst="rect">
                      <a:avLst/>
                    </a:prstGeom>
                    <a:noFill/>
                    <a:ln>
                      <a:noFill/>
                    </a:ln>
                  </pic:spPr>
                </pic:pic>
              </a:graphicData>
            </a:graphic>
          </wp:inline>
        </w:drawing>
      </w:r>
    </w:p>
    <w:p w14:paraId="51E73B17">
      <w:pPr>
        <w:pStyle w:val="154"/>
        <w:adjustRightInd w:val="0"/>
        <w:snapToGrid w:val="0"/>
        <w:spacing w:line="360" w:lineRule="auto"/>
        <w:ind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式中：Mi——第i个排放口污染物年许可排放量，t；</w:t>
      </w:r>
    </w:p>
    <w:p w14:paraId="66904510">
      <w:pPr>
        <w:pStyle w:val="154"/>
        <w:adjustRightInd w:val="0"/>
        <w:snapToGrid w:val="0"/>
        <w:spacing w:line="360" w:lineRule="auto"/>
        <w:ind w:firstLine="1050" w:firstLineChars="5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R——第i个排放口对应工业炉窑前三年实际产量最大值（若不足一年或前三年实际产量最大值超过设计产能，则以设计产能为准）或前三年实际燃料消耗量最大值（若不足一年或前三年实际燃料消耗量最大值超过设计消耗量，则以设计消耗量为准），万t或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20436B37">
      <w:pPr>
        <w:pStyle w:val="154"/>
        <w:adjustRightInd w:val="0"/>
        <w:snapToGrid w:val="0"/>
        <w:spacing w:line="360" w:lineRule="auto"/>
        <w:ind w:firstLine="1050" w:firstLineChars="5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G——绩效值，kg/t产品，kg/t燃料或kg/m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燃料；</w:t>
      </w:r>
    </w:p>
    <w:p w14:paraId="27DCFE3A">
      <w:pPr>
        <w:pStyle w:val="154"/>
        <w:adjustRightInd w:val="0"/>
        <w:snapToGrid w:val="0"/>
        <w:spacing w:line="360" w:lineRule="auto"/>
        <w:ind w:firstLine="1050" w:firstLineChars="5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E</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年许可</w:t>
      </w:r>
      <w:r>
        <w:rPr>
          <w:rFonts w:hint="default" w:ascii="Times New Roman" w:hAnsi="Times New Roman" w:eastAsia="宋体" w:cs="Times New Roman"/>
          <w:color w:val="000000" w:themeColor="text1"/>
          <w:sz w:val="21"/>
          <w:szCs w:val="21"/>
          <w:highlight w:val="none"/>
          <w14:textFill>
            <w14:solidFill>
              <w14:schemeClr w14:val="tx1"/>
            </w14:solidFill>
          </w14:textFill>
        </w:rPr>
        <w:t>——污染物年许可排放量，t。</w:t>
      </w:r>
    </w:p>
    <w:p w14:paraId="5B432D29">
      <w:pPr>
        <w:pStyle w:val="154"/>
        <w:adjustRightInd w:val="0"/>
        <w:snapToGrid w:val="0"/>
        <w:spacing w:line="360" w:lineRule="auto"/>
        <w:ind w:firstLineChars="20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本项目为一个烟囱排放口则i=1，设计消耗量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4300.7</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p w14:paraId="0523E891">
      <w:pPr>
        <w:pStyle w:val="154"/>
        <w:adjustRightInd w:val="0"/>
        <w:snapToGrid w:val="0"/>
        <w:spacing w:line="360" w:lineRule="auto"/>
        <w:ind w:firstLineChars="20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则E</w:t>
      </w:r>
      <w:r>
        <w:rPr>
          <w:rFonts w:hint="default" w:ascii="Times New Roman" w:hAnsi="Times New Roman" w:eastAsia="宋体" w:cs="Times New Roman"/>
          <w:color w:val="000000" w:themeColor="text1"/>
          <w:sz w:val="21"/>
          <w:szCs w:val="21"/>
          <w:highlight w:val="none"/>
          <w:vertAlign w:val="subscript"/>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4300.7</w:t>
      </w:r>
      <w:r>
        <w:rPr>
          <w:rFonts w:hint="default" w:ascii="Times New Roman" w:hAnsi="Times New Roman" w:eastAsia="宋体" w:cs="Times New Roman"/>
          <w:color w:val="000000" w:themeColor="text1"/>
          <w:sz w:val="21"/>
          <w:szCs w:val="21"/>
          <w:highlight w:val="none"/>
          <w14:textFill>
            <w14:solidFill>
              <w14:schemeClr w14:val="tx1"/>
            </w14:solidFill>
          </w14:textFill>
        </w:rPr>
        <w:t>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2660</w:t>
      </w:r>
      <w:r>
        <w:rPr>
          <w:rFonts w:hint="default" w:ascii="Times New Roman" w:hAnsi="Times New Roman" w:eastAsia="宋体" w:cs="Times New Roman"/>
          <w:color w:val="000000" w:themeColor="text1"/>
          <w:sz w:val="21"/>
          <w:szCs w:val="21"/>
          <w:highlight w:val="none"/>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1.144</w:t>
      </w:r>
      <w:r>
        <w:rPr>
          <w:rFonts w:hint="default" w:ascii="Times New Roman" w:hAnsi="Times New Roman" w:eastAsia="宋体" w:cs="Times New Roman"/>
          <w:color w:val="000000" w:themeColor="text1"/>
          <w:sz w:val="21"/>
          <w:szCs w:val="21"/>
          <w:highlight w:val="none"/>
          <w14:textFill>
            <w14:solidFill>
              <w14:schemeClr w14:val="tx1"/>
            </w14:solidFill>
          </w14:textFill>
        </w:rPr>
        <w:t>t</w:t>
      </w:r>
    </w:p>
    <w:p w14:paraId="47D3B72F">
      <w:pPr>
        <w:pStyle w:val="154"/>
        <w:adjustRightInd w:val="0"/>
        <w:snapToGrid w:val="0"/>
        <w:spacing w:line="360" w:lineRule="auto"/>
        <w:ind w:firstLine="630" w:firstLineChars="300"/>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E</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SO2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4300.7</w:t>
      </w:r>
      <w:r>
        <w:rPr>
          <w:rFonts w:hint="default" w:ascii="Times New Roman" w:hAnsi="Times New Roman" w:eastAsia="宋体" w:cs="Times New Roman"/>
          <w:color w:val="000000" w:themeColor="text1"/>
          <w:sz w:val="21"/>
          <w:szCs w:val="21"/>
          <w:highlight w:val="none"/>
          <w14:textFill>
            <w14:solidFill>
              <w14:schemeClr w14:val="tx1"/>
            </w14:solidFill>
          </w14:textFill>
        </w:rPr>
        <w:t>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0.8857</w:t>
      </w:r>
      <w:r>
        <w:rPr>
          <w:rFonts w:hint="default" w:ascii="Times New Roman" w:hAnsi="Times New Roman" w:eastAsia="宋体" w:cs="Times New Roman"/>
          <w:color w:val="000000" w:themeColor="text1"/>
          <w:sz w:val="21"/>
          <w:szCs w:val="21"/>
          <w:highlight w:val="none"/>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3.809t</w:t>
      </w:r>
    </w:p>
    <w:p w14:paraId="0C290211">
      <w:pPr>
        <w:pStyle w:val="154"/>
        <w:adjustRightInd w:val="0"/>
        <w:snapToGrid w:val="0"/>
        <w:spacing w:line="360" w:lineRule="auto"/>
        <w:ind w:firstLine="630" w:firstLineChars="3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E</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NOX</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4300.7</w:t>
      </w:r>
      <w:r>
        <w:rPr>
          <w:rFonts w:hint="default" w:ascii="Times New Roman" w:hAnsi="Times New Roman" w:eastAsia="宋体" w:cs="Times New Roman"/>
          <w:color w:val="000000" w:themeColor="text1"/>
          <w:sz w:val="21"/>
          <w:szCs w:val="21"/>
          <w:highlight w:val="none"/>
          <w14:textFill>
            <w14:solidFill>
              <w14:schemeClr w14:val="tx1"/>
            </w14:solidFill>
          </w14:textFill>
        </w:rPr>
        <w:t>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2.656</w:t>
      </w:r>
      <w:r>
        <w:rPr>
          <w:rFonts w:hint="default" w:ascii="Times New Roman" w:hAnsi="Times New Roman" w:eastAsia="宋体" w:cs="Times New Roman"/>
          <w:color w:val="000000" w:themeColor="text1"/>
          <w:sz w:val="21"/>
          <w:szCs w:val="21"/>
          <w:highlight w:val="none"/>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11.423</w:t>
      </w:r>
      <w:r>
        <w:rPr>
          <w:rFonts w:hint="default" w:ascii="Times New Roman" w:hAnsi="Times New Roman" w:eastAsia="宋体" w:cs="Times New Roman"/>
          <w:color w:val="000000" w:themeColor="text1"/>
          <w:sz w:val="21"/>
          <w:szCs w:val="21"/>
          <w:highlight w:val="none"/>
          <w14:textFill>
            <w14:solidFill>
              <w14:schemeClr w14:val="tx1"/>
            </w14:solidFill>
          </w14:textFill>
        </w:rPr>
        <w:t>t</w:t>
      </w:r>
    </w:p>
    <w:p w14:paraId="6F2728A3">
      <w:pPr>
        <w:pStyle w:val="155"/>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w:t>
      </w:r>
      <w:bookmarkStart w:id="17" w:name="_Toc219"/>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厂区无组织排放粉尘</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量为2.099t/a。</w:t>
      </w:r>
    </w:p>
    <w:p w14:paraId="572AE75F">
      <w:pPr>
        <w:pStyle w:val="8"/>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则本项目颗粒物核定排放总量为1.144</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t/a，二氧化硫</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核定排放总量为3.809</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t/a，氮氧化物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核定排放总量为11.423</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无组织排放粉尘</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量为2.099t/a。</w:t>
      </w:r>
    </w:p>
    <w:p w14:paraId="0F2E040B">
      <w:pPr>
        <w:pStyle w:val="2"/>
        <w:spacing w:line="260" w:lineRule="auto"/>
        <w:ind w:left="0" w:firstLine="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附件</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 生态环境分区管控分析报告</w:t>
      </w:r>
    </w:p>
    <w:p w14:paraId="43C0C9EF">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7650480" cy="4641215"/>
            <wp:effectExtent l="0" t="0" r="7620" b="698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3"/>
                    <a:stretch>
                      <a:fillRect/>
                    </a:stretch>
                  </pic:blipFill>
                  <pic:spPr>
                    <a:xfrm>
                      <a:off x="0" y="0"/>
                      <a:ext cx="7650480" cy="464121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7809230" cy="4404360"/>
            <wp:effectExtent l="0" t="0" r="1270" b="1524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34"/>
                    <a:stretch>
                      <a:fillRect/>
                    </a:stretch>
                  </pic:blipFill>
                  <pic:spPr>
                    <a:xfrm>
                      <a:off x="0" y="0"/>
                      <a:ext cx="7809230" cy="440436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7762240" cy="4648200"/>
            <wp:effectExtent l="0" t="0" r="1016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5"/>
                    <a:stretch>
                      <a:fillRect/>
                    </a:stretch>
                  </pic:blipFill>
                  <pic:spPr>
                    <a:xfrm>
                      <a:off x="0" y="0"/>
                      <a:ext cx="7762240" cy="464820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7680325" cy="4775835"/>
            <wp:effectExtent l="0" t="0" r="15875" b="57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36"/>
                    <a:stretch>
                      <a:fillRect/>
                    </a:stretch>
                  </pic:blipFill>
                  <pic:spPr>
                    <a:xfrm>
                      <a:off x="0" y="0"/>
                      <a:ext cx="7680325" cy="477583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8020050" cy="4933950"/>
            <wp:effectExtent l="0" t="0" r="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7"/>
                    <a:stretch>
                      <a:fillRect/>
                    </a:stretch>
                  </pic:blipFill>
                  <pic:spPr>
                    <a:xfrm>
                      <a:off x="0" y="0"/>
                      <a:ext cx="8020050" cy="49339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7890510" cy="4966335"/>
            <wp:effectExtent l="0" t="0" r="15240" b="5715"/>
            <wp:docPr id="1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7"/>
                    <pic:cNvPicPr>
                      <a:picLocks noChangeAspect="1"/>
                    </pic:cNvPicPr>
                  </pic:nvPicPr>
                  <pic:blipFill>
                    <a:blip r:embed="rId38"/>
                    <a:stretch>
                      <a:fillRect/>
                    </a:stretch>
                  </pic:blipFill>
                  <pic:spPr>
                    <a:xfrm>
                      <a:off x="0" y="0"/>
                      <a:ext cx="7890510" cy="496633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7488555" cy="4636770"/>
            <wp:effectExtent l="0" t="0" r="17145" b="11430"/>
            <wp:docPr id="1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7"/>
                    <pic:cNvPicPr>
                      <a:picLocks noChangeAspect="1"/>
                    </pic:cNvPicPr>
                  </pic:nvPicPr>
                  <pic:blipFill>
                    <a:blip r:embed="rId39"/>
                    <a:stretch>
                      <a:fillRect/>
                    </a:stretch>
                  </pic:blipFill>
                  <pic:spPr>
                    <a:xfrm>
                      <a:off x="0" y="0"/>
                      <a:ext cx="7488555" cy="463677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7781290" cy="4959350"/>
            <wp:effectExtent l="0" t="0" r="10160" b="12700"/>
            <wp:docPr id="1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8"/>
                    <pic:cNvPicPr>
                      <a:picLocks noChangeAspect="1"/>
                    </pic:cNvPicPr>
                  </pic:nvPicPr>
                  <pic:blipFill>
                    <a:blip r:embed="rId40"/>
                    <a:stretch>
                      <a:fillRect/>
                    </a:stretch>
                  </pic:blipFill>
                  <pic:spPr>
                    <a:xfrm>
                      <a:off x="0" y="0"/>
                      <a:ext cx="7781290" cy="49593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7897495" cy="4700905"/>
            <wp:effectExtent l="0" t="0" r="8255" b="444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41"/>
                    <a:stretch>
                      <a:fillRect/>
                    </a:stretch>
                  </pic:blipFill>
                  <pic:spPr>
                    <a:xfrm>
                      <a:off x="0" y="0"/>
                      <a:ext cx="7897495" cy="4700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7870190" cy="4918075"/>
            <wp:effectExtent l="0" t="0" r="16510" b="1587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42"/>
                    <a:stretch>
                      <a:fillRect/>
                    </a:stretch>
                  </pic:blipFill>
                  <pic:spPr>
                    <a:xfrm>
                      <a:off x="0" y="0"/>
                      <a:ext cx="7870190" cy="4918075"/>
                    </a:xfrm>
                    <a:prstGeom prst="rect">
                      <a:avLst/>
                    </a:prstGeom>
                    <a:noFill/>
                    <a:ln>
                      <a:noFill/>
                    </a:ln>
                  </pic:spPr>
                </pic:pic>
              </a:graphicData>
            </a:graphic>
          </wp:inline>
        </w:drawing>
      </w:r>
    </w:p>
    <w:p w14:paraId="77C61ECC">
      <w:pPr>
        <w:pStyle w:val="12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eastAsia="宋体" w:cs="Times New Roman"/>
          <w:bCs w:val="0"/>
          <w:color w:val="000000" w:themeColor="text1"/>
          <w:sz w:val="21"/>
          <w:szCs w:val="21"/>
          <w:highlight w:val="none"/>
          <w:lang w:val="en-US" w:eastAsia="zh-CN"/>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5BE514AA">
      <w:pPr>
        <w:spacing w:line="240" w:lineRule="auto"/>
        <w:jc w:val="center"/>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drawing>
          <wp:anchor distT="0" distB="0" distL="114300" distR="114300" simplePos="0" relativeHeight="251683840" behindDoc="0" locked="0" layoutInCell="1" allowOverlap="1">
            <wp:simplePos x="0" y="0"/>
            <wp:positionH relativeFrom="column">
              <wp:posOffset>6844030</wp:posOffset>
            </wp:positionH>
            <wp:positionV relativeFrom="paragraph">
              <wp:posOffset>66675</wp:posOffset>
            </wp:positionV>
            <wp:extent cx="904240" cy="838200"/>
            <wp:effectExtent l="0" t="0" r="10160" b="0"/>
            <wp:wrapNone/>
            <wp:docPr id="196" name="图片 2" descr="鸡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 descr="鸡西风玫瑰"/>
                    <pic:cNvPicPr>
                      <a:picLocks noChangeAspect="1"/>
                    </pic:cNvPicPr>
                  </pic:nvPicPr>
                  <pic:blipFill>
                    <a:blip r:embed="rId12"/>
                    <a:stretch>
                      <a:fillRect/>
                    </a:stretch>
                  </pic:blipFill>
                  <pic:spPr>
                    <a:xfrm>
                      <a:off x="0" y="0"/>
                      <a:ext cx="904240" cy="838200"/>
                    </a:xfrm>
                    <a:prstGeom prst="rect">
                      <a:avLst/>
                    </a:prstGeom>
                    <a:noFill/>
                    <a:ln>
                      <a:noFill/>
                    </a:ln>
                  </pic:spPr>
                </pic:pic>
              </a:graphicData>
            </a:graphic>
          </wp:anchor>
        </w:drawing>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6184900</wp:posOffset>
                </wp:positionH>
                <wp:positionV relativeFrom="paragraph">
                  <wp:posOffset>4361180</wp:posOffset>
                </wp:positionV>
                <wp:extent cx="106680" cy="96520"/>
                <wp:effectExtent l="9525" t="9525" r="17145" b="27305"/>
                <wp:wrapNone/>
                <wp:docPr id="88" name="矩形 88"/>
                <wp:cNvGraphicFramePr/>
                <a:graphic xmlns:a="http://schemas.openxmlformats.org/drawingml/2006/main">
                  <a:graphicData uri="http://schemas.microsoft.com/office/word/2010/wordprocessingShape">
                    <wps:wsp>
                      <wps:cNvSpPr/>
                      <wps:spPr>
                        <a:xfrm>
                          <a:off x="0" y="0"/>
                          <a:ext cx="106680" cy="965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7pt;margin-top:343.4pt;height:7.6pt;width:8.4pt;z-index:251678720;v-text-anchor:middle;mso-width-relative:page;mso-height-relative:page;" filled="f" stroked="t" coordsize="21600,21600" o:gfxdata="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cfNtkAAAALAQAADwAAAAAAAAABACAAAAAiAAAAZHJzL2Rvd25yZXYueG1sUEsBAhQAFAAAAAgA&#10;h07iQHTa9i5dAgAAtAQAAA4AAAAAAAAAAQAgAAAAKAEAAGRycy9lMm9Eb2MueG1sUEsFBgAAAAAG&#10;AAYAWQEAAPcFAAAAAA==&#10;">
                <v:fill on="f" focussize="0,0"/>
                <v:stroke weight="1.5pt" color="#FF0000 [3204]" joinstyle="round"/>
                <v:imagedata o:title=""/>
                <o:lock v:ext="edit" aspectratio="f"/>
              </v:rect>
            </w:pict>
          </mc:Fallback>
        </mc:AlternateContent>
      </w:r>
      <w:r>
        <w:rPr>
          <w:rFonts w:hint="default" w:ascii="Times New Roman" w:hAnsi="Times New Roman" w:eastAsia="宋体" w:cs="Times New Roman"/>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3206750</wp:posOffset>
                </wp:positionH>
                <wp:positionV relativeFrom="paragraph">
                  <wp:posOffset>1663700</wp:posOffset>
                </wp:positionV>
                <wp:extent cx="773430" cy="328930"/>
                <wp:effectExtent l="4445" t="4445" r="269875" b="257175"/>
                <wp:wrapNone/>
                <wp:docPr id="28" name="圆角矩形标注 28"/>
                <wp:cNvGraphicFramePr/>
                <a:graphic xmlns:a="http://schemas.openxmlformats.org/drawingml/2006/main">
                  <a:graphicData uri="http://schemas.microsoft.com/office/word/2010/wordprocessingShape">
                    <wps:wsp>
                      <wps:cNvSpPr/>
                      <wps:spPr>
                        <a:xfrm>
                          <a:off x="0" y="0"/>
                          <a:ext cx="773430" cy="328930"/>
                        </a:xfrm>
                        <a:prstGeom prst="wedgeRoundRectCallout">
                          <a:avLst>
                            <a:gd name="adj1" fmla="val 78243"/>
                            <a:gd name="adj2" fmla="val 117237"/>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14:paraId="1E18AC36">
                            <w:pPr>
                              <w:rPr>
                                <w:rFonts w:ascii="Calibri" w:hAnsi="Calibri"/>
                              </w:rPr>
                            </w:pPr>
                            <w:r>
                              <w:rPr>
                                <w:rFonts w:ascii="Calibri" w:hAnsi="Calibri"/>
                              </w:rPr>
                              <w:t>项目</w:t>
                            </w:r>
                            <w:r>
                              <w:rPr>
                                <w:rFonts w:hint="eastAsia" w:ascii="Calibri" w:hAnsi="Calibri"/>
                              </w:rPr>
                              <w:t>位置</w:t>
                            </w:r>
                          </w:p>
                        </w:txbxContent>
                      </wps:txbx>
                      <wps:bodyPr upright="1"/>
                    </wps:wsp>
                  </a:graphicData>
                </a:graphic>
              </wp:anchor>
            </w:drawing>
          </mc:Choice>
          <mc:Fallback>
            <w:pict>
              <v:shape id="_x0000_s1026" o:spid="_x0000_s1026" o:spt="62" type="#_x0000_t62" style="position:absolute;left:0pt;margin-left:252.5pt;margin-top:131pt;height:25.9pt;width:60.9pt;z-index:251664384;mso-width-relative:page;mso-height-relative:page;" fillcolor="#FFFFFF" filled="t" stroked="t" coordsize="21600,21600" o:gfxdata="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t8XBHZ&#10;AAAACwEAAA8AAAAAAAAAAQAgAAAAIgAAAGRycy9kb3ducmV2LnhtbFBLAQIUABQAAAAIAIdO4kCM&#10;JYocWAIAAMsEAAAOAAAAAAAAAAEAIAAAACgBAABkcnMvZTJvRG9jLnhtbFBLBQYAAAAABgAGAFkB&#10;AADyBQAAAAA=&#10;" adj="27700,36123,14400">
                <v:fill on="t" focussize="0,0"/>
                <v:stroke color="#000000" joinstyle="miter"/>
                <v:imagedata o:title=""/>
                <o:lock v:ext="edit" aspectratio="f"/>
                <v:textbox>
                  <w:txbxContent>
                    <w:p w14:paraId="1E18AC36">
                      <w:pPr>
                        <w:rPr>
                          <w:rFonts w:ascii="Calibri" w:hAnsi="Calibri"/>
                        </w:rPr>
                      </w:pPr>
                      <w:r>
                        <w:rPr>
                          <w:rFonts w:ascii="Calibri" w:hAnsi="Calibri"/>
                        </w:rPr>
                        <w:t>项目</w:t>
                      </w:r>
                      <w:r>
                        <w:rPr>
                          <w:rFonts w:hint="eastAsia" w:ascii="Calibri" w:hAnsi="Calibri"/>
                        </w:rPr>
                        <w:t>位置</w:t>
                      </w:r>
                    </w:p>
                  </w:txbxContent>
                </v:textbox>
              </v:shape>
            </w:pict>
          </mc:Fallback>
        </mc:AlternateContent>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6746240" cy="4896485"/>
            <wp:effectExtent l="0" t="0" r="16510" b="1841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3"/>
                    <a:stretch>
                      <a:fillRect/>
                    </a:stretch>
                  </pic:blipFill>
                  <pic:spPr>
                    <a:xfrm>
                      <a:off x="0" y="0"/>
                      <a:ext cx="6746240" cy="489648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6019165</wp:posOffset>
                </wp:positionH>
                <wp:positionV relativeFrom="paragraph">
                  <wp:posOffset>4050030</wp:posOffset>
                </wp:positionV>
                <wp:extent cx="1710690" cy="904240"/>
                <wp:effectExtent l="4445" t="4445" r="18415" b="5715"/>
                <wp:wrapNone/>
                <wp:docPr id="31" name="文本框 31"/>
                <wp:cNvGraphicFramePr/>
                <a:graphic xmlns:a="http://schemas.openxmlformats.org/drawingml/2006/main">
                  <a:graphicData uri="http://schemas.microsoft.com/office/word/2010/wordprocessingShape">
                    <wps:wsp>
                      <wps:cNvSpPr txBox="1"/>
                      <wps:spPr>
                        <a:xfrm>
                          <a:off x="0" y="0"/>
                          <a:ext cx="1710690" cy="904240"/>
                        </a:xfrm>
                        <a:prstGeom prst="rect">
                          <a:avLst/>
                        </a:prstGeom>
                        <a:solidFill>
                          <a:srgbClr val="FFFFFF"/>
                        </a:solidFill>
                        <a:ln w="9525" cap="flat" cmpd="sng">
                          <a:solidFill>
                            <a:srgbClr val="0070C0"/>
                          </a:solidFill>
                          <a:prstDash val="solid"/>
                          <a:miter/>
                          <a:headEnd type="none" w="med" len="med"/>
                          <a:tailEnd type="none" w="med" len="med"/>
                        </a:ln>
                      </wps:spPr>
                      <wps:txbx>
                        <w:txbxContent>
                          <w:p w14:paraId="4DC96A83">
                            <w:pPr>
                              <w:jc w:val="center"/>
                              <w:rPr>
                                <w:rFonts w:hint="eastAsia"/>
                              </w:rPr>
                            </w:pPr>
                            <w:r>
                              <w:rPr>
                                <w:rFonts w:hint="eastAsia"/>
                              </w:rPr>
                              <w:t>图  例</w:t>
                            </w:r>
                          </w:p>
                          <w:p w14:paraId="180AB781">
                            <w:pPr>
                              <w:keepNext w:val="0"/>
                              <w:keepLines w:val="0"/>
                              <w:pageBreakBefore w:val="0"/>
                              <w:widowControl w:val="0"/>
                              <w:kinsoku/>
                              <w:wordWrap/>
                              <w:overflowPunct/>
                              <w:topLinePunct w:val="0"/>
                              <w:bidi w:val="0"/>
                              <w:adjustRightInd/>
                              <w:snapToGrid/>
                              <w:ind w:firstLine="420" w:firstLineChars="200"/>
                              <w:textAlignment w:val="auto"/>
                              <w:rPr>
                                <w:rFonts w:hint="eastAsia"/>
                                <w:lang w:val="en-US" w:eastAsia="zh-CN"/>
                              </w:rPr>
                            </w:pPr>
                            <w:r>
                              <w:rPr>
                                <w:rFonts w:hint="eastAsia"/>
                                <w:lang w:val="en-US" w:eastAsia="zh-CN"/>
                              </w:rPr>
                              <w:t>项目位置</w:t>
                            </w:r>
                          </w:p>
                          <w:p w14:paraId="27F8658A">
                            <w:pPr>
                              <w:keepNext w:val="0"/>
                              <w:keepLines w:val="0"/>
                              <w:pageBreakBefore w:val="0"/>
                              <w:widowControl w:val="0"/>
                              <w:kinsoku/>
                              <w:wordWrap/>
                              <w:overflowPunct/>
                              <w:topLinePunct w:val="0"/>
                              <w:bidi w:val="0"/>
                              <w:adjustRightInd/>
                              <w:snapToGrid/>
                              <w:textAlignment w:val="auto"/>
                              <w:rPr>
                                <w:rFonts w:hint="default"/>
                                <w:lang w:val="en-US" w:eastAsia="zh-CN"/>
                              </w:rPr>
                            </w:pPr>
                            <w:r>
                              <w:rPr>
                                <w:rFonts w:hint="eastAsia"/>
                                <w:lang w:val="en-US" w:eastAsia="zh-CN"/>
                              </w:rPr>
                              <w:t>比例尺 1:72223</w:t>
                            </w:r>
                          </w:p>
                          <w:p w14:paraId="26D3F982">
                            <w:pPr>
                              <w:pStyle w:val="43"/>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473.95pt;margin-top:318.9pt;height:71.2pt;width:134.7pt;z-index:251677696;mso-width-relative:page;mso-height-relative:page;" fillcolor="#FFFFFF" filled="t" stroked="t" coordsize="21600,21600" o:gfxdata="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2KbbAAAADAEAAA8AAAAA&#10;AAAAAQAgAAAAIgAAAGRycy9kb3ducmV2LnhtbFBLAQIUABQAAAAIAIdO4kBeNym0EQIAADgEAAAO&#10;AAAAAAAAAAEAIAAAACoBAABkcnMvZTJvRG9jLnhtbFBLBQYAAAAABgAGAFkBAACtBQAAAAA=&#10;">
                <v:fill on="t" focussize="0,0"/>
                <v:stroke color="#0070C0" joinstyle="miter"/>
                <v:imagedata o:title=""/>
                <o:lock v:ext="edit" aspectratio="f"/>
                <v:textbox>
                  <w:txbxContent>
                    <w:p w14:paraId="4DC96A83">
                      <w:pPr>
                        <w:jc w:val="center"/>
                        <w:rPr>
                          <w:rFonts w:hint="eastAsia"/>
                        </w:rPr>
                      </w:pPr>
                      <w:r>
                        <w:rPr>
                          <w:rFonts w:hint="eastAsia"/>
                        </w:rPr>
                        <w:t>图  例</w:t>
                      </w:r>
                    </w:p>
                    <w:p w14:paraId="180AB781">
                      <w:pPr>
                        <w:keepNext w:val="0"/>
                        <w:keepLines w:val="0"/>
                        <w:pageBreakBefore w:val="0"/>
                        <w:widowControl w:val="0"/>
                        <w:kinsoku/>
                        <w:wordWrap/>
                        <w:overflowPunct/>
                        <w:topLinePunct w:val="0"/>
                        <w:bidi w:val="0"/>
                        <w:adjustRightInd/>
                        <w:snapToGrid/>
                        <w:ind w:firstLine="420" w:firstLineChars="200"/>
                        <w:textAlignment w:val="auto"/>
                        <w:rPr>
                          <w:rFonts w:hint="eastAsia"/>
                          <w:lang w:val="en-US" w:eastAsia="zh-CN"/>
                        </w:rPr>
                      </w:pPr>
                      <w:r>
                        <w:rPr>
                          <w:rFonts w:hint="eastAsia"/>
                          <w:lang w:val="en-US" w:eastAsia="zh-CN"/>
                        </w:rPr>
                        <w:t>项目位置</w:t>
                      </w:r>
                    </w:p>
                    <w:p w14:paraId="27F8658A">
                      <w:pPr>
                        <w:keepNext w:val="0"/>
                        <w:keepLines w:val="0"/>
                        <w:pageBreakBefore w:val="0"/>
                        <w:widowControl w:val="0"/>
                        <w:kinsoku/>
                        <w:wordWrap/>
                        <w:overflowPunct/>
                        <w:topLinePunct w:val="0"/>
                        <w:bidi w:val="0"/>
                        <w:adjustRightInd/>
                        <w:snapToGrid/>
                        <w:textAlignment w:val="auto"/>
                        <w:rPr>
                          <w:rFonts w:hint="default"/>
                          <w:lang w:val="en-US" w:eastAsia="zh-CN"/>
                        </w:rPr>
                      </w:pPr>
                      <w:r>
                        <w:rPr>
                          <w:rFonts w:hint="eastAsia"/>
                          <w:lang w:val="en-US" w:eastAsia="zh-CN"/>
                        </w:rPr>
                        <w:t>比例尺 1:72223</w:t>
                      </w:r>
                    </w:p>
                    <w:p w14:paraId="26D3F982">
                      <w:pPr>
                        <w:pStyle w:val="43"/>
                        <w:rPr>
                          <w:rFonts w:hint="default"/>
                          <w:lang w:val="en-US" w:eastAsia="zh-CN"/>
                        </w:rPr>
                      </w:pPr>
                    </w:p>
                  </w:txbxContent>
                </v:textbox>
              </v:shape>
            </w:pict>
          </mc:Fallback>
        </mc:AlternateContent>
      </w:r>
    </w:p>
    <w:p w14:paraId="165055BB">
      <w:pPr>
        <w:pStyle w:val="2"/>
        <w:jc w:val="center"/>
        <w:rPr>
          <w:rFonts w:hint="default" w:ascii="Times New Roman" w:hAnsi="Times New Roman" w:eastAsia="宋体" w:cs="Times New Roman"/>
          <w:snapToGrid w:val="0"/>
          <w:color w:val="000000" w:themeColor="text1"/>
          <w:kern w:val="21"/>
          <w:sz w:val="30"/>
          <w:szCs w:val="30"/>
          <w:highlight w:val="none"/>
          <w14:textFill>
            <w14:solidFill>
              <w14:schemeClr w14:val="tx1"/>
            </w14:solidFill>
          </w14:textFill>
        </w:rPr>
        <w:sectPr>
          <w:pgSz w:w="16781" w:h="11849" w:orient="landscape"/>
          <w:pgMar w:top="1701" w:right="1531" w:bottom="1701" w:left="1531" w:header="851" w:footer="1077" w:gutter="0"/>
          <w:pgBorders>
            <w:top w:val="none" w:sz="0" w:space="0"/>
            <w:left w:val="none" w:sz="0" w:space="0"/>
            <w:bottom w:val="none" w:sz="0" w:space="0"/>
            <w:right w:val="none" w:sz="0" w:space="0"/>
          </w:pgBorders>
          <w:pgNumType w:fmt="numberInDash"/>
          <w:cols w:space="0" w:num="1"/>
          <w:docGrid w:type="lines" w:linePitch="316" w:charSpace="0"/>
        </w:sectPr>
      </w:pPr>
      <w:r>
        <w:rPr>
          <w:rFonts w:hint="default" w:ascii="Times New Roman" w:hAnsi="Times New Roman" w:eastAsia="宋体" w:cs="Times New Roman"/>
          <w:color w:val="000000" w:themeColor="text1"/>
          <w:sz w:val="21"/>
          <w:szCs w:val="21"/>
          <w:highlight w:val="none"/>
          <w14:textFill>
            <w14:solidFill>
              <w14:schemeClr w14:val="tx1"/>
            </w14:solidFill>
          </w14:textFill>
        </w:rPr>
        <w:t>附图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 </w:t>
      </w:r>
      <w:r>
        <w:rPr>
          <w:rFonts w:hint="default" w:ascii="Times New Roman" w:hAnsi="Times New Roman" w:eastAsia="宋体" w:cs="Times New Roman"/>
          <w:color w:val="000000" w:themeColor="text1"/>
          <w:sz w:val="21"/>
          <w:szCs w:val="21"/>
          <w:highlight w:val="none"/>
          <w14:textFill>
            <w14:solidFill>
              <w14:schemeClr w14:val="tx1"/>
            </w14:solidFill>
          </w14:textFill>
        </w:rPr>
        <w:t>项目地理位置图</w:t>
      </w:r>
      <w:r>
        <w:rPr>
          <w:rFonts w:hint="default" w:ascii="Times New Roman" w:hAnsi="Times New Roman" w:eastAsia="宋体" w:cs="Times New Roman"/>
          <w:color w:val="000000" w:themeColor="text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7084695</wp:posOffset>
                </wp:positionH>
                <wp:positionV relativeFrom="paragraph">
                  <wp:posOffset>4326890</wp:posOffset>
                </wp:positionV>
                <wp:extent cx="777240" cy="662940"/>
                <wp:effectExtent l="4445" t="4445" r="18415" b="18415"/>
                <wp:wrapNone/>
                <wp:docPr id="5" name="文本框 5"/>
                <wp:cNvGraphicFramePr/>
                <a:graphic xmlns:a="http://schemas.openxmlformats.org/drawingml/2006/main">
                  <a:graphicData uri="http://schemas.microsoft.com/office/word/2010/wordprocessingShape">
                    <wps:wsp>
                      <wps:cNvSpPr txBox="1"/>
                      <wps:spPr>
                        <a:xfrm>
                          <a:off x="8248015" y="5607050"/>
                          <a:ext cx="777240" cy="662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55CF5C">
                            <w:pPr>
                              <w:jc w:val="center"/>
                            </w:pPr>
                            <w:r>
                              <w:rPr>
                                <w:rFonts w:hint="eastAsia"/>
                              </w:rPr>
                              <w:t>图例</w:t>
                            </w:r>
                          </w:p>
                          <w:p w14:paraId="259BEE1E">
                            <w:pPr>
                              <w:jc w:val="center"/>
                            </w:pPr>
                            <w:r>
                              <w:rPr>
                                <w:rFonts w:hint="eastAsia"/>
                                <w:color w:val="FF0000"/>
                              </w:rPr>
                              <w:t>★</w:t>
                            </w:r>
                          </w:p>
                          <w:p w14:paraId="544A7DFE">
                            <w:pPr>
                              <w:jc w:val="center"/>
                            </w:pPr>
                            <w:r>
                              <w:rPr>
                                <w:rFonts w:hint="eastAsia"/>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7.85pt;margin-top:340.7pt;height:52.2pt;width:61.2pt;z-index:251663360;mso-width-relative:page;mso-height-relative:page;" fillcolor="#FFFFFF [3201]" filled="t" stroked="t" coordsize="21600,21600" o:gfxdata="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PnZf2QAAAA0BAAAPAAAAAAAAAAEAIAAAACIAAABkcnMvZG93bnJldi54bWxQSwECFAAUAAAA&#10;CACHTuJAULViO18CAADCBAAADgAAAAAAAAABACAAAAAoAQAAZHJzL2Uyb0RvYy54bWxQSwUGAAAA&#10;AAYABgBZAQAA+QUAAAAA&#10;">
                <v:fill on="t" focussize="0,0"/>
                <v:stroke weight="0.5pt" color="#000000 [3204]" joinstyle="round"/>
                <v:imagedata o:title=""/>
                <o:lock v:ext="edit" aspectratio="f"/>
                <v:textbox>
                  <w:txbxContent>
                    <w:p w14:paraId="1E55CF5C">
                      <w:pPr>
                        <w:jc w:val="center"/>
                      </w:pPr>
                      <w:r>
                        <w:rPr>
                          <w:rFonts w:hint="eastAsia"/>
                        </w:rPr>
                        <w:t>图例</w:t>
                      </w:r>
                    </w:p>
                    <w:p w14:paraId="259BEE1E">
                      <w:pPr>
                        <w:jc w:val="center"/>
                      </w:pPr>
                      <w:r>
                        <w:rPr>
                          <w:rFonts w:hint="eastAsia"/>
                          <w:color w:val="FF0000"/>
                        </w:rPr>
                        <w:t>★</w:t>
                      </w:r>
                    </w:p>
                    <w:p w14:paraId="544A7DFE">
                      <w:pPr>
                        <w:jc w:val="center"/>
                      </w:pPr>
                      <w:r>
                        <w:rPr>
                          <w:rFonts w:hint="eastAsia"/>
                        </w:rPr>
                        <w:t>项目位置</w:t>
                      </w:r>
                    </w:p>
                  </w:txbxContent>
                </v:textbox>
              </v:shape>
            </w:pict>
          </mc:Fallback>
        </mc:AlternateContent>
      </w:r>
    </w:p>
    <w:bookmarkEnd w:id="17"/>
    <w:p w14:paraId="626221EE">
      <w:pPr>
        <w:pStyle w:val="2"/>
        <w:keepNext/>
        <w:keepLines w:val="0"/>
        <w:pageBreakBefore w:val="0"/>
        <w:widowControl w:val="0"/>
        <w:kinsoku/>
        <w:wordWrap/>
        <w:overflowPunct w:val="0"/>
        <w:topLinePunct w:val="0"/>
        <w:autoSpaceDE/>
        <w:autoSpaceDN/>
        <w:bidi w:val="0"/>
        <w:adjustRightInd/>
        <w:snapToGrid w:val="0"/>
        <w:spacing w:line="260" w:lineRule="auto"/>
        <w:ind w:left="0" w:firstLine="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2032635</wp:posOffset>
                </wp:positionH>
                <wp:positionV relativeFrom="paragraph">
                  <wp:posOffset>2301875</wp:posOffset>
                </wp:positionV>
                <wp:extent cx="735965" cy="328295"/>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735965" cy="328295"/>
                        </a:xfrm>
                        <a:prstGeom prst="rect">
                          <a:avLst/>
                        </a:prstGeom>
                        <a:ln>
                          <a:noFill/>
                        </a:ln>
                      </wps:spPr>
                      <wps:style>
                        <a:lnRef idx="2">
                          <a:schemeClr val="accent1"/>
                        </a:lnRef>
                        <a:fillRef idx="0">
                          <a:srgbClr val="FFFFFF"/>
                        </a:fillRef>
                        <a:effectRef idx="0">
                          <a:srgbClr val="FFFFFF"/>
                        </a:effectRef>
                        <a:fontRef idx="minor">
                          <a:schemeClr val="tx1"/>
                        </a:fontRef>
                      </wps:style>
                      <wps:txbx>
                        <w:txbxContent>
                          <w:p w14:paraId="531616AE">
                            <w:pPr>
                              <w:rPr>
                                <w:rFonts w:hint="default" w:eastAsia="宋体"/>
                                <w:color w:val="FFFFFF" w:themeColor="background1"/>
                                <w:sz w:val="18"/>
                                <w:szCs w:val="18"/>
                                <w:lang w:val="en-US" w:eastAsia="zh-CN"/>
                                <w14:textFill>
                                  <w14:solidFill>
                                    <w14:schemeClr w14:val="bg1"/>
                                  </w14:solidFill>
                                </w14:textFill>
                              </w:rPr>
                            </w:pPr>
                            <w:r>
                              <w:rPr>
                                <w:rFonts w:hint="eastAsia"/>
                                <w:color w:val="FFFFFF" w:themeColor="background1"/>
                                <w:sz w:val="18"/>
                                <w:szCs w:val="18"/>
                                <w:lang w:val="en-US" w:eastAsia="zh-CN"/>
                                <w14:textFill>
                                  <w14:solidFill>
                                    <w14:schemeClr w14:val="bg1"/>
                                  </w14:solidFill>
                                </w14:textFill>
                              </w:rPr>
                              <w:t>兰岭村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05pt;margin-top:181.25pt;height:25.85pt;width:57.95pt;z-index:251687936;mso-width-relative:page;mso-height-relative:page;" filled="f" stroked="f" coordsize="21600,21600" o:gfxdata="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yXuk/cAAAACwEAAA8AAAAAAAAAAQAgAAAAIgAAAGRycy9kb3ducmV2LnhtbFBLAQIUABQA&#10;AAAIAIdO4kB17SQhXgIAAKQEAAAOAAAAAAAAAAEAIAAAACsBAABkcnMvZTJvRG9jLnhtbFBLBQYA&#10;AAAABgAGAFkBAAD7BQAAAAA=&#10;">
                <v:fill on="f" focussize="0,0"/>
                <v:stroke on="f" weight="2pt"/>
                <v:imagedata o:title=""/>
                <o:lock v:ext="edit" aspectratio="f"/>
                <v:textbox>
                  <w:txbxContent>
                    <w:p w14:paraId="531616AE">
                      <w:pPr>
                        <w:rPr>
                          <w:rFonts w:hint="default" w:eastAsia="宋体"/>
                          <w:color w:val="FFFFFF" w:themeColor="background1"/>
                          <w:sz w:val="18"/>
                          <w:szCs w:val="18"/>
                          <w:lang w:val="en-US" w:eastAsia="zh-CN"/>
                          <w14:textFill>
                            <w14:solidFill>
                              <w14:schemeClr w14:val="bg1"/>
                            </w14:solidFill>
                          </w14:textFill>
                        </w:rPr>
                      </w:pPr>
                      <w:r>
                        <w:rPr>
                          <w:rFonts w:hint="eastAsia"/>
                          <w:color w:val="FFFFFF" w:themeColor="background1"/>
                          <w:sz w:val="18"/>
                          <w:szCs w:val="18"/>
                          <w:lang w:val="en-US" w:eastAsia="zh-CN"/>
                          <w14:textFill>
                            <w14:solidFill>
                              <w14:schemeClr w14:val="bg1"/>
                            </w14:solidFill>
                          </w14:textFill>
                        </w:rPr>
                        <w:t>兰岭村</w:t>
                      </w:r>
                    </w:p>
                  </w:txbxContent>
                </v:textbox>
              </v:shape>
            </w:pict>
          </mc:Fallback>
        </mc:AlternateContent>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2058035</wp:posOffset>
                </wp:positionH>
                <wp:positionV relativeFrom="paragraph">
                  <wp:posOffset>1678305</wp:posOffset>
                </wp:positionV>
                <wp:extent cx="735965" cy="328295"/>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735965" cy="328295"/>
                        </a:xfrm>
                        <a:prstGeom prst="rect">
                          <a:avLst/>
                        </a:prstGeom>
                        <a:ln>
                          <a:noFill/>
                        </a:ln>
                      </wps:spPr>
                      <wps:style>
                        <a:lnRef idx="2">
                          <a:schemeClr val="accent1"/>
                        </a:lnRef>
                        <a:fillRef idx="0">
                          <a:srgbClr val="FFFFFF"/>
                        </a:fillRef>
                        <a:effectRef idx="0">
                          <a:srgbClr val="FFFFFF"/>
                        </a:effectRef>
                        <a:fontRef idx="minor">
                          <a:schemeClr val="tx1"/>
                        </a:fontRef>
                      </wps:style>
                      <wps:txbx>
                        <w:txbxContent>
                          <w:p w14:paraId="0957D0BC">
                            <w:pPr>
                              <w:rPr>
                                <w:rFonts w:hint="default" w:eastAsia="宋体"/>
                                <w:color w:val="FFFFFF" w:themeColor="background1"/>
                                <w:sz w:val="18"/>
                                <w:szCs w:val="18"/>
                                <w:lang w:val="en-US" w:eastAsia="zh-CN"/>
                                <w14:textFill>
                                  <w14:solidFill>
                                    <w14:schemeClr w14:val="bg1"/>
                                  </w14:solidFill>
                                </w14:textFill>
                              </w:rPr>
                            </w:pPr>
                            <w:r>
                              <w:rPr>
                                <w:rFonts w:hint="eastAsia"/>
                                <w:color w:val="FFFFFF" w:themeColor="background1"/>
                                <w:sz w:val="18"/>
                                <w:szCs w:val="18"/>
                                <w:lang w:val="en-US" w:eastAsia="zh-CN"/>
                                <w14:textFill>
                                  <w14:solidFill>
                                    <w14:schemeClr w14:val="bg1"/>
                                  </w14:solidFill>
                                </w14:textFill>
                              </w:rPr>
                              <w:t>兰岭村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05pt;margin-top:132.15pt;height:25.85pt;width:57.95pt;z-index:251688960;mso-width-relative:page;mso-height-relative:page;" filled="f" stroked="f" coordsize="21600,21600" o:gfxdata="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xnmU7cAAAACwEAAA8AAAAAAAAAAQAgAAAAIgAAAGRycy9kb3ducmV2LnhtbFBLAQIUABQA&#10;AAAIAIdO4kCBFmvJXgIAAKQEAAAOAAAAAAAAAAEAIAAAACsBAABkcnMvZTJvRG9jLnhtbFBLBQYA&#10;AAAABgAGAFkBAAD7BQAAAAA=&#10;">
                <v:fill on="f" focussize="0,0"/>
                <v:stroke on="f" weight="2pt"/>
                <v:imagedata o:title=""/>
                <o:lock v:ext="edit" aspectratio="f"/>
                <v:textbox>
                  <w:txbxContent>
                    <w:p w14:paraId="0957D0BC">
                      <w:pPr>
                        <w:rPr>
                          <w:rFonts w:hint="default" w:eastAsia="宋体"/>
                          <w:color w:val="FFFFFF" w:themeColor="background1"/>
                          <w:sz w:val="18"/>
                          <w:szCs w:val="18"/>
                          <w:lang w:val="en-US" w:eastAsia="zh-CN"/>
                          <w14:textFill>
                            <w14:solidFill>
                              <w14:schemeClr w14:val="bg1"/>
                            </w14:solidFill>
                          </w14:textFill>
                        </w:rPr>
                      </w:pPr>
                      <w:r>
                        <w:rPr>
                          <w:rFonts w:hint="eastAsia"/>
                          <w:color w:val="FFFFFF" w:themeColor="background1"/>
                          <w:sz w:val="18"/>
                          <w:szCs w:val="18"/>
                          <w:lang w:val="en-US" w:eastAsia="zh-CN"/>
                          <w14:textFill>
                            <w14:solidFill>
                              <w14:schemeClr w14:val="bg1"/>
                            </w14:solidFill>
                          </w14:textFill>
                        </w:rPr>
                        <w:t>兰岭村</w:t>
                      </w:r>
                    </w:p>
                  </w:txbxContent>
                </v:textbox>
              </v:shape>
            </w:pict>
          </mc:Fallback>
        </mc:AlternateContent>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2936240</wp:posOffset>
                </wp:positionH>
                <wp:positionV relativeFrom="paragraph">
                  <wp:posOffset>3317875</wp:posOffset>
                </wp:positionV>
                <wp:extent cx="735965" cy="328295"/>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735965" cy="328295"/>
                        </a:xfrm>
                        <a:prstGeom prst="rect">
                          <a:avLst/>
                        </a:prstGeom>
                        <a:ln>
                          <a:noFill/>
                        </a:ln>
                      </wps:spPr>
                      <wps:style>
                        <a:lnRef idx="2">
                          <a:schemeClr val="accent1"/>
                        </a:lnRef>
                        <a:fillRef idx="0">
                          <a:srgbClr val="FFFFFF"/>
                        </a:fillRef>
                        <a:effectRef idx="0">
                          <a:srgbClr val="FFFFFF"/>
                        </a:effectRef>
                        <a:fontRef idx="minor">
                          <a:schemeClr val="tx1"/>
                        </a:fontRef>
                      </wps:style>
                      <wps:txbx>
                        <w:txbxContent>
                          <w:p w14:paraId="191EFB16">
                            <w:pPr>
                              <w:rPr>
                                <w:rFonts w:hint="default" w:eastAsia="宋体"/>
                                <w:color w:val="FFFFFF" w:themeColor="background1"/>
                                <w:sz w:val="18"/>
                                <w:szCs w:val="18"/>
                                <w:lang w:val="en-US" w:eastAsia="zh-CN"/>
                                <w14:textFill>
                                  <w14:solidFill>
                                    <w14:schemeClr w14:val="bg1"/>
                                  </w14:solidFill>
                                </w14:textFill>
                              </w:rPr>
                            </w:pPr>
                            <w:r>
                              <w:rPr>
                                <w:rFonts w:hint="eastAsia"/>
                                <w:color w:val="FFFFFF" w:themeColor="background1"/>
                                <w:sz w:val="18"/>
                                <w:szCs w:val="18"/>
                                <w:lang w:val="en-US" w:eastAsia="zh-CN"/>
                                <w14:textFill>
                                  <w14:solidFill>
                                    <w14:schemeClr w14:val="bg1"/>
                                  </w14:solidFill>
                                </w14:textFill>
                              </w:rPr>
                              <w:t>兰岭村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2pt;margin-top:261.25pt;height:25.85pt;width:57.95pt;z-index:251686912;mso-width-relative:page;mso-height-relative:page;" filled="f" stroked="f" coordsize="21600,21600" o:gfxdata="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1eRb3dAAAACwEAAA8AAAAAAAAAAQAgAAAAIgAAAGRycy9kb3ducmV2LnhtbFBLAQIU&#10;ABQAAAAIAIdO4kBKXLxiYAIAAKQEAAAOAAAAAAAAAAEAIAAAACwBAABkcnMvZTJvRG9jLnhtbFBL&#10;BQYAAAAABgAGAFkBAAD+BQAAAAA=&#10;">
                <v:fill on="f" focussize="0,0"/>
                <v:stroke on="f" weight="2pt"/>
                <v:imagedata o:title=""/>
                <o:lock v:ext="edit" aspectratio="f"/>
                <v:textbox>
                  <w:txbxContent>
                    <w:p w14:paraId="191EFB16">
                      <w:pPr>
                        <w:rPr>
                          <w:rFonts w:hint="default" w:eastAsia="宋体"/>
                          <w:color w:val="FFFFFF" w:themeColor="background1"/>
                          <w:sz w:val="18"/>
                          <w:szCs w:val="18"/>
                          <w:lang w:val="en-US" w:eastAsia="zh-CN"/>
                          <w14:textFill>
                            <w14:solidFill>
                              <w14:schemeClr w14:val="bg1"/>
                            </w14:solidFill>
                          </w14:textFill>
                        </w:rPr>
                      </w:pPr>
                      <w:r>
                        <w:rPr>
                          <w:rFonts w:hint="eastAsia"/>
                          <w:color w:val="FFFFFF" w:themeColor="background1"/>
                          <w:sz w:val="18"/>
                          <w:szCs w:val="18"/>
                          <w:lang w:val="en-US" w:eastAsia="zh-CN"/>
                          <w14:textFill>
                            <w14:solidFill>
                              <w14:schemeClr w14:val="bg1"/>
                            </w14:solidFill>
                          </w14:textFill>
                        </w:rPr>
                        <w:t>兰岭村</w:t>
                      </w:r>
                    </w:p>
                  </w:txbxContent>
                </v:textbox>
              </v:shape>
            </w:pict>
          </mc:Fallback>
        </mc:AlternateContent>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1941195</wp:posOffset>
                </wp:positionH>
                <wp:positionV relativeFrom="paragraph">
                  <wp:posOffset>417830</wp:posOffset>
                </wp:positionV>
                <wp:extent cx="909320" cy="259715"/>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909320" cy="259715"/>
                        </a:xfrm>
                        <a:prstGeom prst="rect">
                          <a:avLst/>
                        </a:prstGeom>
                        <a:ln>
                          <a:noFill/>
                        </a:ln>
                      </wps:spPr>
                      <wps:style>
                        <a:lnRef idx="2">
                          <a:schemeClr val="accent1"/>
                        </a:lnRef>
                        <a:fillRef idx="0">
                          <a:srgbClr val="FFFFFF"/>
                        </a:fillRef>
                        <a:effectRef idx="0">
                          <a:srgbClr val="FFFFFF"/>
                        </a:effectRef>
                        <a:fontRef idx="minor">
                          <a:schemeClr val="tx1"/>
                        </a:fontRef>
                      </wps:style>
                      <wps:txbx>
                        <w:txbxContent>
                          <w:p w14:paraId="5D5A70AC">
                            <w:pPr>
                              <w:rPr>
                                <w:rFonts w:hint="default" w:eastAsia="宋体"/>
                                <w:color w:val="FFFFFF" w:themeColor="background1"/>
                                <w:sz w:val="18"/>
                                <w:szCs w:val="18"/>
                                <w:lang w:val="en-US" w:eastAsia="zh-CN"/>
                                <w14:textFill>
                                  <w14:solidFill>
                                    <w14:schemeClr w14:val="bg1"/>
                                  </w14:solidFill>
                                </w14:textFill>
                              </w:rPr>
                            </w:pPr>
                            <w:r>
                              <w:rPr>
                                <w:rFonts w:hint="eastAsia"/>
                                <w:color w:val="FFFFFF" w:themeColor="background1"/>
                                <w:sz w:val="18"/>
                                <w:szCs w:val="18"/>
                                <w:lang w:val="en-US" w:eastAsia="zh-CN"/>
                                <w14:textFill>
                                  <w14:solidFill>
                                    <w14:schemeClr w14:val="bg1"/>
                                  </w14:solidFill>
                                </w14:textFill>
                              </w:rPr>
                              <w:t>兰岭四队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85pt;margin-top:32.9pt;height:20.45pt;width:71.6pt;z-index:251685888;mso-width-relative:page;mso-height-relative:page;" filled="f" stroked="f" coordsize="21600,21600" o:gfxdata="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OAmNsAAAAKAQAADwAAAAAAAAABACAAAAAiAAAAZHJzL2Rvd25yZXYueG1sUEsBAhQAFAAAAAgA&#10;h07iQHnryKJbAgAApAQAAA4AAAAAAAAAAQAgAAAAKgEAAGRycy9lMm9Eb2MueG1sUEsFBgAAAAAG&#10;AAYAWQEAAPcFAAAAAA==&#10;">
                <v:fill on="f" focussize="0,0"/>
                <v:stroke on="f" weight="2pt"/>
                <v:imagedata o:title=""/>
                <o:lock v:ext="edit" aspectratio="f"/>
                <v:textbox>
                  <w:txbxContent>
                    <w:p w14:paraId="5D5A70AC">
                      <w:pPr>
                        <w:rPr>
                          <w:rFonts w:hint="default" w:eastAsia="宋体"/>
                          <w:color w:val="FFFFFF" w:themeColor="background1"/>
                          <w:sz w:val="18"/>
                          <w:szCs w:val="18"/>
                          <w:lang w:val="en-US" w:eastAsia="zh-CN"/>
                          <w14:textFill>
                            <w14:solidFill>
                              <w14:schemeClr w14:val="bg1"/>
                            </w14:solidFill>
                          </w14:textFill>
                        </w:rPr>
                      </w:pPr>
                      <w:r>
                        <w:rPr>
                          <w:rFonts w:hint="eastAsia"/>
                          <w:color w:val="FFFFFF" w:themeColor="background1"/>
                          <w:sz w:val="18"/>
                          <w:szCs w:val="18"/>
                          <w:lang w:val="en-US" w:eastAsia="zh-CN"/>
                          <w14:textFill>
                            <w14:solidFill>
                              <w14:schemeClr w14:val="bg1"/>
                            </w14:solidFill>
                          </w14:textFill>
                        </w:rPr>
                        <w:t>兰岭四队</w:t>
                      </w:r>
                    </w:p>
                  </w:txbxContent>
                </v:textbox>
              </v:shape>
            </w:pict>
          </mc:Fallback>
        </mc:AlternateContent>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3806190</wp:posOffset>
                </wp:positionH>
                <wp:positionV relativeFrom="paragraph">
                  <wp:posOffset>4074795</wp:posOffset>
                </wp:positionV>
                <wp:extent cx="909320" cy="259715"/>
                <wp:effectExtent l="0" t="0" r="0" b="0"/>
                <wp:wrapNone/>
                <wp:docPr id="197" name="文本框 197"/>
                <wp:cNvGraphicFramePr/>
                <a:graphic xmlns:a="http://schemas.openxmlformats.org/drawingml/2006/main">
                  <a:graphicData uri="http://schemas.microsoft.com/office/word/2010/wordprocessingShape">
                    <wps:wsp>
                      <wps:cNvSpPr txBox="1"/>
                      <wps:spPr>
                        <a:xfrm>
                          <a:off x="4562475" y="5345430"/>
                          <a:ext cx="909320" cy="259715"/>
                        </a:xfrm>
                        <a:prstGeom prst="rect">
                          <a:avLst/>
                        </a:prstGeom>
                        <a:ln>
                          <a:noFill/>
                        </a:ln>
                      </wps:spPr>
                      <wps:style>
                        <a:lnRef idx="2">
                          <a:schemeClr val="accent1"/>
                        </a:lnRef>
                        <a:fillRef idx="0">
                          <a:srgbClr val="FFFFFF"/>
                        </a:fillRef>
                        <a:effectRef idx="0">
                          <a:srgbClr val="FFFFFF"/>
                        </a:effectRef>
                        <a:fontRef idx="minor">
                          <a:schemeClr val="tx1"/>
                        </a:fontRef>
                      </wps:style>
                      <wps:txbx>
                        <w:txbxContent>
                          <w:p w14:paraId="21F6916A">
                            <w:pPr>
                              <w:rPr>
                                <w:rFonts w:hint="default" w:eastAsia="宋体"/>
                                <w:color w:val="FFFFFF" w:themeColor="background1"/>
                                <w:sz w:val="18"/>
                                <w:szCs w:val="18"/>
                                <w:lang w:val="en-US" w:eastAsia="zh-CN"/>
                                <w14:textFill>
                                  <w14:solidFill>
                                    <w14:schemeClr w14:val="bg1"/>
                                  </w14:solidFill>
                                </w14:textFill>
                              </w:rPr>
                            </w:pPr>
                            <w:r>
                              <w:rPr>
                                <w:rFonts w:hint="eastAsia"/>
                                <w:color w:val="FFFFFF" w:themeColor="background1"/>
                                <w:sz w:val="18"/>
                                <w:szCs w:val="18"/>
                                <w:lang w:val="en-US" w:eastAsia="zh-CN"/>
                                <w14:textFill>
                                  <w14:solidFill>
                                    <w14:schemeClr w14:val="bg1"/>
                                  </w14:solidFill>
                                </w14:textFill>
                              </w:rPr>
                              <w:t>兰岭五队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7pt;margin-top:320.85pt;height:20.45pt;width:71.6pt;z-index:251684864;mso-width-relative:page;mso-height-relative:page;" filled="f" stroked="f" coordsize="21600,21600" o:gfxdata="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UIsHdwAAAALAQAADwAAAAAAAAABACAAAAAiAAAAZHJzL2Rvd25yZXYu&#10;eG1sUEsBAhQAFAAAAAgAh07iQLOMllJpAgAAsAQAAA4AAAAAAAAAAQAgAAAAKwEAAGRycy9lMm9E&#10;b2MueG1sUEsFBgAAAAAGAAYAWQEAAAYGAAAAAA==&#10;">
                <v:fill on="f" focussize="0,0"/>
                <v:stroke on="f" weight="2pt"/>
                <v:imagedata o:title=""/>
                <o:lock v:ext="edit" aspectratio="f"/>
                <v:textbox>
                  <w:txbxContent>
                    <w:p w14:paraId="21F6916A">
                      <w:pPr>
                        <w:rPr>
                          <w:rFonts w:hint="default" w:eastAsia="宋体"/>
                          <w:color w:val="FFFFFF" w:themeColor="background1"/>
                          <w:sz w:val="18"/>
                          <w:szCs w:val="18"/>
                          <w:lang w:val="en-US" w:eastAsia="zh-CN"/>
                          <w14:textFill>
                            <w14:solidFill>
                              <w14:schemeClr w14:val="bg1"/>
                            </w14:solidFill>
                          </w14:textFill>
                        </w:rPr>
                      </w:pPr>
                      <w:r>
                        <w:rPr>
                          <w:rFonts w:hint="eastAsia"/>
                          <w:color w:val="FFFFFF" w:themeColor="background1"/>
                          <w:sz w:val="18"/>
                          <w:szCs w:val="18"/>
                          <w:lang w:val="en-US" w:eastAsia="zh-CN"/>
                          <w14:textFill>
                            <w14:solidFill>
                              <w14:schemeClr w14:val="bg1"/>
                            </w14:solidFill>
                          </w14:textFill>
                        </w:rPr>
                        <w:t>兰岭五队</w:t>
                      </w:r>
                    </w:p>
                  </w:txbxContent>
                </v:textbox>
              </v:shape>
            </w:pict>
          </mc:Fallback>
        </mc:AlternateContent>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6748145</wp:posOffset>
                </wp:positionH>
                <wp:positionV relativeFrom="paragraph">
                  <wp:posOffset>4504055</wp:posOffset>
                </wp:positionV>
                <wp:extent cx="106680" cy="96520"/>
                <wp:effectExtent l="0" t="0" r="7620" b="17780"/>
                <wp:wrapNone/>
                <wp:docPr id="77" name="矩形 77"/>
                <wp:cNvGraphicFramePr/>
                <a:graphic xmlns:a="http://schemas.openxmlformats.org/drawingml/2006/main">
                  <a:graphicData uri="http://schemas.microsoft.com/office/word/2010/wordprocessingShape">
                    <wps:wsp>
                      <wps:cNvSpPr/>
                      <wps:spPr>
                        <a:xfrm>
                          <a:off x="0" y="0"/>
                          <a:ext cx="106680" cy="96520"/>
                        </a:xfrm>
                        <a:prstGeom prst="rect">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35pt;margin-top:354.65pt;height:7.6pt;width:8.4pt;z-index:251668480;v-text-anchor:middle;mso-width-relative:page;mso-height-relative:page;" fillcolor="#FFFF00" filled="t" stroked="f" coordsize="21600,21600" o:gfxdata="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F7oTtsAAAANAQAADwAAAAAAAAABACAAAAAiAAAAZHJzL2Rvd25yZXYueG1sUEsBAhQAFAAA&#10;AAgAh07iQHVmzrpeAgAAtAQAAA4AAAAAAAAAAQAgAAAAKgEAAGRycy9lMm9Eb2MueG1sUEsFBgAA&#10;AAAGAAYAWQEAAPoFAAAAAA==&#10;">
                <v:fill on="t" focussize="0,0"/>
                <v:stroke on="f" weight="1.5pt"/>
                <v:imagedata o:title=""/>
                <o:lock v:ext="edit" aspectratio="f"/>
              </v:rect>
            </w:pict>
          </mc:Fallback>
        </mc:AlternateContent>
      </w:r>
      <w:r>
        <w:rPr>
          <w:rFonts w:hint="default" w:ascii="Times New Roman" w:hAnsi="Times New Roman" w:eastAsia="宋体" w:cs="Times New Roman"/>
          <w:b/>
          <w:bCs/>
          <w:color w:val="000000" w:themeColor="text1"/>
          <w:sz w:val="24"/>
          <w:szCs w:val="24"/>
          <w:highlight w:val="none"/>
          <w14:textFill>
            <w14:solidFill>
              <w14:schemeClr w14:val="tx1"/>
            </w14:solidFill>
          </w14:textFill>
        </w:rPr>
        <w:drawing>
          <wp:anchor distT="0" distB="0" distL="114300" distR="114300" simplePos="0" relativeHeight="251672576" behindDoc="0" locked="0" layoutInCell="1" allowOverlap="1">
            <wp:simplePos x="0" y="0"/>
            <wp:positionH relativeFrom="column">
              <wp:posOffset>7173595</wp:posOffset>
            </wp:positionH>
            <wp:positionV relativeFrom="paragraph">
              <wp:posOffset>22860</wp:posOffset>
            </wp:positionV>
            <wp:extent cx="904240" cy="838200"/>
            <wp:effectExtent l="0" t="0" r="10160" b="0"/>
            <wp:wrapNone/>
            <wp:docPr id="39" name="图片 2" descr="鸡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鸡西风玫瑰"/>
                    <pic:cNvPicPr>
                      <a:picLocks noChangeAspect="1"/>
                    </pic:cNvPicPr>
                  </pic:nvPicPr>
                  <pic:blipFill>
                    <a:blip r:embed="rId12"/>
                    <a:stretch>
                      <a:fillRect/>
                    </a:stretch>
                  </pic:blipFill>
                  <pic:spPr>
                    <a:xfrm>
                      <a:off x="0" y="0"/>
                      <a:ext cx="904240" cy="838200"/>
                    </a:xfrm>
                    <a:prstGeom prst="rect">
                      <a:avLst/>
                    </a:prstGeom>
                    <a:noFill/>
                    <a:ln>
                      <a:noFill/>
                    </a:ln>
                  </pic:spPr>
                </pic:pic>
              </a:graphicData>
            </a:graphic>
          </wp:anchor>
        </w:drawing>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6767195</wp:posOffset>
                </wp:positionH>
                <wp:positionV relativeFrom="paragraph">
                  <wp:posOffset>4291330</wp:posOffset>
                </wp:positionV>
                <wp:extent cx="106680" cy="96520"/>
                <wp:effectExtent l="9525" t="9525" r="17145" b="27305"/>
                <wp:wrapNone/>
                <wp:docPr id="10" name="矩形 10"/>
                <wp:cNvGraphicFramePr/>
                <a:graphic xmlns:a="http://schemas.openxmlformats.org/drawingml/2006/main">
                  <a:graphicData uri="http://schemas.microsoft.com/office/word/2010/wordprocessingShape">
                    <wps:wsp>
                      <wps:cNvSpPr/>
                      <wps:spPr>
                        <a:xfrm>
                          <a:off x="0" y="0"/>
                          <a:ext cx="106680" cy="96520"/>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2.85pt;margin-top:337.9pt;height:7.6pt;width:8.4pt;z-index:251666432;v-text-anchor:middle;mso-width-relative:page;mso-height-relative:page;" filled="f" stroked="t" coordsize="21600,21600" o:gfxdata="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SWSka3AAAAA0BAAAPAAAAAAAAAAEAIAAAACIAAABkcnMvZG93bnJldi54bWxQSwECFAAUAAAA&#10;CACHTuJAqR76Z1wCAAC0BAAADgAAAAAAAAABACAAAAArAQAAZHJzL2Uyb0RvYy54bWxQSwUGAAAA&#10;AAYABgBZAQAA+QUAAAAA&#10;">
                <v:fill on="f" focussize="0,0"/>
                <v:stroke weight="1.5pt" color="#FFC000 [3204]" joinstyle="round"/>
                <v:imagedata o:title=""/>
                <o:lock v:ext="edit" aspectratio="f"/>
              </v:rect>
            </w:pict>
          </mc:Fallback>
        </mc:AlternateContent>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6774815</wp:posOffset>
                </wp:positionH>
                <wp:positionV relativeFrom="paragraph">
                  <wp:posOffset>4074160</wp:posOffset>
                </wp:positionV>
                <wp:extent cx="106680" cy="96520"/>
                <wp:effectExtent l="9525" t="9525" r="17145" b="27305"/>
                <wp:wrapNone/>
                <wp:docPr id="98" name="矩形 98"/>
                <wp:cNvGraphicFramePr/>
                <a:graphic xmlns:a="http://schemas.openxmlformats.org/drawingml/2006/main">
                  <a:graphicData uri="http://schemas.microsoft.com/office/word/2010/wordprocessingShape">
                    <wps:wsp>
                      <wps:cNvSpPr/>
                      <wps:spPr>
                        <a:xfrm>
                          <a:off x="0" y="0"/>
                          <a:ext cx="106680" cy="9652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3.45pt;margin-top:320.8pt;height:7.6pt;width:8.4pt;z-index:251675648;v-text-anchor:middle;mso-width-relative:page;mso-height-relative:page;" filled="f" stroked="t" coordsize="21600,21600" o:gfxdata="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fSCtH2wAAAA0BAAAPAAAAAAAAAAEAIAAAACIAAABkcnMvZG93bnJldi54bWxQSwECFAAUAAAA&#10;CACHTuJAGvY5zV0CAAC0BAAADgAAAAAAAAABACAAAAAqAQAAZHJzL2Uyb0RvYy54bWxQSwUGAAAA&#10;AAYABgBZAQAA+QUAAAAA&#10;">
                <v:fill on="f" focussize="0,0"/>
                <v:stroke weight="1.5pt" color="#1F497D [3215]" joinstyle="round"/>
                <v:imagedata o:title=""/>
                <o:lock v:ext="edit" aspectratio="f"/>
              </v:rect>
            </w:pict>
          </mc:Fallback>
        </mc:AlternateContent>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6781800</wp:posOffset>
                </wp:positionH>
                <wp:positionV relativeFrom="paragraph">
                  <wp:posOffset>3867150</wp:posOffset>
                </wp:positionV>
                <wp:extent cx="106680" cy="96520"/>
                <wp:effectExtent l="9525" t="9525" r="17145" b="27305"/>
                <wp:wrapNone/>
                <wp:docPr id="99" name="矩形 99"/>
                <wp:cNvGraphicFramePr/>
                <a:graphic xmlns:a="http://schemas.openxmlformats.org/drawingml/2006/main">
                  <a:graphicData uri="http://schemas.microsoft.com/office/word/2010/wordprocessingShape">
                    <wps:wsp>
                      <wps:cNvSpPr/>
                      <wps:spPr>
                        <a:xfrm>
                          <a:off x="0" y="0"/>
                          <a:ext cx="106680" cy="965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4pt;margin-top:304.5pt;height:7.6pt;width:8.4pt;z-index:251676672;v-text-anchor:middle;mso-width-relative:page;mso-height-relative:page;" filled="f" stroked="t" coordsize="21600,21600" o:gfxdata="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PQlGNkAAAANAQAADwAAAAAAAAABACAAAAAiAAAAZHJzL2Rvd25yZXYueG1sUEsBAhQAFAAAAAgA&#10;h07iQMQcXZNdAgAAtAQAAA4AAAAAAAAAAQAgAAAAKAEAAGRycy9lMm9Eb2MueG1sUEsFBgAAAAAG&#10;AAYAWQEAAPcFAAAAAA==&#10;">
                <v:fill on="f" focussize="0,0"/>
                <v:stroke weight="1.5pt" color="#FF0000 [3204]" joinstyle="round"/>
                <v:imagedata o:title=""/>
                <o:lock v:ext="edit" aspectratio="f"/>
              </v:rect>
            </w:pict>
          </mc:Fallback>
        </mc:AlternateContent>
      </w:r>
      <w:r>
        <w:rPr>
          <w:rFonts w:hint="default" w:ascii="Times New Roman" w:hAnsi="Times New Roman" w:eastAsia="宋体" w:cs="Times New Roman"/>
          <w:color w:val="000000" w:themeColor="text1"/>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6693535</wp:posOffset>
                </wp:positionH>
                <wp:positionV relativeFrom="paragraph">
                  <wp:posOffset>3589655</wp:posOffset>
                </wp:positionV>
                <wp:extent cx="1463675" cy="1313180"/>
                <wp:effectExtent l="4445" t="4445" r="17780" b="15875"/>
                <wp:wrapNone/>
                <wp:docPr id="7" name="文本框 7"/>
                <wp:cNvGraphicFramePr/>
                <a:graphic xmlns:a="http://schemas.openxmlformats.org/drawingml/2006/main">
                  <a:graphicData uri="http://schemas.microsoft.com/office/word/2010/wordprocessingShape">
                    <wps:wsp>
                      <wps:cNvSpPr txBox="1"/>
                      <wps:spPr>
                        <a:xfrm>
                          <a:off x="0" y="0"/>
                          <a:ext cx="1463675" cy="1313180"/>
                        </a:xfrm>
                        <a:prstGeom prst="rect">
                          <a:avLst/>
                        </a:prstGeom>
                        <a:solidFill>
                          <a:srgbClr val="FFFFFF"/>
                        </a:solidFill>
                        <a:ln w="9525" cap="flat" cmpd="sng">
                          <a:solidFill>
                            <a:srgbClr val="0070C0"/>
                          </a:solidFill>
                          <a:prstDash val="solid"/>
                          <a:miter/>
                          <a:headEnd type="none" w="med" len="med"/>
                          <a:tailEnd type="none" w="med" len="med"/>
                        </a:ln>
                      </wps:spPr>
                      <wps:txbx>
                        <w:txbxContent>
                          <w:p w14:paraId="72757AC1">
                            <w:pPr>
                              <w:jc w:val="center"/>
                              <w:rPr>
                                <w:rFonts w:hint="eastAsia"/>
                              </w:rPr>
                            </w:pPr>
                            <w:r>
                              <w:rPr>
                                <w:rFonts w:hint="eastAsia"/>
                              </w:rPr>
                              <w:t>图  例</w:t>
                            </w:r>
                          </w:p>
                          <w:p w14:paraId="43D19316">
                            <w:pPr>
                              <w:keepNext w:val="0"/>
                              <w:keepLines w:val="0"/>
                              <w:pageBreakBefore w:val="0"/>
                              <w:widowControl w:val="0"/>
                              <w:kinsoku/>
                              <w:wordWrap/>
                              <w:overflowPunct/>
                              <w:topLinePunct w:val="0"/>
                              <w:bidi w:val="0"/>
                              <w:adjustRightInd/>
                              <w:snapToGrid/>
                              <w:ind w:firstLine="210" w:firstLineChars="100"/>
                              <w:textAlignment w:val="auto"/>
                              <w:rPr>
                                <w:rFonts w:hint="eastAsia"/>
                                <w:lang w:val="en-US" w:eastAsia="zh-CN"/>
                              </w:rPr>
                            </w:pPr>
                            <w:r>
                              <w:rPr>
                                <w:rFonts w:hint="eastAsia"/>
                                <w:lang w:val="en-US" w:eastAsia="zh-CN"/>
                              </w:rPr>
                              <w:t>项目位置</w:t>
                            </w:r>
                          </w:p>
                          <w:p w14:paraId="39D6A0B2">
                            <w:pPr>
                              <w:keepNext w:val="0"/>
                              <w:keepLines w:val="0"/>
                              <w:pageBreakBefore w:val="0"/>
                              <w:widowControl w:val="0"/>
                              <w:kinsoku/>
                              <w:wordWrap/>
                              <w:overflowPunct/>
                              <w:topLinePunct w:val="0"/>
                              <w:bidi w:val="0"/>
                              <w:adjustRightInd/>
                              <w:snapToGrid/>
                              <w:ind w:firstLine="210" w:firstLineChars="100"/>
                              <w:textAlignment w:val="auto"/>
                              <w:rPr>
                                <w:rFonts w:hint="default"/>
                                <w:lang w:val="en-US" w:eastAsia="zh-CN"/>
                              </w:rPr>
                            </w:pPr>
                            <w:r>
                              <w:rPr>
                                <w:rFonts w:hint="eastAsia"/>
                                <w:lang w:val="en-US" w:eastAsia="zh-CN"/>
                              </w:rPr>
                              <w:t>声环境保护范围</w:t>
                            </w:r>
                          </w:p>
                          <w:p w14:paraId="02F4FB6E">
                            <w:pPr>
                              <w:keepNext w:val="0"/>
                              <w:keepLines w:val="0"/>
                              <w:pageBreakBefore w:val="0"/>
                              <w:widowControl w:val="0"/>
                              <w:kinsoku/>
                              <w:wordWrap/>
                              <w:overflowPunct/>
                              <w:topLinePunct w:val="0"/>
                              <w:bidi w:val="0"/>
                              <w:adjustRightInd/>
                              <w:snapToGrid/>
                              <w:ind w:firstLine="210" w:firstLineChars="100"/>
                              <w:textAlignment w:val="auto"/>
                              <w:rPr>
                                <w:rFonts w:hint="default" w:eastAsia="宋体"/>
                                <w:lang w:val="en-US" w:eastAsia="zh-CN"/>
                              </w:rPr>
                            </w:pPr>
                            <w:r>
                              <w:rPr>
                                <w:rFonts w:hint="eastAsia"/>
                              </w:rPr>
                              <w:t>大气环境保护范围</w:t>
                            </w:r>
                          </w:p>
                          <w:p w14:paraId="54523B46">
                            <w:pPr>
                              <w:keepNext w:val="0"/>
                              <w:keepLines w:val="0"/>
                              <w:pageBreakBefore w:val="0"/>
                              <w:widowControl w:val="0"/>
                              <w:kinsoku/>
                              <w:wordWrap/>
                              <w:overflowPunct/>
                              <w:topLinePunct w:val="0"/>
                              <w:bidi w:val="0"/>
                              <w:adjustRightInd/>
                              <w:snapToGrid/>
                              <w:ind w:firstLine="210" w:firstLineChars="100"/>
                              <w:jc w:val="both"/>
                              <w:textAlignment w:val="auto"/>
                              <w:rPr>
                                <w:rFonts w:hint="eastAsia"/>
                                <w:lang w:val="en-US" w:eastAsia="zh-CN"/>
                              </w:rPr>
                            </w:pPr>
                            <w:r>
                              <w:rPr>
                                <w:rFonts w:hint="eastAsia"/>
                                <w:lang w:val="en-US" w:eastAsia="zh-CN"/>
                              </w:rPr>
                              <w:t>大气环境保护目标</w:t>
                            </w:r>
                          </w:p>
                          <w:p w14:paraId="30DFB3CD">
                            <w:pPr>
                              <w:pStyle w:val="43"/>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527.05pt;margin-top:282.65pt;height:103.4pt;width:115.25pt;z-index:251665408;mso-width-relative:page;mso-height-relative:page;" fillcolor="#FFFFFF" filled="t" stroked="t" coordsize="21600,21600" o:gfxdata="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cXBZ3bAAAADQEAAA8AAAAA&#10;AAAAAQAgAAAAIgAAAGRycy9kb3ducmV2LnhtbFBLAQIUABQAAAAIAIdO4kBW7cmcEQIAADcEAAAO&#10;AAAAAAAAAAEAIAAAACoBAABkcnMvZTJvRG9jLnhtbFBLBQYAAAAABgAGAFkBAACtBQAAAAA=&#10;">
                <v:fill on="t" focussize="0,0"/>
                <v:stroke color="#0070C0" joinstyle="miter"/>
                <v:imagedata o:title=""/>
                <o:lock v:ext="edit" aspectratio="f"/>
                <v:textbox>
                  <w:txbxContent>
                    <w:p w14:paraId="72757AC1">
                      <w:pPr>
                        <w:jc w:val="center"/>
                        <w:rPr>
                          <w:rFonts w:hint="eastAsia"/>
                        </w:rPr>
                      </w:pPr>
                      <w:r>
                        <w:rPr>
                          <w:rFonts w:hint="eastAsia"/>
                        </w:rPr>
                        <w:t>图  例</w:t>
                      </w:r>
                    </w:p>
                    <w:p w14:paraId="43D19316">
                      <w:pPr>
                        <w:keepNext w:val="0"/>
                        <w:keepLines w:val="0"/>
                        <w:pageBreakBefore w:val="0"/>
                        <w:widowControl w:val="0"/>
                        <w:kinsoku/>
                        <w:wordWrap/>
                        <w:overflowPunct/>
                        <w:topLinePunct w:val="0"/>
                        <w:bidi w:val="0"/>
                        <w:adjustRightInd/>
                        <w:snapToGrid/>
                        <w:ind w:firstLine="210" w:firstLineChars="100"/>
                        <w:textAlignment w:val="auto"/>
                        <w:rPr>
                          <w:rFonts w:hint="eastAsia"/>
                          <w:lang w:val="en-US" w:eastAsia="zh-CN"/>
                        </w:rPr>
                      </w:pPr>
                      <w:r>
                        <w:rPr>
                          <w:rFonts w:hint="eastAsia"/>
                          <w:lang w:val="en-US" w:eastAsia="zh-CN"/>
                        </w:rPr>
                        <w:t>项目位置</w:t>
                      </w:r>
                    </w:p>
                    <w:p w14:paraId="39D6A0B2">
                      <w:pPr>
                        <w:keepNext w:val="0"/>
                        <w:keepLines w:val="0"/>
                        <w:pageBreakBefore w:val="0"/>
                        <w:widowControl w:val="0"/>
                        <w:kinsoku/>
                        <w:wordWrap/>
                        <w:overflowPunct/>
                        <w:topLinePunct w:val="0"/>
                        <w:bidi w:val="0"/>
                        <w:adjustRightInd/>
                        <w:snapToGrid/>
                        <w:ind w:firstLine="210" w:firstLineChars="100"/>
                        <w:textAlignment w:val="auto"/>
                        <w:rPr>
                          <w:rFonts w:hint="default"/>
                          <w:lang w:val="en-US" w:eastAsia="zh-CN"/>
                        </w:rPr>
                      </w:pPr>
                      <w:r>
                        <w:rPr>
                          <w:rFonts w:hint="eastAsia"/>
                          <w:lang w:val="en-US" w:eastAsia="zh-CN"/>
                        </w:rPr>
                        <w:t>声环境保护范围</w:t>
                      </w:r>
                    </w:p>
                    <w:p w14:paraId="02F4FB6E">
                      <w:pPr>
                        <w:keepNext w:val="0"/>
                        <w:keepLines w:val="0"/>
                        <w:pageBreakBefore w:val="0"/>
                        <w:widowControl w:val="0"/>
                        <w:kinsoku/>
                        <w:wordWrap/>
                        <w:overflowPunct/>
                        <w:topLinePunct w:val="0"/>
                        <w:bidi w:val="0"/>
                        <w:adjustRightInd/>
                        <w:snapToGrid/>
                        <w:ind w:firstLine="210" w:firstLineChars="100"/>
                        <w:textAlignment w:val="auto"/>
                        <w:rPr>
                          <w:rFonts w:hint="default" w:eastAsia="宋体"/>
                          <w:lang w:val="en-US" w:eastAsia="zh-CN"/>
                        </w:rPr>
                      </w:pPr>
                      <w:r>
                        <w:rPr>
                          <w:rFonts w:hint="eastAsia"/>
                        </w:rPr>
                        <w:t>大气环境保护范围</w:t>
                      </w:r>
                    </w:p>
                    <w:p w14:paraId="54523B46">
                      <w:pPr>
                        <w:keepNext w:val="0"/>
                        <w:keepLines w:val="0"/>
                        <w:pageBreakBefore w:val="0"/>
                        <w:widowControl w:val="0"/>
                        <w:kinsoku/>
                        <w:wordWrap/>
                        <w:overflowPunct/>
                        <w:topLinePunct w:val="0"/>
                        <w:bidi w:val="0"/>
                        <w:adjustRightInd/>
                        <w:snapToGrid/>
                        <w:ind w:firstLine="210" w:firstLineChars="100"/>
                        <w:jc w:val="both"/>
                        <w:textAlignment w:val="auto"/>
                        <w:rPr>
                          <w:rFonts w:hint="eastAsia"/>
                          <w:lang w:val="en-US" w:eastAsia="zh-CN"/>
                        </w:rPr>
                      </w:pPr>
                      <w:r>
                        <w:rPr>
                          <w:rFonts w:hint="eastAsia"/>
                          <w:lang w:val="en-US" w:eastAsia="zh-CN"/>
                        </w:rPr>
                        <w:t>大气环境保护目标</w:t>
                      </w:r>
                    </w:p>
                    <w:p w14:paraId="30DFB3CD">
                      <w:pPr>
                        <w:pStyle w:val="43"/>
                        <w:rPr>
                          <w:rFonts w:hint="default"/>
                          <w:lang w:val="en-US" w:eastAsia="zh-CN"/>
                        </w:rPr>
                      </w:pPr>
                    </w:p>
                  </w:txbxContent>
                </v:textbox>
              </v:shape>
            </w:pict>
          </mc:Fallback>
        </mc:AlternateContent>
      </w:r>
      <w:bookmarkStart w:id="18" w:name="_Toc30150"/>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7555230" cy="4893945"/>
            <wp:effectExtent l="0" t="0" r="7620" b="190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44"/>
                    <a:stretch>
                      <a:fillRect/>
                    </a:stretch>
                  </pic:blipFill>
                  <pic:spPr>
                    <a:xfrm>
                      <a:off x="0" y="0"/>
                      <a:ext cx="7555230" cy="4893945"/>
                    </a:xfrm>
                    <a:prstGeom prst="rect">
                      <a:avLst/>
                    </a:prstGeom>
                    <a:noFill/>
                    <a:ln>
                      <a:noFill/>
                    </a:ln>
                  </pic:spPr>
                </pic:pic>
              </a:graphicData>
            </a:graphic>
          </wp:inline>
        </w:drawing>
      </w:r>
    </w:p>
    <w:p w14:paraId="3536C210">
      <w:pPr>
        <w:pStyle w:val="2"/>
        <w:keepNext/>
        <w:keepLines w:val="0"/>
        <w:pageBreakBefore w:val="0"/>
        <w:widowControl w:val="0"/>
        <w:kinsoku/>
        <w:wordWrap/>
        <w:overflowPunct w:val="0"/>
        <w:topLinePunct w:val="0"/>
        <w:autoSpaceDE/>
        <w:autoSpaceDN/>
        <w:bidi w:val="0"/>
        <w:adjustRightInd/>
        <w:snapToGrid w:val="0"/>
        <w:spacing w:line="260" w:lineRule="auto"/>
        <w:ind w:left="0" w:firstLine="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附图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周围环境保护目标分布图</w:t>
      </w:r>
    </w:p>
    <w:bookmarkEnd w:id="18"/>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6"/>
        <w:gridCol w:w="4536"/>
      </w:tblGrid>
      <w:tr w14:paraId="037F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2" w:hRule="atLeast"/>
          <w:jc w:val="center"/>
        </w:trPr>
        <w:tc>
          <w:tcPr>
            <w:tcW w:w="4530" w:type="dxa"/>
            <w:noWrap w:val="0"/>
            <w:vAlign w:val="center"/>
          </w:tcPr>
          <w:p w14:paraId="7C36706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drawing>
                <wp:inline distT="0" distB="0" distL="114300" distR="114300">
                  <wp:extent cx="2861310" cy="2145665"/>
                  <wp:effectExtent l="0" t="0" r="15240" b="6985"/>
                  <wp:docPr id="191" name="图片 191"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东"/>
                          <pic:cNvPicPr>
                            <a:picLocks noChangeAspect="1"/>
                          </pic:cNvPicPr>
                        </pic:nvPicPr>
                        <pic:blipFill>
                          <a:blip r:embed="rId45"/>
                          <a:stretch>
                            <a:fillRect/>
                          </a:stretch>
                        </pic:blipFill>
                        <pic:spPr>
                          <a:xfrm>
                            <a:off x="0" y="0"/>
                            <a:ext cx="2861310" cy="2145665"/>
                          </a:xfrm>
                          <a:prstGeom prst="rect">
                            <a:avLst/>
                          </a:prstGeom>
                        </pic:spPr>
                      </pic:pic>
                    </a:graphicData>
                  </a:graphic>
                </wp:inline>
              </w:drawing>
            </w:r>
          </w:p>
        </w:tc>
        <w:tc>
          <w:tcPr>
            <w:tcW w:w="4530" w:type="dxa"/>
            <w:noWrap w:val="0"/>
            <w:vAlign w:val="center"/>
          </w:tcPr>
          <w:p w14:paraId="7373F5E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drawing>
                <wp:inline distT="0" distB="0" distL="114300" distR="114300">
                  <wp:extent cx="2705100" cy="2028825"/>
                  <wp:effectExtent l="0" t="0" r="0" b="9525"/>
                  <wp:docPr id="192" name="图片 192" descr="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西"/>
                          <pic:cNvPicPr>
                            <a:picLocks noChangeAspect="1"/>
                          </pic:cNvPicPr>
                        </pic:nvPicPr>
                        <pic:blipFill>
                          <a:blip r:embed="rId46"/>
                          <a:stretch>
                            <a:fillRect/>
                          </a:stretch>
                        </pic:blipFill>
                        <pic:spPr>
                          <a:xfrm>
                            <a:off x="0" y="0"/>
                            <a:ext cx="2705100" cy="2028825"/>
                          </a:xfrm>
                          <a:prstGeom prst="rect">
                            <a:avLst/>
                          </a:prstGeom>
                        </pic:spPr>
                      </pic:pic>
                    </a:graphicData>
                  </a:graphic>
                </wp:inline>
              </w:drawing>
            </w:r>
          </w:p>
        </w:tc>
      </w:tr>
      <w:tr w14:paraId="4E0A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14:paraId="383E6F9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厂区东侧林地</w:t>
            </w:r>
          </w:p>
        </w:tc>
        <w:tc>
          <w:tcPr>
            <w:tcW w:w="4530" w:type="dxa"/>
            <w:noWrap w:val="0"/>
            <w:vAlign w:val="center"/>
          </w:tcPr>
          <w:p w14:paraId="25F84BF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厂区西侧隔道路林地</w:t>
            </w:r>
          </w:p>
        </w:tc>
      </w:tr>
      <w:tr w14:paraId="7682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2" w:hRule="atLeast"/>
          <w:jc w:val="center"/>
        </w:trPr>
        <w:tc>
          <w:tcPr>
            <w:tcW w:w="4530" w:type="dxa"/>
            <w:noWrap w:val="0"/>
            <w:vAlign w:val="center"/>
          </w:tcPr>
          <w:p w14:paraId="2D5A1EE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drawing>
                <wp:inline distT="0" distB="0" distL="114300" distR="114300">
                  <wp:extent cx="2875915" cy="2156460"/>
                  <wp:effectExtent l="0" t="0" r="635" b="15240"/>
                  <wp:docPr id="193" name="图片 193" descr="f1aa0068bf9374410031c7ac20eaa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f1aa0068bf9374410031c7ac20eaaf90"/>
                          <pic:cNvPicPr>
                            <a:picLocks noChangeAspect="1"/>
                          </pic:cNvPicPr>
                        </pic:nvPicPr>
                        <pic:blipFill>
                          <a:blip r:embed="rId47"/>
                          <a:stretch>
                            <a:fillRect/>
                          </a:stretch>
                        </pic:blipFill>
                        <pic:spPr>
                          <a:xfrm>
                            <a:off x="0" y="0"/>
                            <a:ext cx="2875915" cy="2156460"/>
                          </a:xfrm>
                          <a:prstGeom prst="rect">
                            <a:avLst/>
                          </a:prstGeom>
                        </pic:spPr>
                      </pic:pic>
                    </a:graphicData>
                  </a:graphic>
                </wp:inline>
              </w:drawing>
            </w:r>
          </w:p>
        </w:tc>
        <w:tc>
          <w:tcPr>
            <w:tcW w:w="4530" w:type="dxa"/>
            <w:noWrap w:val="0"/>
            <w:vAlign w:val="center"/>
          </w:tcPr>
          <w:p w14:paraId="5AF8E45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drawing>
                <wp:inline distT="0" distB="0" distL="114300" distR="114300">
                  <wp:extent cx="2733040" cy="2074545"/>
                  <wp:effectExtent l="0" t="0" r="10160" b="1905"/>
                  <wp:docPr id="194" name="图片 194" descr="0d31329cf39e624a138aaf373da05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0d31329cf39e624a138aaf373da05c63"/>
                          <pic:cNvPicPr>
                            <a:picLocks noChangeAspect="1"/>
                          </pic:cNvPicPr>
                        </pic:nvPicPr>
                        <pic:blipFill>
                          <a:blip r:embed="rId48"/>
                          <a:stretch>
                            <a:fillRect/>
                          </a:stretch>
                        </pic:blipFill>
                        <pic:spPr>
                          <a:xfrm>
                            <a:off x="0" y="0"/>
                            <a:ext cx="2733040" cy="2074545"/>
                          </a:xfrm>
                          <a:prstGeom prst="rect">
                            <a:avLst/>
                          </a:prstGeom>
                        </pic:spPr>
                      </pic:pic>
                    </a:graphicData>
                  </a:graphic>
                </wp:inline>
              </w:drawing>
            </w:r>
          </w:p>
        </w:tc>
      </w:tr>
      <w:tr w14:paraId="5CA1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14:paraId="2472C06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厂区南侧林地</w:t>
            </w:r>
          </w:p>
        </w:tc>
        <w:tc>
          <w:tcPr>
            <w:tcW w:w="4530" w:type="dxa"/>
            <w:noWrap w:val="0"/>
            <w:vAlign w:val="center"/>
          </w:tcPr>
          <w:p w14:paraId="75786CA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厂区北侧林地</w:t>
            </w:r>
          </w:p>
        </w:tc>
      </w:tr>
    </w:tbl>
    <w:p w14:paraId="34641BF1">
      <w:pPr>
        <w:pStyle w:val="2"/>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sectPr>
          <w:footerReference r:id="rId6" w:type="default"/>
          <w:pgSz w:w="16781" w:h="11849" w:orient="landscape"/>
          <w:pgMar w:top="1701" w:right="1531" w:bottom="1701" w:left="1531" w:header="851" w:footer="1077" w:gutter="0"/>
          <w:pgBorders>
            <w:top w:val="none" w:sz="0" w:space="0"/>
            <w:left w:val="none" w:sz="0" w:space="0"/>
            <w:bottom w:val="none" w:sz="0" w:space="0"/>
            <w:right w:val="none" w:sz="0" w:space="0"/>
          </w:pgBorders>
          <w:pgNumType w:fmt="numberInDash"/>
          <w:cols w:space="0" w:num="1"/>
          <w:docGrid w:type="lines" w:linePitch="316" w:charSpace="0"/>
        </w:sect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附图3 厂区四周图</w:t>
      </w:r>
    </w:p>
    <w:p w14:paraId="69AF4EBD">
      <w:pP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p w14:paraId="3210EE59">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6842760</wp:posOffset>
                </wp:positionH>
                <wp:positionV relativeFrom="paragraph">
                  <wp:posOffset>4367530</wp:posOffset>
                </wp:positionV>
                <wp:extent cx="78105" cy="78105"/>
                <wp:effectExtent l="0" t="0" r="17145" b="17145"/>
                <wp:wrapNone/>
                <wp:docPr id="17" name="矩形 17"/>
                <wp:cNvGraphicFramePr/>
                <a:graphic xmlns:a="http://schemas.openxmlformats.org/drawingml/2006/main">
                  <a:graphicData uri="http://schemas.microsoft.com/office/word/2010/wordprocessingShape">
                    <wps:wsp>
                      <wps:cNvSpPr/>
                      <wps:spPr>
                        <a:xfrm>
                          <a:off x="0" y="0"/>
                          <a:ext cx="78105" cy="78105"/>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8.8pt;margin-top:343.9pt;height:6.15pt;width:6.15pt;z-index:251682816;v-text-anchor:middle;mso-width-relative:page;mso-height-relative:page;" fillcolor="#FF0000" filled="t" stroked="f" coordsize="21600,21600" o:gfxdata="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gtkZa&#10;1wAAAA0BAAAPAAAAAAAAAAEAIAAAACIAAABkcnMvZG93bnJldi54bWxQSwECFAAUAAAACACHTuJA&#10;hu4LAFsCAACzBAAADgAAAAAAAAABACAAAAAmAQAAZHJzL2Uyb0RvYy54bWxQSwUGAAAAAAYABgBZ&#10;AQAA8wUAAAAA&#10;">
                <v:fill on="t" focussize="0,0"/>
                <v:stroke on="f" weight="2pt"/>
                <v:imagedata o:title=""/>
                <o:lock v:ext="edit" aspectratio="f"/>
              </v:rect>
            </w:pict>
          </mc:Fallback>
        </mc:AlternateContent>
      </w:r>
      <w:r>
        <w:rPr>
          <w:rFonts w:hint="default" w:ascii="Times New Roman" w:hAnsi="Times New Roman" w:eastAsia="宋体" w:cs="Times New Roman"/>
          <w:b/>
          <w:bCs/>
          <w:color w:val="000000" w:themeColor="text1"/>
          <w:sz w:val="24"/>
          <w:szCs w:val="24"/>
          <w:highlight w:val="none"/>
          <w14:textFill>
            <w14:solidFill>
              <w14:schemeClr w14:val="tx1"/>
            </w14:solidFill>
          </w14:textFill>
        </w:rPr>
        <w:drawing>
          <wp:anchor distT="0" distB="0" distL="114300" distR="114300" simplePos="0" relativeHeight="251669504" behindDoc="0" locked="0" layoutInCell="1" allowOverlap="1">
            <wp:simplePos x="0" y="0"/>
            <wp:positionH relativeFrom="column">
              <wp:posOffset>6673215</wp:posOffset>
            </wp:positionH>
            <wp:positionV relativeFrom="paragraph">
              <wp:posOffset>116840</wp:posOffset>
            </wp:positionV>
            <wp:extent cx="904240" cy="838200"/>
            <wp:effectExtent l="0" t="0" r="10160" b="0"/>
            <wp:wrapNone/>
            <wp:docPr id="76" name="图片 2" descr="鸡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descr="鸡西风玫瑰"/>
                    <pic:cNvPicPr>
                      <a:picLocks noChangeAspect="1"/>
                    </pic:cNvPicPr>
                  </pic:nvPicPr>
                  <pic:blipFill>
                    <a:blip r:embed="rId12"/>
                    <a:stretch>
                      <a:fillRect/>
                    </a:stretch>
                  </pic:blipFill>
                  <pic:spPr>
                    <a:xfrm>
                      <a:off x="0" y="0"/>
                      <a:ext cx="904240" cy="838200"/>
                    </a:xfrm>
                    <a:prstGeom prst="rect">
                      <a:avLst/>
                    </a:prstGeom>
                    <a:noFill/>
                    <a:ln>
                      <a:noFill/>
                    </a:ln>
                  </pic:spPr>
                </pic:pic>
              </a:graphicData>
            </a:graphic>
          </wp:anchor>
        </w:drawing>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6836410</wp:posOffset>
                </wp:positionH>
                <wp:positionV relativeFrom="paragraph">
                  <wp:posOffset>4152265</wp:posOffset>
                </wp:positionV>
                <wp:extent cx="127000" cy="111125"/>
                <wp:effectExtent l="6350" t="6350" r="19050" b="15875"/>
                <wp:wrapNone/>
                <wp:docPr id="135" name="椭圆 135"/>
                <wp:cNvGraphicFramePr/>
                <a:graphic xmlns:a="http://schemas.openxmlformats.org/drawingml/2006/main">
                  <a:graphicData uri="http://schemas.microsoft.com/office/word/2010/wordprocessingShape">
                    <wps:wsp>
                      <wps:cNvSpPr/>
                      <wps:spPr>
                        <a:xfrm>
                          <a:off x="7964170" y="5332730"/>
                          <a:ext cx="127000" cy="111125"/>
                        </a:xfrm>
                        <a:prstGeom prst="ellipse">
                          <a:avLst/>
                        </a:prstGeom>
                        <a:ln w="12700">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8.3pt;margin-top:326.95pt;height:8.75pt;width:10pt;z-index:251681792;v-text-anchor:middle;mso-width-relative:page;mso-height-relative:page;" filled="f" stroked="t" coordsize="21600,21600" o:gfxdata="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6CT3u2QAAAA0BAAAPAAAAAAAAAAEAIAAAACIAAABkcnMvZG93bnJldi54&#10;bWxQSwECFAAUAAAACACHTuJAoa8J8msCAADGBAAADgAAAAAAAAABACAAAAAoAQAAZHJzL2Uyb0Rv&#10;Yy54bWxQSwUGAAAAAAYABgBZAQAABQYAAAAA&#10;">
                <v:fill on="f" focussize="0,0"/>
                <v:stroke weight="1pt" color="#FF0000 [3204]" joinstyle="round"/>
                <v:imagedata o:title=""/>
                <o:lock v:ext="edit" aspectratio="f"/>
              </v:shape>
            </w:pict>
          </mc:Fallback>
        </mc:AlternateContent>
      </w:r>
      <w:r>
        <w:rPr>
          <w:rFonts w:hint="default" w:ascii="Times New Roman" w:hAnsi="Times New Roman" w:eastAsia="宋体" w:cs="Times New Roman"/>
          <w:color w:val="000000" w:themeColor="text1"/>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6783705</wp:posOffset>
                </wp:positionH>
                <wp:positionV relativeFrom="paragraph">
                  <wp:posOffset>3846830</wp:posOffset>
                </wp:positionV>
                <wp:extent cx="1162685" cy="941070"/>
                <wp:effectExtent l="4445" t="5080" r="13970" b="6350"/>
                <wp:wrapNone/>
                <wp:docPr id="133" name="文本框 133"/>
                <wp:cNvGraphicFramePr/>
                <a:graphic xmlns:a="http://schemas.openxmlformats.org/drawingml/2006/main">
                  <a:graphicData uri="http://schemas.microsoft.com/office/word/2010/wordprocessingShape">
                    <wps:wsp>
                      <wps:cNvSpPr txBox="1"/>
                      <wps:spPr>
                        <a:xfrm>
                          <a:off x="0" y="0"/>
                          <a:ext cx="1162685" cy="941070"/>
                        </a:xfrm>
                        <a:prstGeom prst="rect">
                          <a:avLst/>
                        </a:prstGeom>
                        <a:solidFill>
                          <a:srgbClr val="FFFFFF"/>
                        </a:solidFill>
                        <a:ln w="9525" cap="flat" cmpd="sng">
                          <a:solidFill>
                            <a:schemeClr val="tx1"/>
                          </a:solidFill>
                          <a:prstDash val="solid"/>
                          <a:miter/>
                          <a:headEnd type="none" w="med" len="med"/>
                          <a:tailEnd type="none" w="med" len="med"/>
                        </a:ln>
                      </wps:spPr>
                      <wps:txbx>
                        <w:txbxContent>
                          <w:p w14:paraId="1A11DA4C">
                            <w:pPr>
                              <w:jc w:val="center"/>
                              <w:rPr>
                                <w:rFonts w:hint="eastAsia"/>
                              </w:rPr>
                            </w:pPr>
                            <w:r>
                              <w:rPr>
                                <w:rFonts w:hint="eastAsia"/>
                              </w:rPr>
                              <w:t>图  例</w:t>
                            </w:r>
                          </w:p>
                          <w:p w14:paraId="3D9A2703">
                            <w:pPr>
                              <w:keepNext w:val="0"/>
                              <w:keepLines w:val="0"/>
                              <w:pageBreakBefore w:val="0"/>
                              <w:widowControl w:val="0"/>
                              <w:kinsoku/>
                              <w:wordWrap/>
                              <w:overflowPunct/>
                              <w:topLinePunct w:val="0"/>
                              <w:bidi w:val="0"/>
                              <w:adjustRightInd/>
                              <w:snapToGrid/>
                              <w:ind w:firstLine="210" w:firstLineChars="100"/>
                              <w:textAlignment w:val="auto"/>
                              <w:rPr>
                                <w:rFonts w:hint="default"/>
                                <w:lang w:val="en-US" w:eastAsia="zh-CN"/>
                              </w:rPr>
                            </w:pPr>
                            <w:r>
                              <w:rPr>
                                <w:rFonts w:hint="eastAsia"/>
                                <w:lang w:val="en-US" w:eastAsia="zh-CN"/>
                              </w:rPr>
                              <w:t>DA001</w:t>
                            </w:r>
                          </w:p>
                          <w:p w14:paraId="0720BFFB">
                            <w:pPr>
                              <w:pStyle w:val="43"/>
                              <w:rPr>
                                <w:rFonts w:hint="eastAsia"/>
                                <w:lang w:val="en-US" w:eastAsia="zh-CN"/>
                              </w:rPr>
                            </w:pPr>
                            <w:r>
                              <w:rPr>
                                <w:rFonts w:hint="eastAsia"/>
                                <w:lang w:val="en-US" w:eastAsia="zh-CN"/>
                              </w:rPr>
                              <w:t xml:space="preserve">  危废贮存点</w:t>
                            </w:r>
                          </w:p>
                          <w:p w14:paraId="60E1429B">
                            <w:pPr>
                              <w:pStyle w:val="43"/>
                              <w:rPr>
                                <w:rFonts w:hint="default" w:ascii="Times New Roman" w:hAnsi="Times New Roman" w:cs="Times New Roman"/>
                                <w:lang w:val="en-US" w:eastAsia="zh-CN"/>
                              </w:rPr>
                            </w:pPr>
                            <w:r>
                              <w:rPr>
                                <w:rFonts w:hint="default" w:ascii="Times New Roman" w:hAnsi="Times New Roman" w:cs="Times New Roman"/>
                                <w:lang w:val="en-US" w:eastAsia="zh-CN"/>
                              </w:rPr>
                              <w:t>比例尺 1:2000</w:t>
                            </w:r>
                          </w:p>
                        </w:txbxContent>
                      </wps:txbx>
                      <wps:bodyPr upright="1"/>
                    </wps:wsp>
                  </a:graphicData>
                </a:graphic>
              </wp:anchor>
            </w:drawing>
          </mc:Choice>
          <mc:Fallback>
            <w:pict>
              <v:shape id="_x0000_s1026" o:spid="_x0000_s1026" o:spt="202" type="#_x0000_t202" style="position:absolute;left:0pt;margin-left:534.15pt;margin-top:302.9pt;height:74.1pt;width:91.55pt;z-index:251680768;mso-width-relative:page;mso-height-relative:page;" fillcolor="#FFFFFF" filled="t" stroked="t" coordsize="21600,21600" o:gfxdata="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VSVnzbAAAADQEAAA8AAAAAAAAA&#10;AQAgAAAAIgAAAGRycy9kb3ducmV2LnhtbFBLAQIUABQAAAAIAIdO4kBx1Xh9DgIAADoEAAAOAAAA&#10;AAAAAAEAIAAAACoBAABkcnMvZTJvRG9jLnhtbFBLBQYAAAAABgAGAFkBAACqBQAAAAA=&#10;">
                <v:fill on="t" focussize="0,0"/>
                <v:stroke color="#000000 [3213]" joinstyle="miter"/>
                <v:imagedata o:title=""/>
                <o:lock v:ext="edit" aspectratio="f"/>
                <v:textbox>
                  <w:txbxContent>
                    <w:p w14:paraId="1A11DA4C">
                      <w:pPr>
                        <w:jc w:val="center"/>
                        <w:rPr>
                          <w:rFonts w:hint="eastAsia"/>
                        </w:rPr>
                      </w:pPr>
                      <w:r>
                        <w:rPr>
                          <w:rFonts w:hint="eastAsia"/>
                        </w:rPr>
                        <w:t>图  例</w:t>
                      </w:r>
                    </w:p>
                    <w:p w14:paraId="3D9A2703">
                      <w:pPr>
                        <w:keepNext w:val="0"/>
                        <w:keepLines w:val="0"/>
                        <w:pageBreakBefore w:val="0"/>
                        <w:widowControl w:val="0"/>
                        <w:kinsoku/>
                        <w:wordWrap/>
                        <w:overflowPunct/>
                        <w:topLinePunct w:val="0"/>
                        <w:bidi w:val="0"/>
                        <w:adjustRightInd/>
                        <w:snapToGrid/>
                        <w:ind w:firstLine="210" w:firstLineChars="100"/>
                        <w:textAlignment w:val="auto"/>
                        <w:rPr>
                          <w:rFonts w:hint="default"/>
                          <w:lang w:val="en-US" w:eastAsia="zh-CN"/>
                        </w:rPr>
                      </w:pPr>
                      <w:r>
                        <w:rPr>
                          <w:rFonts w:hint="eastAsia"/>
                          <w:lang w:val="en-US" w:eastAsia="zh-CN"/>
                        </w:rPr>
                        <w:t>DA001</w:t>
                      </w:r>
                    </w:p>
                    <w:p w14:paraId="0720BFFB">
                      <w:pPr>
                        <w:pStyle w:val="43"/>
                        <w:rPr>
                          <w:rFonts w:hint="eastAsia"/>
                          <w:lang w:val="en-US" w:eastAsia="zh-CN"/>
                        </w:rPr>
                      </w:pPr>
                      <w:r>
                        <w:rPr>
                          <w:rFonts w:hint="eastAsia"/>
                          <w:lang w:val="en-US" w:eastAsia="zh-CN"/>
                        </w:rPr>
                        <w:t xml:space="preserve">  危废贮存点</w:t>
                      </w:r>
                    </w:p>
                    <w:p w14:paraId="60E1429B">
                      <w:pPr>
                        <w:pStyle w:val="43"/>
                        <w:rPr>
                          <w:rFonts w:hint="default" w:ascii="Times New Roman" w:hAnsi="Times New Roman" w:cs="Times New Roman"/>
                          <w:lang w:val="en-US" w:eastAsia="zh-CN"/>
                        </w:rPr>
                      </w:pPr>
                      <w:r>
                        <w:rPr>
                          <w:rFonts w:hint="default" w:ascii="Times New Roman" w:hAnsi="Times New Roman" w:cs="Times New Roman"/>
                          <w:lang w:val="en-US" w:eastAsia="zh-CN"/>
                        </w:rPr>
                        <w:t>比例尺 1:2000</w:t>
                      </w:r>
                    </w:p>
                  </w:txbxContent>
                </v:textbox>
              </v:shape>
            </w:pict>
          </mc:Fallback>
        </mc:AlternateContent>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4072890</wp:posOffset>
                </wp:positionH>
                <wp:positionV relativeFrom="paragraph">
                  <wp:posOffset>6772910</wp:posOffset>
                </wp:positionV>
                <wp:extent cx="1352550" cy="1058545"/>
                <wp:effectExtent l="4445" t="4445" r="14605" b="22860"/>
                <wp:wrapNone/>
                <wp:docPr id="132" name="文本框 132"/>
                <wp:cNvGraphicFramePr/>
                <a:graphic xmlns:a="http://schemas.openxmlformats.org/drawingml/2006/main">
                  <a:graphicData uri="http://schemas.microsoft.com/office/word/2010/wordprocessingShape">
                    <wps:wsp>
                      <wps:cNvSpPr txBox="1"/>
                      <wps:spPr>
                        <a:xfrm>
                          <a:off x="0" y="0"/>
                          <a:ext cx="1352550" cy="1058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B29588">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图例</w:t>
                            </w:r>
                          </w:p>
                          <w:p w14:paraId="2E9B2624">
                            <w:pPr>
                              <w:pStyle w:val="4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DA001</w:t>
                            </w:r>
                          </w:p>
                          <w:p w14:paraId="2E737351">
                            <w:pPr>
                              <w:pStyle w:val="43"/>
                              <w:ind w:firstLine="630" w:firstLineChars="3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除尘设施</w:t>
                            </w:r>
                          </w:p>
                          <w:p w14:paraId="230AFC74">
                            <w:pPr>
                              <w:pStyle w:val="43"/>
                              <w:ind w:firstLine="630" w:firstLineChars="300"/>
                              <w:rPr>
                                <w:rFonts w:hint="default" w:ascii="Times New Roman" w:hAnsi="Times New Roman" w:eastAsia="宋体" w:cs="Times New Roman"/>
                                <w:lang w:val="en-US" w:eastAsia="zh-CN"/>
                              </w:rPr>
                            </w:pPr>
                            <w:r>
                              <w:rPr>
                                <w:rFonts w:hint="eastAsia" w:ascii="Times New Roman" w:hAnsi="Times New Roman" w:cs="Times New Roman"/>
                                <w:lang w:val="en-US" w:eastAsia="zh-CN"/>
                              </w:rPr>
                              <w:t>新增占地</w:t>
                            </w:r>
                          </w:p>
                          <w:p w14:paraId="180F45AD">
                            <w:pPr>
                              <w:pStyle w:val="43"/>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7pt;margin-top:533.3pt;height:83.35pt;width:106.5pt;z-index:251679744;mso-width-relative:page;mso-height-relative:page;" fillcolor="#FFFFFF [3201]" filled="t" stroked="t" coordsize="21600,21600" o:gfxdata="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wn0PbY&#10;AAAADQEAAA8AAAAAAAAAAQAgAAAAIgAAAGRycy9kb3ducmV2LnhtbFBLAQIUABQAAAAIAIdO4kAF&#10;D5luWQIAALwEAAAOAAAAAAAAAAEAIAAAACcBAABkcnMvZTJvRG9jLnhtbFBLBQYAAAAABgAGAFkB&#10;AADyBQAAAAA=&#10;">
                <v:fill on="t" focussize="0,0"/>
                <v:stroke weight="0.5pt" color="#000000 [3204]" joinstyle="round"/>
                <v:imagedata o:title=""/>
                <o:lock v:ext="edit" aspectratio="f"/>
                <v:textbox>
                  <w:txbxContent>
                    <w:p w14:paraId="73B29588">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图例</w:t>
                      </w:r>
                    </w:p>
                    <w:p w14:paraId="2E9B2624">
                      <w:pPr>
                        <w:pStyle w:val="4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DA001</w:t>
                      </w:r>
                    </w:p>
                    <w:p w14:paraId="2E737351">
                      <w:pPr>
                        <w:pStyle w:val="43"/>
                        <w:ind w:firstLine="630" w:firstLineChars="3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除尘设施</w:t>
                      </w:r>
                    </w:p>
                    <w:p w14:paraId="230AFC74">
                      <w:pPr>
                        <w:pStyle w:val="43"/>
                        <w:ind w:firstLine="630" w:firstLineChars="300"/>
                        <w:rPr>
                          <w:rFonts w:hint="default" w:ascii="Times New Roman" w:hAnsi="Times New Roman" w:eastAsia="宋体" w:cs="Times New Roman"/>
                          <w:lang w:val="en-US" w:eastAsia="zh-CN"/>
                        </w:rPr>
                      </w:pPr>
                      <w:r>
                        <w:rPr>
                          <w:rFonts w:hint="eastAsia" w:ascii="Times New Roman" w:hAnsi="Times New Roman" w:cs="Times New Roman"/>
                          <w:lang w:val="en-US" w:eastAsia="zh-CN"/>
                        </w:rPr>
                        <w:t>新增占地</w:t>
                      </w:r>
                    </w:p>
                    <w:p w14:paraId="180F45AD">
                      <w:pPr>
                        <w:pStyle w:val="43"/>
                        <w:rPr>
                          <w:rFonts w:hint="default"/>
                          <w:lang w:val="en-US" w:eastAsia="zh-CN"/>
                        </w:rPr>
                      </w:pPr>
                    </w:p>
                  </w:txbxContent>
                </v:textbox>
              </v:shape>
            </w:pict>
          </mc:Fallback>
        </mc:AlternateContent>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4439920</wp:posOffset>
                </wp:positionH>
                <wp:positionV relativeFrom="paragraph">
                  <wp:posOffset>6985000</wp:posOffset>
                </wp:positionV>
                <wp:extent cx="95250" cy="95250"/>
                <wp:effectExtent l="6350" t="6350" r="12700" b="12700"/>
                <wp:wrapNone/>
                <wp:docPr id="78" name="椭圆 78"/>
                <wp:cNvGraphicFramePr/>
                <a:graphic xmlns:a="http://schemas.openxmlformats.org/drawingml/2006/main">
                  <a:graphicData uri="http://schemas.microsoft.com/office/word/2010/wordprocessingShape">
                    <wps:wsp>
                      <wps:cNvSpPr/>
                      <wps:spPr>
                        <a:xfrm>
                          <a:off x="5396230" y="7583170"/>
                          <a:ext cx="95250" cy="95250"/>
                        </a:xfrm>
                        <a:prstGeom prst="ellipse">
                          <a:avLst/>
                        </a:prstGeom>
                        <a:ln w="12700">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9.6pt;margin-top:550pt;height:7.5pt;width:7.5pt;z-index:251674624;v-text-anchor:middle;mso-width-relative:page;mso-height-relative:page;" filled="f" stroked="t" coordsize="21600,21600" o:gfxdata="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B7fbdoAAAANAQAADwAAAAAAAAABACAAAAAiAAAAZHJzL2Rvd25yZXYueG1s&#10;UEsBAhQAFAAAAAgAh07iQFf1N0toAgAAwgQAAA4AAAAAAAAAAQAgAAAAKQEAAGRycy9lMm9Eb2Mu&#10;eG1sUEsFBgAAAAAGAAYAWQEAAAMGAAAAAA==&#10;">
                <v:fill on="f" focussize="0,0"/>
                <v:stroke weight="1pt" color="#FF0000 [3204]" joinstyle="round"/>
                <v:imagedata o:title=""/>
                <o:lock v:ext="edit" aspectratio="f"/>
              </v:shape>
            </w:pict>
          </mc:Fallback>
        </mc:AlternateContent>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4180840</wp:posOffset>
                </wp:positionH>
                <wp:positionV relativeFrom="paragraph">
                  <wp:posOffset>6664960</wp:posOffset>
                </wp:positionV>
                <wp:extent cx="1352550" cy="1058545"/>
                <wp:effectExtent l="4445" t="4445" r="14605" b="22860"/>
                <wp:wrapNone/>
                <wp:docPr id="49" name="文本框 49"/>
                <wp:cNvGraphicFramePr/>
                <a:graphic xmlns:a="http://schemas.openxmlformats.org/drawingml/2006/main">
                  <a:graphicData uri="http://schemas.microsoft.com/office/word/2010/wordprocessingShape">
                    <wps:wsp>
                      <wps:cNvSpPr txBox="1"/>
                      <wps:spPr>
                        <a:xfrm>
                          <a:off x="0" y="0"/>
                          <a:ext cx="1352550" cy="1058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7FA003">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图例</w:t>
                            </w:r>
                          </w:p>
                          <w:p w14:paraId="64853FAE">
                            <w:pPr>
                              <w:pStyle w:val="4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DA001</w:t>
                            </w:r>
                          </w:p>
                          <w:p w14:paraId="51DB4104">
                            <w:pPr>
                              <w:pStyle w:val="43"/>
                              <w:ind w:firstLine="630" w:firstLineChars="3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除尘设施</w:t>
                            </w:r>
                          </w:p>
                          <w:p w14:paraId="2B68E339">
                            <w:pPr>
                              <w:pStyle w:val="43"/>
                              <w:ind w:firstLine="630" w:firstLineChars="300"/>
                              <w:rPr>
                                <w:rFonts w:hint="default" w:ascii="Times New Roman" w:hAnsi="Times New Roman" w:eastAsia="宋体" w:cs="Times New Roman"/>
                                <w:lang w:val="en-US" w:eastAsia="zh-CN"/>
                              </w:rPr>
                            </w:pPr>
                            <w:r>
                              <w:rPr>
                                <w:rFonts w:hint="eastAsia" w:ascii="Times New Roman" w:hAnsi="Times New Roman" w:cs="Times New Roman"/>
                                <w:lang w:val="en-US" w:eastAsia="zh-CN"/>
                              </w:rPr>
                              <w:t>新增占地</w:t>
                            </w:r>
                          </w:p>
                          <w:p w14:paraId="00608E40">
                            <w:pPr>
                              <w:pStyle w:val="43"/>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2pt;margin-top:524.8pt;height:83.35pt;width:106.5pt;z-index:251673600;mso-width-relative:page;mso-height-relative:page;" fillcolor="#FFFFFF [3201]" filled="t" stroked="t" coordsize="21600,21600" o:gfxdata="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UtHt&#10;2QAAAA0BAAAPAAAAAAAAAAEAIAAAACIAAABkcnMvZG93bnJldi54bWxQSwECFAAUAAAACACHTuJA&#10;MYSGJlkCAAC6BAAADgAAAAAAAAABACAAAAAoAQAAZHJzL2Uyb0RvYy54bWxQSwUGAAAAAAYABgBZ&#10;AQAA8wUAAAAA&#10;">
                <v:fill on="t" focussize="0,0"/>
                <v:stroke weight="0.5pt" color="#000000 [3204]" joinstyle="round"/>
                <v:imagedata o:title=""/>
                <o:lock v:ext="edit" aspectratio="f"/>
                <v:textbox>
                  <w:txbxContent>
                    <w:p w14:paraId="0B7FA003">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图例</w:t>
                      </w:r>
                    </w:p>
                    <w:p w14:paraId="64853FAE">
                      <w:pPr>
                        <w:pStyle w:val="4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DA001</w:t>
                      </w:r>
                    </w:p>
                    <w:p w14:paraId="51DB4104">
                      <w:pPr>
                        <w:pStyle w:val="43"/>
                        <w:ind w:firstLine="630" w:firstLineChars="3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除尘设施</w:t>
                      </w:r>
                    </w:p>
                    <w:p w14:paraId="2B68E339">
                      <w:pPr>
                        <w:pStyle w:val="43"/>
                        <w:ind w:firstLine="630" w:firstLineChars="300"/>
                        <w:rPr>
                          <w:rFonts w:hint="default" w:ascii="Times New Roman" w:hAnsi="Times New Roman" w:eastAsia="宋体" w:cs="Times New Roman"/>
                          <w:lang w:val="en-US" w:eastAsia="zh-CN"/>
                        </w:rPr>
                      </w:pPr>
                      <w:r>
                        <w:rPr>
                          <w:rFonts w:hint="eastAsia" w:ascii="Times New Roman" w:hAnsi="Times New Roman" w:cs="Times New Roman"/>
                          <w:lang w:val="en-US" w:eastAsia="zh-CN"/>
                        </w:rPr>
                        <w:t>新增占地</w:t>
                      </w:r>
                    </w:p>
                    <w:p w14:paraId="00608E40">
                      <w:pPr>
                        <w:pStyle w:val="43"/>
                        <w:rPr>
                          <w:rFonts w:hint="default"/>
                          <w:lang w:val="en-US" w:eastAsia="zh-CN"/>
                        </w:rPr>
                      </w:pPr>
                    </w:p>
                  </w:txbxContent>
                </v:textbox>
              </v:shape>
            </w:pict>
          </mc:Fallback>
        </mc:AlternateContent>
      </w:r>
      <w:r>
        <w:rPr>
          <w:color w:val="000000" w:themeColor="text1"/>
          <w:highlight w:val="none"/>
          <w14:textFill>
            <w14:solidFill>
              <w14:schemeClr w14:val="tx1"/>
            </w14:solidFill>
          </w14:textFill>
        </w:rPr>
        <w:drawing>
          <wp:inline distT="0" distB="0" distL="114300" distR="114300">
            <wp:extent cx="4887595" cy="4887595"/>
            <wp:effectExtent l="0" t="0" r="8255" b="825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49"/>
                    <a:stretch>
                      <a:fillRect/>
                    </a:stretch>
                  </pic:blipFill>
                  <pic:spPr>
                    <a:xfrm>
                      <a:off x="0" y="0"/>
                      <a:ext cx="4887595" cy="4887595"/>
                    </a:xfrm>
                    <a:prstGeom prst="rect">
                      <a:avLst/>
                    </a:prstGeom>
                    <a:noFill/>
                    <a:ln>
                      <a:noFill/>
                    </a:ln>
                  </pic:spPr>
                </pic:pic>
              </a:graphicData>
            </a:graphic>
          </wp:inline>
        </w:drawing>
      </w:r>
    </w:p>
    <w:p w14:paraId="7A78FD6D">
      <w:pPr>
        <w:pStyle w:val="2"/>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sectPr>
          <w:pgSz w:w="16781" w:h="11849" w:orient="landscape"/>
          <w:pgMar w:top="1531" w:right="1701" w:bottom="1531" w:left="1701" w:header="851" w:footer="1077" w:gutter="0"/>
          <w:pgBorders>
            <w:top w:val="none" w:sz="0" w:space="0"/>
            <w:left w:val="none" w:sz="0" w:space="0"/>
            <w:bottom w:val="none" w:sz="0" w:space="0"/>
            <w:right w:val="none" w:sz="0" w:space="0"/>
          </w:pgBorders>
          <w:pgNumType w:fmt="numberInDash"/>
          <w:cols w:space="0" w:num="1"/>
          <w:docGrid w:type="lines" w:linePitch="316" w:charSpace="0"/>
        </w:sect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附图4厂区平面布置图</w:t>
      </w:r>
    </w:p>
    <w:p w14:paraId="5C16011A">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6858635</wp:posOffset>
                </wp:positionH>
                <wp:positionV relativeFrom="paragraph">
                  <wp:posOffset>4559300</wp:posOffset>
                </wp:positionV>
                <wp:extent cx="78105" cy="78105"/>
                <wp:effectExtent l="0" t="0" r="17145" b="17145"/>
                <wp:wrapNone/>
                <wp:docPr id="11" name="矩形 11"/>
                <wp:cNvGraphicFramePr/>
                <a:graphic xmlns:a="http://schemas.openxmlformats.org/drawingml/2006/main">
                  <a:graphicData uri="http://schemas.microsoft.com/office/word/2010/wordprocessingShape">
                    <wps:wsp>
                      <wps:cNvSpPr/>
                      <wps:spPr>
                        <a:xfrm>
                          <a:off x="0" y="0"/>
                          <a:ext cx="78105" cy="78105"/>
                        </a:xfrm>
                        <a:prstGeom prst="rect">
                          <a:avLst/>
                        </a:prstGeom>
                        <a:solidFill>
                          <a:srgbClr val="0070C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0.05pt;margin-top:359pt;height:6.15pt;width:6.15pt;z-index:251694080;v-text-anchor:middle;mso-width-relative:page;mso-height-relative:page;" fillcolor="#0070C0" filled="t" stroked="f" coordsize="21600,21600" o:gfxdata="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9dMQnW&#10;AAAADQEAAA8AAAAAAAAAAQAgAAAAIgAAAGRycy9kb3ducmV2LnhtbFBLAQIUABQAAAAIAIdO4kAK&#10;USXyWwIAALMEAAAOAAAAAAAAAAEAIAAAACUBAABkcnMvZTJvRG9jLnhtbFBLBQYAAAAABgAGAFkB&#10;AADyBQAAAAA=&#10;">
                <v:fill on="t" focussize="0,0"/>
                <v:stroke on="f" weight="2pt"/>
                <v:imagedata o:title=""/>
                <o:lock v:ext="edit" aspectratio="f"/>
              </v:rect>
            </w:pict>
          </mc:Fallback>
        </mc:AlternateContent>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6864985</wp:posOffset>
                </wp:positionH>
                <wp:positionV relativeFrom="paragraph">
                  <wp:posOffset>4744720</wp:posOffset>
                </wp:positionV>
                <wp:extent cx="78105" cy="78105"/>
                <wp:effectExtent l="0" t="0" r="17145" b="17145"/>
                <wp:wrapNone/>
                <wp:docPr id="205" name="矩形 205"/>
                <wp:cNvGraphicFramePr/>
                <a:graphic xmlns:a="http://schemas.openxmlformats.org/drawingml/2006/main">
                  <a:graphicData uri="http://schemas.microsoft.com/office/word/2010/wordprocessingShape">
                    <wps:wsp>
                      <wps:cNvSpPr/>
                      <wps:spPr>
                        <a:xfrm>
                          <a:off x="0" y="0"/>
                          <a:ext cx="78105" cy="78105"/>
                        </a:xfrm>
                        <a:prstGeom prst="rect">
                          <a:avLst/>
                        </a:prstGeom>
                        <a:solidFill>
                          <a:schemeClr val="accent5"/>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0.55pt;margin-top:373.6pt;height:6.15pt;width:6.15pt;z-index:251692032;v-text-anchor:middle;mso-width-relative:page;mso-height-relative:page;" fillcolor="#4BACC6 [3208]" filled="t" stroked="f" coordsize="21600,21600" o:gfxdata="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SbG83bAAAADQEAAA8AAAAAAAAAAQAgAAAAIgAAAGRycy9kb3ducmV2LnhtbFBLAQIUABQAAAAI&#10;AIdO4kDUkwkBXAIAALUEAAAOAAAAAAAAAAEAIAAAACoBAABkcnMvZTJvRG9jLnhtbFBLBQYAAAAA&#10;BgAGAFkBAAD4BQAAAAA=&#10;">
                <v:fill on="t" focussize="0,0"/>
                <v:stroke on="f" weight="2pt"/>
                <v:imagedata o:title=""/>
                <o:lock v:ext="edit" aspectratio="f"/>
              </v:rect>
            </w:pict>
          </mc:Fallback>
        </mc:AlternateContent>
      </w:r>
      <w:r>
        <w:rPr>
          <w:rFonts w:hint="default" w:ascii="Times New Roman" w:hAnsi="Times New Roman" w:eastAsia="宋体" w:cs="Times New Roman"/>
          <w:b/>
          <w:bCs/>
          <w:color w:val="000000" w:themeColor="text1"/>
          <w:sz w:val="24"/>
          <w:szCs w:val="24"/>
          <w:highlight w:val="none"/>
          <w14:textFill>
            <w14:solidFill>
              <w14:schemeClr w14:val="tx1"/>
            </w14:solidFill>
          </w14:textFill>
        </w:rPr>
        <w:drawing>
          <wp:anchor distT="0" distB="0" distL="114300" distR="114300" simplePos="0" relativeHeight="251693056" behindDoc="0" locked="0" layoutInCell="1" allowOverlap="1">
            <wp:simplePos x="0" y="0"/>
            <wp:positionH relativeFrom="column">
              <wp:posOffset>6560820</wp:posOffset>
            </wp:positionH>
            <wp:positionV relativeFrom="paragraph">
              <wp:posOffset>57785</wp:posOffset>
            </wp:positionV>
            <wp:extent cx="904240" cy="838200"/>
            <wp:effectExtent l="0" t="0" r="10160" b="0"/>
            <wp:wrapNone/>
            <wp:docPr id="206" name="图片 2" descr="鸡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 descr="鸡西风玫瑰"/>
                    <pic:cNvPicPr>
                      <a:picLocks noChangeAspect="1"/>
                    </pic:cNvPicPr>
                  </pic:nvPicPr>
                  <pic:blipFill>
                    <a:blip r:embed="rId12"/>
                    <a:stretch>
                      <a:fillRect/>
                    </a:stretch>
                  </pic:blipFill>
                  <pic:spPr>
                    <a:xfrm>
                      <a:off x="0" y="0"/>
                      <a:ext cx="904240" cy="838200"/>
                    </a:xfrm>
                    <a:prstGeom prst="rect">
                      <a:avLst/>
                    </a:prstGeom>
                    <a:noFill/>
                    <a:ln>
                      <a:noFill/>
                    </a:ln>
                  </pic:spPr>
                </pic:pic>
              </a:graphicData>
            </a:graphic>
          </wp:anchor>
        </w:drawing>
      </w: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6868160</wp:posOffset>
                </wp:positionH>
                <wp:positionV relativeFrom="paragraph">
                  <wp:posOffset>4368800</wp:posOffset>
                </wp:positionV>
                <wp:extent cx="78105" cy="78105"/>
                <wp:effectExtent l="0" t="0" r="17145" b="17145"/>
                <wp:wrapNone/>
                <wp:docPr id="204" name="矩形 204"/>
                <wp:cNvGraphicFramePr/>
                <a:graphic xmlns:a="http://schemas.openxmlformats.org/drawingml/2006/main">
                  <a:graphicData uri="http://schemas.microsoft.com/office/word/2010/wordprocessingShape">
                    <wps:wsp>
                      <wps:cNvSpPr/>
                      <wps:spPr>
                        <a:xfrm>
                          <a:off x="0" y="0"/>
                          <a:ext cx="78105" cy="78105"/>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0.8pt;margin-top:344pt;height:6.15pt;width:6.15pt;z-index:251691008;v-text-anchor:middle;mso-width-relative:page;mso-height-relative:page;" fillcolor="#FF0000" filled="t" stroked="f" coordsize="21600,21600" o:gfxdata="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sc&#10;0NgAAAANAQAADwAAAAAAAAABACAAAAAiAAAAZHJzL2Rvd25yZXYueG1sUEsBAhQAFAAAAAgAh07i&#10;QJ8aXSlbAgAAtQQAAA4AAAAAAAAAAQAgAAAAJwEAAGRycy9lMm9Eb2MueG1sUEsFBgAAAAAGAAYA&#10;WQEAAPQFAAAAAA==&#10;">
                <v:fill on="t" focussize="0,0"/>
                <v:stroke on="f" weight="2pt"/>
                <v:imagedata o:title=""/>
                <o:lock v:ext="edit" aspectratio="f"/>
              </v:rect>
            </w:pict>
          </mc:Fallback>
        </mc:AlternateContent>
      </w:r>
      <w:r>
        <w:rPr>
          <w:rFonts w:hint="default" w:ascii="Times New Roman" w:hAnsi="Times New Roman" w:eastAsia="宋体" w:cs="Times New Roman"/>
          <w:color w:val="000000" w:themeColor="text1"/>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6783705</wp:posOffset>
                </wp:positionH>
                <wp:positionV relativeFrom="paragraph">
                  <wp:posOffset>4047490</wp:posOffset>
                </wp:positionV>
                <wp:extent cx="1162685" cy="941070"/>
                <wp:effectExtent l="4445" t="5080" r="13970" b="6350"/>
                <wp:wrapNone/>
                <wp:docPr id="203" name="文本框 203"/>
                <wp:cNvGraphicFramePr/>
                <a:graphic xmlns:a="http://schemas.openxmlformats.org/drawingml/2006/main">
                  <a:graphicData uri="http://schemas.microsoft.com/office/word/2010/wordprocessingShape">
                    <wps:wsp>
                      <wps:cNvSpPr txBox="1"/>
                      <wps:spPr>
                        <a:xfrm>
                          <a:off x="0" y="0"/>
                          <a:ext cx="1162685" cy="941070"/>
                        </a:xfrm>
                        <a:prstGeom prst="rect">
                          <a:avLst/>
                        </a:prstGeom>
                        <a:solidFill>
                          <a:srgbClr val="FFFFFF"/>
                        </a:solidFill>
                        <a:ln w="9525" cap="flat" cmpd="sng">
                          <a:solidFill>
                            <a:schemeClr val="tx1"/>
                          </a:solidFill>
                          <a:prstDash val="solid"/>
                          <a:miter/>
                          <a:headEnd type="none" w="med" len="med"/>
                          <a:tailEnd type="none" w="med" len="med"/>
                        </a:ln>
                      </wps:spPr>
                      <wps:txbx>
                        <w:txbxContent>
                          <w:p w14:paraId="66E027D4">
                            <w:pPr>
                              <w:jc w:val="center"/>
                              <w:rPr>
                                <w:rFonts w:hint="eastAsia"/>
                              </w:rPr>
                            </w:pPr>
                            <w:r>
                              <w:rPr>
                                <w:rFonts w:hint="eastAsia"/>
                              </w:rPr>
                              <w:t>图  例</w:t>
                            </w:r>
                          </w:p>
                          <w:p w14:paraId="41DDC27A">
                            <w:pPr>
                              <w:pStyle w:val="43"/>
                              <w:rPr>
                                <w:rFonts w:hint="default"/>
                                <w:lang w:val="en-US" w:eastAsia="zh-CN"/>
                              </w:rPr>
                            </w:pPr>
                            <w:r>
                              <w:rPr>
                                <w:rFonts w:hint="eastAsia"/>
                                <w:lang w:val="en-US" w:eastAsia="zh-CN"/>
                              </w:rPr>
                              <w:t xml:space="preserve">  重点防渗区</w:t>
                            </w:r>
                          </w:p>
                          <w:p w14:paraId="5990E336">
                            <w:pPr>
                              <w:pStyle w:val="43"/>
                              <w:rPr>
                                <w:rFonts w:hint="default"/>
                                <w:lang w:val="en-US" w:eastAsia="zh-CN"/>
                              </w:rPr>
                            </w:pPr>
                            <w:r>
                              <w:rPr>
                                <w:rFonts w:hint="eastAsia"/>
                                <w:lang w:val="en-US" w:eastAsia="zh-CN"/>
                              </w:rPr>
                              <w:t xml:space="preserve">  一般防渗区</w:t>
                            </w:r>
                          </w:p>
                          <w:p w14:paraId="28356C37">
                            <w:pPr>
                              <w:pStyle w:val="43"/>
                              <w:ind w:firstLine="210" w:firstLineChars="100"/>
                              <w:rPr>
                                <w:rFonts w:hint="default"/>
                                <w:lang w:val="en-US" w:eastAsia="zh-CN"/>
                              </w:rPr>
                            </w:pPr>
                            <w:r>
                              <w:rPr>
                                <w:rFonts w:hint="eastAsia"/>
                                <w:lang w:val="en-US" w:eastAsia="zh-CN"/>
                              </w:rPr>
                              <w:t>简单防渗</w:t>
                            </w:r>
                          </w:p>
                          <w:p w14:paraId="79C34E0E">
                            <w:pPr>
                              <w:pStyle w:val="43"/>
                              <w:rPr>
                                <w:rFonts w:hint="default" w:ascii="Times New Roman" w:hAnsi="Times New Roman" w:cs="Times New Roman"/>
                                <w:lang w:val="en-US" w:eastAsia="zh-CN"/>
                              </w:rPr>
                            </w:pPr>
                          </w:p>
                        </w:txbxContent>
                      </wps:txbx>
                      <wps:bodyPr upright="1"/>
                    </wps:wsp>
                  </a:graphicData>
                </a:graphic>
              </wp:anchor>
            </w:drawing>
          </mc:Choice>
          <mc:Fallback>
            <w:pict>
              <v:shape id="_x0000_s1026" o:spid="_x0000_s1026" o:spt="202" type="#_x0000_t202" style="position:absolute;left:0pt;margin-left:534.15pt;margin-top:318.7pt;height:74.1pt;width:91.55pt;z-index:251689984;mso-width-relative:page;mso-height-relative:page;" fillcolor="#FFFFFF" filled="t" stroked="t" coordsize="21600,21600" o:gfxdata="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RMQ3fbAAAADQEAAA8AAAAAAAAA&#10;AQAgAAAAIgAAAGRycy9kb3ducmV2LnhtbFBLAQIUABQAAAAIAIdO4kBq+Yy0DgIAADoEAAAOAAAA&#10;AAAAAAEAIAAAACoBAABkcnMvZTJvRG9jLnhtbFBLBQYAAAAABgAGAFkBAACqBQAAAAA=&#10;">
                <v:fill on="t" focussize="0,0"/>
                <v:stroke color="#000000 [3213]" joinstyle="miter"/>
                <v:imagedata o:title=""/>
                <o:lock v:ext="edit" aspectratio="f"/>
                <v:textbox>
                  <w:txbxContent>
                    <w:p w14:paraId="66E027D4">
                      <w:pPr>
                        <w:jc w:val="center"/>
                        <w:rPr>
                          <w:rFonts w:hint="eastAsia"/>
                        </w:rPr>
                      </w:pPr>
                      <w:r>
                        <w:rPr>
                          <w:rFonts w:hint="eastAsia"/>
                        </w:rPr>
                        <w:t>图  例</w:t>
                      </w:r>
                    </w:p>
                    <w:p w14:paraId="41DDC27A">
                      <w:pPr>
                        <w:pStyle w:val="43"/>
                        <w:rPr>
                          <w:rFonts w:hint="default"/>
                          <w:lang w:val="en-US" w:eastAsia="zh-CN"/>
                        </w:rPr>
                      </w:pPr>
                      <w:r>
                        <w:rPr>
                          <w:rFonts w:hint="eastAsia"/>
                          <w:lang w:val="en-US" w:eastAsia="zh-CN"/>
                        </w:rPr>
                        <w:t xml:space="preserve">  重点防渗区</w:t>
                      </w:r>
                    </w:p>
                    <w:p w14:paraId="5990E336">
                      <w:pPr>
                        <w:pStyle w:val="43"/>
                        <w:rPr>
                          <w:rFonts w:hint="default"/>
                          <w:lang w:val="en-US" w:eastAsia="zh-CN"/>
                        </w:rPr>
                      </w:pPr>
                      <w:r>
                        <w:rPr>
                          <w:rFonts w:hint="eastAsia"/>
                          <w:lang w:val="en-US" w:eastAsia="zh-CN"/>
                        </w:rPr>
                        <w:t xml:space="preserve">  一般防渗区</w:t>
                      </w:r>
                    </w:p>
                    <w:p w14:paraId="28356C37">
                      <w:pPr>
                        <w:pStyle w:val="43"/>
                        <w:ind w:firstLine="210" w:firstLineChars="100"/>
                        <w:rPr>
                          <w:rFonts w:hint="default"/>
                          <w:lang w:val="en-US" w:eastAsia="zh-CN"/>
                        </w:rPr>
                      </w:pPr>
                      <w:r>
                        <w:rPr>
                          <w:rFonts w:hint="eastAsia"/>
                          <w:lang w:val="en-US" w:eastAsia="zh-CN"/>
                        </w:rPr>
                        <w:t>简单防渗</w:t>
                      </w:r>
                    </w:p>
                    <w:p w14:paraId="79C34E0E">
                      <w:pPr>
                        <w:pStyle w:val="43"/>
                        <w:rPr>
                          <w:rFonts w:hint="default" w:ascii="Times New Roman" w:hAnsi="Times New Roman" w:cs="Times New Roman"/>
                          <w:lang w:val="en-US" w:eastAsia="zh-CN"/>
                        </w:rPr>
                      </w:pPr>
                    </w:p>
                  </w:txbxContent>
                </v:textbox>
              </v:shape>
            </w:pict>
          </mc:Fallback>
        </mc:AlternateContent>
      </w:r>
      <w:r>
        <w:rPr>
          <w:color w:val="000000" w:themeColor="text1"/>
          <w:highlight w:val="none"/>
          <w14:textFill>
            <w14:solidFill>
              <w14:schemeClr w14:val="tx1"/>
            </w14:solidFill>
          </w14:textFill>
        </w:rPr>
        <w:drawing>
          <wp:inline distT="0" distB="0" distL="114300" distR="114300">
            <wp:extent cx="3743960" cy="4838700"/>
            <wp:effectExtent l="0" t="0" r="889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50"/>
                    <a:stretch>
                      <a:fillRect/>
                    </a:stretch>
                  </pic:blipFill>
                  <pic:spPr>
                    <a:xfrm>
                      <a:off x="0" y="0"/>
                      <a:ext cx="3743960" cy="4838700"/>
                    </a:xfrm>
                    <a:prstGeom prst="rect">
                      <a:avLst/>
                    </a:prstGeom>
                    <a:noFill/>
                    <a:ln>
                      <a:noFill/>
                    </a:ln>
                  </pic:spPr>
                </pic:pic>
              </a:graphicData>
            </a:graphic>
          </wp:inline>
        </w:drawing>
      </w:r>
    </w:p>
    <w:p w14:paraId="7B632999">
      <w:pPr>
        <w:pStyle w:val="29"/>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附图5 分区防渗图</w:t>
      </w:r>
    </w:p>
    <w:sectPr>
      <w:pgSz w:w="16781" w:h="11849" w:orient="landscape"/>
      <w:pgMar w:top="1531" w:right="1701" w:bottom="1531" w:left="1701" w:header="851" w:footer="1077" w:gutter="0"/>
      <w:pgBorders>
        <w:top w:val="none" w:sz="0" w:space="0"/>
        <w:left w:val="none" w:sz="0" w:space="0"/>
        <w:bottom w:val="none" w:sz="0" w:space="0"/>
        <w:right w:val="none" w:sz="0" w:space="0"/>
      </w:pgBorders>
      <w:pgNumType w:fmt="numberInDash"/>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new times roma">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7ABC5">
    <w:pPr>
      <w:pStyle w:val="19"/>
      <w:tabs>
        <w:tab w:val="center" w:pos="4121"/>
        <w:tab w:val="clear" w:pos="4153"/>
      </w:tabs>
      <w:ind w:right="360" w:firstLine="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DE869">
    <w:pPr>
      <w:pStyle w:val="19"/>
      <w:tabs>
        <w:tab w:val="center" w:pos="4121"/>
        <w:tab w:val="clear" w:pos="4153"/>
      </w:tabs>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8C34F">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50E8C34F">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1717F">
    <w:pPr>
      <w:pStyle w:val="19"/>
      <w:tabs>
        <w:tab w:val="center" w:pos="4121"/>
        <w:tab w:val="clear" w:pos="4153"/>
      </w:tabs>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884B3">
                          <w:pPr>
                            <w:pStyle w:val="1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CA884B3">
                    <w:pPr>
                      <w:pStyle w:val="19"/>
                    </w:pPr>
                    <w:r>
                      <w:fldChar w:fldCharType="begin"/>
                    </w:r>
                    <w:r>
                      <w:instrText xml:space="preserve"> PAGE  \* MERGEFORMAT </w:instrText>
                    </w:r>
                    <w:r>
                      <w:fldChar w:fldCharType="separate"/>
                    </w:r>
                    <w:r>
                      <w:t>28</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C9E9D">
    <w:pPr>
      <w:pStyle w:val="19"/>
      <w:tabs>
        <w:tab w:val="center" w:pos="4121"/>
        <w:tab w:val="clear" w:pos="4153"/>
        <w:tab w:val="clear" w:pos="8306"/>
      </w:tabs>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A80B1">
                          <w:pPr>
                            <w:pStyle w:val="19"/>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594A80B1">
                    <w:pPr>
                      <w:pStyle w:val="19"/>
                    </w:pPr>
                    <w:r>
                      <w:fldChar w:fldCharType="begin"/>
                    </w:r>
                    <w:r>
                      <w:instrText xml:space="preserve"> PAGE  \* MERGEFORMAT </w:instrText>
                    </w:r>
                    <w:r>
                      <w:fldChar w:fldCharType="separate"/>
                    </w:r>
                    <w:r>
                      <w:t>93</w:t>
                    </w:r>
                    <w:r>
                      <w:fldChar w:fldCharType="end"/>
                    </w:r>
                  </w:p>
                </w:txbxContent>
              </v:textbox>
            </v:shape>
          </w:pict>
        </mc:Fallback>
      </mc:AlternateContent>
    </w:r>
    <w:r>
      <w:rPr>
        <w:rFonts w:hint="eastAsia"/>
      </w:rPr>
      <w:tab/>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824DE"/>
    <w:multiLevelType w:val="singleLevel"/>
    <w:tmpl w:val="8EE824DE"/>
    <w:lvl w:ilvl="0" w:tentative="0">
      <w:start w:val="7"/>
      <w:numFmt w:val="decimal"/>
      <w:suff w:val="nothing"/>
      <w:lvlText w:val="%1）"/>
      <w:lvlJc w:val="left"/>
    </w:lvl>
  </w:abstractNum>
  <w:abstractNum w:abstractNumId="1">
    <w:nsid w:val="8FC3F996"/>
    <w:multiLevelType w:val="singleLevel"/>
    <w:tmpl w:val="8FC3F996"/>
    <w:lvl w:ilvl="0" w:tentative="0">
      <w:start w:val="1"/>
      <w:numFmt w:val="chineseCounting"/>
      <w:suff w:val="nothing"/>
      <w:lvlText w:val="%1、"/>
      <w:lvlJc w:val="left"/>
      <w:pPr>
        <w:ind w:left="0"/>
      </w:pPr>
      <w:rPr>
        <w:rFonts w:hint="eastAsia"/>
      </w:rPr>
    </w:lvl>
  </w:abstractNum>
  <w:abstractNum w:abstractNumId="2">
    <w:nsid w:val="A2F8ED4F"/>
    <w:multiLevelType w:val="singleLevel"/>
    <w:tmpl w:val="A2F8ED4F"/>
    <w:lvl w:ilvl="0" w:tentative="0">
      <w:start w:val="2"/>
      <w:numFmt w:val="decimal"/>
      <w:pStyle w:val="135"/>
      <w:suff w:val="nothing"/>
      <w:lvlText w:val="（%1）"/>
      <w:lvlJc w:val="left"/>
    </w:lvl>
  </w:abstractNum>
  <w:abstractNum w:abstractNumId="3">
    <w:nsid w:val="B70535BC"/>
    <w:multiLevelType w:val="singleLevel"/>
    <w:tmpl w:val="B70535BC"/>
    <w:lvl w:ilvl="0" w:tentative="0">
      <w:start w:val="3"/>
      <w:numFmt w:val="decimal"/>
      <w:suff w:val="nothing"/>
      <w:lvlText w:val="（%1）"/>
      <w:lvlJc w:val="left"/>
    </w:lvl>
  </w:abstractNum>
  <w:abstractNum w:abstractNumId="4">
    <w:nsid w:val="D53E88B3"/>
    <w:multiLevelType w:val="singleLevel"/>
    <w:tmpl w:val="D53E88B3"/>
    <w:lvl w:ilvl="0" w:tentative="0">
      <w:start w:val="1"/>
      <w:numFmt w:val="decimal"/>
      <w:suff w:val="nothing"/>
      <w:lvlText w:val="%1、"/>
      <w:lvlJc w:val="left"/>
    </w:lvl>
  </w:abstractNum>
  <w:abstractNum w:abstractNumId="5">
    <w:nsid w:val="14861248"/>
    <w:multiLevelType w:val="multilevel"/>
    <w:tmpl w:val="14861248"/>
    <w:lvl w:ilvl="0" w:tentative="0">
      <w:start w:val="1"/>
      <w:numFmt w:val="decimal"/>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pStyle w:val="4"/>
      <w:suff w:val="nothing"/>
      <w:lvlText w:val="%1.%2.%3"/>
      <w:lvlJc w:val="left"/>
      <w:pPr>
        <w:ind w:left="3261" w:hanging="851"/>
      </w:pPr>
    </w:lvl>
    <w:lvl w:ilvl="3" w:tentative="0">
      <w:start w:val="1"/>
      <w:numFmt w:val="decimal"/>
      <w:pStyle w:val="5"/>
      <w:suff w:val="nothing"/>
      <w:lvlText w:val="%1.%2.%3.%4"/>
      <w:lvlJc w:val="left"/>
      <w:pPr>
        <w:ind w:left="3415" w:hanging="864"/>
      </w:p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6">
    <w:nsid w:val="379C28FF"/>
    <w:multiLevelType w:val="singleLevel"/>
    <w:tmpl w:val="379C28FF"/>
    <w:lvl w:ilvl="0" w:tentative="0">
      <w:start w:val="5"/>
      <w:numFmt w:val="decimal"/>
      <w:suff w:val="nothing"/>
      <w:lvlText w:val="%1、"/>
      <w:lvlJc w:val="left"/>
    </w:lvl>
  </w:abstractNum>
  <w:abstractNum w:abstractNumId="7">
    <w:nsid w:val="47C032C3"/>
    <w:multiLevelType w:val="singleLevel"/>
    <w:tmpl w:val="47C032C3"/>
    <w:lvl w:ilvl="0" w:tentative="0">
      <w:start w:val="1"/>
      <w:numFmt w:val="decimal"/>
      <w:suff w:val="nothing"/>
      <w:lvlText w:val="%1、"/>
      <w:lvlJc w:val="left"/>
    </w:lvl>
  </w:abstractNum>
  <w:abstractNum w:abstractNumId="8">
    <w:nsid w:val="4FFD0C1F"/>
    <w:multiLevelType w:val="singleLevel"/>
    <w:tmpl w:val="4FFD0C1F"/>
    <w:lvl w:ilvl="0" w:tentative="0">
      <w:start w:val="1"/>
      <w:numFmt w:val="chineseCounting"/>
      <w:suff w:val="nothing"/>
      <w:lvlText w:val="%1、"/>
      <w:lvlJc w:val="left"/>
      <w:rPr>
        <w:rFonts w:hint="eastAsia"/>
      </w:rPr>
    </w:lvl>
  </w:abstractNum>
  <w:abstractNum w:abstractNumId="9">
    <w:nsid w:val="507F3531"/>
    <w:multiLevelType w:val="singleLevel"/>
    <w:tmpl w:val="507F3531"/>
    <w:lvl w:ilvl="0" w:tentative="0">
      <w:start w:val="8"/>
      <w:numFmt w:val="decimal"/>
      <w:suff w:val="nothing"/>
      <w:lvlText w:val="%1、"/>
      <w:lvlJc w:val="left"/>
    </w:lvl>
  </w:abstractNum>
  <w:num w:numId="1">
    <w:abstractNumId w:val="5"/>
  </w:num>
  <w:num w:numId="2">
    <w:abstractNumId w:val="2"/>
  </w:num>
  <w:num w:numId="3">
    <w:abstractNumId w:val="9"/>
  </w:num>
  <w:num w:numId="4">
    <w:abstractNumId w:val="1"/>
  </w:num>
  <w:num w:numId="5">
    <w:abstractNumId w:val="4"/>
  </w:num>
  <w:num w:numId="6">
    <w:abstractNumId w:val="7"/>
  </w:num>
  <w:num w:numId="7">
    <w:abstractNumId w:val="0"/>
  </w:num>
  <w:num w:numId="8">
    <w:abstractNumId w:val="6"/>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158"/>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mMzQ1MTAwZDg4M2M3ZGE5ODhkNTE5MjAwOTUxYTkifQ=="/>
  </w:docVars>
  <w:rsids>
    <w:rsidRoot w:val="00172A27"/>
    <w:rsid w:val="00001CED"/>
    <w:rsid w:val="00001E67"/>
    <w:rsid w:val="00003CD8"/>
    <w:rsid w:val="00014965"/>
    <w:rsid w:val="0001523A"/>
    <w:rsid w:val="00016ECB"/>
    <w:rsid w:val="000269F6"/>
    <w:rsid w:val="00031939"/>
    <w:rsid w:val="00032D25"/>
    <w:rsid w:val="0005219D"/>
    <w:rsid w:val="0005568F"/>
    <w:rsid w:val="00060C6A"/>
    <w:rsid w:val="0006153D"/>
    <w:rsid w:val="00061B1F"/>
    <w:rsid w:val="000664DB"/>
    <w:rsid w:val="00066EBC"/>
    <w:rsid w:val="000701C4"/>
    <w:rsid w:val="0007127D"/>
    <w:rsid w:val="00071AE5"/>
    <w:rsid w:val="00074783"/>
    <w:rsid w:val="000763E4"/>
    <w:rsid w:val="00076D34"/>
    <w:rsid w:val="000801E0"/>
    <w:rsid w:val="00082A29"/>
    <w:rsid w:val="0008331D"/>
    <w:rsid w:val="00083C18"/>
    <w:rsid w:val="00092899"/>
    <w:rsid w:val="00097F13"/>
    <w:rsid w:val="000A002F"/>
    <w:rsid w:val="000A178E"/>
    <w:rsid w:val="000A557E"/>
    <w:rsid w:val="000B058F"/>
    <w:rsid w:val="000B44D3"/>
    <w:rsid w:val="000B693F"/>
    <w:rsid w:val="000C09AC"/>
    <w:rsid w:val="000C0A63"/>
    <w:rsid w:val="000C437E"/>
    <w:rsid w:val="000E5F16"/>
    <w:rsid w:val="000F4452"/>
    <w:rsid w:val="000F6DA1"/>
    <w:rsid w:val="000F6F68"/>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2E78"/>
    <w:rsid w:val="0017504D"/>
    <w:rsid w:val="00177422"/>
    <w:rsid w:val="00184F10"/>
    <w:rsid w:val="00185546"/>
    <w:rsid w:val="00186BF0"/>
    <w:rsid w:val="0019146B"/>
    <w:rsid w:val="00193414"/>
    <w:rsid w:val="00194398"/>
    <w:rsid w:val="001A64C4"/>
    <w:rsid w:val="001A7D2A"/>
    <w:rsid w:val="001B574C"/>
    <w:rsid w:val="001C0AF9"/>
    <w:rsid w:val="001C155A"/>
    <w:rsid w:val="001C48C0"/>
    <w:rsid w:val="001C66E0"/>
    <w:rsid w:val="001D1BE5"/>
    <w:rsid w:val="001D6726"/>
    <w:rsid w:val="001E600B"/>
    <w:rsid w:val="001F3347"/>
    <w:rsid w:val="001F4440"/>
    <w:rsid w:val="001F69E4"/>
    <w:rsid w:val="00206A65"/>
    <w:rsid w:val="00210D6B"/>
    <w:rsid w:val="00212D31"/>
    <w:rsid w:val="002130C7"/>
    <w:rsid w:val="00217428"/>
    <w:rsid w:val="002218A8"/>
    <w:rsid w:val="0022306D"/>
    <w:rsid w:val="00226574"/>
    <w:rsid w:val="002278EC"/>
    <w:rsid w:val="002357C7"/>
    <w:rsid w:val="002367C4"/>
    <w:rsid w:val="0025679E"/>
    <w:rsid w:val="00260C68"/>
    <w:rsid w:val="002648B0"/>
    <w:rsid w:val="00275271"/>
    <w:rsid w:val="0027535E"/>
    <w:rsid w:val="0027562F"/>
    <w:rsid w:val="00275AA6"/>
    <w:rsid w:val="002807D5"/>
    <w:rsid w:val="00282CCD"/>
    <w:rsid w:val="002A168C"/>
    <w:rsid w:val="002A2C48"/>
    <w:rsid w:val="002A3EED"/>
    <w:rsid w:val="002A4A39"/>
    <w:rsid w:val="002A5A17"/>
    <w:rsid w:val="002A6425"/>
    <w:rsid w:val="002B49E2"/>
    <w:rsid w:val="002B6923"/>
    <w:rsid w:val="002B7B00"/>
    <w:rsid w:val="002B7C44"/>
    <w:rsid w:val="002C1388"/>
    <w:rsid w:val="002C3C6A"/>
    <w:rsid w:val="002D42DB"/>
    <w:rsid w:val="002E1F3A"/>
    <w:rsid w:val="002E28C7"/>
    <w:rsid w:val="002E298A"/>
    <w:rsid w:val="002F02A4"/>
    <w:rsid w:val="002F272B"/>
    <w:rsid w:val="002F7C6D"/>
    <w:rsid w:val="003027E4"/>
    <w:rsid w:val="0030332C"/>
    <w:rsid w:val="00303F39"/>
    <w:rsid w:val="00312296"/>
    <w:rsid w:val="0031340E"/>
    <w:rsid w:val="00316464"/>
    <w:rsid w:val="0032073A"/>
    <w:rsid w:val="00321D8E"/>
    <w:rsid w:val="00334996"/>
    <w:rsid w:val="00335D51"/>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D6656"/>
    <w:rsid w:val="003E665D"/>
    <w:rsid w:val="003E7681"/>
    <w:rsid w:val="003F0809"/>
    <w:rsid w:val="003F611C"/>
    <w:rsid w:val="003F6A92"/>
    <w:rsid w:val="003F755C"/>
    <w:rsid w:val="00406F01"/>
    <w:rsid w:val="00411B36"/>
    <w:rsid w:val="00411CA3"/>
    <w:rsid w:val="004121D7"/>
    <w:rsid w:val="00416D50"/>
    <w:rsid w:val="00417772"/>
    <w:rsid w:val="00420E6A"/>
    <w:rsid w:val="00430200"/>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C60C9"/>
    <w:rsid w:val="004D6899"/>
    <w:rsid w:val="004E43BF"/>
    <w:rsid w:val="004E5B30"/>
    <w:rsid w:val="004E7D88"/>
    <w:rsid w:val="004F0779"/>
    <w:rsid w:val="004F1230"/>
    <w:rsid w:val="004F173F"/>
    <w:rsid w:val="004F177C"/>
    <w:rsid w:val="004F2DCE"/>
    <w:rsid w:val="005039CB"/>
    <w:rsid w:val="0050558F"/>
    <w:rsid w:val="005057E0"/>
    <w:rsid w:val="00506286"/>
    <w:rsid w:val="00510813"/>
    <w:rsid w:val="00511DE0"/>
    <w:rsid w:val="00515C5E"/>
    <w:rsid w:val="00517F02"/>
    <w:rsid w:val="005221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C088A"/>
    <w:rsid w:val="005D0369"/>
    <w:rsid w:val="005D4603"/>
    <w:rsid w:val="005D53FE"/>
    <w:rsid w:val="005D7A0F"/>
    <w:rsid w:val="005E0438"/>
    <w:rsid w:val="005E1791"/>
    <w:rsid w:val="005E24E7"/>
    <w:rsid w:val="005E2CE6"/>
    <w:rsid w:val="005E6324"/>
    <w:rsid w:val="005F228B"/>
    <w:rsid w:val="005F29CD"/>
    <w:rsid w:val="005F4DFB"/>
    <w:rsid w:val="005F6CC0"/>
    <w:rsid w:val="00603E5B"/>
    <w:rsid w:val="00604BC8"/>
    <w:rsid w:val="00615B4C"/>
    <w:rsid w:val="00615B5D"/>
    <w:rsid w:val="0062146F"/>
    <w:rsid w:val="00627E6B"/>
    <w:rsid w:val="006343AF"/>
    <w:rsid w:val="0063634A"/>
    <w:rsid w:val="0064250D"/>
    <w:rsid w:val="006535EB"/>
    <w:rsid w:val="00663016"/>
    <w:rsid w:val="00674605"/>
    <w:rsid w:val="006748B8"/>
    <w:rsid w:val="0068535B"/>
    <w:rsid w:val="0068736E"/>
    <w:rsid w:val="0069290A"/>
    <w:rsid w:val="00694990"/>
    <w:rsid w:val="00697032"/>
    <w:rsid w:val="006975AC"/>
    <w:rsid w:val="006A15FB"/>
    <w:rsid w:val="006A72BF"/>
    <w:rsid w:val="006B332A"/>
    <w:rsid w:val="006B33BD"/>
    <w:rsid w:val="006B6D1F"/>
    <w:rsid w:val="006C3F75"/>
    <w:rsid w:val="006D170E"/>
    <w:rsid w:val="006E06AF"/>
    <w:rsid w:val="006F1789"/>
    <w:rsid w:val="00706C5D"/>
    <w:rsid w:val="007118E6"/>
    <w:rsid w:val="007225C9"/>
    <w:rsid w:val="00733E26"/>
    <w:rsid w:val="00735CD7"/>
    <w:rsid w:val="00754034"/>
    <w:rsid w:val="00754BF1"/>
    <w:rsid w:val="00755A30"/>
    <w:rsid w:val="00755DF0"/>
    <w:rsid w:val="00755E1C"/>
    <w:rsid w:val="00756556"/>
    <w:rsid w:val="0076132B"/>
    <w:rsid w:val="007623AE"/>
    <w:rsid w:val="00770B19"/>
    <w:rsid w:val="00774FA0"/>
    <w:rsid w:val="00776620"/>
    <w:rsid w:val="00777B6D"/>
    <w:rsid w:val="0078143C"/>
    <w:rsid w:val="00784855"/>
    <w:rsid w:val="00784F39"/>
    <w:rsid w:val="0078545C"/>
    <w:rsid w:val="0078768E"/>
    <w:rsid w:val="007906C4"/>
    <w:rsid w:val="007940EA"/>
    <w:rsid w:val="007967E8"/>
    <w:rsid w:val="007A165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795"/>
    <w:rsid w:val="00814FFB"/>
    <w:rsid w:val="00820568"/>
    <w:rsid w:val="00831A80"/>
    <w:rsid w:val="008332C8"/>
    <w:rsid w:val="00833743"/>
    <w:rsid w:val="008340A4"/>
    <w:rsid w:val="00836799"/>
    <w:rsid w:val="00837028"/>
    <w:rsid w:val="00837131"/>
    <w:rsid w:val="00843E1B"/>
    <w:rsid w:val="00845F57"/>
    <w:rsid w:val="008521E0"/>
    <w:rsid w:val="008525B0"/>
    <w:rsid w:val="00852A28"/>
    <w:rsid w:val="00867CBC"/>
    <w:rsid w:val="00876C30"/>
    <w:rsid w:val="00877017"/>
    <w:rsid w:val="008773C0"/>
    <w:rsid w:val="00880364"/>
    <w:rsid w:val="00886C4C"/>
    <w:rsid w:val="0088711C"/>
    <w:rsid w:val="0089189B"/>
    <w:rsid w:val="00892ECF"/>
    <w:rsid w:val="00892F06"/>
    <w:rsid w:val="00894285"/>
    <w:rsid w:val="008A40AE"/>
    <w:rsid w:val="008A4E19"/>
    <w:rsid w:val="008A67C5"/>
    <w:rsid w:val="008B1170"/>
    <w:rsid w:val="008B22E1"/>
    <w:rsid w:val="008B3C78"/>
    <w:rsid w:val="008B4AE9"/>
    <w:rsid w:val="008C30AD"/>
    <w:rsid w:val="008C6C96"/>
    <w:rsid w:val="008D068E"/>
    <w:rsid w:val="008D0F7A"/>
    <w:rsid w:val="008D313A"/>
    <w:rsid w:val="008D63BE"/>
    <w:rsid w:val="008E0CFF"/>
    <w:rsid w:val="008E5D6B"/>
    <w:rsid w:val="008E689B"/>
    <w:rsid w:val="008E76F0"/>
    <w:rsid w:val="008F15FE"/>
    <w:rsid w:val="008F2A94"/>
    <w:rsid w:val="008F5187"/>
    <w:rsid w:val="008F6EB2"/>
    <w:rsid w:val="008F709C"/>
    <w:rsid w:val="00900FC3"/>
    <w:rsid w:val="0090312B"/>
    <w:rsid w:val="00904961"/>
    <w:rsid w:val="0091736D"/>
    <w:rsid w:val="009269A2"/>
    <w:rsid w:val="00931001"/>
    <w:rsid w:val="00931863"/>
    <w:rsid w:val="00933524"/>
    <w:rsid w:val="00936276"/>
    <w:rsid w:val="0094278D"/>
    <w:rsid w:val="00951FEE"/>
    <w:rsid w:val="0095308A"/>
    <w:rsid w:val="00953D9C"/>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0FA4"/>
    <w:rsid w:val="009A72C7"/>
    <w:rsid w:val="009B0897"/>
    <w:rsid w:val="009D0852"/>
    <w:rsid w:val="009D1FBF"/>
    <w:rsid w:val="009D3880"/>
    <w:rsid w:val="009E399C"/>
    <w:rsid w:val="009E43C1"/>
    <w:rsid w:val="009E7E95"/>
    <w:rsid w:val="009F116F"/>
    <w:rsid w:val="009F329E"/>
    <w:rsid w:val="009F5089"/>
    <w:rsid w:val="009F7ED3"/>
    <w:rsid w:val="00A010BF"/>
    <w:rsid w:val="00A03607"/>
    <w:rsid w:val="00A047FF"/>
    <w:rsid w:val="00A04FEF"/>
    <w:rsid w:val="00A122CD"/>
    <w:rsid w:val="00A12A32"/>
    <w:rsid w:val="00A14248"/>
    <w:rsid w:val="00A14947"/>
    <w:rsid w:val="00A1745D"/>
    <w:rsid w:val="00A23DC5"/>
    <w:rsid w:val="00A34028"/>
    <w:rsid w:val="00A35568"/>
    <w:rsid w:val="00A37056"/>
    <w:rsid w:val="00A40483"/>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97848"/>
    <w:rsid w:val="00AA2C17"/>
    <w:rsid w:val="00AA3CEC"/>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1118"/>
    <w:rsid w:val="00B24F30"/>
    <w:rsid w:val="00B31ABF"/>
    <w:rsid w:val="00B32474"/>
    <w:rsid w:val="00B335AE"/>
    <w:rsid w:val="00B37CE1"/>
    <w:rsid w:val="00B40ACF"/>
    <w:rsid w:val="00B46918"/>
    <w:rsid w:val="00B46BAA"/>
    <w:rsid w:val="00B503C6"/>
    <w:rsid w:val="00B50B5F"/>
    <w:rsid w:val="00B54128"/>
    <w:rsid w:val="00B55826"/>
    <w:rsid w:val="00B60426"/>
    <w:rsid w:val="00B622DD"/>
    <w:rsid w:val="00B63522"/>
    <w:rsid w:val="00B76F1D"/>
    <w:rsid w:val="00B92A19"/>
    <w:rsid w:val="00B93F2F"/>
    <w:rsid w:val="00B9544C"/>
    <w:rsid w:val="00B95CDD"/>
    <w:rsid w:val="00BA29E9"/>
    <w:rsid w:val="00BB3618"/>
    <w:rsid w:val="00BC0C9E"/>
    <w:rsid w:val="00BC32DC"/>
    <w:rsid w:val="00BC57CD"/>
    <w:rsid w:val="00BD1B51"/>
    <w:rsid w:val="00BD47F6"/>
    <w:rsid w:val="00BE312D"/>
    <w:rsid w:val="00BE3FCA"/>
    <w:rsid w:val="00BF720C"/>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D79DA"/>
    <w:rsid w:val="00CE02CD"/>
    <w:rsid w:val="00CE10E9"/>
    <w:rsid w:val="00CF3752"/>
    <w:rsid w:val="00CF535D"/>
    <w:rsid w:val="00D0072E"/>
    <w:rsid w:val="00D12B9C"/>
    <w:rsid w:val="00D15727"/>
    <w:rsid w:val="00D16332"/>
    <w:rsid w:val="00D24972"/>
    <w:rsid w:val="00D2515E"/>
    <w:rsid w:val="00D308ED"/>
    <w:rsid w:val="00D40D69"/>
    <w:rsid w:val="00D51461"/>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E0A62"/>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A6F52"/>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4F67"/>
    <w:rsid w:val="00F465A7"/>
    <w:rsid w:val="00F50B7C"/>
    <w:rsid w:val="00F5202D"/>
    <w:rsid w:val="00F52A8D"/>
    <w:rsid w:val="00F52CF6"/>
    <w:rsid w:val="00F54496"/>
    <w:rsid w:val="00F61097"/>
    <w:rsid w:val="00F74345"/>
    <w:rsid w:val="00F74441"/>
    <w:rsid w:val="00F77F30"/>
    <w:rsid w:val="00F82589"/>
    <w:rsid w:val="00F82B19"/>
    <w:rsid w:val="00F90AA7"/>
    <w:rsid w:val="00F9212D"/>
    <w:rsid w:val="00FA301A"/>
    <w:rsid w:val="00FA406A"/>
    <w:rsid w:val="00FA5CB6"/>
    <w:rsid w:val="00FC3E1B"/>
    <w:rsid w:val="00FC66AC"/>
    <w:rsid w:val="00FD18F4"/>
    <w:rsid w:val="00FD74B4"/>
    <w:rsid w:val="00FF6FCE"/>
    <w:rsid w:val="00FF7518"/>
    <w:rsid w:val="00FF7FD8"/>
    <w:rsid w:val="01010593"/>
    <w:rsid w:val="01017684"/>
    <w:rsid w:val="01020556"/>
    <w:rsid w:val="010351AA"/>
    <w:rsid w:val="010A6538"/>
    <w:rsid w:val="01134188"/>
    <w:rsid w:val="01161381"/>
    <w:rsid w:val="01192C1F"/>
    <w:rsid w:val="011A24F4"/>
    <w:rsid w:val="011B6997"/>
    <w:rsid w:val="011C62C9"/>
    <w:rsid w:val="01211AD4"/>
    <w:rsid w:val="012D0479"/>
    <w:rsid w:val="012F41F1"/>
    <w:rsid w:val="01323CE1"/>
    <w:rsid w:val="01415CD2"/>
    <w:rsid w:val="014468F6"/>
    <w:rsid w:val="01483505"/>
    <w:rsid w:val="014852B3"/>
    <w:rsid w:val="01487061"/>
    <w:rsid w:val="014F219D"/>
    <w:rsid w:val="014F4893"/>
    <w:rsid w:val="01505F15"/>
    <w:rsid w:val="0151367A"/>
    <w:rsid w:val="01527EDF"/>
    <w:rsid w:val="015E6884"/>
    <w:rsid w:val="01610122"/>
    <w:rsid w:val="016539DF"/>
    <w:rsid w:val="01697764"/>
    <w:rsid w:val="016D6AC7"/>
    <w:rsid w:val="0176597C"/>
    <w:rsid w:val="017C6910"/>
    <w:rsid w:val="017D31AE"/>
    <w:rsid w:val="01804A4C"/>
    <w:rsid w:val="018362EB"/>
    <w:rsid w:val="018B32D0"/>
    <w:rsid w:val="01910A08"/>
    <w:rsid w:val="019422A6"/>
    <w:rsid w:val="0194674A"/>
    <w:rsid w:val="0196601E"/>
    <w:rsid w:val="019B3634"/>
    <w:rsid w:val="019C0823"/>
    <w:rsid w:val="019F1F35"/>
    <w:rsid w:val="01A3073B"/>
    <w:rsid w:val="01A56261"/>
    <w:rsid w:val="01A717A9"/>
    <w:rsid w:val="01AD5116"/>
    <w:rsid w:val="01B110AA"/>
    <w:rsid w:val="01B30A50"/>
    <w:rsid w:val="01B34E22"/>
    <w:rsid w:val="01B464A4"/>
    <w:rsid w:val="01B666C0"/>
    <w:rsid w:val="01BA61B0"/>
    <w:rsid w:val="01C2082B"/>
    <w:rsid w:val="01C44B91"/>
    <w:rsid w:val="01C7267B"/>
    <w:rsid w:val="01C901A1"/>
    <w:rsid w:val="01CE57B8"/>
    <w:rsid w:val="01D30B9A"/>
    <w:rsid w:val="01D31020"/>
    <w:rsid w:val="01D35E86"/>
    <w:rsid w:val="01D37272"/>
    <w:rsid w:val="01D46B46"/>
    <w:rsid w:val="01D6466C"/>
    <w:rsid w:val="01D803E5"/>
    <w:rsid w:val="01E07299"/>
    <w:rsid w:val="01E62463"/>
    <w:rsid w:val="01E764AF"/>
    <w:rsid w:val="01E9759B"/>
    <w:rsid w:val="01EA0118"/>
    <w:rsid w:val="01EC0334"/>
    <w:rsid w:val="01ED7C29"/>
    <w:rsid w:val="01EF3980"/>
    <w:rsid w:val="01F42D45"/>
    <w:rsid w:val="01FB40D3"/>
    <w:rsid w:val="020411DA"/>
    <w:rsid w:val="02070CCA"/>
    <w:rsid w:val="02077A8A"/>
    <w:rsid w:val="020D4CA4"/>
    <w:rsid w:val="020F7B7E"/>
    <w:rsid w:val="02117D9A"/>
    <w:rsid w:val="0213766F"/>
    <w:rsid w:val="02145195"/>
    <w:rsid w:val="02145238"/>
    <w:rsid w:val="021740F7"/>
    <w:rsid w:val="021A6C4F"/>
    <w:rsid w:val="021E7DCE"/>
    <w:rsid w:val="02217FDE"/>
    <w:rsid w:val="022655F4"/>
    <w:rsid w:val="02290C40"/>
    <w:rsid w:val="02291B07"/>
    <w:rsid w:val="022C24DE"/>
    <w:rsid w:val="022E26FA"/>
    <w:rsid w:val="023B0973"/>
    <w:rsid w:val="023B1CD9"/>
    <w:rsid w:val="02441F1E"/>
    <w:rsid w:val="02447828"/>
    <w:rsid w:val="024B6E08"/>
    <w:rsid w:val="025657AD"/>
    <w:rsid w:val="025739FF"/>
    <w:rsid w:val="02581525"/>
    <w:rsid w:val="02595DB9"/>
    <w:rsid w:val="025A704C"/>
    <w:rsid w:val="02693733"/>
    <w:rsid w:val="026976F5"/>
    <w:rsid w:val="026C4FD1"/>
    <w:rsid w:val="026E0D49"/>
    <w:rsid w:val="026E2029"/>
    <w:rsid w:val="027125E7"/>
    <w:rsid w:val="02756840"/>
    <w:rsid w:val="02783976"/>
    <w:rsid w:val="027A76EE"/>
    <w:rsid w:val="027C5214"/>
    <w:rsid w:val="027E18B7"/>
    <w:rsid w:val="02816E42"/>
    <w:rsid w:val="02832A46"/>
    <w:rsid w:val="028440C8"/>
    <w:rsid w:val="02936A01"/>
    <w:rsid w:val="0295277A"/>
    <w:rsid w:val="029C3B08"/>
    <w:rsid w:val="029E562B"/>
    <w:rsid w:val="02A14633"/>
    <w:rsid w:val="02A40196"/>
    <w:rsid w:val="02A76009"/>
    <w:rsid w:val="02A97FD3"/>
    <w:rsid w:val="02AB3D4B"/>
    <w:rsid w:val="02B50726"/>
    <w:rsid w:val="02B56978"/>
    <w:rsid w:val="02B6369A"/>
    <w:rsid w:val="02C40969"/>
    <w:rsid w:val="02C60B85"/>
    <w:rsid w:val="02C941D1"/>
    <w:rsid w:val="02CE4CF7"/>
    <w:rsid w:val="02D54924"/>
    <w:rsid w:val="02D908B8"/>
    <w:rsid w:val="02E2723F"/>
    <w:rsid w:val="02E42DB9"/>
    <w:rsid w:val="02E74049"/>
    <w:rsid w:val="02E80AFB"/>
    <w:rsid w:val="02EC0712"/>
    <w:rsid w:val="02EF1E8A"/>
    <w:rsid w:val="02F54FC6"/>
    <w:rsid w:val="02F76F90"/>
    <w:rsid w:val="02FD4D40"/>
    <w:rsid w:val="02FE031F"/>
    <w:rsid w:val="0301396B"/>
    <w:rsid w:val="03031491"/>
    <w:rsid w:val="030D0562"/>
    <w:rsid w:val="03165668"/>
    <w:rsid w:val="0317318F"/>
    <w:rsid w:val="031C2553"/>
    <w:rsid w:val="03206072"/>
    <w:rsid w:val="03217B69"/>
    <w:rsid w:val="03253AFD"/>
    <w:rsid w:val="032558AB"/>
    <w:rsid w:val="03265180"/>
    <w:rsid w:val="032A1114"/>
    <w:rsid w:val="032C4E8C"/>
    <w:rsid w:val="032D4760"/>
    <w:rsid w:val="032F5C6D"/>
    <w:rsid w:val="03367AB9"/>
    <w:rsid w:val="033710B6"/>
    <w:rsid w:val="03391357"/>
    <w:rsid w:val="03393105"/>
    <w:rsid w:val="033A0C2B"/>
    <w:rsid w:val="033A62E9"/>
    <w:rsid w:val="033C40A2"/>
    <w:rsid w:val="033E071B"/>
    <w:rsid w:val="033E4BBF"/>
    <w:rsid w:val="034321D6"/>
    <w:rsid w:val="03455F4E"/>
    <w:rsid w:val="034A70C0"/>
    <w:rsid w:val="034E72B8"/>
    <w:rsid w:val="035148F2"/>
    <w:rsid w:val="03546191"/>
    <w:rsid w:val="03547F3F"/>
    <w:rsid w:val="0356734D"/>
    <w:rsid w:val="035717DD"/>
    <w:rsid w:val="036B7087"/>
    <w:rsid w:val="037212ED"/>
    <w:rsid w:val="03726617"/>
    <w:rsid w:val="0374413D"/>
    <w:rsid w:val="0385634A"/>
    <w:rsid w:val="038A3960"/>
    <w:rsid w:val="038B1487"/>
    <w:rsid w:val="038C592B"/>
    <w:rsid w:val="038D3451"/>
    <w:rsid w:val="038D4A2D"/>
    <w:rsid w:val="03927D69"/>
    <w:rsid w:val="039B3DC0"/>
    <w:rsid w:val="039B791C"/>
    <w:rsid w:val="039C407F"/>
    <w:rsid w:val="039C5442"/>
    <w:rsid w:val="03A013D6"/>
    <w:rsid w:val="03A2514E"/>
    <w:rsid w:val="03A72764"/>
    <w:rsid w:val="03B31109"/>
    <w:rsid w:val="03B804CE"/>
    <w:rsid w:val="03B978B9"/>
    <w:rsid w:val="03BB7FBE"/>
    <w:rsid w:val="03C245F7"/>
    <w:rsid w:val="03C42CC6"/>
    <w:rsid w:val="03C9309C"/>
    <w:rsid w:val="03CA6453"/>
    <w:rsid w:val="03CC265C"/>
    <w:rsid w:val="03CD1261"/>
    <w:rsid w:val="03CD1A9F"/>
    <w:rsid w:val="03D41080"/>
    <w:rsid w:val="03D472D2"/>
    <w:rsid w:val="03DF1EFE"/>
    <w:rsid w:val="03DF6A02"/>
    <w:rsid w:val="03E017D2"/>
    <w:rsid w:val="03E54254"/>
    <w:rsid w:val="03E56DE9"/>
    <w:rsid w:val="03E80687"/>
    <w:rsid w:val="03E97CDC"/>
    <w:rsid w:val="03EA43FF"/>
    <w:rsid w:val="03EE0393"/>
    <w:rsid w:val="03EF4CA9"/>
    <w:rsid w:val="03EF5EB9"/>
    <w:rsid w:val="03F56037"/>
    <w:rsid w:val="03F62DA4"/>
    <w:rsid w:val="03FD4132"/>
    <w:rsid w:val="03FE341B"/>
    <w:rsid w:val="03FE4B5C"/>
    <w:rsid w:val="04001FDF"/>
    <w:rsid w:val="040556DD"/>
    <w:rsid w:val="040A4AA1"/>
    <w:rsid w:val="040D5F94"/>
    <w:rsid w:val="040E27E3"/>
    <w:rsid w:val="040E4592"/>
    <w:rsid w:val="04133956"/>
    <w:rsid w:val="041651F4"/>
    <w:rsid w:val="041E22FB"/>
    <w:rsid w:val="04253689"/>
    <w:rsid w:val="042C4A18"/>
    <w:rsid w:val="042E24FA"/>
    <w:rsid w:val="042E253E"/>
    <w:rsid w:val="043A5387"/>
    <w:rsid w:val="043B2EAD"/>
    <w:rsid w:val="043B510F"/>
    <w:rsid w:val="043D09D3"/>
    <w:rsid w:val="043D29C9"/>
    <w:rsid w:val="044E2BE0"/>
    <w:rsid w:val="04553F6E"/>
    <w:rsid w:val="0455536E"/>
    <w:rsid w:val="045B70AB"/>
    <w:rsid w:val="045F2DCA"/>
    <w:rsid w:val="045F6B9B"/>
    <w:rsid w:val="046441B2"/>
    <w:rsid w:val="04673CA2"/>
    <w:rsid w:val="046828E1"/>
    <w:rsid w:val="046B3BE8"/>
    <w:rsid w:val="046C0D5B"/>
    <w:rsid w:val="047343F5"/>
    <w:rsid w:val="04762137"/>
    <w:rsid w:val="04777A0C"/>
    <w:rsid w:val="047C599F"/>
    <w:rsid w:val="04812FB5"/>
    <w:rsid w:val="048B5BE2"/>
    <w:rsid w:val="048D3235"/>
    <w:rsid w:val="048E56D2"/>
    <w:rsid w:val="04912D27"/>
    <w:rsid w:val="0495080F"/>
    <w:rsid w:val="04966335"/>
    <w:rsid w:val="04974587"/>
    <w:rsid w:val="049802FF"/>
    <w:rsid w:val="04984EBD"/>
    <w:rsid w:val="049C1B9D"/>
    <w:rsid w:val="04A3117E"/>
    <w:rsid w:val="04A57341"/>
    <w:rsid w:val="04AC5B58"/>
    <w:rsid w:val="04AE18D1"/>
    <w:rsid w:val="04B30C95"/>
    <w:rsid w:val="04B36EE7"/>
    <w:rsid w:val="04B54A0D"/>
    <w:rsid w:val="04B70785"/>
    <w:rsid w:val="04B80AA3"/>
    <w:rsid w:val="04BF1806"/>
    <w:rsid w:val="04BF763A"/>
    <w:rsid w:val="04C2712A"/>
    <w:rsid w:val="04D255BF"/>
    <w:rsid w:val="04D330E5"/>
    <w:rsid w:val="04DB409D"/>
    <w:rsid w:val="04DC643E"/>
    <w:rsid w:val="04DF250D"/>
    <w:rsid w:val="04E31402"/>
    <w:rsid w:val="04E35A1E"/>
    <w:rsid w:val="04EB042F"/>
    <w:rsid w:val="04ED41A7"/>
    <w:rsid w:val="04F01EE9"/>
    <w:rsid w:val="04F75026"/>
    <w:rsid w:val="04FA6B11"/>
    <w:rsid w:val="04FE4606"/>
    <w:rsid w:val="04FF074D"/>
    <w:rsid w:val="04FF3EDA"/>
    <w:rsid w:val="05015EA4"/>
    <w:rsid w:val="05017C52"/>
    <w:rsid w:val="05045994"/>
    <w:rsid w:val="05047743"/>
    <w:rsid w:val="050B287F"/>
    <w:rsid w:val="050E015C"/>
    <w:rsid w:val="05107E95"/>
    <w:rsid w:val="051A0D14"/>
    <w:rsid w:val="051C4A8C"/>
    <w:rsid w:val="051C683A"/>
    <w:rsid w:val="051E6A56"/>
    <w:rsid w:val="051E7732"/>
    <w:rsid w:val="052027CE"/>
    <w:rsid w:val="05235E1B"/>
    <w:rsid w:val="052954F7"/>
    <w:rsid w:val="052B4CCF"/>
    <w:rsid w:val="052D0A47"/>
    <w:rsid w:val="052D1694"/>
    <w:rsid w:val="052D4EEB"/>
    <w:rsid w:val="05322502"/>
    <w:rsid w:val="0532605E"/>
    <w:rsid w:val="053718C6"/>
    <w:rsid w:val="053C0C8A"/>
    <w:rsid w:val="05404C1F"/>
    <w:rsid w:val="05412745"/>
    <w:rsid w:val="05412FEB"/>
    <w:rsid w:val="05453FE3"/>
    <w:rsid w:val="05464CD5"/>
    <w:rsid w:val="0547556E"/>
    <w:rsid w:val="0548762F"/>
    <w:rsid w:val="054F58B7"/>
    <w:rsid w:val="05557F9E"/>
    <w:rsid w:val="05561E22"/>
    <w:rsid w:val="05575AC4"/>
    <w:rsid w:val="055C18F5"/>
    <w:rsid w:val="055D7941"/>
    <w:rsid w:val="055E7FA4"/>
    <w:rsid w:val="05614B95"/>
    <w:rsid w:val="056401E1"/>
    <w:rsid w:val="05685F23"/>
    <w:rsid w:val="056B77C2"/>
    <w:rsid w:val="056D3E42"/>
    <w:rsid w:val="056F72DE"/>
    <w:rsid w:val="05742AC8"/>
    <w:rsid w:val="05793C8D"/>
    <w:rsid w:val="057C377D"/>
    <w:rsid w:val="05852BDA"/>
    <w:rsid w:val="058663AA"/>
    <w:rsid w:val="058873D6"/>
    <w:rsid w:val="058979DF"/>
    <w:rsid w:val="058B29E1"/>
    <w:rsid w:val="058B4EAD"/>
    <w:rsid w:val="0591547A"/>
    <w:rsid w:val="05917228"/>
    <w:rsid w:val="05940AC6"/>
    <w:rsid w:val="05942874"/>
    <w:rsid w:val="059576B4"/>
    <w:rsid w:val="0596483F"/>
    <w:rsid w:val="059E36F3"/>
    <w:rsid w:val="05A50F26"/>
    <w:rsid w:val="05AB5C72"/>
    <w:rsid w:val="05AC4062"/>
    <w:rsid w:val="05B13426"/>
    <w:rsid w:val="05BB6053"/>
    <w:rsid w:val="05C55124"/>
    <w:rsid w:val="05C57BB2"/>
    <w:rsid w:val="05C84C14"/>
    <w:rsid w:val="05CA0CA4"/>
    <w:rsid w:val="05CF7D50"/>
    <w:rsid w:val="05D15877"/>
    <w:rsid w:val="05D2339D"/>
    <w:rsid w:val="05D90BCF"/>
    <w:rsid w:val="05D9472B"/>
    <w:rsid w:val="05ED01D7"/>
    <w:rsid w:val="05EE2510"/>
    <w:rsid w:val="05EE467B"/>
    <w:rsid w:val="05F52F17"/>
    <w:rsid w:val="05F862B3"/>
    <w:rsid w:val="05F902FF"/>
    <w:rsid w:val="05F9301F"/>
    <w:rsid w:val="05FD48BE"/>
    <w:rsid w:val="06057FE3"/>
    <w:rsid w:val="06127C3D"/>
    <w:rsid w:val="06155DE8"/>
    <w:rsid w:val="0616597F"/>
    <w:rsid w:val="0616772D"/>
    <w:rsid w:val="06174FC9"/>
    <w:rsid w:val="061834A6"/>
    <w:rsid w:val="061A40F4"/>
    <w:rsid w:val="06233BF8"/>
    <w:rsid w:val="062956B3"/>
    <w:rsid w:val="062C51A3"/>
    <w:rsid w:val="062E0F1B"/>
    <w:rsid w:val="062E2CC9"/>
    <w:rsid w:val="062F6A41"/>
    <w:rsid w:val="06305B70"/>
    <w:rsid w:val="063400E4"/>
    <w:rsid w:val="06352F05"/>
    <w:rsid w:val="0637015B"/>
    <w:rsid w:val="063858F6"/>
    <w:rsid w:val="063B53E6"/>
    <w:rsid w:val="063D115E"/>
    <w:rsid w:val="063E7D85"/>
    <w:rsid w:val="064047AA"/>
    <w:rsid w:val="064222D0"/>
    <w:rsid w:val="06471FDD"/>
    <w:rsid w:val="06472967"/>
    <w:rsid w:val="06475E2A"/>
    <w:rsid w:val="064C13A1"/>
    <w:rsid w:val="06514C09"/>
    <w:rsid w:val="06523C1B"/>
    <w:rsid w:val="06530982"/>
    <w:rsid w:val="06563FCE"/>
    <w:rsid w:val="06587D46"/>
    <w:rsid w:val="0659586C"/>
    <w:rsid w:val="065B7836"/>
    <w:rsid w:val="06604169"/>
    <w:rsid w:val="066606B5"/>
    <w:rsid w:val="06693D01"/>
    <w:rsid w:val="066C559F"/>
    <w:rsid w:val="067B57E2"/>
    <w:rsid w:val="067D77AC"/>
    <w:rsid w:val="0680104B"/>
    <w:rsid w:val="06823015"/>
    <w:rsid w:val="06826B71"/>
    <w:rsid w:val="068B1EC9"/>
    <w:rsid w:val="068D62C8"/>
    <w:rsid w:val="068E3768"/>
    <w:rsid w:val="06954AF6"/>
    <w:rsid w:val="069D1BFD"/>
    <w:rsid w:val="069D39AB"/>
    <w:rsid w:val="069D7E4F"/>
    <w:rsid w:val="069E1EDD"/>
    <w:rsid w:val="069F5975"/>
    <w:rsid w:val="06A27213"/>
    <w:rsid w:val="06A42F8B"/>
    <w:rsid w:val="06A44D39"/>
    <w:rsid w:val="06A66D03"/>
    <w:rsid w:val="06BB0913"/>
    <w:rsid w:val="06BB2083"/>
    <w:rsid w:val="06BC02D5"/>
    <w:rsid w:val="06C07699"/>
    <w:rsid w:val="06C12665"/>
    <w:rsid w:val="06C158EB"/>
    <w:rsid w:val="06C62F02"/>
    <w:rsid w:val="06C6670B"/>
    <w:rsid w:val="06C76C7A"/>
    <w:rsid w:val="06C9323D"/>
    <w:rsid w:val="06CB64FF"/>
    <w:rsid w:val="06CC4290"/>
    <w:rsid w:val="06CD24E2"/>
    <w:rsid w:val="06D179D1"/>
    <w:rsid w:val="06D53145"/>
    <w:rsid w:val="06DE46EF"/>
    <w:rsid w:val="06E15F8D"/>
    <w:rsid w:val="06E415DA"/>
    <w:rsid w:val="06F04422"/>
    <w:rsid w:val="06F21D26"/>
    <w:rsid w:val="06F23CF7"/>
    <w:rsid w:val="06F37A6F"/>
    <w:rsid w:val="06F7755F"/>
    <w:rsid w:val="06F832D7"/>
    <w:rsid w:val="06FC6923"/>
    <w:rsid w:val="070677A2"/>
    <w:rsid w:val="0708176C"/>
    <w:rsid w:val="070875E0"/>
    <w:rsid w:val="070F2026"/>
    <w:rsid w:val="07100621"/>
    <w:rsid w:val="071023CF"/>
    <w:rsid w:val="07110BA2"/>
    <w:rsid w:val="071A324D"/>
    <w:rsid w:val="071E2D3E"/>
    <w:rsid w:val="07293586"/>
    <w:rsid w:val="07295285"/>
    <w:rsid w:val="072D2F81"/>
    <w:rsid w:val="072D508B"/>
    <w:rsid w:val="072F22BE"/>
    <w:rsid w:val="07306DA6"/>
    <w:rsid w:val="07322345"/>
    <w:rsid w:val="073360BD"/>
    <w:rsid w:val="073443D1"/>
    <w:rsid w:val="073562D9"/>
    <w:rsid w:val="0737795B"/>
    <w:rsid w:val="073A569E"/>
    <w:rsid w:val="073B6467"/>
    <w:rsid w:val="073E518E"/>
    <w:rsid w:val="074107DA"/>
    <w:rsid w:val="07462294"/>
    <w:rsid w:val="07464042"/>
    <w:rsid w:val="07481B68"/>
    <w:rsid w:val="07483BF5"/>
    <w:rsid w:val="074C0E53"/>
    <w:rsid w:val="074E2EF7"/>
    <w:rsid w:val="07500A1D"/>
    <w:rsid w:val="07515272"/>
    <w:rsid w:val="07524795"/>
    <w:rsid w:val="07526D7F"/>
    <w:rsid w:val="075A189C"/>
    <w:rsid w:val="075A7AEE"/>
    <w:rsid w:val="075C7F8E"/>
    <w:rsid w:val="0765096C"/>
    <w:rsid w:val="076B2ECD"/>
    <w:rsid w:val="076D5A73"/>
    <w:rsid w:val="076F6FBB"/>
    <w:rsid w:val="077639A5"/>
    <w:rsid w:val="07770C56"/>
    <w:rsid w:val="07797F74"/>
    <w:rsid w:val="077C1812"/>
    <w:rsid w:val="07812C00"/>
    <w:rsid w:val="07844B53"/>
    <w:rsid w:val="07866B35"/>
    <w:rsid w:val="07893F2F"/>
    <w:rsid w:val="078B5EF9"/>
    <w:rsid w:val="0791022E"/>
    <w:rsid w:val="07943F08"/>
    <w:rsid w:val="0794648D"/>
    <w:rsid w:val="07960AD9"/>
    <w:rsid w:val="07A23A55"/>
    <w:rsid w:val="07A56FBB"/>
    <w:rsid w:val="07A64AE1"/>
    <w:rsid w:val="07A66D5A"/>
    <w:rsid w:val="07A73637"/>
    <w:rsid w:val="07A84FDE"/>
    <w:rsid w:val="07AA0EFE"/>
    <w:rsid w:val="07AB20F7"/>
    <w:rsid w:val="07AC5A1F"/>
    <w:rsid w:val="07AF4ECA"/>
    <w:rsid w:val="07B0158F"/>
    <w:rsid w:val="07B01DD8"/>
    <w:rsid w:val="07B12231"/>
    <w:rsid w:val="07B13BB2"/>
    <w:rsid w:val="07B216D8"/>
    <w:rsid w:val="07B23486"/>
    <w:rsid w:val="07B90CB8"/>
    <w:rsid w:val="07B92A66"/>
    <w:rsid w:val="07B96BED"/>
    <w:rsid w:val="07C136C9"/>
    <w:rsid w:val="07C80EFB"/>
    <w:rsid w:val="07CB629E"/>
    <w:rsid w:val="07CC09EB"/>
    <w:rsid w:val="07CD4764"/>
    <w:rsid w:val="07D26499"/>
    <w:rsid w:val="07D7113E"/>
    <w:rsid w:val="07D931AC"/>
    <w:rsid w:val="07D94EB6"/>
    <w:rsid w:val="07D96C64"/>
    <w:rsid w:val="07DD10FF"/>
    <w:rsid w:val="07DD49A7"/>
    <w:rsid w:val="07DE071F"/>
    <w:rsid w:val="07DF4305"/>
    <w:rsid w:val="07E76222"/>
    <w:rsid w:val="07E8334B"/>
    <w:rsid w:val="07E86EA8"/>
    <w:rsid w:val="07ED2710"/>
    <w:rsid w:val="07F13FAE"/>
    <w:rsid w:val="07F27D26"/>
    <w:rsid w:val="07F43A9E"/>
    <w:rsid w:val="07F92E63"/>
    <w:rsid w:val="0802003B"/>
    <w:rsid w:val="08031F33"/>
    <w:rsid w:val="08033CE1"/>
    <w:rsid w:val="080811D8"/>
    <w:rsid w:val="080C528C"/>
    <w:rsid w:val="080F2686"/>
    <w:rsid w:val="08111A6D"/>
    <w:rsid w:val="08114650"/>
    <w:rsid w:val="08123F24"/>
    <w:rsid w:val="081C4DA3"/>
    <w:rsid w:val="081D4626"/>
    <w:rsid w:val="08226344"/>
    <w:rsid w:val="08255A35"/>
    <w:rsid w:val="08262F95"/>
    <w:rsid w:val="08273E74"/>
    <w:rsid w:val="082A5712"/>
    <w:rsid w:val="08316AA1"/>
    <w:rsid w:val="083818D9"/>
    <w:rsid w:val="08387E2F"/>
    <w:rsid w:val="083E2F6B"/>
    <w:rsid w:val="083E4D1A"/>
    <w:rsid w:val="08426486"/>
    <w:rsid w:val="084661C6"/>
    <w:rsid w:val="08470072"/>
    <w:rsid w:val="084A5DB4"/>
    <w:rsid w:val="084F0A5C"/>
    <w:rsid w:val="084F4E8A"/>
    <w:rsid w:val="085409E1"/>
    <w:rsid w:val="0854453D"/>
    <w:rsid w:val="085D4452"/>
    <w:rsid w:val="086230FE"/>
    <w:rsid w:val="08697415"/>
    <w:rsid w:val="086A3D60"/>
    <w:rsid w:val="086B7B56"/>
    <w:rsid w:val="086D316B"/>
    <w:rsid w:val="086F380C"/>
    <w:rsid w:val="087109F5"/>
    <w:rsid w:val="087A4C54"/>
    <w:rsid w:val="088210AA"/>
    <w:rsid w:val="08835D49"/>
    <w:rsid w:val="08850A8D"/>
    <w:rsid w:val="08862D93"/>
    <w:rsid w:val="08872B64"/>
    <w:rsid w:val="08874912"/>
    <w:rsid w:val="08894C98"/>
    <w:rsid w:val="088968DD"/>
    <w:rsid w:val="08923091"/>
    <w:rsid w:val="0898267C"/>
    <w:rsid w:val="08997879"/>
    <w:rsid w:val="08A2174C"/>
    <w:rsid w:val="08A54D99"/>
    <w:rsid w:val="08A92ADB"/>
    <w:rsid w:val="08AC299F"/>
    <w:rsid w:val="08B03E69"/>
    <w:rsid w:val="08B111EB"/>
    <w:rsid w:val="08B576D2"/>
    <w:rsid w:val="08B651F8"/>
    <w:rsid w:val="08BD0334"/>
    <w:rsid w:val="08C05347"/>
    <w:rsid w:val="08C6543B"/>
    <w:rsid w:val="08C91AB8"/>
    <w:rsid w:val="08CA34D3"/>
    <w:rsid w:val="08CE2541"/>
    <w:rsid w:val="08CE42EF"/>
    <w:rsid w:val="08CF1E16"/>
    <w:rsid w:val="08D14FA8"/>
    <w:rsid w:val="08D538D0"/>
    <w:rsid w:val="08D63276"/>
    <w:rsid w:val="08D72F06"/>
    <w:rsid w:val="08DB6A0C"/>
    <w:rsid w:val="08DF474E"/>
    <w:rsid w:val="08E104C7"/>
    <w:rsid w:val="08E92932"/>
    <w:rsid w:val="08F301FA"/>
    <w:rsid w:val="08F53CDB"/>
    <w:rsid w:val="08FF094D"/>
    <w:rsid w:val="090158E3"/>
    <w:rsid w:val="090221EB"/>
    <w:rsid w:val="09023F99"/>
    <w:rsid w:val="090C4E18"/>
    <w:rsid w:val="0913264A"/>
    <w:rsid w:val="09153C1F"/>
    <w:rsid w:val="091567F4"/>
    <w:rsid w:val="09197523"/>
    <w:rsid w:val="091C06C1"/>
    <w:rsid w:val="091F4145"/>
    <w:rsid w:val="092217DD"/>
    <w:rsid w:val="09240154"/>
    <w:rsid w:val="09265BCD"/>
    <w:rsid w:val="092B7C9F"/>
    <w:rsid w:val="09300B06"/>
    <w:rsid w:val="09300E18"/>
    <w:rsid w:val="09307AB0"/>
    <w:rsid w:val="093525C0"/>
    <w:rsid w:val="09363922"/>
    <w:rsid w:val="09371E95"/>
    <w:rsid w:val="093A7294"/>
    <w:rsid w:val="093F343F"/>
    <w:rsid w:val="09401129"/>
    <w:rsid w:val="09414AC1"/>
    <w:rsid w:val="09442803"/>
    <w:rsid w:val="094648A7"/>
    <w:rsid w:val="094B5940"/>
    <w:rsid w:val="094D5D1D"/>
    <w:rsid w:val="094E5AAB"/>
    <w:rsid w:val="095011A8"/>
    <w:rsid w:val="09510A7C"/>
    <w:rsid w:val="095742E5"/>
    <w:rsid w:val="095C7B4D"/>
    <w:rsid w:val="095E38C5"/>
    <w:rsid w:val="09615163"/>
    <w:rsid w:val="09652EA6"/>
    <w:rsid w:val="0969226A"/>
    <w:rsid w:val="09694018"/>
    <w:rsid w:val="096D3B08"/>
    <w:rsid w:val="09714C67"/>
    <w:rsid w:val="097A7FD3"/>
    <w:rsid w:val="098350DA"/>
    <w:rsid w:val="0984611E"/>
    <w:rsid w:val="098470A4"/>
    <w:rsid w:val="09886B94"/>
    <w:rsid w:val="098B0432"/>
    <w:rsid w:val="098B21E0"/>
    <w:rsid w:val="098C5B93"/>
    <w:rsid w:val="098E3A7F"/>
    <w:rsid w:val="098F7F23"/>
    <w:rsid w:val="099168C1"/>
    <w:rsid w:val="099217C1"/>
    <w:rsid w:val="09926E4D"/>
    <w:rsid w:val="099346C1"/>
    <w:rsid w:val="099948FD"/>
    <w:rsid w:val="099A2423"/>
    <w:rsid w:val="099A310A"/>
    <w:rsid w:val="099E0166"/>
    <w:rsid w:val="099F7A3A"/>
    <w:rsid w:val="09A137B2"/>
    <w:rsid w:val="09A17C56"/>
    <w:rsid w:val="09A35B15"/>
    <w:rsid w:val="09AA1703"/>
    <w:rsid w:val="09AE7545"/>
    <w:rsid w:val="09B41737"/>
    <w:rsid w:val="09BB6819"/>
    <w:rsid w:val="09BE1A52"/>
    <w:rsid w:val="09BE4364"/>
    <w:rsid w:val="09C0187F"/>
    <w:rsid w:val="09C120A6"/>
    <w:rsid w:val="09C53944"/>
    <w:rsid w:val="09C6146A"/>
    <w:rsid w:val="09C65D3C"/>
    <w:rsid w:val="09C851E3"/>
    <w:rsid w:val="09C94AB7"/>
    <w:rsid w:val="09D121EF"/>
    <w:rsid w:val="09D122E9"/>
    <w:rsid w:val="09D65B51"/>
    <w:rsid w:val="09DA6CC4"/>
    <w:rsid w:val="09DB3C13"/>
    <w:rsid w:val="09DE2882"/>
    <w:rsid w:val="09DF68E3"/>
    <w:rsid w:val="09E0077E"/>
    <w:rsid w:val="09E35B78"/>
    <w:rsid w:val="09E518F1"/>
    <w:rsid w:val="09E60BF4"/>
    <w:rsid w:val="09E75B73"/>
    <w:rsid w:val="09EA33AB"/>
    <w:rsid w:val="09EB0ED1"/>
    <w:rsid w:val="09EB65C7"/>
    <w:rsid w:val="09F77876"/>
    <w:rsid w:val="09FC4E8C"/>
    <w:rsid w:val="09FF584F"/>
    <w:rsid w:val="0A026946"/>
    <w:rsid w:val="0A083831"/>
    <w:rsid w:val="0A0A75A9"/>
    <w:rsid w:val="0A0B50CF"/>
    <w:rsid w:val="0A173A74"/>
    <w:rsid w:val="0A1755E4"/>
    <w:rsid w:val="0A1B7FBE"/>
    <w:rsid w:val="0A1C108A"/>
    <w:rsid w:val="0A1E3055"/>
    <w:rsid w:val="0A287A2F"/>
    <w:rsid w:val="0A2C39C3"/>
    <w:rsid w:val="0A392EC5"/>
    <w:rsid w:val="0A3D5178"/>
    <w:rsid w:val="0A40121D"/>
    <w:rsid w:val="0A430D0D"/>
    <w:rsid w:val="0A4707FD"/>
    <w:rsid w:val="0A4D1921"/>
    <w:rsid w:val="0A560A40"/>
    <w:rsid w:val="0A56459C"/>
    <w:rsid w:val="0A5847B8"/>
    <w:rsid w:val="0A595E3B"/>
    <w:rsid w:val="0A621193"/>
    <w:rsid w:val="0A634F0B"/>
    <w:rsid w:val="0A650C83"/>
    <w:rsid w:val="0A682522"/>
    <w:rsid w:val="0A6B77AC"/>
    <w:rsid w:val="0A6C2012"/>
    <w:rsid w:val="0A6D18E6"/>
    <w:rsid w:val="0A6D7B38"/>
    <w:rsid w:val="0A742C74"/>
    <w:rsid w:val="0A762E91"/>
    <w:rsid w:val="0A7964DD"/>
    <w:rsid w:val="0A7C2668"/>
    <w:rsid w:val="0A801619"/>
    <w:rsid w:val="0A80786B"/>
    <w:rsid w:val="0A8530D4"/>
    <w:rsid w:val="0A8A2498"/>
    <w:rsid w:val="0A8E01DA"/>
    <w:rsid w:val="0A8F3F52"/>
    <w:rsid w:val="0A8F5D00"/>
    <w:rsid w:val="0A960E3D"/>
    <w:rsid w:val="0A981059"/>
    <w:rsid w:val="0A9B6453"/>
    <w:rsid w:val="0AA03A6A"/>
    <w:rsid w:val="0AA413E9"/>
    <w:rsid w:val="0AA51080"/>
    <w:rsid w:val="0AA6225D"/>
    <w:rsid w:val="0AAB0D8C"/>
    <w:rsid w:val="0ABB4D47"/>
    <w:rsid w:val="0ABD286D"/>
    <w:rsid w:val="0AC05DC1"/>
    <w:rsid w:val="0AC71502"/>
    <w:rsid w:val="0AC86757"/>
    <w:rsid w:val="0ACB4F8A"/>
    <w:rsid w:val="0ACB6BE6"/>
    <w:rsid w:val="0ACD14A9"/>
    <w:rsid w:val="0ACE05D7"/>
    <w:rsid w:val="0AD028F9"/>
    <w:rsid w:val="0AD33E3F"/>
    <w:rsid w:val="0AD630BE"/>
    <w:rsid w:val="0AD96F7B"/>
    <w:rsid w:val="0ADB0F46"/>
    <w:rsid w:val="0ADD081A"/>
    <w:rsid w:val="0ADE5D3C"/>
    <w:rsid w:val="0AE41BA8"/>
    <w:rsid w:val="0AE53B72"/>
    <w:rsid w:val="0AE71698"/>
    <w:rsid w:val="0AEB5587"/>
    <w:rsid w:val="0AEC6CAF"/>
    <w:rsid w:val="0AF02C43"/>
    <w:rsid w:val="0AF049F1"/>
    <w:rsid w:val="0AF40E28"/>
    <w:rsid w:val="0AFA13CC"/>
    <w:rsid w:val="0AFA761E"/>
    <w:rsid w:val="0B01749D"/>
    <w:rsid w:val="0B024724"/>
    <w:rsid w:val="0B04049C"/>
    <w:rsid w:val="0B04224A"/>
    <w:rsid w:val="0B043FF8"/>
    <w:rsid w:val="0B0C7351"/>
    <w:rsid w:val="0B111D2A"/>
    <w:rsid w:val="0B116715"/>
    <w:rsid w:val="0B1306DF"/>
    <w:rsid w:val="0B136931"/>
    <w:rsid w:val="0B187AA4"/>
    <w:rsid w:val="0B1D330C"/>
    <w:rsid w:val="0B2430EF"/>
    <w:rsid w:val="0B24469B"/>
    <w:rsid w:val="0B2510BA"/>
    <w:rsid w:val="0B2621C1"/>
    <w:rsid w:val="0B27418B"/>
    <w:rsid w:val="0B2C354F"/>
    <w:rsid w:val="0B316DB7"/>
    <w:rsid w:val="0B424B21"/>
    <w:rsid w:val="0B464611"/>
    <w:rsid w:val="0B494101"/>
    <w:rsid w:val="0B584344"/>
    <w:rsid w:val="0B5A3A72"/>
    <w:rsid w:val="0B5D195B"/>
    <w:rsid w:val="0B5F1B77"/>
    <w:rsid w:val="0B5F56D3"/>
    <w:rsid w:val="0B626F71"/>
    <w:rsid w:val="0B646908"/>
    <w:rsid w:val="0B696551"/>
    <w:rsid w:val="0B6E3B68"/>
    <w:rsid w:val="0B723658"/>
    <w:rsid w:val="0B73117E"/>
    <w:rsid w:val="0B745622"/>
    <w:rsid w:val="0B7A4555"/>
    <w:rsid w:val="0B84338B"/>
    <w:rsid w:val="0B84410E"/>
    <w:rsid w:val="0B870F82"/>
    <w:rsid w:val="0B974E6D"/>
    <w:rsid w:val="0B9A495D"/>
    <w:rsid w:val="0B9F6417"/>
    <w:rsid w:val="0BA43585"/>
    <w:rsid w:val="0BA47589"/>
    <w:rsid w:val="0BA74B97"/>
    <w:rsid w:val="0BAD4690"/>
    <w:rsid w:val="0BB21CA6"/>
    <w:rsid w:val="0BB94E6C"/>
    <w:rsid w:val="0BBF6171"/>
    <w:rsid w:val="0BC1013B"/>
    <w:rsid w:val="0BC55E7E"/>
    <w:rsid w:val="0BC8311D"/>
    <w:rsid w:val="0BD27BF6"/>
    <w:rsid w:val="0BD3667B"/>
    <w:rsid w:val="0BD460C1"/>
    <w:rsid w:val="0BD7795F"/>
    <w:rsid w:val="0BD845F9"/>
    <w:rsid w:val="0BD94AAC"/>
    <w:rsid w:val="0BD95485"/>
    <w:rsid w:val="0BDA11FD"/>
    <w:rsid w:val="0BDC31C7"/>
    <w:rsid w:val="0BE1258C"/>
    <w:rsid w:val="0BE67BA2"/>
    <w:rsid w:val="0BE856C8"/>
    <w:rsid w:val="0BF422BF"/>
    <w:rsid w:val="0BF978D5"/>
    <w:rsid w:val="0BFA364D"/>
    <w:rsid w:val="0C085D6A"/>
    <w:rsid w:val="0C0B7609"/>
    <w:rsid w:val="0C107BA8"/>
    <w:rsid w:val="0C1110C3"/>
    <w:rsid w:val="0C14470F"/>
    <w:rsid w:val="0C1464BD"/>
    <w:rsid w:val="0C186B5B"/>
    <w:rsid w:val="0C193AD3"/>
    <w:rsid w:val="0C1A784C"/>
    <w:rsid w:val="0C1B3CF0"/>
    <w:rsid w:val="0C1E0947"/>
    <w:rsid w:val="0C1E558E"/>
    <w:rsid w:val="0C216E2C"/>
    <w:rsid w:val="0C2529C5"/>
    <w:rsid w:val="0C260CA9"/>
    <w:rsid w:val="0C261DCE"/>
    <w:rsid w:val="0C2661F0"/>
    <w:rsid w:val="0C280B07"/>
    <w:rsid w:val="0C2A5CE1"/>
    <w:rsid w:val="0C300E1D"/>
    <w:rsid w:val="0C324046"/>
    <w:rsid w:val="0C344DB1"/>
    <w:rsid w:val="0C357A56"/>
    <w:rsid w:val="0C3628D7"/>
    <w:rsid w:val="0C364685"/>
    <w:rsid w:val="0C3B0317"/>
    <w:rsid w:val="0C4274CE"/>
    <w:rsid w:val="0C4D19CF"/>
    <w:rsid w:val="0C4F3999"/>
    <w:rsid w:val="0C517711"/>
    <w:rsid w:val="0C523489"/>
    <w:rsid w:val="0C55370B"/>
    <w:rsid w:val="0C57776C"/>
    <w:rsid w:val="0C5B40EC"/>
    <w:rsid w:val="0C62191E"/>
    <w:rsid w:val="0C645AF4"/>
    <w:rsid w:val="0C662A91"/>
    <w:rsid w:val="0C6A07D3"/>
    <w:rsid w:val="0C6A432F"/>
    <w:rsid w:val="0C6D3E1F"/>
    <w:rsid w:val="0C6F1945"/>
    <w:rsid w:val="0C716BA6"/>
    <w:rsid w:val="0C721436"/>
    <w:rsid w:val="0C735804"/>
    <w:rsid w:val="0C7B02EA"/>
    <w:rsid w:val="0C7B653C"/>
    <w:rsid w:val="0C7D22B4"/>
    <w:rsid w:val="0C7E65A6"/>
    <w:rsid w:val="0C825DB1"/>
    <w:rsid w:val="0C886EAB"/>
    <w:rsid w:val="0C8A2C23"/>
    <w:rsid w:val="0C8A49D1"/>
    <w:rsid w:val="0C8C63AB"/>
    <w:rsid w:val="0C8D626F"/>
    <w:rsid w:val="0C9615C8"/>
    <w:rsid w:val="0C965124"/>
    <w:rsid w:val="0C9910B8"/>
    <w:rsid w:val="0C9E00D7"/>
    <w:rsid w:val="0C9E02D7"/>
    <w:rsid w:val="0C9E047D"/>
    <w:rsid w:val="0CA35A93"/>
    <w:rsid w:val="0CA43CE5"/>
    <w:rsid w:val="0CA44632"/>
    <w:rsid w:val="0CAB4505"/>
    <w:rsid w:val="0CAD06C0"/>
    <w:rsid w:val="0CAF4438"/>
    <w:rsid w:val="0CB101B0"/>
    <w:rsid w:val="0CB11F59"/>
    <w:rsid w:val="0CB437FC"/>
    <w:rsid w:val="0CB67574"/>
    <w:rsid w:val="0CBB102F"/>
    <w:rsid w:val="0CBB4B8B"/>
    <w:rsid w:val="0CBD4DA7"/>
    <w:rsid w:val="0CC223BD"/>
    <w:rsid w:val="0CC779D3"/>
    <w:rsid w:val="0CCA3020"/>
    <w:rsid w:val="0CCE2B10"/>
    <w:rsid w:val="0CD914B5"/>
    <w:rsid w:val="0CDA2FAD"/>
    <w:rsid w:val="0CDD2D53"/>
    <w:rsid w:val="0CDD48B1"/>
    <w:rsid w:val="0CE40585"/>
    <w:rsid w:val="0CE42333"/>
    <w:rsid w:val="0CE642FD"/>
    <w:rsid w:val="0CE73BD2"/>
    <w:rsid w:val="0CE75980"/>
    <w:rsid w:val="0CEB1914"/>
    <w:rsid w:val="0CEC743A"/>
    <w:rsid w:val="0CEE6D0E"/>
    <w:rsid w:val="0CF06F2A"/>
    <w:rsid w:val="0CFB142B"/>
    <w:rsid w:val="0CFD3DAC"/>
    <w:rsid w:val="0CFF716D"/>
    <w:rsid w:val="0D020A0B"/>
    <w:rsid w:val="0D026C5D"/>
    <w:rsid w:val="0D054058"/>
    <w:rsid w:val="0D081CA7"/>
    <w:rsid w:val="0D0A78C0"/>
    <w:rsid w:val="0D0C2411"/>
    <w:rsid w:val="0D0C3638"/>
    <w:rsid w:val="0D0D0C68"/>
    <w:rsid w:val="0D0E73B0"/>
    <w:rsid w:val="0D0F4ED6"/>
    <w:rsid w:val="0D136775"/>
    <w:rsid w:val="0D15073F"/>
    <w:rsid w:val="0D197576"/>
    <w:rsid w:val="0D1A101C"/>
    <w:rsid w:val="0D1A3FA7"/>
    <w:rsid w:val="0D1B19F6"/>
    <w:rsid w:val="0D1C7D1F"/>
    <w:rsid w:val="0D1F336B"/>
    <w:rsid w:val="0D26294C"/>
    <w:rsid w:val="0D2941EA"/>
    <w:rsid w:val="0D2A3ABE"/>
    <w:rsid w:val="0D2A599A"/>
    <w:rsid w:val="0D2C5A88"/>
    <w:rsid w:val="0D2E35AF"/>
    <w:rsid w:val="0D336E17"/>
    <w:rsid w:val="0D34161D"/>
    <w:rsid w:val="0D352B8F"/>
    <w:rsid w:val="0D35493D"/>
    <w:rsid w:val="0D3859A2"/>
    <w:rsid w:val="0D3D123F"/>
    <w:rsid w:val="0D3D37F2"/>
    <w:rsid w:val="0D3F3A0E"/>
    <w:rsid w:val="0D3F57BC"/>
    <w:rsid w:val="0D4032E2"/>
    <w:rsid w:val="0D411050"/>
    <w:rsid w:val="0D4903E8"/>
    <w:rsid w:val="0D4A1E5A"/>
    <w:rsid w:val="0D4D75F3"/>
    <w:rsid w:val="0D554FDF"/>
    <w:rsid w:val="0D55637F"/>
    <w:rsid w:val="0D6214AA"/>
    <w:rsid w:val="0D63594E"/>
    <w:rsid w:val="0D646FD0"/>
    <w:rsid w:val="0D660F9A"/>
    <w:rsid w:val="0D6B4803"/>
    <w:rsid w:val="0D6D6BDD"/>
    <w:rsid w:val="0D701E19"/>
    <w:rsid w:val="0D71793F"/>
    <w:rsid w:val="0D73168E"/>
    <w:rsid w:val="0D731909"/>
    <w:rsid w:val="0D735465"/>
    <w:rsid w:val="0D7511DD"/>
    <w:rsid w:val="0D7A67F4"/>
    <w:rsid w:val="0D7C3B01"/>
    <w:rsid w:val="0D892919"/>
    <w:rsid w:val="0D892EDB"/>
    <w:rsid w:val="0D894C75"/>
    <w:rsid w:val="0D8E7657"/>
    <w:rsid w:val="0D904269"/>
    <w:rsid w:val="0D93340D"/>
    <w:rsid w:val="0D9773A6"/>
    <w:rsid w:val="0D9B708A"/>
    <w:rsid w:val="0D9C49BC"/>
    <w:rsid w:val="0DA05C1B"/>
    <w:rsid w:val="0DA10224"/>
    <w:rsid w:val="0DAC2BE0"/>
    <w:rsid w:val="0DAD6BC9"/>
    <w:rsid w:val="0DB00467"/>
    <w:rsid w:val="0DB42355"/>
    <w:rsid w:val="0DB461AA"/>
    <w:rsid w:val="0DB51118"/>
    <w:rsid w:val="0DBA3094"/>
    <w:rsid w:val="0DBA7538"/>
    <w:rsid w:val="0DBD2424"/>
    <w:rsid w:val="0DC03503"/>
    <w:rsid w:val="0DC108C7"/>
    <w:rsid w:val="0DC3421D"/>
    <w:rsid w:val="0DC45CC1"/>
    <w:rsid w:val="0DC53105"/>
    <w:rsid w:val="0DC932D7"/>
    <w:rsid w:val="0DC9777B"/>
    <w:rsid w:val="0DCB34F3"/>
    <w:rsid w:val="0DCD445C"/>
    <w:rsid w:val="0DD028B8"/>
    <w:rsid w:val="0DD26630"/>
    <w:rsid w:val="0DD34156"/>
    <w:rsid w:val="0DD423A8"/>
    <w:rsid w:val="0DD56120"/>
    <w:rsid w:val="0DD73C46"/>
    <w:rsid w:val="0DD8176C"/>
    <w:rsid w:val="0DDC057E"/>
    <w:rsid w:val="0DE72AC0"/>
    <w:rsid w:val="0DEE0F90"/>
    <w:rsid w:val="0DEE2D3E"/>
    <w:rsid w:val="0DF06AB6"/>
    <w:rsid w:val="0DF447F8"/>
    <w:rsid w:val="0DF465A6"/>
    <w:rsid w:val="0DFC36AD"/>
    <w:rsid w:val="0DFC545B"/>
    <w:rsid w:val="0DFD5C6B"/>
    <w:rsid w:val="0E0662D9"/>
    <w:rsid w:val="0E0B5706"/>
    <w:rsid w:val="0E0D7668"/>
    <w:rsid w:val="0E100F06"/>
    <w:rsid w:val="0E110D06"/>
    <w:rsid w:val="0E1C78AB"/>
    <w:rsid w:val="0E214EC1"/>
    <w:rsid w:val="0E2873B4"/>
    <w:rsid w:val="0E2D7D0A"/>
    <w:rsid w:val="0E301273"/>
    <w:rsid w:val="0E303356"/>
    <w:rsid w:val="0E3177FA"/>
    <w:rsid w:val="0E320723"/>
    <w:rsid w:val="0E364E11"/>
    <w:rsid w:val="0E3746E5"/>
    <w:rsid w:val="0E3A0F99"/>
    <w:rsid w:val="0E3A5F83"/>
    <w:rsid w:val="0E3C04AA"/>
    <w:rsid w:val="0E4376A8"/>
    <w:rsid w:val="0E460DCC"/>
    <w:rsid w:val="0E48359D"/>
    <w:rsid w:val="0E4D215A"/>
    <w:rsid w:val="0E4E52E2"/>
    <w:rsid w:val="0E4F1A2E"/>
    <w:rsid w:val="0E552DBD"/>
    <w:rsid w:val="0E574D87"/>
    <w:rsid w:val="0E6179B4"/>
    <w:rsid w:val="0E715E49"/>
    <w:rsid w:val="0E72510F"/>
    <w:rsid w:val="0E76520D"/>
    <w:rsid w:val="0E790B75"/>
    <w:rsid w:val="0E7B2823"/>
    <w:rsid w:val="0E7B6CC7"/>
    <w:rsid w:val="0E7C47EE"/>
    <w:rsid w:val="0E8042DE"/>
    <w:rsid w:val="0E811E04"/>
    <w:rsid w:val="0E8518F4"/>
    <w:rsid w:val="0E8A515C"/>
    <w:rsid w:val="0E8F4521"/>
    <w:rsid w:val="0E903DF5"/>
    <w:rsid w:val="0E905A81"/>
    <w:rsid w:val="0E912047"/>
    <w:rsid w:val="0E927B6D"/>
    <w:rsid w:val="0E9733D5"/>
    <w:rsid w:val="0E9D17C6"/>
    <w:rsid w:val="0E9E29B6"/>
    <w:rsid w:val="0E9E6512"/>
    <w:rsid w:val="0EA004DC"/>
    <w:rsid w:val="0EA2342F"/>
    <w:rsid w:val="0EA37FCC"/>
    <w:rsid w:val="0EAB6D9A"/>
    <w:rsid w:val="0EC56195"/>
    <w:rsid w:val="0EC71F0D"/>
    <w:rsid w:val="0EC85224"/>
    <w:rsid w:val="0ECA07E3"/>
    <w:rsid w:val="0ECB1C73"/>
    <w:rsid w:val="0ECC12D1"/>
    <w:rsid w:val="0ECD1453"/>
    <w:rsid w:val="0ECF0DC1"/>
    <w:rsid w:val="0ED168E7"/>
    <w:rsid w:val="0EDB59B8"/>
    <w:rsid w:val="0EDF1579"/>
    <w:rsid w:val="0EE52393"/>
    <w:rsid w:val="0EE526EA"/>
    <w:rsid w:val="0EE7120F"/>
    <w:rsid w:val="0EE859DF"/>
    <w:rsid w:val="0EE91E83"/>
    <w:rsid w:val="0EEE56EB"/>
    <w:rsid w:val="0EF10D38"/>
    <w:rsid w:val="0EF600FC"/>
    <w:rsid w:val="0EF80E8F"/>
    <w:rsid w:val="0EFC21E2"/>
    <w:rsid w:val="0F022F45"/>
    <w:rsid w:val="0F046CBD"/>
    <w:rsid w:val="0F0F67BD"/>
    <w:rsid w:val="0F111837"/>
    <w:rsid w:val="0F113188"/>
    <w:rsid w:val="0F13775A"/>
    <w:rsid w:val="0F1A028E"/>
    <w:rsid w:val="0F205C7F"/>
    <w:rsid w:val="0F215791"/>
    <w:rsid w:val="0F28662E"/>
    <w:rsid w:val="0F2B249C"/>
    <w:rsid w:val="0F2E09A0"/>
    <w:rsid w:val="0F317386"/>
    <w:rsid w:val="0F3375A2"/>
    <w:rsid w:val="0F346E76"/>
    <w:rsid w:val="0F390A43"/>
    <w:rsid w:val="0F3C025F"/>
    <w:rsid w:val="0F3D21CF"/>
    <w:rsid w:val="0F3E6EA4"/>
    <w:rsid w:val="0F3F5FF6"/>
    <w:rsid w:val="0F3F7CF5"/>
    <w:rsid w:val="0F452E31"/>
    <w:rsid w:val="0F4672D5"/>
    <w:rsid w:val="0F580DB7"/>
    <w:rsid w:val="0F620288"/>
    <w:rsid w:val="0F6634D4"/>
    <w:rsid w:val="0F670FFA"/>
    <w:rsid w:val="0F676B13"/>
    <w:rsid w:val="0F713C26"/>
    <w:rsid w:val="0F7200CA"/>
    <w:rsid w:val="0F732BD1"/>
    <w:rsid w:val="0F7C2CF7"/>
    <w:rsid w:val="0F7D25CB"/>
    <w:rsid w:val="0F7F6343"/>
    <w:rsid w:val="0F8676D2"/>
    <w:rsid w:val="0F87169C"/>
    <w:rsid w:val="0F8B4CE8"/>
    <w:rsid w:val="0F932BA2"/>
    <w:rsid w:val="0F9928EF"/>
    <w:rsid w:val="0F9A050E"/>
    <w:rsid w:val="0F9A112B"/>
    <w:rsid w:val="0FA07BF0"/>
    <w:rsid w:val="0FA1275E"/>
    <w:rsid w:val="0FAB0EE6"/>
    <w:rsid w:val="0FAD1102"/>
    <w:rsid w:val="0FAE692A"/>
    <w:rsid w:val="0FAF2E3E"/>
    <w:rsid w:val="0FAF4135"/>
    <w:rsid w:val="0FB01208"/>
    <w:rsid w:val="0FB51D65"/>
    <w:rsid w:val="0FB56209"/>
    <w:rsid w:val="0FB57FB7"/>
    <w:rsid w:val="0FBC1346"/>
    <w:rsid w:val="0FBD6E6C"/>
    <w:rsid w:val="0FC54AD9"/>
    <w:rsid w:val="0FD04DF1"/>
    <w:rsid w:val="0FD22917"/>
    <w:rsid w:val="0FDF3286"/>
    <w:rsid w:val="0FE8038D"/>
    <w:rsid w:val="0FED59A3"/>
    <w:rsid w:val="0FED7687"/>
    <w:rsid w:val="0FF02D9D"/>
    <w:rsid w:val="0FF1044E"/>
    <w:rsid w:val="0FF7237E"/>
    <w:rsid w:val="0FFA00C0"/>
    <w:rsid w:val="10022AD1"/>
    <w:rsid w:val="10044A9B"/>
    <w:rsid w:val="10086339"/>
    <w:rsid w:val="100910F7"/>
    <w:rsid w:val="100920B1"/>
    <w:rsid w:val="10093E5F"/>
    <w:rsid w:val="100D1BA1"/>
    <w:rsid w:val="100F5919"/>
    <w:rsid w:val="101051ED"/>
    <w:rsid w:val="10153D18"/>
    <w:rsid w:val="10172A20"/>
    <w:rsid w:val="10202516"/>
    <w:rsid w:val="10251AC8"/>
    <w:rsid w:val="10294501"/>
    <w:rsid w:val="103274FC"/>
    <w:rsid w:val="103435D2"/>
    <w:rsid w:val="103449ED"/>
    <w:rsid w:val="1034712E"/>
    <w:rsid w:val="10352EA6"/>
    <w:rsid w:val="10360127"/>
    <w:rsid w:val="1037079D"/>
    <w:rsid w:val="103A58B2"/>
    <w:rsid w:val="104355C3"/>
    <w:rsid w:val="104A4BA3"/>
    <w:rsid w:val="104A6951"/>
    <w:rsid w:val="10507CE0"/>
    <w:rsid w:val="10525131"/>
    <w:rsid w:val="10532F3B"/>
    <w:rsid w:val="105968CE"/>
    <w:rsid w:val="105A46BB"/>
    <w:rsid w:val="1066305F"/>
    <w:rsid w:val="106B4B1A"/>
    <w:rsid w:val="106D2F64"/>
    <w:rsid w:val="106F0166"/>
    <w:rsid w:val="10720430"/>
    <w:rsid w:val="107734BE"/>
    <w:rsid w:val="10790FE5"/>
    <w:rsid w:val="10795489"/>
    <w:rsid w:val="107D1AA2"/>
    <w:rsid w:val="107E2A9F"/>
    <w:rsid w:val="107E65FB"/>
    <w:rsid w:val="10853E2D"/>
    <w:rsid w:val="10856F1B"/>
    <w:rsid w:val="108B0D18"/>
    <w:rsid w:val="108F6861"/>
    <w:rsid w:val="109113A8"/>
    <w:rsid w:val="10933A8A"/>
    <w:rsid w:val="10944070"/>
    <w:rsid w:val="10945E1E"/>
    <w:rsid w:val="10991559"/>
    <w:rsid w:val="109C5456"/>
    <w:rsid w:val="109E16F7"/>
    <w:rsid w:val="10A5002C"/>
    <w:rsid w:val="10A832F4"/>
    <w:rsid w:val="10A83678"/>
    <w:rsid w:val="10AA3894"/>
    <w:rsid w:val="10AD0C8E"/>
    <w:rsid w:val="10AD6EE0"/>
    <w:rsid w:val="10AF1D60"/>
    <w:rsid w:val="10B05EDD"/>
    <w:rsid w:val="10B4201D"/>
    <w:rsid w:val="10B63710"/>
    <w:rsid w:val="10BA1AAE"/>
    <w:rsid w:val="10BB33AB"/>
    <w:rsid w:val="10BC7123"/>
    <w:rsid w:val="10C1473A"/>
    <w:rsid w:val="10C77FA2"/>
    <w:rsid w:val="10CA5CE4"/>
    <w:rsid w:val="10CD30DE"/>
    <w:rsid w:val="10CF355A"/>
    <w:rsid w:val="10D10E21"/>
    <w:rsid w:val="10D752FB"/>
    <w:rsid w:val="10D821AF"/>
    <w:rsid w:val="10D8227B"/>
    <w:rsid w:val="10D95F27"/>
    <w:rsid w:val="10DB1C9F"/>
    <w:rsid w:val="10E072B6"/>
    <w:rsid w:val="10E16B8A"/>
    <w:rsid w:val="10E21745"/>
    <w:rsid w:val="10E675D1"/>
    <w:rsid w:val="10E70644"/>
    <w:rsid w:val="10EA5A3E"/>
    <w:rsid w:val="10ED3781"/>
    <w:rsid w:val="10EE1F98"/>
    <w:rsid w:val="10EF574B"/>
    <w:rsid w:val="10F5444F"/>
    <w:rsid w:val="10F863AD"/>
    <w:rsid w:val="10FB33EF"/>
    <w:rsid w:val="10FC5772"/>
    <w:rsid w:val="10FE14EA"/>
    <w:rsid w:val="10FF6CE8"/>
    <w:rsid w:val="11005262"/>
    <w:rsid w:val="11056D1C"/>
    <w:rsid w:val="110C3C07"/>
    <w:rsid w:val="11143B39"/>
    <w:rsid w:val="111451B1"/>
    <w:rsid w:val="111C2F7A"/>
    <w:rsid w:val="111D4066"/>
    <w:rsid w:val="1126606F"/>
    <w:rsid w:val="112C24FB"/>
    <w:rsid w:val="112C6057"/>
    <w:rsid w:val="112E1DCF"/>
    <w:rsid w:val="113008C4"/>
    <w:rsid w:val="113013DE"/>
    <w:rsid w:val="11447845"/>
    <w:rsid w:val="114E421F"/>
    <w:rsid w:val="115770D7"/>
    <w:rsid w:val="115929AD"/>
    <w:rsid w:val="115D4462"/>
    <w:rsid w:val="115F2023"/>
    <w:rsid w:val="115F6467"/>
    <w:rsid w:val="11660972"/>
    <w:rsid w:val="11673533"/>
    <w:rsid w:val="116A6B7F"/>
    <w:rsid w:val="116E6670"/>
    <w:rsid w:val="11717F0E"/>
    <w:rsid w:val="117618C6"/>
    <w:rsid w:val="1178129C"/>
    <w:rsid w:val="117A5014"/>
    <w:rsid w:val="117D68B3"/>
    <w:rsid w:val="117E185E"/>
    <w:rsid w:val="117F6ACF"/>
    <w:rsid w:val="11811732"/>
    <w:rsid w:val="118A6CA0"/>
    <w:rsid w:val="118E0AC0"/>
    <w:rsid w:val="119C5AA8"/>
    <w:rsid w:val="11A05CA3"/>
    <w:rsid w:val="11A16A45"/>
    <w:rsid w:val="11A2456B"/>
    <w:rsid w:val="11A32AB7"/>
    <w:rsid w:val="11AA2F63"/>
    <w:rsid w:val="11B04EDA"/>
    <w:rsid w:val="11B232FE"/>
    <w:rsid w:val="11C049F1"/>
    <w:rsid w:val="11C269BB"/>
    <w:rsid w:val="11C450E6"/>
    <w:rsid w:val="11C54C7E"/>
    <w:rsid w:val="11C73FD2"/>
    <w:rsid w:val="11C75D80"/>
    <w:rsid w:val="11CC15E8"/>
    <w:rsid w:val="11CE710E"/>
    <w:rsid w:val="11CE752D"/>
    <w:rsid w:val="11D010D8"/>
    <w:rsid w:val="11D02E86"/>
    <w:rsid w:val="11D230A2"/>
    <w:rsid w:val="11D373CE"/>
    <w:rsid w:val="11D62156"/>
    <w:rsid w:val="11D72467"/>
    <w:rsid w:val="11D84431"/>
    <w:rsid w:val="11DD37F5"/>
    <w:rsid w:val="11DF30C9"/>
    <w:rsid w:val="11E44B84"/>
    <w:rsid w:val="11E46AD9"/>
    <w:rsid w:val="11E9219A"/>
    <w:rsid w:val="11EB0C04"/>
    <w:rsid w:val="11EE77B0"/>
    <w:rsid w:val="11F0177A"/>
    <w:rsid w:val="11F47FFB"/>
    <w:rsid w:val="11F72B09"/>
    <w:rsid w:val="11F76665"/>
    <w:rsid w:val="11FA6155"/>
    <w:rsid w:val="11FC1ECD"/>
    <w:rsid w:val="11FC3E71"/>
    <w:rsid w:val="11FE3312"/>
    <w:rsid w:val="12042B30"/>
    <w:rsid w:val="12072620"/>
    <w:rsid w:val="120D40DA"/>
    <w:rsid w:val="12152F8F"/>
    <w:rsid w:val="121865DB"/>
    <w:rsid w:val="121A67F7"/>
    <w:rsid w:val="121C431D"/>
    <w:rsid w:val="121E5D7B"/>
    <w:rsid w:val="121E62E8"/>
    <w:rsid w:val="121F796A"/>
    <w:rsid w:val="12266F4A"/>
    <w:rsid w:val="122B06C2"/>
    <w:rsid w:val="122D7F4C"/>
    <w:rsid w:val="122E5DFF"/>
    <w:rsid w:val="12327017"/>
    <w:rsid w:val="1232769D"/>
    <w:rsid w:val="12331667"/>
    <w:rsid w:val="12373093"/>
    <w:rsid w:val="123738A9"/>
    <w:rsid w:val="12380A2C"/>
    <w:rsid w:val="12394ECF"/>
    <w:rsid w:val="1240313D"/>
    <w:rsid w:val="12445622"/>
    <w:rsid w:val="12463148"/>
    <w:rsid w:val="124B4C03"/>
    <w:rsid w:val="124D2729"/>
    <w:rsid w:val="12502B21"/>
    <w:rsid w:val="12575478"/>
    <w:rsid w:val="125A6BF4"/>
    <w:rsid w:val="125A7AA6"/>
    <w:rsid w:val="125D0492"/>
    <w:rsid w:val="12635AA8"/>
    <w:rsid w:val="126A321F"/>
    <w:rsid w:val="126D2DCB"/>
    <w:rsid w:val="126D6927"/>
    <w:rsid w:val="127001C5"/>
    <w:rsid w:val="127140EA"/>
    <w:rsid w:val="12744159"/>
    <w:rsid w:val="127759F8"/>
    <w:rsid w:val="12791770"/>
    <w:rsid w:val="127A1044"/>
    <w:rsid w:val="127B49BD"/>
    <w:rsid w:val="127C6B6A"/>
    <w:rsid w:val="127E6D86"/>
    <w:rsid w:val="127F48AC"/>
    <w:rsid w:val="12810624"/>
    <w:rsid w:val="12844F29"/>
    <w:rsid w:val="12863E8D"/>
    <w:rsid w:val="128679E9"/>
    <w:rsid w:val="1289734F"/>
    <w:rsid w:val="128B3251"/>
    <w:rsid w:val="12994E87"/>
    <w:rsid w:val="129E4D32"/>
    <w:rsid w:val="129F0AAB"/>
    <w:rsid w:val="129F5B09"/>
    <w:rsid w:val="12A143E4"/>
    <w:rsid w:val="12A40CC7"/>
    <w:rsid w:val="12A604AE"/>
    <w:rsid w:val="12AB56A1"/>
    <w:rsid w:val="12AD1419"/>
    <w:rsid w:val="12AE3240"/>
    <w:rsid w:val="12B04A66"/>
    <w:rsid w:val="12B208A4"/>
    <w:rsid w:val="12B5308E"/>
    <w:rsid w:val="12B91B6C"/>
    <w:rsid w:val="12BA4BDF"/>
    <w:rsid w:val="12C05E31"/>
    <w:rsid w:val="12C30D5F"/>
    <w:rsid w:val="12C50511"/>
    <w:rsid w:val="12C81DAF"/>
    <w:rsid w:val="12D138EB"/>
    <w:rsid w:val="12D44BF8"/>
    <w:rsid w:val="12DB7D35"/>
    <w:rsid w:val="12DC179C"/>
    <w:rsid w:val="12DD1CFF"/>
    <w:rsid w:val="12E267A6"/>
    <w:rsid w:val="12E3308D"/>
    <w:rsid w:val="12E34CAD"/>
    <w:rsid w:val="12E34E3B"/>
    <w:rsid w:val="12E7492B"/>
    <w:rsid w:val="12EA61CA"/>
    <w:rsid w:val="12EB3CF0"/>
    <w:rsid w:val="12ED7A68"/>
    <w:rsid w:val="12F2507E"/>
    <w:rsid w:val="12F36DB2"/>
    <w:rsid w:val="12F40DF6"/>
    <w:rsid w:val="12F6691D"/>
    <w:rsid w:val="12F708E7"/>
    <w:rsid w:val="130152C1"/>
    <w:rsid w:val="130354DD"/>
    <w:rsid w:val="13071CE4"/>
    <w:rsid w:val="13076D7C"/>
    <w:rsid w:val="13097217"/>
    <w:rsid w:val="130A23C8"/>
    <w:rsid w:val="130C25E4"/>
    <w:rsid w:val="130C4392"/>
    <w:rsid w:val="130C5FE0"/>
    <w:rsid w:val="130F79DE"/>
    <w:rsid w:val="131119A8"/>
    <w:rsid w:val="13117BFA"/>
    <w:rsid w:val="13141499"/>
    <w:rsid w:val="13171F28"/>
    <w:rsid w:val="13182D37"/>
    <w:rsid w:val="131836D1"/>
    <w:rsid w:val="1319260B"/>
    <w:rsid w:val="13196AAF"/>
    <w:rsid w:val="131C5101"/>
    <w:rsid w:val="13201BEB"/>
    <w:rsid w:val="13223BB5"/>
    <w:rsid w:val="13225964"/>
    <w:rsid w:val="132536A6"/>
    <w:rsid w:val="13272F7A"/>
    <w:rsid w:val="13294F44"/>
    <w:rsid w:val="132C233E"/>
    <w:rsid w:val="13370CE3"/>
    <w:rsid w:val="133D279D"/>
    <w:rsid w:val="133D3E1D"/>
    <w:rsid w:val="133E6515"/>
    <w:rsid w:val="13460082"/>
    <w:rsid w:val="13495C7E"/>
    <w:rsid w:val="134A310C"/>
    <w:rsid w:val="134E49AB"/>
    <w:rsid w:val="134F427F"/>
    <w:rsid w:val="13535D11"/>
    <w:rsid w:val="135D4BEE"/>
    <w:rsid w:val="13620456"/>
    <w:rsid w:val="13637D2A"/>
    <w:rsid w:val="136917E4"/>
    <w:rsid w:val="13702B73"/>
    <w:rsid w:val="13722A67"/>
    <w:rsid w:val="137361BF"/>
    <w:rsid w:val="13743CE5"/>
    <w:rsid w:val="1377358E"/>
    <w:rsid w:val="13781A27"/>
    <w:rsid w:val="137B0136"/>
    <w:rsid w:val="137B5074"/>
    <w:rsid w:val="137D34C8"/>
    <w:rsid w:val="13857CA0"/>
    <w:rsid w:val="13871C6A"/>
    <w:rsid w:val="13893C35"/>
    <w:rsid w:val="138C102F"/>
    <w:rsid w:val="138C54D3"/>
    <w:rsid w:val="13914897"/>
    <w:rsid w:val="139254CE"/>
    <w:rsid w:val="13951726"/>
    <w:rsid w:val="139D188B"/>
    <w:rsid w:val="13A66F92"/>
    <w:rsid w:val="13A7230D"/>
    <w:rsid w:val="13AE369B"/>
    <w:rsid w:val="13B14F39"/>
    <w:rsid w:val="13B32A60"/>
    <w:rsid w:val="13B660AC"/>
    <w:rsid w:val="13BD38DE"/>
    <w:rsid w:val="13C133CE"/>
    <w:rsid w:val="13C1400A"/>
    <w:rsid w:val="13C277AD"/>
    <w:rsid w:val="13C30AFC"/>
    <w:rsid w:val="13CC58CF"/>
    <w:rsid w:val="13CE4568"/>
    <w:rsid w:val="13CE7DBD"/>
    <w:rsid w:val="13E16F11"/>
    <w:rsid w:val="13E250F3"/>
    <w:rsid w:val="13E64BE3"/>
    <w:rsid w:val="13EB137C"/>
    <w:rsid w:val="13F05A62"/>
    <w:rsid w:val="13FA243C"/>
    <w:rsid w:val="13FA68E0"/>
    <w:rsid w:val="13FB6FA3"/>
    <w:rsid w:val="13FF7A53"/>
    <w:rsid w:val="14076907"/>
    <w:rsid w:val="140908D1"/>
    <w:rsid w:val="14103A0E"/>
    <w:rsid w:val="14186D67"/>
    <w:rsid w:val="14197487"/>
    <w:rsid w:val="141C6857"/>
    <w:rsid w:val="141E70C5"/>
    <w:rsid w:val="14213FC1"/>
    <w:rsid w:val="14215C1B"/>
    <w:rsid w:val="14221EEF"/>
    <w:rsid w:val="14261483"/>
    <w:rsid w:val="14270D58"/>
    <w:rsid w:val="14295324"/>
    <w:rsid w:val="142D2812"/>
    <w:rsid w:val="142E5135"/>
    <w:rsid w:val="142E658A"/>
    <w:rsid w:val="14305E5E"/>
    <w:rsid w:val="1432607A"/>
    <w:rsid w:val="143771ED"/>
    <w:rsid w:val="14396509"/>
    <w:rsid w:val="143E4A1F"/>
    <w:rsid w:val="143F3336"/>
    <w:rsid w:val="143F60A1"/>
    <w:rsid w:val="1441006B"/>
    <w:rsid w:val="1447165C"/>
    <w:rsid w:val="1448144A"/>
    <w:rsid w:val="144B0EEA"/>
    <w:rsid w:val="144B713C"/>
    <w:rsid w:val="145002AE"/>
    <w:rsid w:val="14515DD5"/>
    <w:rsid w:val="14575AE1"/>
    <w:rsid w:val="14592FC7"/>
    <w:rsid w:val="145A737F"/>
    <w:rsid w:val="145C4EA5"/>
    <w:rsid w:val="145E6E6F"/>
    <w:rsid w:val="14611454"/>
    <w:rsid w:val="14612B95"/>
    <w:rsid w:val="14643D5A"/>
    <w:rsid w:val="14691370"/>
    <w:rsid w:val="146C1B76"/>
    <w:rsid w:val="146D0E60"/>
    <w:rsid w:val="146E4BD8"/>
    <w:rsid w:val="146E5199"/>
    <w:rsid w:val="147026FF"/>
    <w:rsid w:val="14733F9D"/>
    <w:rsid w:val="14756348"/>
    <w:rsid w:val="147815B3"/>
    <w:rsid w:val="14795A57"/>
    <w:rsid w:val="147E16A4"/>
    <w:rsid w:val="14860174"/>
    <w:rsid w:val="14885C9A"/>
    <w:rsid w:val="148A7C64"/>
    <w:rsid w:val="148C7CBF"/>
    <w:rsid w:val="148F0807"/>
    <w:rsid w:val="14902DA1"/>
    <w:rsid w:val="149503B7"/>
    <w:rsid w:val="14952165"/>
    <w:rsid w:val="149C7305"/>
    <w:rsid w:val="14A16D5C"/>
    <w:rsid w:val="14A207E8"/>
    <w:rsid w:val="14A25CD1"/>
    <w:rsid w:val="14A300D8"/>
    <w:rsid w:val="14A40884"/>
    <w:rsid w:val="14A960ED"/>
    <w:rsid w:val="14AD5701"/>
    <w:rsid w:val="14B06F9F"/>
    <w:rsid w:val="14B24AC5"/>
    <w:rsid w:val="14B44D5D"/>
    <w:rsid w:val="14B91001"/>
    <w:rsid w:val="14BA1BCC"/>
    <w:rsid w:val="14C1721D"/>
    <w:rsid w:val="14C60571"/>
    <w:rsid w:val="14C667C2"/>
    <w:rsid w:val="14C842E9"/>
    <w:rsid w:val="14C91E0F"/>
    <w:rsid w:val="14D05CA0"/>
    <w:rsid w:val="14D47131"/>
    <w:rsid w:val="14D709D0"/>
    <w:rsid w:val="14D94748"/>
    <w:rsid w:val="14DC7D94"/>
    <w:rsid w:val="14E05AD6"/>
    <w:rsid w:val="14E1184E"/>
    <w:rsid w:val="14E12169"/>
    <w:rsid w:val="14E31122"/>
    <w:rsid w:val="14E8498B"/>
    <w:rsid w:val="14E9477F"/>
    <w:rsid w:val="14ED1FA1"/>
    <w:rsid w:val="14EF1875"/>
    <w:rsid w:val="14EF7AC7"/>
    <w:rsid w:val="14F1476F"/>
    <w:rsid w:val="14F47D6F"/>
    <w:rsid w:val="14F65E5A"/>
    <w:rsid w:val="14F9337C"/>
    <w:rsid w:val="14FE4367"/>
    <w:rsid w:val="15007F26"/>
    <w:rsid w:val="15054F9B"/>
    <w:rsid w:val="1505553D"/>
    <w:rsid w:val="150712B5"/>
    <w:rsid w:val="15080B89"/>
    <w:rsid w:val="150D619F"/>
    <w:rsid w:val="150F1F18"/>
    <w:rsid w:val="150F3CC6"/>
    <w:rsid w:val="151B539B"/>
    <w:rsid w:val="151C63E2"/>
    <w:rsid w:val="151E215B"/>
    <w:rsid w:val="15202377"/>
    <w:rsid w:val="15205ED3"/>
    <w:rsid w:val="15233B2D"/>
    <w:rsid w:val="1526228F"/>
    <w:rsid w:val="152E2759"/>
    <w:rsid w:val="1537146E"/>
    <w:rsid w:val="153B2D0D"/>
    <w:rsid w:val="15451DDD"/>
    <w:rsid w:val="154871D8"/>
    <w:rsid w:val="154A11A2"/>
    <w:rsid w:val="154A73F4"/>
    <w:rsid w:val="154C6CC8"/>
    <w:rsid w:val="154D0C92"/>
    <w:rsid w:val="154D2A40"/>
    <w:rsid w:val="154E022A"/>
    <w:rsid w:val="15521101"/>
    <w:rsid w:val="15542020"/>
    <w:rsid w:val="15570834"/>
    <w:rsid w:val="15581B10"/>
    <w:rsid w:val="15595889"/>
    <w:rsid w:val="155C4C28"/>
    <w:rsid w:val="15624F26"/>
    <w:rsid w:val="15634011"/>
    <w:rsid w:val="15695ACC"/>
    <w:rsid w:val="156D5C71"/>
    <w:rsid w:val="15744B16"/>
    <w:rsid w:val="15791A87"/>
    <w:rsid w:val="157D4738"/>
    <w:rsid w:val="15804BC3"/>
    <w:rsid w:val="158741A4"/>
    <w:rsid w:val="15877D00"/>
    <w:rsid w:val="15883A78"/>
    <w:rsid w:val="15897F1C"/>
    <w:rsid w:val="158C17BA"/>
    <w:rsid w:val="158C2634"/>
    <w:rsid w:val="159468C1"/>
    <w:rsid w:val="15A40BEE"/>
    <w:rsid w:val="15A5287C"/>
    <w:rsid w:val="15A779A4"/>
    <w:rsid w:val="15A85EC8"/>
    <w:rsid w:val="15A9236C"/>
    <w:rsid w:val="15AC59B8"/>
    <w:rsid w:val="15AE34DE"/>
    <w:rsid w:val="15BB209F"/>
    <w:rsid w:val="15BD5E17"/>
    <w:rsid w:val="15C72C7C"/>
    <w:rsid w:val="15C90318"/>
    <w:rsid w:val="15CA4090"/>
    <w:rsid w:val="15CB06E2"/>
    <w:rsid w:val="15D33DF0"/>
    <w:rsid w:val="15D76017"/>
    <w:rsid w:val="15DD0268"/>
    <w:rsid w:val="15E05662"/>
    <w:rsid w:val="15E46F00"/>
    <w:rsid w:val="15E769F0"/>
    <w:rsid w:val="15ED2C79"/>
    <w:rsid w:val="15EE7D7F"/>
    <w:rsid w:val="15F66C34"/>
    <w:rsid w:val="15FA2BC8"/>
    <w:rsid w:val="15FA6724"/>
    <w:rsid w:val="15FF1F8C"/>
    <w:rsid w:val="15FF3D3A"/>
    <w:rsid w:val="16027CCE"/>
    <w:rsid w:val="160457F4"/>
    <w:rsid w:val="16077A7C"/>
    <w:rsid w:val="1609105D"/>
    <w:rsid w:val="160A26DF"/>
    <w:rsid w:val="160B0931"/>
    <w:rsid w:val="160B1CC9"/>
    <w:rsid w:val="160E0421"/>
    <w:rsid w:val="160E696E"/>
    <w:rsid w:val="16126189"/>
    <w:rsid w:val="16131283"/>
    <w:rsid w:val="16135A37"/>
    <w:rsid w:val="1615355E"/>
    <w:rsid w:val="16175528"/>
    <w:rsid w:val="161C0D90"/>
    <w:rsid w:val="161C2B3E"/>
    <w:rsid w:val="161F262E"/>
    <w:rsid w:val="162419F3"/>
    <w:rsid w:val="162C6AF9"/>
    <w:rsid w:val="162E2871"/>
    <w:rsid w:val="162F5EEB"/>
    <w:rsid w:val="163757C5"/>
    <w:rsid w:val="16380A5A"/>
    <w:rsid w:val="16386068"/>
    <w:rsid w:val="163F4A7E"/>
    <w:rsid w:val="16411730"/>
    <w:rsid w:val="16456719"/>
    <w:rsid w:val="164707FC"/>
    <w:rsid w:val="1649352F"/>
    <w:rsid w:val="16504596"/>
    <w:rsid w:val="165266F1"/>
    <w:rsid w:val="16531DCD"/>
    <w:rsid w:val="1658169C"/>
    <w:rsid w:val="165B2F3A"/>
    <w:rsid w:val="165B64DD"/>
    <w:rsid w:val="165C73DE"/>
    <w:rsid w:val="16617428"/>
    <w:rsid w:val="16640041"/>
    <w:rsid w:val="166B7621"/>
    <w:rsid w:val="166D55CB"/>
    <w:rsid w:val="166E0EC0"/>
    <w:rsid w:val="167209B0"/>
    <w:rsid w:val="167364D6"/>
    <w:rsid w:val="16777D74"/>
    <w:rsid w:val="167B7C4B"/>
    <w:rsid w:val="167C44F8"/>
    <w:rsid w:val="16826719"/>
    <w:rsid w:val="168626AD"/>
    <w:rsid w:val="16872A35"/>
    <w:rsid w:val="168B7CC4"/>
    <w:rsid w:val="168D57EA"/>
    <w:rsid w:val="16900E36"/>
    <w:rsid w:val="1694148D"/>
    <w:rsid w:val="1695469E"/>
    <w:rsid w:val="1699418F"/>
    <w:rsid w:val="169C5A2D"/>
    <w:rsid w:val="169D3553"/>
    <w:rsid w:val="169E79F7"/>
    <w:rsid w:val="169F551D"/>
    <w:rsid w:val="169F72CB"/>
    <w:rsid w:val="16A13043"/>
    <w:rsid w:val="16A36DBB"/>
    <w:rsid w:val="16A81790"/>
    <w:rsid w:val="16AB2114"/>
    <w:rsid w:val="16AB658F"/>
    <w:rsid w:val="16AD19E8"/>
    <w:rsid w:val="16B014D8"/>
    <w:rsid w:val="16B207CA"/>
    <w:rsid w:val="16B9038D"/>
    <w:rsid w:val="16BB3C28"/>
    <w:rsid w:val="16BC5986"/>
    <w:rsid w:val="16C44AD8"/>
    <w:rsid w:val="16C4566D"/>
    <w:rsid w:val="16D276A1"/>
    <w:rsid w:val="16D650DD"/>
    <w:rsid w:val="16DA6555"/>
    <w:rsid w:val="16DF3B6C"/>
    <w:rsid w:val="16E82A20"/>
    <w:rsid w:val="16F45869"/>
    <w:rsid w:val="16F615E1"/>
    <w:rsid w:val="16F92E7F"/>
    <w:rsid w:val="16FB4332"/>
    <w:rsid w:val="17066928"/>
    <w:rsid w:val="17084E91"/>
    <w:rsid w:val="171364CE"/>
    <w:rsid w:val="17171557"/>
    <w:rsid w:val="171A6059"/>
    <w:rsid w:val="171F2C3F"/>
    <w:rsid w:val="172120C7"/>
    <w:rsid w:val="17215F32"/>
    <w:rsid w:val="17221F62"/>
    <w:rsid w:val="172805BA"/>
    <w:rsid w:val="17281893"/>
    <w:rsid w:val="17285513"/>
    <w:rsid w:val="173043C7"/>
    <w:rsid w:val="17312619"/>
    <w:rsid w:val="17312D11"/>
    <w:rsid w:val="17342109"/>
    <w:rsid w:val="1735378C"/>
    <w:rsid w:val="173C34E8"/>
    <w:rsid w:val="1740285C"/>
    <w:rsid w:val="174165D4"/>
    <w:rsid w:val="174314D1"/>
    <w:rsid w:val="17465999"/>
    <w:rsid w:val="17471E3D"/>
    <w:rsid w:val="174C7453"/>
    <w:rsid w:val="17525B6D"/>
    <w:rsid w:val="17563E2E"/>
    <w:rsid w:val="175653EE"/>
    <w:rsid w:val="17577BA6"/>
    <w:rsid w:val="175C6F6A"/>
    <w:rsid w:val="17666845"/>
    <w:rsid w:val="176A1687"/>
    <w:rsid w:val="176A78D9"/>
    <w:rsid w:val="176C4AB8"/>
    <w:rsid w:val="176C7FAF"/>
    <w:rsid w:val="176D1177"/>
    <w:rsid w:val="1770386E"/>
    <w:rsid w:val="17714935"/>
    <w:rsid w:val="177235B3"/>
    <w:rsid w:val="17735226"/>
    <w:rsid w:val="177B1AE6"/>
    <w:rsid w:val="177D49C9"/>
    <w:rsid w:val="177D585E"/>
    <w:rsid w:val="17832749"/>
    <w:rsid w:val="17842AD0"/>
    <w:rsid w:val="178564C1"/>
    <w:rsid w:val="1787048B"/>
    <w:rsid w:val="178B7795"/>
    <w:rsid w:val="178D1819"/>
    <w:rsid w:val="178E7A6B"/>
    <w:rsid w:val="178F7340"/>
    <w:rsid w:val="179606CE"/>
    <w:rsid w:val="17994519"/>
    <w:rsid w:val="17994B59"/>
    <w:rsid w:val="179C49C1"/>
    <w:rsid w:val="179E7583"/>
    <w:rsid w:val="17A06CE7"/>
    <w:rsid w:val="17A56B63"/>
    <w:rsid w:val="17A728DB"/>
    <w:rsid w:val="17A75F91"/>
    <w:rsid w:val="17A80401"/>
    <w:rsid w:val="17AA4179"/>
    <w:rsid w:val="17AC1CA0"/>
    <w:rsid w:val="17B15508"/>
    <w:rsid w:val="17B41E54"/>
    <w:rsid w:val="17B631A7"/>
    <w:rsid w:val="17B80644"/>
    <w:rsid w:val="17B91FA2"/>
    <w:rsid w:val="17B9260F"/>
    <w:rsid w:val="17BB3400"/>
    <w:rsid w:val="17C074F9"/>
    <w:rsid w:val="17C52D61"/>
    <w:rsid w:val="17C76AD9"/>
    <w:rsid w:val="17D43BE0"/>
    <w:rsid w:val="17DA4A5F"/>
    <w:rsid w:val="17DE55A1"/>
    <w:rsid w:val="17E21B65"/>
    <w:rsid w:val="17E72CD8"/>
    <w:rsid w:val="17E94CA2"/>
    <w:rsid w:val="17EC6540"/>
    <w:rsid w:val="17EF6030"/>
    <w:rsid w:val="17EF7DDE"/>
    <w:rsid w:val="17F12BE8"/>
    <w:rsid w:val="17F324AA"/>
    <w:rsid w:val="18055854"/>
    <w:rsid w:val="18057602"/>
    <w:rsid w:val="18094A7F"/>
    <w:rsid w:val="18095344"/>
    <w:rsid w:val="180A2E6A"/>
    <w:rsid w:val="180D7C95"/>
    <w:rsid w:val="18100480"/>
    <w:rsid w:val="18117D55"/>
    <w:rsid w:val="18134CAA"/>
    <w:rsid w:val="18147845"/>
    <w:rsid w:val="18165F03"/>
    <w:rsid w:val="182061EA"/>
    <w:rsid w:val="182201B4"/>
    <w:rsid w:val="18226406"/>
    <w:rsid w:val="18295F5F"/>
    <w:rsid w:val="18297794"/>
    <w:rsid w:val="182B6DD0"/>
    <w:rsid w:val="182C4B8E"/>
    <w:rsid w:val="182E0907"/>
    <w:rsid w:val="1833416F"/>
    <w:rsid w:val="18351C95"/>
    <w:rsid w:val="18363C5F"/>
    <w:rsid w:val="183879D7"/>
    <w:rsid w:val="183A60CC"/>
    <w:rsid w:val="183D6D9C"/>
    <w:rsid w:val="183E57A4"/>
    <w:rsid w:val="183F2B14"/>
    <w:rsid w:val="1840063A"/>
    <w:rsid w:val="184243B2"/>
    <w:rsid w:val="18477C1A"/>
    <w:rsid w:val="185540E5"/>
    <w:rsid w:val="18581E27"/>
    <w:rsid w:val="18583BD5"/>
    <w:rsid w:val="1869193F"/>
    <w:rsid w:val="186B56B7"/>
    <w:rsid w:val="186F23AF"/>
    <w:rsid w:val="18714C97"/>
    <w:rsid w:val="187529D9"/>
    <w:rsid w:val="187A1D9E"/>
    <w:rsid w:val="187F1162"/>
    <w:rsid w:val="18826EA4"/>
    <w:rsid w:val="18833979"/>
    <w:rsid w:val="188744BB"/>
    <w:rsid w:val="1888635B"/>
    <w:rsid w:val="18893D8F"/>
    <w:rsid w:val="188B5D59"/>
    <w:rsid w:val="18954E2A"/>
    <w:rsid w:val="18956899"/>
    <w:rsid w:val="18982224"/>
    <w:rsid w:val="18985DE5"/>
    <w:rsid w:val="18A46E1B"/>
    <w:rsid w:val="18AA6B24"/>
    <w:rsid w:val="18AE0D2F"/>
    <w:rsid w:val="18AF5EEB"/>
    <w:rsid w:val="18B0756E"/>
    <w:rsid w:val="18B21538"/>
    <w:rsid w:val="18B90B18"/>
    <w:rsid w:val="18BC23B6"/>
    <w:rsid w:val="18BF12FA"/>
    <w:rsid w:val="18C13529"/>
    <w:rsid w:val="18C179CD"/>
    <w:rsid w:val="18C63235"/>
    <w:rsid w:val="18C64FE3"/>
    <w:rsid w:val="18C87522"/>
    <w:rsid w:val="18C94AD3"/>
    <w:rsid w:val="18C96881"/>
    <w:rsid w:val="18CD45C3"/>
    <w:rsid w:val="18CE20EA"/>
    <w:rsid w:val="18D07C10"/>
    <w:rsid w:val="18D47700"/>
    <w:rsid w:val="18D72D4C"/>
    <w:rsid w:val="18DD40DB"/>
    <w:rsid w:val="18E35B95"/>
    <w:rsid w:val="18E37943"/>
    <w:rsid w:val="18E86D07"/>
    <w:rsid w:val="18EB67F8"/>
    <w:rsid w:val="18ED08AB"/>
    <w:rsid w:val="18F179C4"/>
    <w:rsid w:val="18FA6A3B"/>
    <w:rsid w:val="18FC6C57"/>
    <w:rsid w:val="18FE29CF"/>
    <w:rsid w:val="190470B1"/>
    <w:rsid w:val="190873AA"/>
    <w:rsid w:val="19094547"/>
    <w:rsid w:val="190B6E9A"/>
    <w:rsid w:val="19103908"/>
    <w:rsid w:val="1910625E"/>
    <w:rsid w:val="19130CA3"/>
    <w:rsid w:val="19185113"/>
    <w:rsid w:val="191A0E8B"/>
    <w:rsid w:val="191A70DD"/>
    <w:rsid w:val="191C2E55"/>
    <w:rsid w:val="191C59B6"/>
    <w:rsid w:val="192341E3"/>
    <w:rsid w:val="192A37C4"/>
    <w:rsid w:val="192D79FD"/>
    <w:rsid w:val="192F4936"/>
    <w:rsid w:val="193208CA"/>
    <w:rsid w:val="19371A3D"/>
    <w:rsid w:val="193F08F1"/>
    <w:rsid w:val="19404D95"/>
    <w:rsid w:val="1941466A"/>
    <w:rsid w:val="19436634"/>
    <w:rsid w:val="194D74B2"/>
    <w:rsid w:val="194F7E45"/>
    <w:rsid w:val="19520625"/>
    <w:rsid w:val="19550115"/>
    <w:rsid w:val="195645B9"/>
    <w:rsid w:val="19570331"/>
    <w:rsid w:val="19572D68"/>
    <w:rsid w:val="195C1FE7"/>
    <w:rsid w:val="195D6EAA"/>
    <w:rsid w:val="19650358"/>
    <w:rsid w:val="196565AA"/>
    <w:rsid w:val="196842EC"/>
    <w:rsid w:val="1968518A"/>
    <w:rsid w:val="1968609A"/>
    <w:rsid w:val="196A0064"/>
    <w:rsid w:val="196F11D7"/>
    <w:rsid w:val="19713BDF"/>
    <w:rsid w:val="1973708C"/>
    <w:rsid w:val="197762DD"/>
    <w:rsid w:val="19793E03"/>
    <w:rsid w:val="197C1B46"/>
    <w:rsid w:val="197C38F4"/>
    <w:rsid w:val="198253AE"/>
    <w:rsid w:val="19847484"/>
    <w:rsid w:val="198B3B37"/>
    <w:rsid w:val="1990114D"/>
    <w:rsid w:val="199109E2"/>
    <w:rsid w:val="19940C3D"/>
    <w:rsid w:val="19962FCC"/>
    <w:rsid w:val="199E50E5"/>
    <w:rsid w:val="19A05834"/>
    <w:rsid w:val="19A31463"/>
    <w:rsid w:val="19A52E4A"/>
    <w:rsid w:val="19A74E14"/>
    <w:rsid w:val="19AA66B3"/>
    <w:rsid w:val="19AC41D9"/>
    <w:rsid w:val="19AC5F87"/>
    <w:rsid w:val="19AF7825"/>
    <w:rsid w:val="19B22744"/>
    <w:rsid w:val="19B337B9"/>
    <w:rsid w:val="19B65058"/>
    <w:rsid w:val="19BB441C"/>
    <w:rsid w:val="19BD63E6"/>
    <w:rsid w:val="19BD7605"/>
    <w:rsid w:val="19BE5CBA"/>
    <w:rsid w:val="19C01A32"/>
    <w:rsid w:val="19C07C84"/>
    <w:rsid w:val="19C86B39"/>
    <w:rsid w:val="19CC487B"/>
    <w:rsid w:val="19CF1C75"/>
    <w:rsid w:val="19D35C0A"/>
    <w:rsid w:val="19D63004"/>
    <w:rsid w:val="19D90D46"/>
    <w:rsid w:val="19DC4BBB"/>
    <w:rsid w:val="19E03E83"/>
    <w:rsid w:val="19E41BC5"/>
    <w:rsid w:val="19E96351"/>
    <w:rsid w:val="19F25F57"/>
    <w:rsid w:val="19F30585"/>
    <w:rsid w:val="19F31E08"/>
    <w:rsid w:val="19F33BB6"/>
    <w:rsid w:val="19F45B80"/>
    <w:rsid w:val="19FF69FF"/>
    <w:rsid w:val="1A027F67"/>
    <w:rsid w:val="1A0538E9"/>
    <w:rsid w:val="1A057D8D"/>
    <w:rsid w:val="1A085187"/>
    <w:rsid w:val="1A09138C"/>
    <w:rsid w:val="1A0C2EC9"/>
    <w:rsid w:val="1A18361C"/>
    <w:rsid w:val="1A1C66C0"/>
    <w:rsid w:val="1A1F0E4F"/>
    <w:rsid w:val="1A240213"/>
    <w:rsid w:val="1A27385F"/>
    <w:rsid w:val="1A2B77F4"/>
    <w:rsid w:val="1A2D1611"/>
    <w:rsid w:val="1A2E2E40"/>
    <w:rsid w:val="1A2E4BEE"/>
    <w:rsid w:val="1A3270F1"/>
    <w:rsid w:val="1A367F46"/>
    <w:rsid w:val="1A3A7A37"/>
    <w:rsid w:val="1A3F5F9B"/>
    <w:rsid w:val="1A404921"/>
    <w:rsid w:val="1A42393B"/>
    <w:rsid w:val="1A4268EB"/>
    <w:rsid w:val="1A435F0A"/>
    <w:rsid w:val="1A441CBC"/>
    <w:rsid w:val="1A4A57A0"/>
    <w:rsid w:val="1A4B1C44"/>
    <w:rsid w:val="1A4E34E2"/>
    <w:rsid w:val="1A4E4600"/>
    <w:rsid w:val="1A516B2E"/>
    <w:rsid w:val="1A526911"/>
    <w:rsid w:val="1A58610F"/>
    <w:rsid w:val="1A5A4033"/>
    <w:rsid w:val="1A5E6E65"/>
    <w:rsid w:val="1A6745A4"/>
    <w:rsid w:val="1A6751A7"/>
    <w:rsid w:val="1A693E78"/>
    <w:rsid w:val="1A6C1BBA"/>
    <w:rsid w:val="1A6C5716"/>
    <w:rsid w:val="1A7016AA"/>
    <w:rsid w:val="1A7036F0"/>
    <w:rsid w:val="1A75606A"/>
    <w:rsid w:val="1A766595"/>
    <w:rsid w:val="1A780499"/>
    <w:rsid w:val="1A7849EB"/>
    <w:rsid w:val="1A7A42D7"/>
    <w:rsid w:val="1A7A5E19"/>
    <w:rsid w:val="1A7A7E33"/>
    <w:rsid w:val="1A7D2C10"/>
    <w:rsid w:val="1A7D5B75"/>
    <w:rsid w:val="1A7D7923"/>
    <w:rsid w:val="1A7E53C6"/>
    <w:rsid w:val="1A824F3A"/>
    <w:rsid w:val="1A8A7F67"/>
    <w:rsid w:val="1A8E38DF"/>
    <w:rsid w:val="1A907657"/>
    <w:rsid w:val="1A924679"/>
    <w:rsid w:val="1A9475CB"/>
    <w:rsid w:val="1A9A74A1"/>
    <w:rsid w:val="1A9D2550"/>
    <w:rsid w:val="1A9D4337"/>
    <w:rsid w:val="1A9D6217"/>
    <w:rsid w:val="1A9F5AEC"/>
    <w:rsid w:val="1AA66E7A"/>
    <w:rsid w:val="1AA90718"/>
    <w:rsid w:val="1AAE5D2F"/>
    <w:rsid w:val="1AB05F4B"/>
    <w:rsid w:val="1AB33345"/>
    <w:rsid w:val="1AB610DA"/>
    <w:rsid w:val="1AB833B2"/>
    <w:rsid w:val="1AB86E8B"/>
    <w:rsid w:val="1AB94A4F"/>
    <w:rsid w:val="1ABF08C1"/>
    <w:rsid w:val="1AC60017"/>
    <w:rsid w:val="1AC840ED"/>
    <w:rsid w:val="1AC94917"/>
    <w:rsid w:val="1ACD2659"/>
    <w:rsid w:val="1ACE4623"/>
    <w:rsid w:val="1ADB5522"/>
    <w:rsid w:val="1AE027CB"/>
    <w:rsid w:val="1AE41750"/>
    <w:rsid w:val="1AE6196C"/>
    <w:rsid w:val="1AE856E5"/>
    <w:rsid w:val="1AE94FB9"/>
    <w:rsid w:val="1AEB35C0"/>
    <w:rsid w:val="1AEE7796"/>
    <w:rsid w:val="1AF220BF"/>
    <w:rsid w:val="1AF5395E"/>
    <w:rsid w:val="1AF776D6"/>
    <w:rsid w:val="1AF851FC"/>
    <w:rsid w:val="1AFB27F7"/>
    <w:rsid w:val="1AFF47DC"/>
    <w:rsid w:val="1B010952"/>
    <w:rsid w:val="1B040045"/>
    <w:rsid w:val="1B046F80"/>
    <w:rsid w:val="1B063DBD"/>
    <w:rsid w:val="1B122762"/>
    <w:rsid w:val="1B1C0EEA"/>
    <w:rsid w:val="1B1C713C"/>
    <w:rsid w:val="1B1D7B9C"/>
    <w:rsid w:val="1B1F6C2C"/>
    <w:rsid w:val="1B222279"/>
    <w:rsid w:val="1B2E0C1E"/>
    <w:rsid w:val="1B2F50C2"/>
    <w:rsid w:val="1B324BB2"/>
    <w:rsid w:val="1B3267B5"/>
    <w:rsid w:val="1B344FEB"/>
    <w:rsid w:val="1B3501FE"/>
    <w:rsid w:val="1B3705F1"/>
    <w:rsid w:val="1B395C34"/>
    <w:rsid w:val="1B3E3557"/>
    <w:rsid w:val="1B410951"/>
    <w:rsid w:val="1B4346C9"/>
    <w:rsid w:val="1B461B95"/>
    <w:rsid w:val="1B466DA8"/>
    <w:rsid w:val="1B4A1EFB"/>
    <w:rsid w:val="1B4B1205"/>
    <w:rsid w:val="1B4F12C0"/>
    <w:rsid w:val="1B551BB4"/>
    <w:rsid w:val="1B55264E"/>
    <w:rsid w:val="1B5728FE"/>
    <w:rsid w:val="1B5763C6"/>
    <w:rsid w:val="1B5A1A13"/>
    <w:rsid w:val="1B5E59A7"/>
    <w:rsid w:val="1B610FF3"/>
    <w:rsid w:val="1B617DDC"/>
    <w:rsid w:val="1B642891"/>
    <w:rsid w:val="1B650AE3"/>
    <w:rsid w:val="1B684130"/>
    <w:rsid w:val="1B6B62AA"/>
    <w:rsid w:val="1B6E246A"/>
    <w:rsid w:val="1B776A68"/>
    <w:rsid w:val="1B7A20B5"/>
    <w:rsid w:val="1B8371BB"/>
    <w:rsid w:val="1B8917F2"/>
    <w:rsid w:val="1B8D1DE8"/>
    <w:rsid w:val="1B8E559D"/>
    <w:rsid w:val="1B8F5B60"/>
    <w:rsid w:val="1B917546"/>
    <w:rsid w:val="1B917B2A"/>
    <w:rsid w:val="1B974A15"/>
    <w:rsid w:val="1B9B4505"/>
    <w:rsid w:val="1BA809D0"/>
    <w:rsid w:val="1BAA0CF5"/>
    <w:rsid w:val="1BB2184F"/>
    <w:rsid w:val="1BB249FC"/>
    <w:rsid w:val="1BBB4BA7"/>
    <w:rsid w:val="1BBE1FA1"/>
    <w:rsid w:val="1BC25DC8"/>
    <w:rsid w:val="1BC66BE3"/>
    <w:rsid w:val="1BC752FA"/>
    <w:rsid w:val="1BCA3093"/>
    <w:rsid w:val="1BCD6688"/>
    <w:rsid w:val="1BCF3EC0"/>
    <w:rsid w:val="1BD05CC3"/>
    <w:rsid w:val="1BD25A4D"/>
    <w:rsid w:val="1BDD4B1E"/>
    <w:rsid w:val="1BDF119A"/>
    <w:rsid w:val="1BE13EE2"/>
    <w:rsid w:val="1BE67209"/>
    <w:rsid w:val="1BEA2D97"/>
    <w:rsid w:val="1BEA548C"/>
    <w:rsid w:val="1BF12377"/>
    <w:rsid w:val="1BF9122C"/>
    <w:rsid w:val="1BF9747E"/>
    <w:rsid w:val="1BFE4A94"/>
    <w:rsid w:val="1C032DB0"/>
    <w:rsid w:val="1C177904"/>
    <w:rsid w:val="1C187CE4"/>
    <w:rsid w:val="1C1918CE"/>
    <w:rsid w:val="1C1F5136"/>
    <w:rsid w:val="1C1F6AB3"/>
    <w:rsid w:val="1C204A0A"/>
    <w:rsid w:val="1C2942AF"/>
    <w:rsid w:val="1C297D63"/>
    <w:rsid w:val="1C2C1601"/>
    <w:rsid w:val="1C2E35CB"/>
    <w:rsid w:val="1C2F2E9F"/>
    <w:rsid w:val="1C2F4C4D"/>
    <w:rsid w:val="1C316C17"/>
    <w:rsid w:val="1C3B5CE8"/>
    <w:rsid w:val="1C3D380E"/>
    <w:rsid w:val="1C3D43D1"/>
    <w:rsid w:val="1C3D55BC"/>
    <w:rsid w:val="1C495A9D"/>
    <w:rsid w:val="1C4C57FF"/>
    <w:rsid w:val="1C4E0B38"/>
    <w:rsid w:val="1C4E1577"/>
    <w:rsid w:val="1C4E77C9"/>
    <w:rsid w:val="1C5341C9"/>
    <w:rsid w:val="1C5D5C5E"/>
    <w:rsid w:val="1C5D7A0C"/>
    <w:rsid w:val="1C5E7925"/>
    <w:rsid w:val="1C5F71C6"/>
    <w:rsid w:val="1C646FED"/>
    <w:rsid w:val="1C6777DD"/>
    <w:rsid w:val="1C69015F"/>
    <w:rsid w:val="1C6A3ED7"/>
    <w:rsid w:val="1C6E1C1A"/>
    <w:rsid w:val="1C7020CB"/>
    <w:rsid w:val="1C704EFA"/>
    <w:rsid w:val="1C712CA5"/>
    <w:rsid w:val="1C735482"/>
    <w:rsid w:val="1C780121"/>
    <w:rsid w:val="1C784846"/>
    <w:rsid w:val="1C821221"/>
    <w:rsid w:val="1C827473"/>
    <w:rsid w:val="1C850DE3"/>
    <w:rsid w:val="1C8615F4"/>
    <w:rsid w:val="1C887FC8"/>
    <w:rsid w:val="1C8A6328"/>
    <w:rsid w:val="1C8E7BC6"/>
    <w:rsid w:val="1C9553F8"/>
    <w:rsid w:val="1C97240B"/>
    <w:rsid w:val="1C9A2A0F"/>
    <w:rsid w:val="1C9B0535"/>
    <w:rsid w:val="1CA13D9D"/>
    <w:rsid w:val="1CA613B3"/>
    <w:rsid w:val="1CA636C0"/>
    <w:rsid w:val="1CA76006"/>
    <w:rsid w:val="1CA94A00"/>
    <w:rsid w:val="1CAC44F0"/>
    <w:rsid w:val="1CB02232"/>
    <w:rsid w:val="1CBA4E5F"/>
    <w:rsid w:val="1CBA6C0D"/>
    <w:rsid w:val="1CBD66FD"/>
    <w:rsid w:val="1CBF06C7"/>
    <w:rsid w:val="1CC17F9B"/>
    <w:rsid w:val="1CC614DF"/>
    <w:rsid w:val="1CC63804"/>
    <w:rsid w:val="1CC932F4"/>
    <w:rsid w:val="1CCE090A"/>
    <w:rsid w:val="1CCE7662"/>
    <w:rsid w:val="1CD06827"/>
    <w:rsid w:val="1CD11779"/>
    <w:rsid w:val="1CD777BF"/>
    <w:rsid w:val="1CD83537"/>
    <w:rsid w:val="1CDD0B4D"/>
    <w:rsid w:val="1CE27F12"/>
    <w:rsid w:val="1CE56751"/>
    <w:rsid w:val="1CE66C3A"/>
    <w:rsid w:val="1CEE4B08"/>
    <w:rsid w:val="1CF163A7"/>
    <w:rsid w:val="1CF7783C"/>
    <w:rsid w:val="1CFC0FD3"/>
    <w:rsid w:val="1CFC5477"/>
    <w:rsid w:val="1D0221D5"/>
    <w:rsid w:val="1D037E77"/>
    <w:rsid w:val="1D0B5412"/>
    <w:rsid w:val="1D0D1432"/>
    <w:rsid w:val="1D0E51AB"/>
    <w:rsid w:val="1D13631D"/>
    <w:rsid w:val="1D1502E7"/>
    <w:rsid w:val="1D1638A0"/>
    <w:rsid w:val="1D1B1F70"/>
    <w:rsid w:val="1D1E53EE"/>
    <w:rsid w:val="1D1E587E"/>
    <w:rsid w:val="1D230C56"/>
    <w:rsid w:val="1D2422D8"/>
    <w:rsid w:val="1D27172A"/>
    <w:rsid w:val="1D28776C"/>
    <w:rsid w:val="1D2B5F1E"/>
    <w:rsid w:val="1D305121"/>
    <w:rsid w:val="1D320E99"/>
    <w:rsid w:val="1D3369BF"/>
    <w:rsid w:val="1D343C6E"/>
    <w:rsid w:val="1D3764AF"/>
    <w:rsid w:val="1D3C5874"/>
    <w:rsid w:val="1D3F5364"/>
    <w:rsid w:val="1D4110DC"/>
    <w:rsid w:val="1D436C02"/>
    <w:rsid w:val="1D454590"/>
    <w:rsid w:val="1D4604A0"/>
    <w:rsid w:val="1D494FEE"/>
    <w:rsid w:val="1D496BFF"/>
    <w:rsid w:val="1D4B5AB7"/>
    <w:rsid w:val="1D4F1A4B"/>
    <w:rsid w:val="1D50131F"/>
    <w:rsid w:val="1D5030CD"/>
    <w:rsid w:val="1D57445C"/>
    <w:rsid w:val="1D5C4168"/>
    <w:rsid w:val="1D5D57EA"/>
    <w:rsid w:val="1D5F6196"/>
    <w:rsid w:val="1D6132A5"/>
    <w:rsid w:val="1D631052"/>
    <w:rsid w:val="1D686669"/>
    <w:rsid w:val="1D69418F"/>
    <w:rsid w:val="1D701DA4"/>
    <w:rsid w:val="1D757536"/>
    <w:rsid w:val="1D813BCE"/>
    <w:rsid w:val="1D85652A"/>
    <w:rsid w:val="1D8611E5"/>
    <w:rsid w:val="1D866BC1"/>
    <w:rsid w:val="1D8E4E63"/>
    <w:rsid w:val="1D8E56D5"/>
    <w:rsid w:val="1D903E12"/>
    <w:rsid w:val="1D943902"/>
    <w:rsid w:val="1D9C7B10"/>
    <w:rsid w:val="1D9E208B"/>
    <w:rsid w:val="1D9E279F"/>
    <w:rsid w:val="1DA376A1"/>
    <w:rsid w:val="1DB2192C"/>
    <w:rsid w:val="1DB541DC"/>
    <w:rsid w:val="1DB814F0"/>
    <w:rsid w:val="1DB96EC4"/>
    <w:rsid w:val="1DBE44DB"/>
    <w:rsid w:val="1DC064A5"/>
    <w:rsid w:val="1DC6338F"/>
    <w:rsid w:val="1DC835AB"/>
    <w:rsid w:val="1DC87107"/>
    <w:rsid w:val="1DCA2E80"/>
    <w:rsid w:val="1DCA3975"/>
    <w:rsid w:val="1DCA7323"/>
    <w:rsid w:val="1DCF66E8"/>
    <w:rsid w:val="1DD0420E"/>
    <w:rsid w:val="1DD26E1C"/>
    <w:rsid w:val="1DD72298"/>
    <w:rsid w:val="1DD737EE"/>
    <w:rsid w:val="1DD7559C"/>
    <w:rsid w:val="1DD849C1"/>
    <w:rsid w:val="1DDB32DF"/>
    <w:rsid w:val="1DDF4DA5"/>
    <w:rsid w:val="1DE005BB"/>
    <w:rsid w:val="1DE1706C"/>
    <w:rsid w:val="1DE2466D"/>
    <w:rsid w:val="1DE76E33"/>
    <w:rsid w:val="1DEA6122"/>
    <w:rsid w:val="1DEB1048"/>
    <w:rsid w:val="1DEC729A"/>
    <w:rsid w:val="1DED6B6E"/>
    <w:rsid w:val="1DEE3DF0"/>
    <w:rsid w:val="1DF234E7"/>
    <w:rsid w:val="1DF47922"/>
    <w:rsid w:val="1DF61EC7"/>
    <w:rsid w:val="1DF63C75"/>
    <w:rsid w:val="1DFC3255"/>
    <w:rsid w:val="1DFE001E"/>
    <w:rsid w:val="1DFE521F"/>
    <w:rsid w:val="1E022BB7"/>
    <w:rsid w:val="1E087E4C"/>
    <w:rsid w:val="1E0F0A85"/>
    <w:rsid w:val="1E1503D5"/>
    <w:rsid w:val="1E1B192D"/>
    <w:rsid w:val="1E1B36DB"/>
    <w:rsid w:val="1E1D7157"/>
    <w:rsid w:val="1E214A6A"/>
    <w:rsid w:val="1E222CBC"/>
    <w:rsid w:val="1E2307E2"/>
    <w:rsid w:val="1E2C3B3A"/>
    <w:rsid w:val="1E320A25"/>
    <w:rsid w:val="1E326C77"/>
    <w:rsid w:val="1E37428D"/>
    <w:rsid w:val="1E3E386E"/>
    <w:rsid w:val="1E400B16"/>
    <w:rsid w:val="1E4A0464"/>
    <w:rsid w:val="1E4C7D38"/>
    <w:rsid w:val="1E5170FD"/>
    <w:rsid w:val="1E521E5C"/>
    <w:rsid w:val="1E560BB7"/>
    <w:rsid w:val="1E5A31BE"/>
    <w:rsid w:val="1E5A7901"/>
    <w:rsid w:val="1E5D655D"/>
    <w:rsid w:val="1E6225FC"/>
    <w:rsid w:val="1E62755C"/>
    <w:rsid w:val="1E690E12"/>
    <w:rsid w:val="1E693DBB"/>
    <w:rsid w:val="1E6A01BF"/>
    <w:rsid w:val="1E6E4153"/>
    <w:rsid w:val="1E6E627A"/>
    <w:rsid w:val="1E71154D"/>
    <w:rsid w:val="1E7159F1"/>
    <w:rsid w:val="1E763007"/>
    <w:rsid w:val="1E780D78"/>
    <w:rsid w:val="1E7A43DA"/>
    <w:rsid w:val="1E7B6870"/>
    <w:rsid w:val="1E803E86"/>
    <w:rsid w:val="1E875215"/>
    <w:rsid w:val="1E881EAE"/>
    <w:rsid w:val="1E8E20FF"/>
    <w:rsid w:val="1E957931"/>
    <w:rsid w:val="1E960FB4"/>
    <w:rsid w:val="1E967206"/>
    <w:rsid w:val="1E9A6CF6"/>
    <w:rsid w:val="1E9F255E"/>
    <w:rsid w:val="1EA01E32"/>
    <w:rsid w:val="1EA36355"/>
    <w:rsid w:val="1EA47B74"/>
    <w:rsid w:val="1EAE7EC3"/>
    <w:rsid w:val="1EAF2075"/>
    <w:rsid w:val="1EB277FE"/>
    <w:rsid w:val="1EB31B66"/>
    <w:rsid w:val="1EB51D82"/>
    <w:rsid w:val="1EBA2EF4"/>
    <w:rsid w:val="1EC22CE6"/>
    <w:rsid w:val="1EC2624D"/>
    <w:rsid w:val="1EC5276A"/>
    <w:rsid w:val="1EC91389"/>
    <w:rsid w:val="1EC93137"/>
    <w:rsid w:val="1ECC0E79"/>
    <w:rsid w:val="1ECE699F"/>
    <w:rsid w:val="1ED02718"/>
    <w:rsid w:val="1ED41ADC"/>
    <w:rsid w:val="1ED65854"/>
    <w:rsid w:val="1EDB10BC"/>
    <w:rsid w:val="1EDD3086"/>
    <w:rsid w:val="1EDD6BE3"/>
    <w:rsid w:val="1EE47F71"/>
    <w:rsid w:val="1EE52A7C"/>
    <w:rsid w:val="1EE937D9"/>
    <w:rsid w:val="1EE9589D"/>
    <w:rsid w:val="1EF26B32"/>
    <w:rsid w:val="1EFA027C"/>
    <w:rsid w:val="1EFA1543"/>
    <w:rsid w:val="1EFB52BB"/>
    <w:rsid w:val="1EFD1033"/>
    <w:rsid w:val="1EFD3C62"/>
    <w:rsid w:val="1EFF124F"/>
    <w:rsid w:val="1EFF4DAB"/>
    <w:rsid w:val="1F007446"/>
    <w:rsid w:val="1F010B23"/>
    <w:rsid w:val="1F0625DD"/>
    <w:rsid w:val="1F074B01"/>
    <w:rsid w:val="1F0B19A2"/>
    <w:rsid w:val="1F0C2860"/>
    <w:rsid w:val="1F0E3240"/>
    <w:rsid w:val="1F122D30"/>
    <w:rsid w:val="1F1378B1"/>
    <w:rsid w:val="1F15637C"/>
    <w:rsid w:val="1F1A1D73"/>
    <w:rsid w:val="1F1A73DC"/>
    <w:rsid w:val="1F1C3BAF"/>
    <w:rsid w:val="1F262338"/>
    <w:rsid w:val="1F2729AA"/>
    <w:rsid w:val="1F29007A"/>
    <w:rsid w:val="1F2C36C6"/>
    <w:rsid w:val="1F2E3015"/>
    <w:rsid w:val="1F306CF2"/>
    <w:rsid w:val="1F330EF8"/>
    <w:rsid w:val="1F38206B"/>
    <w:rsid w:val="1F394761"/>
    <w:rsid w:val="1F3D58D3"/>
    <w:rsid w:val="1F4206BA"/>
    <w:rsid w:val="1F464788"/>
    <w:rsid w:val="1F477846"/>
    <w:rsid w:val="1F4E5D32"/>
    <w:rsid w:val="1F555A28"/>
    <w:rsid w:val="1F5844BB"/>
    <w:rsid w:val="1F6115C2"/>
    <w:rsid w:val="1F642E60"/>
    <w:rsid w:val="1F647002"/>
    <w:rsid w:val="1F684FAA"/>
    <w:rsid w:val="1F6B0692"/>
    <w:rsid w:val="1F6B1689"/>
    <w:rsid w:val="1F7363E0"/>
    <w:rsid w:val="1F7C289F"/>
    <w:rsid w:val="1F7C63FB"/>
    <w:rsid w:val="1F83778A"/>
    <w:rsid w:val="1F845B16"/>
    <w:rsid w:val="1F8654CC"/>
    <w:rsid w:val="1F8710F0"/>
    <w:rsid w:val="1F8A1EBA"/>
    <w:rsid w:val="1F914C18"/>
    <w:rsid w:val="1F923E71"/>
    <w:rsid w:val="1F9329C7"/>
    <w:rsid w:val="1F947BE9"/>
    <w:rsid w:val="1F95570F"/>
    <w:rsid w:val="1F9D6372"/>
    <w:rsid w:val="1FA2402F"/>
    <w:rsid w:val="1FA31BDA"/>
    <w:rsid w:val="1FA47700"/>
    <w:rsid w:val="1FB37987"/>
    <w:rsid w:val="1FB45B95"/>
    <w:rsid w:val="1FB93ACF"/>
    <w:rsid w:val="1FC075B8"/>
    <w:rsid w:val="1FC446C3"/>
    <w:rsid w:val="1FC85AE5"/>
    <w:rsid w:val="1FC913C8"/>
    <w:rsid w:val="1FCF0C21"/>
    <w:rsid w:val="1FD04999"/>
    <w:rsid w:val="1FD55B0C"/>
    <w:rsid w:val="1FD75D28"/>
    <w:rsid w:val="1FD955FC"/>
    <w:rsid w:val="1FDF5A2B"/>
    <w:rsid w:val="1FE25C23"/>
    <w:rsid w:val="1FE30229"/>
    <w:rsid w:val="1FE7539E"/>
    <w:rsid w:val="1FF24910"/>
    <w:rsid w:val="1FF468DA"/>
    <w:rsid w:val="1FF71F26"/>
    <w:rsid w:val="1FFC12EA"/>
    <w:rsid w:val="1FFD0BB9"/>
    <w:rsid w:val="2005311A"/>
    <w:rsid w:val="20081A9B"/>
    <w:rsid w:val="20084133"/>
    <w:rsid w:val="20087C8F"/>
    <w:rsid w:val="20104D96"/>
    <w:rsid w:val="20146634"/>
    <w:rsid w:val="201E5705"/>
    <w:rsid w:val="201E74B3"/>
    <w:rsid w:val="20216FA3"/>
    <w:rsid w:val="20230F6D"/>
    <w:rsid w:val="202F346E"/>
    <w:rsid w:val="20370574"/>
    <w:rsid w:val="204333BD"/>
    <w:rsid w:val="204607B7"/>
    <w:rsid w:val="204A2ABA"/>
    <w:rsid w:val="204A3E24"/>
    <w:rsid w:val="204C4020"/>
    <w:rsid w:val="204D3B51"/>
    <w:rsid w:val="204F1D62"/>
    <w:rsid w:val="20515ADA"/>
    <w:rsid w:val="20541126"/>
    <w:rsid w:val="2059673D"/>
    <w:rsid w:val="205C7FDB"/>
    <w:rsid w:val="206155F1"/>
    <w:rsid w:val="20623843"/>
    <w:rsid w:val="20631369"/>
    <w:rsid w:val="20642787"/>
    <w:rsid w:val="206770AC"/>
    <w:rsid w:val="206A094A"/>
    <w:rsid w:val="206A26F8"/>
    <w:rsid w:val="206A5744"/>
    <w:rsid w:val="206A6B9C"/>
    <w:rsid w:val="206C2914"/>
    <w:rsid w:val="206C46C2"/>
    <w:rsid w:val="206F41B2"/>
    <w:rsid w:val="207277FE"/>
    <w:rsid w:val="20735A50"/>
    <w:rsid w:val="20745325"/>
    <w:rsid w:val="20796DDF"/>
    <w:rsid w:val="207B2B57"/>
    <w:rsid w:val="207D46DD"/>
    <w:rsid w:val="207D4F96"/>
    <w:rsid w:val="2080016D"/>
    <w:rsid w:val="20816EC3"/>
    <w:rsid w:val="208211C5"/>
    <w:rsid w:val="208512E0"/>
    <w:rsid w:val="208569AA"/>
    <w:rsid w:val="20860302"/>
    <w:rsid w:val="208C2D42"/>
    <w:rsid w:val="208D2370"/>
    <w:rsid w:val="208E4638"/>
    <w:rsid w:val="20913FE3"/>
    <w:rsid w:val="2094622D"/>
    <w:rsid w:val="20963CB8"/>
    <w:rsid w:val="209A56C0"/>
    <w:rsid w:val="209E23A2"/>
    <w:rsid w:val="20A7400A"/>
    <w:rsid w:val="20A8477C"/>
    <w:rsid w:val="20A92DD4"/>
    <w:rsid w:val="20AD0837"/>
    <w:rsid w:val="20B07FB6"/>
    <w:rsid w:val="20B15C43"/>
    <w:rsid w:val="20B240CD"/>
    <w:rsid w:val="20B61A5F"/>
    <w:rsid w:val="20C04A0E"/>
    <w:rsid w:val="20C22534"/>
    <w:rsid w:val="20C33369"/>
    <w:rsid w:val="20C41A43"/>
    <w:rsid w:val="20C95670"/>
    <w:rsid w:val="20CF4C51"/>
    <w:rsid w:val="20D52267"/>
    <w:rsid w:val="20DA5ACF"/>
    <w:rsid w:val="20DA7812"/>
    <w:rsid w:val="20DD111C"/>
    <w:rsid w:val="20DD55C0"/>
    <w:rsid w:val="20E029BA"/>
    <w:rsid w:val="20E424AA"/>
    <w:rsid w:val="20E64474"/>
    <w:rsid w:val="20E73D48"/>
    <w:rsid w:val="20EA55E7"/>
    <w:rsid w:val="20EE50D7"/>
    <w:rsid w:val="20F12E19"/>
    <w:rsid w:val="20F326ED"/>
    <w:rsid w:val="20F3403C"/>
    <w:rsid w:val="20F36B91"/>
    <w:rsid w:val="20FA198E"/>
    <w:rsid w:val="20FD531A"/>
    <w:rsid w:val="2100305C"/>
    <w:rsid w:val="21022930"/>
    <w:rsid w:val="210C1A01"/>
    <w:rsid w:val="210F504D"/>
    <w:rsid w:val="211014F1"/>
    <w:rsid w:val="2110329F"/>
    <w:rsid w:val="211508B6"/>
    <w:rsid w:val="211663DC"/>
    <w:rsid w:val="21182154"/>
    <w:rsid w:val="211C60E8"/>
    <w:rsid w:val="211F7986"/>
    <w:rsid w:val="21244F9D"/>
    <w:rsid w:val="21246D4B"/>
    <w:rsid w:val="213827F6"/>
    <w:rsid w:val="213A544A"/>
    <w:rsid w:val="213B74B1"/>
    <w:rsid w:val="213C22E6"/>
    <w:rsid w:val="213E1301"/>
    <w:rsid w:val="21425423"/>
    <w:rsid w:val="2144119B"/>
    <w:rsid w:val="21455F13"/>
    <w:rsid w:val="214742B5"/>
    <w:rsid w:val="214B2529"/>
    <w:rsid w:val="214E5B76"/>
    <w:rsid w:val="21507B40"/>
    <w:rsid w:val="21537DD8"/>
    <w:rsid w:val="21562C7C"/>
    <w:rsid w:val="215869F4"/>
    <w:rsid w:val="2159252D"/>
    <w:rsid w:val="215A2310"/>
    <w:rsid w:val="215A6C10"/>
    <w:rsid w:val="215C2F2C"/>
    <w:rsid w:val="216474C2"/>
    <w:rsid w:val="21696E53"/>
    <w:rsid w:val="216B6728"/>
    <w:rsid w:val="216C4D8D"/>
    <w:rsid w:val="216E7FC6"/>
    <w:rsid w:val="21717AB6"/>
    <w:rsid w:val="2174620A"/>
    <w:rsid w:val="21817CF9"/>
    <w:rsid w:val="21823A71"/>
    <w:rsid w:val="21852C8B"/>
    <w:rsid w:val="2188552B"/>
    <w:rsid w:val="218B5160"/>
    <w:rsid w:val="219007B1"/>
    <w:rsid w:val="219263AA"/>
    <w:rsid w:val="21933ED0"/>
    <w:rsid w:val="21957C48"/>
    <w:rsid w:val="21974C34"/>
    <w:rsid w:val="2197576F"/>
    <w:rsid w:val="21997739"/>
    <w:rsid w:val="21A41C3A"/>
    <w:rsid w:val="21A460DD"/>
    <w:rsid w:val="21A659B2"/>
    <w:rsid w:val="21A734D8"/>
    <w:rsid w:val="21AE2AB8"/>
    <w:rsid w:val="21B067E3"/>
    <w:rsid w:val="21B14C75"/>
    <w:rsid w:val="21B856E5"/>
    <w:rsid w:val="21BA76AF"/>
    <w:rsid w:val="21BC51D5"/>
    <w:rsid w:val="21BF0821"/>
    <w:rsid w:val="21C34E99"/>
    <w:rsid w:val="21C661A1"/>
    <w:rsid w:val="21CB5418"/>
    <w:rsid w:val="21CC3CDF"/>
    <w:rsid w:val="21CD1190"/>
    <w:rsid w:val="21CF1302"/>
    <w:rsid w:val="21D3043D"/>
    <w:rsid w:val="21D4251F"/>
    <w:rsid w:val="21DC74DE"/>
    <w:rsid w:val="21DE318A"/>
    <w:rsid w:val="21DE339D"/>
    <w:rsid w:val="21E03C1E"/>
    <w:rsid w:val="21E13187"/>
    <w:rsid w:val="21E40288"/>
    <w:rsid w:val="21E94948"/>
    <w:rsid w:val="21E965D1"/>
    <w:rsid w:val="21ED0E6A"/>
    <w:rsid w:val="21EF5B80"/>
    <w:rsid w:val="21F4496F"/>
    <w:rsid w:val="21F66F4C"/>
    <w:rsid w:val="21FA58CD"/>
    <w:rsid w:val="21FC7CC7"/>
    <w:rsid w:val="2201708C"/>
    <w:rsid w:val="220B1CB9"/>
    <w:rsid w:val="220B7F0B"/>
    <w:rsid w:val="22162B37"/>
    <w:rsid w:val="221B56B0"/>
    <w:rsid w:val="221C3EC6"/>
    <w:rsid w:val="221D1128"/>
    <w:rsid w:val="22205764"/>
    <w:rsid w:val="22244B28"/>
    <w:rsid w:val="222608A0"/>
    <w:rsid w:val="222A213F"/>
    <w:rsid w:val="222A65E3"/>
    <w:rsid w:val="222C235B"/>
    <w:rsid w:val="222D26E1"/>
    <w:rsid w:val="22342FBD"/>
    <w:rsid w:val="223631D9"/>
    <w:rsid w:val="223704AA"/>
    <w:rsid w:val="22396826"/>
    <w:rsid w:val="223E5BEA"/>
    <w:rsid w:val="223F04E2"/>
    <w:rsid w:val="2241392C"/>
    <w:rsid w:val="22464F27"/>
    <w:rsid w:val="224D0523"/>
    <w:rsid w:val="224E3F10"/>
    <w:rsid w:val="224F1189"/>
    <w:rsid w:val="2250329C"/>
    <w:rsid w:val="22511DC1"/>
    <w:rsid w:val="22560A16"/>
    <w:rsid w:val="225673D8"/>
    <w:rsid w:val="22573150"/>
    <w:rsid w:val="22576990"/>
    <w:rsid w:val="225A0088"/>
    <w:rsid w:val="225B2C40"/>
    <w:rsid w:val="225B7477"/>
    <w:rsid w:val="226338A3"/>
    <w:rsid w:val="2265761B"/>
    <w:rsid w:val="226A2E83"/>
    <w:rsid w:val="226C6BFB"/>
    <w:rsid w:val="226E2973"/>
    <w:rsid w:val="226F0499"/>
    <w:rsid w:val="22723AE6"/>
    <w:rsid w:val="22753050"/>
    <w:rsid w:val="227710FC"/>
    <w:rsid w:val="22806203"/>
    <w:rsid w:val="22857CBD"/>
    <w:rsid w:val="22925F36"/>
    <w:rsid w:val="22943A5C"/>
    <w:rsid w:val="22993768"/>
    <w:rsid w:val="22994C0C"/>
    <w:rsid w:val="229C4EAB"/>
    <w:rsid w:val="22A00653"/>
    <w:rsid w:val="22AA6604"/>
    <w:rsid w:val="22AC2B5D"/>
    <w:rsid w:val="22AC524A"/>
    <w:rsid w:val="22AF0896"/>
    <w:rsid w:val="22B660C8"/>
    <w:rsid w:val="22B674CB"/>
    <w:rsid w:val="22B70195"/>
    <w:rsid w:val="22B8599C"/>
    <w:rsid w:val="22BD1205"/>
    <w:rsid w:val="22BD28C6"/>
    <w:rsid w:val="22BF62A8"/>
    <w:rsid w:val="22C02AA3"/>
    <w:rsid w:val="22C2681B"/>
    <w:rsid w:val="22C2713B"/>
    <w:rsid w:val="22C813AD"/>
    <w:rsid w:val="22CA1B74"/>
    <w:rsid w:val="22CB70E1"/>
    <w:rsid w:val="22CE51C0"/>
    <w:rsid w:val="22D12F02"/>
    <w:rsid w:val="22D14F59"/>
    <w:rsid w:val="22D50B4C"/>
    <w:rsid w:val="22D84291"/>
    <w:rsid w:val="22DB168B"/>
    <w:rsid w:val="22DD3655"/>
    <w:rsid w:val="22E03145"/>
    <w:rsid w:val="22E370DD"/>
    <w:rsid w:val="22E5075C"/>
    <w:rsid w:val="22E9024C"/>
    <w:rsid w:val="22E91FFA"/>
    <w:rsid w:val="22EC0514"/>
    <w:rsid w:val="22EE7610"/>
    <w:rsid w:val="22EF3388"/>
    <w:rsid w:val="22EF5136"/>
    <w:rsid w:val="22F10325"/>
    <w:rsid w:val="22F12CE8"/>
    <w:rsid w:val="22F32E79"/>
    <w:rsid w:val="22F36224"/>
    <w:rsid w:val="22F41B2B"/>
    <w:rsid w:val="22F56BF1"/>
    <w:rsid w:val="22F72A56"/>
    <w:rsid w:val="22F87F01"/>
    <w:rsid w:val="22F95FB5"/>
    <w:rsid w:val="22FB3ADB"/>
    <w:rsid w:val="23005752"/>
    <w:rsid w:val="230307BE"/>
    <w:rsid w:val="23035B1D"/>
    <w:rsid w:val="230706D2"/>
    <w:rsid w:val="231057D9"/>
    <w:rsid w:val="23124597"/>
    <w:rsid w:val="23150953"/>
    <w:rsid w:val="23181CF2"/>
    <w:rsid w:val="23187C1A"/>
    <w:rsid w:val="23250B58"/>
    <w:rsid w:val="23264FFC"/>
    <w:rsid w:val="23270D74"/>
    <w:rsid w:val="232A43C0"/>
    <w:rsid w:val="232C1EE7"/>
    <w:rsid w:val="232D0BF2"/>
    <w:rsid w:val="232E2103"/>
    <w:rsid w:val="2331574F"/>
    <w:rsid w:val="23343401"/>
    <w:rsid w:val="23362D65"/>
    <w:rsid w:val="2346744C"/>
    <w:rsid w:val="23476D20"/>
    <w:rsid w:val="23490CEA"/>
    <w:rsid w:val="23496F3C"/>
    <w:rsid w:val="234A05BF"/>
    <w:rsid w:val="234B6811"/>
    <w:rsid w:val="234E00AF"/>
    <w:rsid w:val="234F58A6"/>
    <w:rsid w:val="235002CB"/>
    <w:rsid w:val="2351194D"/>
    <w:rsid w:val="2355768F"/>
    <w:rsid w:val="235A0D1F"/>
    <w:rsid w:val="23607DE2"/>
    <w:rsid w:val="23625212"/>
    <w:rsid w:val="23627FFE"/>
    <w:rsid w:val="236E6522"/>
    <w:rsid w:val="23720241"/>
    <w:rsid w:val="237613B4"/>
    <w:rsid w:val="23765646"/>
    <w:rsid w:val="2378512C"/>
    <w:rsid w:val="237A6EBD"/>
    <w:rsid w:val="238034E2"/>
    <w:rsid w:val="238166D6"/>
    <w:rsid w:val="23871813"/>
    <w:rsid w:val="238A2A88"/>
    <w:rsid w:val="239051F6"/>
    <w:rsid w:val="23952182"/>
    <w:rsid w:val="23975438"/>
    <w:rsid w:val="23983A20"/>
    <w:rsid w:val="239D1036"/>
    <w:rsid w:val="239D2DE4"/>
    <w:rsid w:val="23A979DB"/>
    <w:rsid w:val="23AE0B4E"/>
    <w:rsid w:val="23B00D6A"/>
    <w:rsid w:val="23B24AE2"/>
    <w:rsid w:val="23B4085A"/>
    <w:rsid w:val="23BA5744"/>
    <w:rsid w:val="23BE146B"/>
    <w:rsid w:val="23BE2382"/>
    <w:rsid w:val="23C05D79"/>
    <w:rsid w:val="23C10881"/>
    <w:rsid w:val="23C14D25"/>
    <w:rsid w:val="23C16AD3"/>
    <w:rsid w:val="23CA79B4"/>
    <w:rsid w:val="23CB5BA3"/>
    <w:rsid w:val="23CD191B"/>
    <w:rsid w:val="23CE11F0"/>
    <w:rsid w:val="23CE7442"/>
    <w:rsid w:val="23D22A8E"/>
    <w:rsid w:val="23D26F32"/>
    <w:rsid w:val="23D74548"/>
    <w:rsid w:val="23DC3528"/>
    <w:rsid w:val="23DD3EED"/>
    <w:rsid w:val="23DE15D6"/>
    <w:rsid w:val="23E17175"/>
    <w:rsid w:val="23E2215F"/>
    <w:rsid w:val="23E32EED"/>
    <w:rsid w:val="23E34C9B"/>
    <w:rsid w:val="23EB3172"/>
    <w:rsid w:val="23EB7FF4"/>
    <w:rsid w:val="23EF6DDD"/>
    <w:rsid w:val="23F24EDE"/>
    <w:rsid w:val="23F8626D"/>
    <w:rsid w:val="23FA1FE5"/>
    <w:rsid w:val="23FC4938"/>
    <w:rsid w:val="240115C5"/>
    <w:rsid w:val="24015121"/>
    <w:rsid w:val="2406098A"/>
    <w:rsid w:val="24084702"/>
    <w:rsid w:val="240B7CE8"/>
    <w:rsid w:val="24134E54"/>
    <w:rsid w:val="24174945"/>
    <w:rsid w:val="241A2687"/>
    <w:rsid w:val="242B4894"/>
    <w:rsid w:val="24347A80"/>
    <w:rsid w:val="24373239"/>
    <w:rsid w:val="24376D95"/>
    <w:rsid w:val="24377DF9"/>
    <w:rsid w:val="24383F19"/>
    <w:rsid w:val="24392B0D"/>
    <w:rsid w:val="24413208"/>
    <w:rsid w:val="24417C14"/>
    <w:rsid w:val="24446896"/>
    <w:rsid w:val="244F2331"/>
    <w:rsid w:val="244F5070"/>
    <w:rsid w:val="245060A9"/>
    <w:rsid w:val="24507E57"/>
    <w:rsid w:val="24535B8D"/>
    <w:rsid w:val="24547947"/>
    <w:rsid w:val="24561911"/>
    <w:rsid w:val="24653902"/>
    <w:rsid w:val="24661642"/>
    <w:rsid w:val="246833F2"/>
    <w:rsid w:val="246B4C91"/>
    <w:rsid w:val="246B4E01"/>
    <w:rsid w:val="246C3C2F"/>
    <w:rsid w:val="246F4781"/>
    <w:rsid w:val="247052DC"/>
    <w:rsid w:val="247509BC"/>
    <w:rsid w:val="247578BD"/>
    <w:rsid w:val="24761137"/>
    <w:rsid w:val="24773635"/>
    <w:rsid w:val="247955FF"/>
    <w:rsid w:val="247B4691"/>
    <w:rsid w:val="247E6188"/>
    <w:rsid w:val="24853FA4"/>
    <w:rsid w:val="24883A94"/>
    <w:rsid w:val="248F4E23"/>
    <w:rsid w:val="248F6BD1"/>
    <w:rsid w:val="249441E7"/>
    <w:rsid w:val="24957A67"/>
    <w:rsid w:val="24A0493A"/>
    <w:rsid w:val="24A374E0"/>
    <w:rsid w:val="24A85EE5"/>
    <w:rsid w:val="24A87C93"/>
    <w:rsid w:val="24AA57B9"/>
    <w:rsid w:val="24AC05DB"/>
    <w:rsid w:val="24AC7783"/>
    <w:rsid w:val="24AF7273"/>
    <w:rsid w:val="24B31DC2"/>
    <w:rsid w:val="24B634E8"/>
    <w:rsid w:val="24BB1774"/>
    <w:rsid w:val="24BB2C9E"/>
    <w:rsid w:val="24BB4180"/>
    <w:rsid w:val="24BB79C6"/>
    <w:rsid w:val="24C148B0"/>
    <w:rsid w:val="24C20D54"/>
    <w:rsid w:val="24C21763"/>
    <w:rsid w:val="24C30629"/>
    <w:rsid w:val="24C83855"/>
    <w:rsid w:val="24CA6859"/>
    <w:rsid w:val="24CD76F9"/>
    <w:rsid w:val="24CF3471"/>
    <w:rsid w:val="24D171E9"/>
    <w:rsid w:val="24D64800"/>
    <w:rsid w:val="24DF6C29"/>
    <w:rsid w:val="24E00466"/>
    <w:rsid w:val="24E16D01"/>
    <w:rsid w:val="24E52C95"/>
    <w:rsid w:val="24E61397"/>
    <w:rsid w:val="24E91459"/>
    <w:rsid w:val="24EC4023"/>
    <w:rsid w:val="24ED56A6"/>
    <w:rsid w:val="24F25D15"/>
    <w:rsid w:val="24F627AC"/>
    <w:rsid w:val="24F66C50"/>
    <w:rsid w:val="24F84776"/>
    <w:rsid w:val="24FB4266"/>
    <w:rsid w:val="2500187D"/>
    <w:rsid w:val="2503311B"/>
    <w:rsid w:val="250A44A9"/>
    <w:rsid w:val="25102EC3"/>
    <w:rsid w:val="25115838"/>
    <w:rsid w:val="251175E6"/>
    <w:rsid w:val="25132A7F"/>
    <w:rsid w:val="25170F50"/>
    <w:rsid w:val="25186BC6"/>
    <w:rsid w:val="251F61A7"/>
    <w:rsid w:val="25203CCD"/>
    <w:rsid w:val="252217F3"/>
    <w:rsid w:val="252B4B4C"/>
    <w:rsid w:val="252D53FE"/>
    <w:rsid w:val="25302162"/>
    <w:rsid w:val="2530284B"/>
    <w:rsid w:val="25341526"/>
    <w:rsid w:val="2536704D"/>
    <w:rsid w:val="253816FE"/>
    <w:rsid w:val="253B28B5"/>
    <w:rsid w:val="253D487F"/>
    <w:rsid w:val="253F0438"/>
    <w:rsid w:val="2540611D"/>
    <w:rsid w:val="25407ECB"/>
    <w:rsid w:val="25423C43"/>
    <w:rsid w:val="25467247"/>
    <w:rsid w:val="25493224"/>
    <w:rsid w:val="254E083A"/>
    <w:rsid w:val="2551032A"/>
    <w:rsid w:val="255319AC"/>
    <w:rsid w:val="25552D38"/>
    <w:rsid w:val="255676EF"/>
    <w:rsid w:val="2557798A"/>
    <w:rsid w:val="255A71DF"/>
    <w:rsid w:val="256736AA"/>
    <w:rsid w:val="256C0CC0"/>
    <w:rsid w:val="257638ED"/>
    <w:rsid w:val="25783B09"/>
    <w:rsid w:val="25787583"/>
    <w:rsid w:val="257A162F"/>
    <w:rsid w:val="257A33DD"/>
    <w:rsid w:val="257C53A7"/>
    <w:rsid w:val="258129BE"/>
    <w:rsid w:val="25820CEA"/>
    <w:rsid w:val="25822292"/>
    <w:rsid w:val="25826736"/>
    <w:rsid w:val="258424AE"/>
    <w:rsid w:val="25854EB2"/>
    <w:rsid w:val="258C1362"/>
    <w:rsid w:val="258C4EBE"/>
    <w:rsid w:val="258D2BFC"/>
    <w:rsid w:val="25916979"/>
    <w:rsid w:val="25950921"/>
    <w:rsid w:val="25956469"/>
    <w:rsid w:val="259721E1"/>
    <w:rsid w:val="259874E2"/>
    <w:rsid w:val="259A75DB"/>
    <w:rsid w:val="259B0619"/>
    <w:rsid w:val="259C77F7"/>
    <w:rsid w:val="25A718F0"/>
    <w:rsid w:val="25A91F14"/>
    <w:rsid w:val="25AC3881"/>
    <w:rsid w:val="25B6018D"/>
    <w:rsid w:val="25B70377"/>
    <w:rsid w:val="25B95E84"/>
    <w:rsid w:val="25BC57A4"/>
    <w:rsid w:val="25BD098A"/>
    <w:rsid w:val="25BD776E"/>
    <w:rsid w:val="25C1100C"/>
    <w:rsid w:val="25C1725E"/>
    <w:rsid w:val="25C27B70"/>
    <w:rsid w:val="25C97EC1"/>
    <w:rsid w:val="25D074A1"/>
    <w:rsid w:val="25D7082F"/>
    <w:rsid w:val="25D725DE"/>
    <w:rsid w:val="25D961D0"/>
    <w:rsid w:val="25DC5E46"/>
    <w:rsid w:val="25DD396C"/>
    <w:rsid w:val="25DE1BBE"/>
    <w:rsid w:val="25E44CFA"/>
    <w:rsid w:val="25E60A73"/>
    <w:rsid w:val="25EB42DB"/>
    <w:rsid w:val="25EC2D81"/>
    <w:rsid w:val="25F022C2"/>
    <w:rsid w:val="25F0369F"/>
    <w:rsid w:val="25F34F3E"/>
    <w:rsid w:val="25F413E1"/>
    <w:rsid w:val="25F52A64"/>
    <w:rsid w:val="25F7330A"/>
    <w:rsid w:val="25F74973"/>
    <w:rsid w:val="25FA4ABC"/>
    <w:rsid w:val="25FC13BE"/>
    <w:rsid w:val="25FC2044"/>
    <w:rsid w:val="25FD5DBC"/>
    <w:rsid w:val="26022290"/>
    <w:rsid w:val="26040EF9"/>
    <w:rsid w:val="260809E9"/>
    <w:rsid w:val="26086C3B"/>
    <w:rsid w:val="2609650F"/>
    <w:rsid w:val="260D24A3"/>
    <w:rsid w:val="2610789E"/>
    <w:rsid w:val="26110E6F"/>
    <w:rsid w:val="26121868"/>
    <w:rsid w:val="26143832"/>
    <w:rsid w:val="261730FD"/>
    <w:rsid w:val="261849A4"/>
    <w:rsid w:val="26192BF6"/>
    <w:rsid w:val="261F21D6"/>
    <w:rsid w:val="262072FB"/>
    <w:rsid w:val="2624159B"/>
    <w:rsid w:val="2627191F"/>
    <w:rsid w:val="262A4E03"/>
    <w:rsid w:val="262B4D16"/>
    <w:rsid w:val="262C1DCB"/>
    <w:rsid w:val="262E5F76"/>
    <w:rsid w:val="26321F0A"/>
    <w:rsid w:val="26323CB8"/>
    <w:rsid w:val="26377839"/>
    <w:rsid w:val="26413EFB"/>
    <w:rsid w:val="26415CA9"/>
    <w:rsid w:val="2644502B"/>
    <w:rsid w:val="264528BD"/>
    <w:rsid w:val="26467763"/>
    <w:rsid w:val="26515721"/>
    <w:rsid w:val="26526108"/>
    <w:rsid w:val="26591245"/>
    <w:rsid w:val="265C0D35"/>
    <w:rsid w:val="26606A77"/>
    <w:rsid w:val="26645926"/>
    <w:rsid w:val="26681488"/>
    <w:rsid w:val="266A3452"/>
    <w:rsid w:val="266F0A68"/>
    <w:rsid w:val="266F6CBA"/>
    <w:rsid w:val="26712A32"/>
    <w:rsid w:val="26760048"/>
    <w:rsid w:val="267E6EFD"/>
    <w:rsid w:val="2681079B"/>
    <w:rsid w:val="268465AB"/>
    <w:rsid w:val="268828FF"/>
    <w:rsid w:val="268E1A5B"/>
    <w:rsid w:val="268F2EB8"/>
    <w:rsid w:val="268F6768"/>
    <w:rsid w:val="26955FF5"/>
    <w:rsid w:val="26976211"/>
    <w:rsid w:val="269C3827"/>
    <w:rsid w:val="269E759F"/>
    <w:rsid w:val="26A05073"/>
    <w:rsid w:val="26A36964"/>
    <w:rsid w:val="26A56238"/>
    <w:rsid w:val="26AA5F44"/>
    <w:rsid w:val="26AB5818"/>
    <w:rsid w:val="26AD1F5C"/>
    <w:rsid w:val="26AF5308"/>
    <w:rsid w:val="26B20955"/>
    <w:rsid w:val="26B7240F"/>
    <w:rsid w:val="26B96187"/>
    <w:rsid w:val="26BB73DE"/>
    <w:rsid w:val="26BC7A25"/>
    <w:rsid w:val="26BE72FA"/>
    <w:rsid w:val="26C012C4"/>
    <w:rsid w:val="26C07516"/>
    <w:rsid w:val="26C37006"/>
    <w:rsid w:val="26C54B2C"/>
    <w:rsid w:val="26C568DA"/>
    <w:rsid w:val="26CB3A94"/>
    <w:rsid w:val="26D0702D"/>
    <w:rsid w:val="26D554F4"/>
    <w:rsid w:val="26D62895"/>
    <w:rsid w:val="26D92385"/>
    <w:rsid w:val="26D94133"/>
    <w:rsid w:val="26DC6C91"/>
    <w:rsid w:val="26E14D5A"/>
    <w:rsid w:val="26E33204"/>
    <w:rsid w:val="26E47D34"/>
    <w:rsid w:val="26E52AD8"/>
    <w:rsid w:val="26E72CF4"/>
    <w:rsid w:val="26E74AA2"/>
    <w:rsid w:val="26ED035B"/>
    <w:rsid w:val="26EF7DFB"/>
    <w:rsid w:val="26F15921"/>
    <w:rsid w:val="26F40F6D"/>
    <w:rsid w:val="26F60CAF"/>
    <w:rsid w:val="26F61189"/>
    <w:rsid w:val="26F94249"/>
    <w:rsid w:val="26FD2518"/>
    <w:rsid w:val="2700492A"/>
    <w:rsid w:val="270D202F"/>
    <w:rsid w:val="270F7B55"/>
    <w:rsid w:val="2714160F"/>
    <w:rsid w:val="27147861"/>
    <w:rsid w:val="27181100"/>
    <w:rsid w:val="271967C0"/>
    <w:rsid w:val="271B0BF0"/>
    <w:rsid w:val="27233601"/>
    <w:rsid w:val="272445CF"/>
    <w:rsid w:val="27260CC1"/>
    <w:rsid w:val="27286E69"/>
    <w:rsid w:val="272D447F"/>
    <w:rsid w:val="273306F3"/>
    <w:rsid w:val="27363334"/>
    <w:rsid w:val="27377A67"/>
    <w:rsid w:val="27391076"/>
    <w:rsid w:val="274041B2"/>
    <w:rsid w:val="27433CA3"/>
    <w:rsid w:val="274C0DA9"/>
    <w:rsid w:val="274E4B21"/>
    <w:rsid w:val="2753038A"/>
    <w:rsid w:val="27533EE6"/>
    <w:rsid w:val="275814FC"/>
    <w:rsid w:val="27585A15"/>
    <w:rsid w:val="2758774E"/>
    <w:rsid w:val="27592132"/>
    <w:rsid w:val="275B2D9A"/>
    <w:rsid w:val="275D4D64"/>
    <w:rsid w:val="275D6B12"/>
    <w:rsid w:val="275F6D2E"/>
    <w:rsid w:val="2762237B"/>
    <w:rsid w:val="27651E6B"/>
    <w:rsid w:val="276A7481"/>
    <w:rsid w:val="276E0D20"/>
    <w:rsid w:val="277420AE"/>
    <w:rsid w:val="277976C4"/>
    <w:rsid w:val="277B0D7F"/>
    <w:rsid w:val="277B343D"/>
    <w:rsid w:val="277F117F"/>
    <w:rsid w:val="27826579"/>
    <w:rsid w:val="27871DE1"/>
    <w:rsid w:val="278E278E"/>
    <w:rsid w:val="27905EE6"/>
    <w:rsid w:val="279D7857"/>
    <w:rsid w:val="279F193A"/>
    <w:rsid w:val="27A504B9"/>
    <w:rsid w:val="27A60C72"/>
    <w:rsid w:val="27AD6260"/>
    <w:rsid w:val="27AD638E"/>
    <w:rsid w:val="27AE0637"/>
    <w:rsid w:val="27AE3812"/>
    <w:rsid w:val="27AF6B8F"/>
    <w:rsid w:val="27B01338"/>
    <w:rsid w:val="27B30E28"/>
    <w:rsid w:val="27BA5D13"/>
    <w:rsid w:val="27BC5F2F"/>
    <w:rsid w:val="27C052F3"/>
    <w:rsid w:val="27C1173F"/>
    <w:rsid w:val="27C2106B"/>
    <w:rsid w:val="27CE7A10"/>
    <w:rsid w:val="27D15DD1"/>
    <w:rsid w:val="27D74B17"/>
    <w:rsid w:val="27E25DE6"/>
    <w:rsid w:val="27E40FE2"/>
    <w:rsid w:val="27E72880"/>
    <w:rsid w:val="27EB1D1A"/>
    <w:rsid w:val="27EC60E8"/>
    <w:rsid w:val="27EE09E2"/>
    <w:rsid w:val="27F21951"/>
    <w:rsid w:val="27F473D8"/>
    <w:rsid w:val="27FA6426"/>
    <w:rsid w:val="27FC632B"/>
    <w:rsid w:val="27FF7BCA"/>
    <w:rsid w:val="280478D6"/>
    <w:rsid w:val="280653FC"/>
    <w:rsid w:val="28096C9A"/>
    <w:rsid w:val="280B7BC3"/>
    <w:rsid w:val="280C5ECE"/>
    <w:rsid w:val="28164F13"/>
    <w:rsid w:val="281A2C55"/>
    <w:rsid w:val="281C4C20"/>
    <w:rsid w:val="281F201A"/>
    <w:rsid w:val="28212236"/>
    <w:rsid w:val="28213FE4"/>
    <w:rsid w:val="28277120"/>
    <w:rsid w:val="28304CAC"/>
    <w:rsid w:val="28333D17"/>
    <w:rsid w:val="2833567F"/>
    <w:rsid w:val="28335AC5"/>
    <w:rsid w:val="28337E41"/>
    <w:rsid w:val="283755B5"/>
    <w:rsid w:val="28396011"/>
    <w:rsid w:val="283D06F2"/>
    <w:rsid w:val="283F26BC"/>
    <w:rsid w:val="283F66B5"/>
    <w:rsid w:val="284321AC"/>
    <w:rsid w:val="284C02A7"/>
    <w:rsid w:val="284E28FF"/>
    <w:rsid w:val="28551EE0"/>
    <w:rsid w:val="28572430"/>
    <w:rsid w:val="285735F9"/>
    <w:rsid w:val="285919D0"/>
    <w:rsid w:val="285C501C"/>
    <w:rsid w:val="285D2B42"/>
    <w:rsid w:val="285E6D69"/>
    <w:rsid w:val="28650375"/>
    <w:rsid w:val="28652321"/>
    <w:rsid w:val="28687E65"/>
    <w:rsid w:val="2869172C"/>
    <w:rsid w:val="28695417"/>
    <w:rsid w:val="286B34B1"/>
    <w:rsid w:val="286C33DB"/>
    <w:rsid w:val="286D547B"/>
    <w:rsid w:val="28702875"/>
    <w:rsid w:val="287560DE"/>
    <w:rsid w:val="2876639C"/>
    <w:rsid w:val="287A1946"/>
    <w:rsid w:val="287F0D0A"/>
    <w:rsid w:val="28813F71"/>
    <w:rsid w:val="28814A83"/>
    <w:rsid w:val="28846321"/>
    <w:rsid w:val="28892427"/>
    <w:rsid w:val="288A18A7"/>
    <w:rsid w:val="288C0DA8"/>
    <w:rsid w:val="28924EE2"/>
    <w:rsid w:val="28931021"/>
    <w:rsid w:val="289447B6"/>
    <w:rsid w:val="2895052E"/>
    <w:rsid w:val="289651BD"/>
    <w:rsid w:val="289E5635"/>
    <w:rsid w:val="28A1297A"/>
    <w:rsid w:val="28A76295"/>
    <w:rsid w:val="28A864B3"/>
    <w:rsid w:val="28AB7D51"/>
    <w:rsid w:val="28AF7842"/>
    <w:rsid w:val="28B430AA"/>
    <w:rsid w:val="28B8366A"/>
    <w:rsid w:val="28BC5ABB"/>
    <w:rsid w:val="28BC7129"/>
    <w:rsid w:val="28C17575"/>
    <w:rsid w:val="28C36E49"/>
    <w:rsid w:val="28C606E7"/>
    <w:rsid w:val="28C66939"/>
    <w:rsid w:val="28CA01D8"/>
    <w:rsid w:val="28CB212A"/>
    <w:rsid w:val="28CC21F1"/>
    <w:rsid w:val="28D177B8"/>
    <w:rsid w:val="28D309FA"/>
    <w:rsid w:val="28D6244E"/>
    <w:rsid w:val="28D76D98"/>
    <w:rsid w:val="28DB32AB"/>
    <w:rsid w:val="28DE3C83"/>
    <w:rsid w:val="28DF3C8D"/>
    <w:rsid w:val="28E54BC4"/>
    <w:rsid w:val="28EA087A"/>
    <w:rsid w:val="28EB7AF3"/>
    <w:rsid w:val="28ED71FF"/>
    <w:rsid w:val="28F45255"/>
    <w:rsid w:val="28FF5FE7"/>
    <w:rsid w:val="29017971"/>
    <w:rsid w:val="290D27BA"/>
    <w:rsid w:val="29143B49"/>
    <w:rsid w:val="2916166F"/>
    <w:rsid w:val="2916341D"/>
    <w:rsid w:val="291B4ED7"/>
    <w:rsid w:val="291C429B"/>
    <w:rsid w:val="291D0C4F"/>
    <w:rsid w:val="29206EB8"/>
    <w:rsid w:val="292136CE"/>
    <w:rsid w:val="29231FDE"/>
    <w:rsid w:val="29246A24"/>
    <w:rsid w:val="292518B2"/>
    <w:rsid w:val="292813A2"/>
    <w:rsid w:val="292A511A"/>
    <w:rsid w:val="292D4147"/>
    <w:rsid w:val="292E034E"/>
    <w:rsid w:val="292F2731"/>
    <w:rsid w:val="292F67EE"/>
    <w:rsid w:val="293146FB"/>
    <w:rsid w:val="29324F91"/>
    <w:rsid w:val="29373393"/>
    <w:rsid w:val="29387837"/>
    <w:rsid w:val="2939710B"/>
    <w:rsid w:val="2944442E"/>
    <w:rsid w:val="29471828"/>
    <w:rsid w:val="294A1318"/>
    <w:rsid w:val="294A3CD7"/>
    <w:rsid w:val="294C22A1"/>
    <w:rsid w:val="294C5091"/>
    <w:rsid w:val="29534671"/>
    <w:rsid w:val="295876D6"/>
    <w:rsid w:val="295D104C"/>
    <w:rsid w:val="295E2F75"/>
    <w:rsid w:val="295E3016"/>
    <w:rsid w:val="29606D8E"/>
    <w:rsid w:val="296C128F"/>
    <w:rsid w:val="296C4BAC"/>
    <w:rsid w:val="297168A5"/>
    <w:rsid w:val="297A7E50"/>
    <w:rsid w:val="297C5914"/>
    <w:rsid w:val="29852351"/>
    <w:rsid w:val="29890093"/>
    <w:rsid w:val="29917294"/>
    <w:rsid w:val="29932CBF"/>
    <w:rsid w:val="29967E2D"/>
    <w:rsid w:val="29982084"/>
    <w:rsid w:val="29A44ECD"/>
    <w:rsid w:val="29A46557"/>
    <w:rsid w:val="29A50C45"/>
    <w:rsid w:val="29AA0009"/>
    <w:rsid w:val="29AA1DB7"/>
    <w:rsid w:val="29B175E9"/>
    <w:rsid w:val="29B82726"/>
    <w:rsid w:val="29BB3FC4"/>
    <w:rsid w:val="29BD08F2"/>
    <w:rsid w:val="29BD5F8E"/>
    <w:rsid w:val="29BF1D06"/>
    <w:rsid w:val="29C0782D"/>
    <w:rsid w:val="29C410CB"/>
    <w:rsid w:val="29CC7F7F"/>
    <w:rsid w:val="29D357B2"/>
    <w:rsid w:val="29D63102"/>
    <w:rsid w:val="29D67050"/>
    <w:rsid w:val="29E325E0"/>
    <w:rsid w:val="29E51041"/>
    <w:rsid w:val="29E639D7"/>
    <w:rsid w:val="29EA6657"/>
    <w:rsid w:val="29EB48A9"/>
    <w:rsid w:val="29EB7E9F"/>
    <w:rsid w:val="29EC0622"/>
    <w:rsid w:val="29EC23D0"/>
    <w:rsid w:val="29EF43E8"/>
    <w:rsid w:val="29F00112"/>
    <w:rsid w:val="29F5538C"/>
    <w:rsid w:val="29F574D6"/>
    <w:rsid w:val="29F6324E"/>
    <w:rsid w:val="29F64FFC"/>
    <w:rsid w:val="29F924A3"/>
    <w:rsid w:val="29F958A0"/>
    <w:rsid w:val="29FB2071"/>
    <w:rsid w:val="29FD638B"/>
    <w:rsid w:val="29FF2103"/>
    <w:rsid w:val="2A047719"/>
    <w:rsid w:val="2A06545A"/>
    <w:rsid w:val="2A0911D4"/>
    <w:rsid w:val="2A0A5FF9"/>
    <w:rsid w:val="2A0C6676"/>
    <w:rsid w:val="2A0D0CC4"/>
    <w:rsid w:val="2A103111"/>
    <w:rsid w:val="2A125012"/>
    <w:rsid w:val="2A1536D4"/>
    <w:rsid w:val="2A163DA4"/>
    <w:rsid w:val="2A1738F0"/>
    <w:rsid w:val="2A263B34"/>
    <w:rsid w:val="2A2A2060"/>
    <w:rsid w:val="2A2D05FF"/>
    <w:rsid w:val="2A3224D8"/>
    <w:rsid w:val="2A353D77"/>
    <w:rsid w:val="2A366DD9"/>
    <w:rsid w:val="2A375D41"/>
    <w:rsid w:val="2A3873C3"/>
    <w:rsid w:val="2A3A00AE"/>
    <w:rsid w:val="2A3D2C2B"/>
    <w:rsid w:val="2A426494"/>
    <w:rsid w:val="2A4346E5"/>
    <w:rsid w:val="2A452503"/>
    <w:rsid w:val="2A4E308A"/>
    <w:rsid w:val="2A4F3BBF"/>
    <w:rsid w:val="2A524929"/>
    <w:rsid w:val="2A53244F"/>
    <w:rsid w:val="2A571F3F"/>
    <w:rsid w:val="2A581813"/>
    <w:rsid w:val="2A585CB7"/>
    <w:rsid w:val="2A587A65"/>
    <w:rsid w:val="2A61691A"/>
    <w:rsid w:val="2A6428AE"/>
    <w:rsid w:val="2A643B57"/>
    <w:rsid w:val="2A697EC4"/>
    <w:rsid w:val="2A6B1334"/>
    <w:rsid w:val="2A6D3510"/>
    <w:rsid w:val="2A6F54DA"/>
    <w:rsid w:val="2A73489F"/>
    <w:rsid w:val="2A742AF1"/>
    <w:rsid w:val="2A756869"/>
    <w:rsid w:val="2A78062B"/>
    <w:rsid w:val="2A791292"/>
    <w:rsid w:val="2A7B6309"/>
    <w:rsid w:val="2A7E571E"/>
    <w:rsid w:val="2A7F4FF2"/>
    <w:rsid w:val="2A801755"/>
    <w:rsid w:val="2A81520E"/>
    <w:rsid w:val="2A88659C"/>
    <w:rsid w:val="2A8B3997"/>
    <w:rsid w:val="2A8E3487"/>
    <w:rsid w:val="2A8F72B6"/>
    <w:rsid w:val="2A9211C9"/>
    <w:rsid w:val="2A924FCC"/>
    <w:rsid w:val="2A930A9D"/>
    <w:rsid w:val="2A9C2048"/>
    <w:rsid w:val="2A9D15F2"/>
    <w:rsid w:val="2A9F5694"/>
    <w:rsid w:val="2AA1140C"/>
    <w:rsid w:val="2AA2188F"/>
    <w:rsid w:val="2AA2529F"/>
    <w:rsid w:val="2AA44A58"/>
    <w:rsid w:val="2AA77E46"/>
    <w:rsid w:val="2AA84549"/>
    <w:rsid w:val="2AAB5DE7"/>
    <w:rsid w:val="2AAD7DB1"/>
    <w:rsid w:val="2AAF3B29"/>
    <w:rsid w:val="2AB00919"/>
    <w:rsid w:val="2AB16E31"/>
    <w:rsid w:val="2AB23619"/>
    <w:rsid w:val="2AB24AC6"/>
    <w:rsid w:val="2AB56C65"/>
    <w:rsid w:val="2AB729DE"/>
    <w:rsid w:val="2AB90504"/>
    <w:rsid w:val="2ABA24CE"/>
    <w:rsid w:val="2ABD6460"/>
    <w:rsid w:val="2AC450FA"/>
    <w:rsid w:val="2AC66B4F"/>
    <w:rsid w:val="2ACD6F90"/>
    <w:rsid w:val="2ACE4132"/>
    <w:rsid w:val="2AD57308"/>
    <w:rsid w:val="2AD757E4"/>
    <w:rsid w:val="2AD905D3"/>
    <w:rsid w:val="2ADB79D1"/>
    <w:rsid w:val="2ADC0696"/>
    <w:rsid w:val="2ADC28A4"/>
    <w:rsid w:val="2ADC41F2"/>
    <w:rsid w:val="2AE31A25"/>
    <w:rsid w:val="2AE61515"/>
    <w:rsid w:val="2AEA21EB"/>
    <w:rsid w:val="2AEE02BE"/>
    <w:rsid w:val="2AEF03C9"/>
    <w:rsid w:val="2AF43C32"/>
    <w:rsid w:val="2AF7102C"/>
    <w:rsid w:val="2AFA28CA"/>
    <w:rsid w:val="2B033E75"/>
    <w:rsid w:val="2B0A5203"/>
    <w:rsid w:val="2B0B5E2F"/>
    <w:rsid w:val="2B0C0FDF"/>
    <w:rsid w:val="2B0E3784"/>
    <w:rsid w:val="2B125FE0"/>
    <w:rsid w:val="2B157704"/>
    <w:rsid w:val="2B1971F4"/>
    <w:rsid w:val="2B1D6617"/>
    <w:rsid w:val="2B1E71B6"/>
    <w:rsid w:val="2B1F70A8"/>
    <w:rsid w:val="2B204A27"/>
    <w:rsid w:val="2B253DEB"/>
    <w:rsid w:val="2B277B63"/>
    <w:rsid w:val="2B2838DB"/>
    <w:rsid w:val="2B2C517A"/>
    <w:rsid w:val="2B3265FA"/>
    <w:rsid w:val="2B373B1E"/>
    <w:rsid w:val="2B395AE8"/>
    <w:rsid w:val="2B3B11AE"/>
    <w:rsid w:val="2B3E6C5B"/>
    <w:rsid w:val="2B435C33"/>
    <w:rsid w:val="2B473D61"/>
    <w:rsid w:val="2B492D8D"/>
    <w:rsid w:val="2B4C581C"/>
    <w:rsid w:val="2B4D0C4C"/>
    <w:rsid w:val="2B522706"/>
    <w:rsid w:val="2B54022C"/>
    <w:rsid w:val="2B5B780D"/>
    <w:rsid w:val="2B604E23"/>
    <w:rsid w:val="2B612949"/>
    <w:rsid w:val="2B620B9B"/>
    <w:rsid w:val="2B634913"/>
    <w:rsid w:val="2B683CD8"/>
    <w:rsid w:val="2B69017C"/>
    <w:rsid w:val="2B6C62CF"/>
    <w:rsid w:val="2B6C7C6C"/>
    <w:rsid w:val="2B74267D"/>
    <w:rsid w:val="2B764647"/>
    <w:rsid w:val="2B7B7EAF"/>
    <w:rsid w:val="2B7D7783"/>
    <w:rsid w:val="2B7E34FB"/>
    <w:rsid w:val="2B7F6702"/>
    <w:rsid w:val="2B8723B0"/>
    <w:rsid w:val="2B8A6344"/>
    <w:rsid w:val="2B8C3E6A"/>
    <w:rsid w:val="2B8F5708"/>
    <w:rsid w:val="2B911481"/>
    <w:rsid w:val="2B93404B"/>
    <w:rsid w:val="2B936FA7"/>
    <w:rsid w:val="2B9B0113"/>
    <w:rsid w:val="2B9B22FF"/>
    <w:rsid w:val="2BA936A8"/>
    <w:rsid w:val="2BAA609E"/>
    <w:rsid w:val="2BAC0068"/>
    <w:rsid w:val="2BAE2033"/>
    <w:rsid w:val="2BAE6156"/>
    <w:rsid w:val="2BB4516F"/>
    <w:rsid w:val="2BB45CC1"/>
    <w:rsid w:val="2BB533C1"/>
    <w:rsid w:val="2BBA5CF7"/>
    <w:rsid w:val="2BBD13CD"/>
    <w:rsid w:val="2BBD4A6B"/>
    <w:rsid w:val="2BBE1B4A"/>
    <w:rsid w:val="2BC01D66"/>
    <w:rsid w:val="2BC30558"/>
    <w:rsid w:val="2BC442AE"/>
    <w:rsid w:val="2BC74EA2"/>
    <w:rsid w:val="2BCA04EF"/>
    <w:rsid w:val="2BCA4992"/>
    <w:rsid w:val="2BD41F7F"/>
    <w:rsid w:val="2BD96984"/>
    <w:rsid w:val="2BDB6BA0"/>
    <w:rsid w:val="2BE30E54"/>
    <w:rsid w:val="2BE733F6"/>
    <w:rsid w:val="2BEA71D2"/>
    <w:rsid w:val="2BEF7F55"/>
    <w:rsid w:val="2BF0264B"/>
    <w:rsid w:val="2BF612E4"/>
    <w:rsid w:val="2BFF4499"/>
    <w:rsid w:val="2BFF63EA"/>
    <w:rsid w:val="2BFF77EC"/>
    <w:rsid w:val="2C0003B4"/>
    <w:rsid w:val="2C013063"/>
    <w:rsid w:val="2C025EDA"/>
    <w:rsid w:val="2C0504DF"/>
    <w:rsid w:val="2C063C1D"/>
    <w:rsid w:val="2C077995"/>
    <w:rsid w:val="2C0B2FE1"/>
    <w:rsid w:val="2C0E2AD1"/>
    <w:rsid w:val="2C1300E8"/>
    <w:rsid w:val="2C1327AC"/>
    <w:rsid w:val="2C1520B2"/>
    <w:rsid w:val="2C181352"/>
    <w:rsid w:val="2C183950"/>
    <w:rsid w:val="2C1874AC"/>
    <w:rsid w:val="2C1945BB"/>
    <w:rsid w:val="2C1A1476"/>
    <w:rsid w:val="2C245E51"/>
    <w:rsid w:val="2C251BC9"/>
    <w:rsid w:val="2C296E55"/>
    <w:rsid w:val="2C297706"/>
    <w:rsid w:val="2C2C2F57"/>
    <w:rsid w:val="2C2C3DE8"/>
    <w:rsid w:val="2C2C7879"/>
    <w:rsid w:val="2C302A48"/>
    <w:rsid w:val="2C31218A"/>
    <w:rsid w:val="2C315A5A"/>
    <w:rsid w:val="2C327883"/>
    <w:rsid w:val="2C3B13EC"/>
    <w:rsid w:val="2C3C763E"/>
    <w:rsid w:val="2C3F2D5D"/>
    <w:rsid w:val="2C44430E"/>
    <w:rsid w:val="2C464019"/>
    <w:rsid w:val="2C471B3F"/>
    <w:rsid w:val="2C484235"/>
    <w:rsid w:val="2C487FD5"/>
    <w:rsid w:val="2C496CF0"/>
    <w:rsid w:val="2C50426F"/>
    <w:rsid w:val="2C532973"/>
    <w:rsid w:val="2C534988"/>
    <w:rsid w:val="2C571A8D"/>
    <w:rsid w:val="2C5D5807"/>
    <w:rsid w:val="2C6426F1"/>
    <w:rsid w:val="2C644CC2"/>
    <w:rsid w:val="2C652EE7"/>
    <w:rsid w:val="2C6754A3"/>
    <w:rsid w:val="2C693389"/>
    <w:rsid w:val="2C6B74B9"/>
    <w:rsid w:val="2C6E531E"/>
    <w:rsid w:val="2C70553A"/>
    <w:rsid w:val="2C7548FE"/>
    <w:rsid w:val="2C772424"/>
    <w:rsid w:val="2C7F39CF"/>
    <w:rsid w:val="2C815051"/>
    <w:rsid w:val="2C8608B9"/>
    <w:rsid w:val="2C8763E0"/>
    <w:rsid w:val="2C8903AA"/>
    <w:rsid w:val="2C8E6B1A"/>
    <w:rsid w:val="2C914308"/>
    <w:rsid w:val="2C985B8A"/>
    <w:rsid w:val="2C9A4365"/>
    <w:rsid w:val="2C9A63AD"/>
    <w:rsid w:val="2C9E20A7"/>
    <w:rsid w:val="2CA64AB8"/>
    <w:rsid w:val="2CA86A82"/>
    <w:rsid w:val="2CAA608D"/>
    <w:rsid w:val="2CB01DDA"/>
    <w:rsid w:val="2CB34EDA"/>
    <w:rsid w:val="2CB90C8F"/>
    <w:rsid w:val="2CBD0053"/>
    <w:rsid w:val="2CBF0ACA"/>
    <w:rsid w:val="2CC213E0"/>
    <w:rsid w:val="2CC413E2"/>
    <w:rsid w:val="2CC66F08"/>
    <w:rsid w:val="2CCE2260"/>
    <w:rsid w:val="2CCE400E"/>
    <w:rsid w:val="2CD05FD9"/>
    <w:rsid w:val="2CD45AC9"/>
    <w:rsid w:val="2CD629A7"/>
    <w:rsid w:val="2CD77367"/>
    <w:rsid w:val="2CD979CA"/>
    <w:rsid w:val="2CDA0C05"/>
    <w:rsid w:val="2CDD51B6"/>
    <w:rsid w:val="2CDE7B27"/>
    <w:rsid w:val="2CE11F94"/>
    <w:rsid w:val="2CE455E0"/>
    <w:rsid w:val="2CE850D0"/>
    <w:rsid w:val="2CEB696E"/>
    <w:rsid w:val="2CED26E7"/>
    <w:rsid w:val="2CF4294C"/>
    <w:rsid w:val="2CF717B7"/>
    <w:rsid w:val="2CFC0B7C"/>
    <w:rsid w:val="2CFF066C"/>
    <w:rsid w:val="2D0143E4"/>
    <w:rsid w:val="2D053ED4"/>
    <w:rsid w:val="2D0D4B37"/>
    <w:rsid w:val="2D105B15"/>
    <w:rsid w:val="2D122D03"/>
    <w:rsid w:val="2D142369"/>
    <w:rsid w:val="2D151C3D"/>
    <w:rsid w:val="2D1934DC"/>
    <w:rsid w:val="2D200D0E"/>
    <w:rsid w:val="2D2325AC"/>
    <w:rsid w:val="2D232822"/>
    <w:rsid w:val="2D242F9D"/>
    <w:rsid w:val="2D2A1671"/>
    <w:rsid w:val="2D2A393B"/>
    <w:rsid w:val="2D2A56E9"/>
    <w:rsid w:val="2D2C2E15"/>
    <w:rsid w:val="2D2D51D9"/>
    <w:rsid w:val="2D2E3032"/>
    <w:rsid w:val="2D360531"/>
    <w:rsid w:val="2D3816C0"/>
    <w:rsid w:val="2D3A4195"/>
    <w:rsid w:val="2D3C366E"/>
    <w:rsid w:val="2D3E1194"/>
    <w:rsid w:val="2D4708BF"/>
    <w:rsid w:val="2D4B1056"/>
    <w:rsid w:val="2D616C31"/>
    <w:rsid w:val="2D6741DC"/>
    <w:rsid w:val="2D687AB5"/>
    <w:rsid w:val="2D6C1150"/>
    <w:rsid w:val="2D71156A"/>
    <w:rsid w:val="2D7352E2"/>
    <w:rsid w:val="2D76092E"/>
    <w:rsid w:val="2D793729"/>
    <w:rsid w:val="2D796670"/>
    <w:rsid w:val="2D7B7EC6"/>
    <w:rsid w:val="2D88240F"/>
    <w:rsid w:val="2D8D5C78"/>
    <w:rsid w:val="2D8D660E"/>
    <w:rsid w:val="2D9139BA"/>
    <w:rsid w:val="2D940DB4"/>
    <w:rsid w:val="2D956126"/>
    <w:rsid w:val="2D962D7E"/>
    <w:rsid w:val="2D9D4E4A"/>
    <w:rsid w:val="2D9E56F5"/>
    <w:rsid w:val="2D9E60D7"/>
    <w:rsid w:val="2DA03BFD"/>
    <w:rsid w:val="2DA27975"/>
    <w:rsid w:val="2DA37249"/>
    <w:rsid w:val="2DA82AB1"/>
    <w:rsid w:val="2DA84860"/>
    <w:rsid w:val="2DAC07F4"/>
    <w:rsid w:val="2DAC392E"/>
    <w:rsid w:val="2DAD00C8"/>
    <w:rsid w:val="2DB02E38"/>
    <w:rsid w:val="2DB41456"/>
    <w:rsid w:val="2DB43204"/>
    <w:rsid w:val="2DB444AD"/>
    <w:rsid w:val="2DB80F46"/>
    <w:rsid w:val="2DB94CBF"/>
    <w:rsid w:val="2DBA2F11"/>
    <w:rsid w:val="2DBC1F60"/>
    <w:rsid w:val="2DBE22D5"/>
    <w:rsid w:val="2DBF4B12"/>
    <w:rsid w:val="2DC45B3D"/>
    <w:rsid w:val="2DC72F38"/>
    <w:rsid w:val="2DCD775F"/>
    <w:rsid w:val="2DCE4DDE"/>
    <w:rsid w:val="2DCF003E"/>
    <w:rsid w:val="2DCF214E"/>
    <w:rsid w:val="2DD11160"/>
    <w:rsid w:val="2DD6761F"/>
    <w:rsid w:val="2DD815E9"/>
    <w:rsid w:val="2DDA60A5"/>
    <w:rsid w:val="2DE27D71"/>
    <w:rsid w:val="2DE47F8D"/>
    <w:rsid w:val="2DE55AB4"/>
    <w:rsid w:val="2DE57862"/>
    <w:rsid w:val="2DEA30CA"/>
    <w:rsid w:val="2DF06932"/>
    <w:rsid w:val="2DF6381D"/>
    <w:rsid w:val="2DF8162E"/>
    <w:rsid w:val="2DF91E34"/>
    <w:rsid w:val="2DFA1A5F"/>
    <w:rsid w:val="2DFC34E6"/>
    <w:rsid w:val="2E051CB2"/>
    <w:rsid w:val="2E053A60"/>
    <w:rsid w:val="2E075A2A"/>
    <w:rsid w:val="2E087164"/>
    <w:rsid w:val="2E0979F4"/>
    <w:rsid w:val="2E0C4DEE"/>
    <w:rsid w:val="2E0E6DB8"/>
    <w:rsid w:val="2E0F48DF"/>
    <w:rsid w:val="2E150147"/>
    <w:rsid w:val="2E187C37"/>
    <w:rsid w:val="2E1D6FFC"/>
    <w:rsid w:val="2E220AB6"/>
    <w:rsid w:val="2E262354"/>
    <w:rsid w:val="2E271C28"/>
    <w:rsid w:val="2E291E44"/>
    <w:rsid w:val="2E2C5491"/>
    <w:rsid w:val="2E304F81"/>
    <w:rsid w:val="2E352597"/>
    <w:rsid w:val="2E3572C5"/>
    <w:rsid w:val="2E385BE3"/>
    <w:rsid w:val="2E450300"/>
    <w:rsid w:val="2E456552"/>
    <w:rsid w:val="2E4647E1"/>
    <w:rsid w:val="2E47051C"/>
    <w:rsid w:val="2E491A3F"/>
    <w:rsid w:val="2E495111"/>
    <w:rsid w:val="2E496043"/>
    <w:rsid w:val="2E4A4A48"/>
    <w:rsid w:val="2E4B3B69"/>
    <w:rsid w:val="2E4E18AB"/>
    <w:rsid w:val="2E4F2F2D"/>
    <w:rsid w:val="2E5642BC"/>
    <w:rsid w:val="2E575575"/>
    <w:rsid w:val="2E5D564A"/>
    <w:rsid w:val="2E6030FC"/>
    <w:rsid w:val="2E6031F7"/>
    <w:rsid w:val="2E6305ED"/>
    <w:rsid w:val="2E6469D8"/>
    <w:rsid w:val="2E652751"/>
    <w:rsid w:val="2E6609A2"/>
    <w:rsid w:val="2E667F96"/>
    <w:rsid w:val="2E67471B"/>
    <w:rsid w:val="2E6D585E"/>
    <w:rsid w:val="2E7117CD"/>
    <w:rsid w:val="2E772BB0"/>
    <w:rsid w:val="2E7A26A0"/>
    <w:rsid w:val="2E7A444E"/>
    <w:rsid w:val="2E7D3F3E"/>
    <w:rsid w:val="2E7F1A64"/>
    <w:rsid w:val="2E8226AB"/>
    <w:rsid w:val="2E8227CF"/>
    <w:rsid w:val="2E840E29"/>
    <w:rsid w:val="2E860B9A"/>
    <w:rsid w:val="2E864BA1"/>
    <w:rsid w:val="2E8D2118"/>
    <w:rsid w:val="2E8E1840"/>
    <w:rsid w:val="2E9077CD"/>
    <w:rsid w:val="2E913546"/>
    <w:rsid w:val="2E921798"/>
    <w:rsid w:val="2E933762"/>
    <w:rsid w:val="2E953036"/>
    <w:rsid w:val="2E954DE4"/>
    <w:rsid w:val="2E9574DA"/>
    <w:rsid w:val="2E960B5C"/>
    <w:rsid w:val="2E9A064C"/>
    <w:rsid w:val="2EA414CB"/>
    <w:rsid w:val="2EA4771D"/>
    <w:rsid w:val="2EA72D69"/>
    <w:rsid w:val="2EAD1279"/>
    <w:rsid w:val="2EB0560C"/>
    <w:rsid w:val="2EB060C2"/>
    <w:rsid w:val="2EB711FE"/>
    <w:rsid w:val="2EBC05C2"/>
    <w:rsid w:val="2EC42C7A"/>
    <w:rsid w:val="2EC9206D"/>
    <w:rsid w:val="2ECB4CA9"/>
    <w:rsid w:val="2ECB6A58"/>
    <w:rsid w:val="2ECD6C74"/>
    <w:rsid w:val="2ED00512"/>
    <w:rsid w:val="2ED075DC"/>
    <w:rsid w:val="2ED1017B"/>
    <w:rsid w:val="2ED33B5E"/>
    <w:rsid w:val="2ED578D6"/>
    <w:rsid w:val="2ED81174"/>
    <w:rsid w:val="2EDB31E4"/>
    <w:rsid w:val="2EDB5F3B"/>
    <w:rsid w:val="2EDC2A13"/>
    <w:rsid w:val="2EDC6EB7"/>
    <w:rsid w:val="2EE443DB"/>
    <w:rsid w:val="2EE93382"/>
    <w:rsid w:val="2EED2E72"/>
    <w:rsid w:val="2EEE4F05"/>
    <w:rsid w:val="2EF04710"/>
    <w:rsid w:val="2EF139C1"/>
    <w:rsid w:val="2EF17594"/>
    <w:rsid w:val="2EF91817"/>
    <w:rsid w:val="2EFA10EB"/>
    <w:rsid w:val="2EFA733D"/>
    <w:rsid w:val="2EFE507F"/>
    <w:rsid w:val="2F0B142F"/>
    <w:rsid w:val="2F0B154A"/>
    <w:rsid w:val="2F0C08F6"/>
    <w:rsid w:val="2F0E4B96"/>
    <w:rsid w:val="2F126434"/>
    <w:rsid w:val="2F1C72B3"/>
    <w:rsid w:val="2F21465F"/>
    <w:rsid w:val="2F2A7C22"/>
    <w:rsid w:val="2F2B399A"/>
    <w:rsid w:val="2F2F5238"/>
    <w:rsid w:val="2F300FB0"/>
    <w:rsid w:val="2F340AA1"/>
    <w:rsid w:val="2F3D0CEE"/>
    <w:rsid w:val="2F3E191F"/>
    <w:rsid w:val="2F3F11F4"/>
    <w:rsid w:val="2F407445"/>
    <w:rsid w:val="2F464330"/>
    <w:rsid w:val="2F4F461B"/>
    <w:rsid w:val="2F5051AF"/>
    <w:rsid w:val="2F57027C"/>
    <w:rsid w:val="2F575B54"/>
    <w:rsid w:val="2F5F53F2"/>
    <w:rsid w:val="2F603644"/>
    <w:rsid w:val="2F640B79"/>
    <w:rsid w:val="2F64740E"/>
    <w:rsid w:val="2F6A2714"/>
    <w:rsid w:val="2F6A44C2"/>
    <w:rsid w:val="2F6B12EF"/>
    <w:rsid w:val="2F6B1FE9"/>
    <w:rsid w:val="2F6D3FB3"/>
    <w:rsid w:val="2F76779B"/>
    <w:rsid w:val="2F776BDF"/>
    <w:rsid w:val="2F7964B4"/>
    <w:rsid w:val="2F7D4F4A"/>
    <w:rsid w:val="2F832C79"/>
    <w:rsid w:val="2F835584"/>
    <w:rsid w:val="2F8512FC"/>
    <w:rsid w:val="2F882B9B"/>
    <w:rsid w:val="2F8F4328"/>
    <w:rsid w:val="2F9627A7"/>
    <w:rsid w:val="2F9652B7"/>
    <w:rsid w:val="2F967065"/>
    <w:rsid w:val="2F972377"/>
    <w:rsid w:val="2F9E416C"/>
    <w:rsid w:val="2FA15A0A"/>
    <w:rsid w:val="2FA76FD1"/>
    <w:rsid w:val="2FAA0D63"/>
    <w:rsid w:val="2FB35E69"/>
    <w:rsid w:val="2FB41BE1"/>
    <w:rsid w:val="2FB4573E"/>
    <w:rsid w:val="2FC00586"/>
    <w:rsid w:val="2FC30453"/>
    <w:rsid w:val="2FC35981"/>
    <w:rsid w:val="2FCC0CD9"/>
    <w:rsid w:val="2FCF07C9"/>
    <w:rsid w:val="2FD45DE0"/>
    <w:rsid w:val="2FD64419"/>
    <w:rsid w:val="2FD7142C"/>
    <w:rsid w:val="2FD8767E"/>
    <w:rsid w:val="2FD944DB"/>
    <w:rsid w:val="2FDC266D"/>
    <w:rsid w:val="2FDE33B6"/>
    <w:rsid w:val="2FE83639"/>
    <w:rsid w:val="2FEE50F3"/>
    <w:rsid w:val="2FEF2D58"/>
    <w:rsid w:val="2FF2263C"/>
    <w:rsid w:val="2FF344B8"/>
    <w:rsid w:val="2FF74010"/>
    <w:rsid w:val="2FFB15BE"/>
    <w:rsid w:val="2FFD0DFC"/>
    <w:rsid w:val="3002033D"/>
    <w:rsid w:val="30030473"/>
    <w:rsid w:val="30055F99"/>
    <w:rsid w:val="30077F63"/>
    <w:rsid w:val="300C37CC"/>
    <w:rsid w:val="300D4E4E"/>
    <w:rsid w:val="300F0BC6"/>
    <w:rsid w:val="30102A86"/>
    <w:rsid w:val="3010584B"/>
    <w:rsid w:val="3014442E"/>
    <w:rsid w:val="301B5877"/>
    <w:rsid w:val="301F34FF"/>
    <w:rsid w:val="301F52AD"/>
    <w:rsid w:val="30202DD3"/>
    <w:rsid w:val="30335C3C"/>
    <w:rsid w:val="303643A5"/>
    <w:rsid w:val="303A20E7"/>
    <w:rsid w:val="303C4D07"/>
    <w:rsid w:val="303D1BD7"/>
    <w:rsid w:val="303E4FB3"/>
    <w:rsid w:val="30416A1A"/>
    <w:rsid w:val="30442F65"/>
    <w:rsid w:val="30443C64"/>
    <w:rsid w:val="30444D13"/>
    <w:rsid w:val="3046098A"/>
    <w:rsid w:val="3049057C"/>
    <w:rsid w:val="304A7E50"/>
    <w:rsid w:val="304C1E1A"/>
    <w:rsid w:val="304C5976"/>
    <w:rsid w:val="304E0112"/>
    <w:rsid w:val="304E0CC8"/>
    <w:rsid w:val="305331A8"/>
    <w:rsid w:val="30536D05"/>
    <w:rsid w:val="3056544F"/>
    <w:rsid w:val="305667F5"/>
    <w:rsid w:val="30580BC9"/>
    <w:rsid w:val="305F1B4D"/>
    <w:rsid w:val="305F4D62"/>
    <w:rsid w:val="30657FDD"/>
    <w:rsid w:val="30676C54"/>
    <w:rsid w:val="3069477A"/>
    <w:rsid w:val="30717AD3"/>
    <w:rsid w:val="307373A7"/>
    <w:rsid w:val="307418D9"/>
    <w:rsid w:val="3075311F"/>
    <w:rsid w:val="30785D29"/>
    <w:rsid w:val="30845298"/>
    <w:rsid w:val="3089305D"/>
    <w:rsid w:val="308B2942"/>
    <w:rsid w:val="30915A7F"/>
    <w:rsid w:val="309335A5"/>
    <w:rsid w:val="30963095"/>
    <w:rsid w:val="309655D5"/>
    <w:rsid w:val="309A2B85"/>
    <w:rsid w:val="309B1AA0"/>
    <w:rsid w:val="309D5228"/>
    <w:rsid w:val="30A003C2"/>
    <w:rsid w:val="30A05CC2"/>
    <w:rsid w:val="30A25EDE"/>
    <w:rsid w:val="30A27C8C"/>
    <w:rsid w:val="30A43AF4"/>
    <w:rsid w:val="30A65659"/>
    <w:rsid w:val="30A92DC8"/>
    <w:rsid w:val="30A9726C"/>
    <w:rsid w:val="30AF64B9"/>
    <w:rsid w:val="30B14FA8"/>
    <w:rsid w:val="30B33C47"/>
    <w:rsid w:val="30B442DC"/>
    <w:rsid w:val="30B74C4B"/>
    <w:rsid w:val="30BA3228"/>
    <w:rsid w:val="30BC0D4E"/>
    <w:rsid w:val="30BC2BCE"/>
    <w:rsid w:val="30BC6FA0"/>
    <w:rsid w:val="30C65728"/>
    <w:rsid w:val="30C9346B"/>
    <w:rsid w:val="30C96FC7"/>
    <w:rsid w:val="30D065A7"/>
    <w:rsid w:val="30D20112"/>
    <w:rsid w:val="30D36097"/>
    <w:rsid w:val="30D81136"/>
    <w:rsid w:val="30DA5678"/>
    <w:rsid w:val="30DA6B89"/>
    <w:rsid w:val="30DC13F0"/>
    <w:rsid w:val="30DC4672"/>
    <w:rsid w:val="30DD6F16"/>
    <w:rsid w:val="30DE29C7"/>
    <w:rsid w:val="30E07403"/>
    <w:rsid w:val="30E12562"/>
    <w:rsid w:val="30E262DA"/>
    <w:rsid w:val="30E327D8"/>
    <w:rsid w:val="30E3452C"/>
    <w:rsid w:val="30E9137E"/>
    <w:rsid w:val="30E91417"/>
    <w:rsid w:val="30EC0F07"/>
    <w:rsid w:val="30F57DBC"/>
    <w:rsid w:val="30F71D86"/>
    <w:rsid w:val="30F87556"/>
    <w:rsid w:val="3102072B"/>
    <w:rsid w:val="31032463"/>
    <w:rsid w:val="310426F5"/>
    <w:rsid w:val="3106646D"/>
    <w:rsid w:val="310821E5"/>
    <w:rsid w:val="31083F93"/>
    <w:rsid w:val="31085D41"/>
    <w:rsid w:val="310B5831"/>
    <w:rsid w:val="310D15A9"/>
    <w:rsid w:val="31164473"/>
    <w:rsid w:val="31167C85"/>
    <w:rsid w:val="31181346"/>
    <w:rsid w:val="311A7304"/>
    <w:rsid w:val="311B250B"/>
    <w:rsid w:val="311E2ED7"/>
    <w:rsid w:val="31216E03"/>
    <w:rsid w:val="31244B45"/>
    <w:rsid w:val="3126266B"/>
    <w:rsid w:val="312A215B"/>
    <w:rsid w:val="312B7C81"/>
    <w:rsid w:val="313136FF"/>
    <w:rsid w:val="31336B36"/>
    <w:rsid w:val="313759B1"/>
    <w:rsid w:val="313C3C3D"/>
    <w:rsid w:val="313E4873"/>
    <w:rsid w:val="31411253"/>
    <w:rsid w:val="314A1279"/>
    <w:rsid w:val="315076E8"/>
    <w:rsid w:val="315216B2"/>
    <w:rsid w:val="31570A76"/>
    <w:rsid w:val="31572824"/>
    <w:rsid w:val="315C449C"/>
    <w:rsid w:val="315E3BB3"/>
    <w:rsid w:val="315F169D"/>
    <w:rsid w:val="31660CB9"/>
    <w:rsid w:val="31677457"/>
    <w:rsid w:val="31723B02"/>
    <w:rsid w:val="3174585C"/>
    <w:rsid w:val="317E6003"/>
    <w:rsid w:val="317F1D7B"/>
    <w:rsid w:val="317F1F89"/>
    <w:rsid w:val="31894B5B"/>
    <w:rsid w:val="318B0720"/>
    <w:rsid w:val="318B0BE0"/>
    <w:rsid w:val="318D4498"/>
    <w:rsid w:val="318D4B66"/>
    <w:rsid w:val="318D6246"/>
    <w:rsid w:val="31921AAF"/>
    <w:rsid w:val="31943A79"/>
    <w:rsid w:val="319475D5"/>
    <w:rsid w:val="3196684B"/>
    <w:rsid w:val="31980866"/>
    <w:rsid w:val="31992E3D"/>
    <w:rsid w:val="319A60FC"/>
    <w:rsid w:val="31A31F0E"/>
    <w:rsid w:val="31A5236F"/>
    <w:rsid w:val="31A677D0"/>
    <w:rsid w:val="31A82C6C"/>
    <w:rsid w:val="31AA329C"/>
    <w:rsid w:val="31AF2660"/>
    <w:rsid w:val="31AF440F"/>
    <w:rsid w:val="31B25CAD"/>
    <w:rsid w:val="31B45209"/>
    <w:rsid w:val="31B71515"/>
    <w:rsid w:val="31B82709"/>
    <w:rsid w:val="31B93075"/>
    <w:rsid w:val="31BA4706"/>
    <w:rsid w:val="31BB1005"/>
    <w:rsid w:val="31BC4D7D"/>
    <w:rsid w:val="31BE1862"/>
    <w:rsid w:val="31C12394"/>
    <w:rsid w:val="31C93EE5"/>
    <w:rsid w:val="31CB55CE"/>
    <w:rsid w:val="31CB6D6E"/>
    <w:rsid w:val="31CD70B4"/>
    <w:rsid w:val="31CF4AB1"/>
    <w:rsid w:val="31CF7994"/>
    <w:rsid w:val="31D200FD"/>
    <w:rsid w:val="31D40319"/>
    <w:rsid w:val="31D47C7D"/>
    <w:rsid w:val="31DA35B5"/>
    <w:rsid w:val="31DB3455"/>
    <w:rsid w:val="31DE6AA2"/>
    <w:rsid w:val="31E3055C"/>
    <w:rsid w:val="31E3230A"/>
    <w:rsid w:val="31E7004C"/>
    <w:rsid w:val="31E76BD8"/>
    <w:rsid w:val="31EC0C04"/>
    <w:rsid w:val="31EE33F5"/>
    <w:rsid w:val="31F14A27"/>
    <w:rsid w:val="31F2254D"/>
    <w:rsid w:val="31F97D80"/>
    <w:rsid w:val="31FB7654"/>
    <w:rsid w:val="3200110E"/>
    <w:rsid w:val="32024E86"/>
    <w:rsid w:val="32036508"/>
    <w:rsid w:val="32052353"/>
    <w:rsid w:val="32087FC3"/>
    <w:rsid w:val="320F4EAD"/>
    <w:rsid w:val="32105036"/>
    <w:rsid w:val="32132BEF"/>
    <w:rsid w:val="32193C98"/>
    <w:rsid w:val="321B5F48"/>
    <w:rsid w:val="321D0063"/>
    <w:rsid w:val="32211625"/>
    <w:rsid w:val="322C3CB1"/>
    <w:rsid w:val="322D17D7"/>
    <w:rsid w:val="322E5C7B"/>
    <w:rsid w:val="322F554F"/>
    <w:rsid w:val="32320699"/>
    <w:rsid w:val="32342B66"/>
    <w:rsid w:val="32384404"/>
    <w:rsid w:val="323F0A79"/>
    <w:rsid w:val="32400B34"/>
    <w:rsid w:val="32405B2A"/>
    <w:rsid w:val="324234D5"/>
    <w:rsid w:val="32452FC5"/>
    <w:rsid w:val="32454D73"/>
    <w:rsid w:val="32466B96"/>
    <w:rsid w:val="324A05DB"/>
    <w:rsid w:val="324B1D1F"/>
    <w:rsid w:val="32562ADC"/>
    <w:rsid w:val="32591540"/>
    <w:rsid w:val="325B00F2"/>
    <w:rsid w:val="325B78A5"/>
    <w:rsid w:val="325D3E6B"/>
    <w:rsid w:val="325F4087"/>
    <w:rsid w:val="326162E8"/>
    <w:rsid w:val="326351F9"/>
    <w:rsid w:val="32642098"/>
    <w:rsid w:val="32650F71"/>
    <w:rsid w:val="3267118D"/>
    <w:rsid w:val="326E26B3"/>
    <w:rsid w:val="326F1DF0"/>
    <w:rsid w:val="32700042"/>
    <w:rsid w:val="32755658"/>
    <w:rsid w:val="32764F2C"/>
    <w:rsid w:val="32785148"/>
    <w:rsid w:val="327A2C6E"/>
    <w:rsid w:val="327D62BB"/>
    <w:rsid w:val="32803FFD"/>
    <w:rsid w:val="32821B23"/>
    <w:rsid w:val="3283501F"/>
    <w:rsid w:val="32891103"/>
    <w:rsid w:val="328C0BF4"/>
    <w:rsid w:val="32904240"/>
    <w:rsid w:val="32943604"/>
    <w:rsid w:val="32957AA8"/>
    <w:rsid w:val="32991471"/>
    <w:rsid w:val="329E6876"/>
    <w:rsid w:val="329F66F1"/>
    <w:rsid w:val="32A25D21"/>
    <w:rsid w:val="32A32356"/>
    <w:rsid w:val="32A41A99"/>
    <w:rsid w:val="32A95302"/>
    <w:rsid w:val="32AA2E28"/>
    <w:rsid w:val="32AB72CC"/>
    <w:rsid w:val="32AC094E"/>
    <w:rsid w:val="32AC6BA0"/>
    <w:rsid w:val="32AE0B6A"/>
    <w:rsid w:val="32AE46C6"/>
    <w:rsid w:val="32B37F2E"/>
    <w:rsid w:val="32B53CA7"/>
    <w:rsid w:val="32B82A64"/>
    <w:rsid w:val="32B83797"/>
    <w:rsid w:val="32BF490D"/>
    <w:rsid w:val="32C043F9"/>
    <w:rsid w:val="32C57C62"/>
    <w:rsid w:val="32C65EB4"/>
    <w:rsid w:val="32C739DA"/>
    <w:rsid w:val="32CC0FF0"/>
    <w:rsid w:val="32CC1EED"/>
    <w:rsid w:val="32CE61B4"/>
    <w:rsid w:val="32D3412D"/>
    <w:rsid w:val="32D560F7"/>
    <w:rsid w:val="32DA370D"/>
    <w:rsid w:val="32DE2BCF"/>
    <w:rsid w:val="32DF0D23"/>
    <w:rsid w:val="32E26A66"/>
    <w:rsid w:val="32E4633A"/>
    <w:rsid w:val="32EC51EE"/>
    <w:rsid w:val="32F03BA4"/>
    <w:rsid w:val="32F32A21"/>
    <w:rsid w:val="32F81DE5"/>
    <w:rsid w:val="32FB3683"/>
    <w:rsid w:val="32FD73FC"/>
    <w:rsid w:val="3301513E"/>
    <w:rsid w:val="33016EEC"/>
    <w:rsid w:val="33072028"/>
    <w:rsid w:val="330B7D6A"/>
    <w:rsid w:val="330C763F"/>
    <w:rsid w:val="330D3AE3"/>
    <w:rsid w:val="33122EA7"/>
    <w:rsid w:val="33134E71"/>
    <w:rsid w:val="331704BD"/>
    <w:rsid w:val="33184235"/>
    <w:rsid w:val="332215E4"/>
    <w:rsid w:val="33226375"/>
    <w:rsid w:val="3328091C"/>
    <w:rsid w:val="332D1A72"/>
    <w:rsid w:val="332D7CE1"/>
    <w:rsid w:val="332E4F6B"/>
    <w:rsid w:val="333029D5"/>
    <w:rsid w:val="33305A23"/>
    <w:rsid w:val="3333106F"/>
    <w:rsid w:val="33332E1D"/>
    <w:rsid w:val="33386686"/>
    <w:rsid w:val="333E57F9"/>
    <w:rsid w:val="3355548A"/>
    <w:rsid w:val="3358616F"/>
    <w:rsid w:val="3369683F"/>
    <w:rsid w:val="336F151A"/>
    <w:rsid w:val="33727F33"/>
    <w:rsid w:val="337A6C9E"/>
    <w:rsid w:val="3381002D"/>
    <w:rsid w:val="3381627F"/>
    <w:rsid w:val="33857B1D"/>
    <w:rsid w:val="3386325D"/>
    <w:rsid w:val="33863895"/>
    <w:rsid w:val="33866BEF"/>
    <w:rsid w:val="338813BB"/>
    <w:rsid w:val="33882539"/>
    <w:rsid w:val="338D4C23"/>
    <w:rsid w:val="339128A9"/>
    <w:rsid w:val="33953AD8"/>
    <w:rsid w:val="339B7340"/>
    <w:rsid w:val="339E298D"/>
    <w:rsid w:val="339F1D94"/>
    <w:rsid w:val="33A45AC9"/>
    <w:rsid w:val="33A7639F"/>
    <w:rsid w:val="33AD2BD0"/>
    <w:rsid w:val="33B201E6"/>
    <w:rsid w:val="33B26438"/>
    <w:rsid w:val="33B65F28"/>
    <w:rsid w:val="33B7710D"/>
    <w:rsid w:val="33C30645"/>
    <w:rsid w:val="33C63297"/>
    <w:rsid w:val="33CB12A8"/>
    <w:rsid w:val="33CD6DCE"/>
    <w:rsid w:val="33D60378"/>
    <w:rsid w:val="33D62126"/>
    <w:rsid w:val="33D934D4"/>
    <w:rsid w:val="33DC5263"/>
    <w:rsid w:val="33DF6B01"/>
    <w:rsid w:val="33E00D4C"/>
    <w:rsid w:val="33E32A95"/>
    <w:rsid w:val="33E81E5A"/>
    <w:rsid w:val="33EA5BD2"/>
    <w:rsid w:val="33EB2AF5"/>
    <w:rsid w:val="33EB36F8"/>
    <w:rsid w:val="33F24A86"/>
    <w:rsid w:val="33F7209D"/>
    <w:rsid w:val="33F829BD"/>
    <w:rsid w:val="33F86541"/>
    <w:rsid w:val="33FB1B8D"/>
    <w:rsid w:val="33FE2F6A"/>
    <w:rsid w:val="33FF738F"/>
    <w:rsid w:val="340053F5"/>
    <w:rsid w:val="3402116D"/>
    <w:rsid w:val="34063FAB"/>
    <w:rsid w:val="340A0022"/>
    <w:rsid w:val="340B78F6"/>
    <w:rsid w:val="340F5638"/>
    <w:rsid w:val="34190265"/>
    <w:rsid w:val="341C1B03"/>
    <w:rsid w:val="341E3ACD"/>
    <w:rsid w:val="3421711A"/>
    <w:rsid w:val="342509B8"/>
    <w:rsid w:val="342563FC"/>
    <w:rsid w:val="34270BD4"/>
    <w:rsid w:val="34287731"/>
    <w:rsid w:val="34313C5A"/>
    <w:rsid w:val="343155AF"/>
    <w:rsid w:val="3434509F"/>
    <w:rsid w:val="34362BC5"/>
    <w:rsid w:val="343706EB"/>
    <w:rsid w:val="34394463"/>
    <w:rsid w:val="343B2D13"/>
    <w:rsid w:val="343E47B7"/>
    <w:rsid w:val="344D6161"/>
    <w:rsid w:val="3451678A"/>
    <w:rsid w:val="34563267"/>
    <w:rsid w:val="34574764"/>
    <w:rsid w:val="3457548F"/>
    <w:rsid w:val="345B087E"/>
    <w:rsid w:val="34627928"/>
    <w:rsid w:val="34675474"/>
    <w:rsid w:val="34684D49"/>
    <w:rsid w:val="346911EC"/>
    <w:rsid w:val="346E6803"/>
    <w:rsid w:val="346F4329"/>
    <w:rsid w:val="34702AD1"/>
    <w:rsid w:val="347150DC"/>
    <w:rsid w:val="34737FC2"/>
    <w:rsid w:val="347C1C67"/>
    <w:rsid w:val="347D6A46"/>
    <w:rsid w:val="347E7F4E"/>
    <w:rsid w:val="34807019"/>
    <w:rsid w:val="34822BDA"/>
    <w:rsid w:val="34825E0A"/>
    <w:rsid w:val="34853B4C"/>
    <w:rsid w:val="3489363D"/>
    <w:rsid w:val="348B76D9"/>
    <w:rsid w:val="348E1040"/>
    <w:rsid w:val="348F6779"/>
    <w:rsid w:val="34931DC5"/>
    <w:rsid w:val="34943D90"/>
    <w:rsid w:val="34977E0F"/>
    <w:rsid w:val="34983880"/>
    <w:rsid w:val="349A13A6"/>
    <w:rsid w:val="349B2A17"/>
    <w:rsid w:val="349D49F2"/>
    <w:rsid w:val="34A044E2"/>
    <w:rsid w:val="34A71D15"/>
    <w:rsid w:val="34AA710F"/>
    <w:rsid w:val="34AC10D9"/>
    <w:rsid w:val="34AE07E1"/>
    <w:rsid w:val="34AE6BFF"/>
    <w:rsid w:val="34AF2977"/>
    <w:rsid w:val="34B41D3C"/>
    <w:rsid w:val="34B42CD7"/>
    <w:rsid w:val="34B47F8E"/>
    <w:rsid w:val="34B561E0"/>
    <w:rsid w:val="34B87A7E"/>
    <w:rsid w:val="34BB30CA"/>
    <w:rsid w:val="34C401D1"/>
    <w:rsid w:val="34C72E2C"/>
    <w:rsid w:val="34CD478F"/>
    <w:rsid w:val="34CE7CA8"/>
    <w:rsid w:val="34D10B40"/>
    <w:rsid w:val="34D643A8"/>
    <w:rsid w:val="34DF14AF"/>
    <w:rsid w:val="34E32DF3"/>
    <w:rsid w:val="34EE524E"/>
    <w:rsid w:val="34F5482E"/>
    <w:rsid w:val="34FB5395"/>
    <w:rsid w:val="350360CB"/>
    <w:rsid w:val="350607E9"/>
    <w:rsid w:val="350B5E00"/>
    <w:rsid w:val="350C3926"/>
    <w:rsid w:val="350E3B42"/>
    <w:rsid w:val="35123632"/>
    <w:rsid w:val="35131158"/>
    <w:rsid w:val="351331F9"/>
    <w:rsid w:val="35145978"/>
    <w:rsid w:val="35150A2C"/>
    <w:rsid w:val="35161C05"/>
    <w:rsid w:val="3518051D"/>
    <w:rsid w:val="351B4977"/>
    <w:rsid w:val="351D286D"/>
    <w:rsid w:val="351D5B33"/>
    <w:rsid w:val="35225DD1"/>
    <w:rsid w:val="35243365"/>
    <w:rsid w:val="352B31F5"/>
    <w:rsid w:val="352E7D40"/>
    <w:rsid w:val="35344874"/>
    <w:rsid w:val="35357321"/>
    <w:rsid w:val="353A0493"/>
    <w:rsid w:val="353A66E5"/>
    <w:rsid w:val="353C420B"/>
    <w:rsid w:val="353F1F4D"/>
    <w:rsid w:val="35415CC5"/>
    <w:rsid w:val="35417A73"/>
    <w:rsid w:val="354237EC"/>
    <w:rsid w:val="35443D18"/>
    <w:rsid w:val="3546508A"/>
    <w:rsid w:val="354B6B44"/>
    <w:rsid w:val="35523A2F"/>
    <w:rsid w:val="35527ED3"/>
    <w:rsid w:val="355A28E3"/>
    <w:rsid w:val="355C2A85"/>
    <w:rsid w:val="3560331F"/>
    <w:rsid w:val="35611EC4"/>
    <w:rsid w:val="356279EA"/>
    <w:rsid w:val="35631901"/>
    <w:rsid w:val="356419B4"/>
    <w:rsid w:val="35646BA9"/>
    <w:rsid w:val="356B689E"/>
    <w:rsid w:val="356F59EC"/>
    <w:rsid w:val="35714C03"/>
    <w:rsid w:val="357716E7"/>
    <w:rsid w:val="35777939"/>
    <w:rsid w:val="35794F7E"/>
    <w:rsid w:val="357A2F85"/>
    <w:rsid w:val="357A3B1C"/>
    <w:rsid w:val="357A4D33"/>
    <w:rsid w:val="357C0AAC"/>
    <w:rsid w:val="357F234A"/>
    <w:rsid w:val="358768A1"/>
    <w:rsid w:val="358856A2"/>
    <w:rsid w:val="358931C8"/>
    <w:rsid w:val="359009FB"/>
    <w:rsid w:val="35944047"/>
    <w:rsid w:val="35977693"/>
    <w:rsid w:val="3598340C"/>
    <w:rsid w:val="359A53D6"/>
    <w:rsid w:val="359A63C0"/>
    <w:rsid w:val="359D4169"/>
    <w:rsid w:val="359E6C74"/>
    <w:rsid w:val="359F0C3E"/>
    <w:rsid w:val="359F64F2"/>
    <w:rsid w:val="35A10512"/>
    <w:rsid w:val="35A239BC"/>
    <w:rsid w:val="35A324DC"/>
    <w:rsid w:val="35A46254"/>
    <w:rsid w:val="35A5691A"/>
    <w:rsid w:val="35A6206D"/>
    <w:rsid w:val="35A746CB"/>
    <w:rsid w:val="35AD5109"/>
    <w:rsid w:val="35AD6EB7"/>
    <w:rsid w:val="35BA15D4"/>
    <w:rsid w:val="35BC17F0"/>
    <w:rsid w:val="35BE2E72"/>
    <w:rsid w:val="35C0308E"/>
    <w:rsid w:val="35C04B91"/>
    <w:rsid w:val="35C30488"/>
    <w:rsid w:val="35C80195"/>
    <w:rsid w:val="35CB558F"/>
    <w:rsid w:val="35CD1307"/>
    <w:rsid w:val="35CF1523"/>
    <w:rsid w:val="35CF6816"/>
    <w:rsid w:val="35D2691D"/>
    <w:rsid w:val="35D42696"/>
    <w:rsid w:val="35D501BC"/>
    <w:rsid w:val="35DA3A24"/>
    <w:rsid w:val="35DC154A"/>
    <w:rsid w:val="35E13004"/>
    <w:rsid w:val="35E46651"/>
    <w:rsid w:val="35E6686D"/>
    <w:rsid w:val="35EA56E1"/>
    <w:rsid w:val="35EA7D42"/>
    <w:rsid w:val="35EB5CD8"/>
    <w:rsid w:val="35EF127D"/>
    <w:rsid w:val="35F24F62"/>
    <w:rsid w:val="35FF348B"/>
    <w:rsid w:val="360077E2"/>
    <w:rsid w:val="3600792F"/>
    <w:rsid w:val="36015455"/>
    <w:rsid w:val="36034D29"/>
    <w:rsid w:val="36054F45"/>
    <w:rsid w:val="36074A7F"/>
    <w:rsid w:val="360773FD"/>
    <w:rsid w:val="36080591"/>
    <w:rsid w:val="3608381A"/>
    <w:rsid w:val="360A255B"/>
    <w:rsid w:val="360A60B7"/>
    <w:rsid w:val="360B0081"/>
    <w:rsid w:val="360D3DFA"/>
    <w:rsid w:val="361231BE"/>
    <w:rsid w:val="36162CAE"/>
    <w:rsid w:val="361909F0"/>
    <w:rsid w:val="361E75B5"/>
    <w:rsid w:val="361F444A"/>
    <w:rsid w:val="362353CB"/>
    <w:rsid w:val="36251143"/>
    <w:rsid w:val="36280C33"/>
    <w:rsid w:val="3628478F"/>
    <w:rsid w:val="362C0724"/>
    <w:rsid w:val="362C2EF1"/>
    <w:rsid w:val="362F1FC2"/>
    <w:rsid w:val="3632560E"/>
    <w:rsid w:val="36372C24"/>
    <w:rsid w:val="363B44C3"/>
    <w:rsid w:val="363C023B"/>
    <w:rsid w:val="363C41B2"/>
    <w:rsid w:val="364202C1"/>
    <w:rsid w:val="3643115A"/>
    <w:rsid w:val="36432478"/>
    <w:rsid w:val="36462E68"/>
    <w:rsid w:val="364A2958"/>
    <w:rsid w:val="364C2B74"/>
    <w:rsid w:val="36530255"/>
    <w:rsid w:val="365437D6"/>
    <w:rsid w:val="36545584"/>
    <w:rsid w:val="36557C1C"/>
    <w:rsid w:val="365612FD"/>
    <w:rsid w:val="365732C7"/>
    <w:rsid w:val="36581519"/>
    <w:rsid w:val="36653C36"/>
    <w:rsid w:val="36681030"/>
    <w:rsid w:val="366A4DA8"/>
    <w:rsid w:val="366D5927"/>
    <w:rsid w:val="366F76E7"/>
    <w:rsid w:val="367141CE"/>
    <w:rsid w:val="36745C27"/>
    <w:rsid w:val="3679148F"/>
    <w:rsid w:val="367B6FB5"/>
    <w:rsid w:val="367F61DE"/>
    <w:rsid w:val="36820344"/>
    <w:rsid w:val="368340BC"/>
    <w:rsid w:val="36871691"/>
    <w:rsid w:val="3687277C"/>
    <w:rsid w:val="36891FCF"/>
    <w:rsid w:val="36897924"/>
    <w:rsid w:val="368C4D1E"/>
    <w:rsid w:val="369129F7"/>
    <w:rsid w:val="36923549"/>
    <w:rsid w:val="36966D52"/>
    <w:rsid w:val="369736C3"/>
    <w:rsid w:val="36A04C6E"/>
    <w:rsid w:val="36A21135"/>
    <w:rsid w:val="36B240C8"/>
    <w:rsid w:val="36B31729"/>
    <w:rsid w:val="36B424C7"/>
    <w:rsid w:val="36B60F67"/>
    <w:rsid w:val="36B727F9"/>
    <w:rsid w:val="36B75FBF"/>
    <w:rsid w:val="36BD312A"/>
    <w:rsid w:val="36C827C2"/>
    <w:rsid w:val="36C97D20"/>
    <w:rsid w:val="36CD6D52"/>
    <w:rsid w:val="36D466C5"/>
    <w:rsid w:val="36D7585B"/>
    <w:rsid w:val="36D8764F"/>
    <w:rsid w:val="36DF5796"/>
    <w:rsid w:val="36E0150E"/>
    <w:rsid w:val="36E7464B"/>
    <w:rsid w:val="36E903C3"/>
    <w:rsid w:val="36E94D26"/>
    <w:rsid w:val="36EA0E4B"/>
    <w:rsid w:val="36EA57B9"/>
    <w:rsid w:val="36EE7787"/>
    <w:rsid w:val="36F80606"/>
    <w:rsid w:val="36F8396F"/>
    <w:rsid w:val="36F9612C"/>
    <w:rsid w:val="36FA437E"/>
    <w:rsid w:val="36FB4891"/>
    <w:rsid w:val="370625F1"/>
    <w:rsid w:val="370C40B1"/>
    <w:rsid w:val="37103BA1"/>
    <w:rsid w:val="371069DA"/>
    <w:rsid w:val="37107F95"/>
    <w:rsid w:val="37113475"/>
    <w:rsid w:val="37152F66"/>
    <w:rsid w:val="371A057C"/>
    <w:rsid w:val="371B42F4"/>
    <w:rsid w:val="371D006C"/>
    <w:rsid w:val="371D1E1A"/>
    <w:rsid w:val="371F3DE4"/>
    <w:rsid w:val="37215DAE"/>
    <w:rsid w:val="37217B5C"/>
    <w:rsid w:val="37257503"/>
    <w:rsid w:val="372C4753"/>
    <w:rsid w:val="372E04CB"/>
    <w:rsid w:val="372E4C5F"/>
    <w:rsid w:val="37305FF2"/>
    <w:rsid w:val="3735592F"/>
    <w:rsid w:val="373E0984"/>
    <w:rsid w:val="373F4487"/>
    <w:rsid w:val="37425D25"/>
    <w:rsid w:val="374455F9"/>
    <w:rsid w:val="37461371"/>
    <w:rsid w:val="37465815"/>
    <w:rsid w:val="37465A08"/>
    <w:rsid w:val="3748158D"/>
    <w:rsid w:val="37490E61"/>
    <w:rsid w:val="374A567A"/>
    <w:rsid w:val="374B2E2B"/>
    <w:rsid w:val="374B6987"/>
    <w:rsid w:val="37500442"/>
    <w:rsid w:val="37503F9E"/>
    <w:rsid w:val="375241BA"/>
    <w:rsid w:val="375A4E1C"/>
    <w:rsid w:val="375C3AD3"/>
    <w:rsid w:val="375F0685"/>
    <w:rsid w:val="37643EED"/>
    <w:rsid w:val="37667C65"/>
    <w:rsid w:val="376E73A5"/>
    <w:rsid w:val="37725830"/>
    <w:rsid w:val="37744822"/>
    <w:rsid w:val="37772B57"/>
    <w:rsid w:val="37773C20"/>
    <w:rsid w:val="377C4D93"/>
    <w:rsid w:val="377D6D5D"/>
    <w:rsid w:val="378123A9"/>
    <w:rsid w:val="378219F7"/>
    <w:rsid w:val="37826121"/>
    <w:rsid w:val="378325C5"/>
    <w:rsid w:val="378835C5"/>
    <w:rsid w:val="378C0D4E"/>
    <w:rsid w:val="379775C4"/>
    <w:rsid w:val="37977BBC"/>
    <w:rsid w:val="37983B97"/>
    <w:rsid w:val="379929F5"/>
    <w:rsid w:val="379B23DD"/>
    <w:rsid w:val="379E11AD"/>
    <w:rsid w:val="379E73FF"/>
    <w:rsid w:val="37AB5678"/>
    <w:rsid w:val="37B10249"/>
    <w:rsid w:val="37B7226F"/>
    <w:rsid w:val="37B90489"/>
    <w:rsid w:val="37B95FE7"/>
    <w:rsid w:val="37BC5AD7"/>
    <w:rsid w:val="37C30C14"/>
    <w:rsid w:val="37C52C3A"/>
    <w:rsid w:val="37C64260"/>
    <w:rsid w:val="37C8622A"/>
    <w:rsid w:val="37C93D50"/>
    <w:rsid w:val="37CD5B9C"/>
    <w:rsid w:val="37CE5D48"/>
    <w:rsid w:val="37CE75B8"/>
    <w:rsid w:val="37D3697D"/>
    <w:rsid w:val="37D526F5"/>
    <w:rsid w:val="37DC3A83"/>
    <w:rsid w:val="37DC7F27"/>
    <w:rsid w:val="37DF5322"/>
    <w:rsid w:val="37E128C2"/>
    <w:rsid w:val="37E34E12"/>
    <w:rsid w:val="37E8177D"/>
    <w:rsid w:val="37EB1F18"/>
    <w:rsid w:val="37ED7A3F"/>
    <w:rsid w:val="37F012DD"/>
    <w:rsid w:val="37F76B0F"/>
    <w:rsid w:val="37FE3BFC"/>
    <w:rsid w:val="37FE7E9E"/>
    <w:rsid w:val="37FF59C4"/>
    <w:rsid w:val="38066D52"/>
    <w:rsid w:val="38086A4E"/>
    <w:rsid w:val="380878FA"/>
    <w:rsid w:val="38090F1A"/>
    <w:rsid w:val="38163439"/>
    <w:rsid w:val="38170F5F"/>
    <w:rsid w:val="38172D0E"/>
    <w:rsid w:val="38196A86"/>
    <w:rsid w:val="381C20D2"/>
    <w:rsid w:val="3821593A"/>
    <w:rsid w:val="382316B2"/>
    <w:rsid w:val="3825542A"/>
    <w:rsid w:val="382673F4"/>
    <w:rsid w:val="382B67B9"/>
    <w:rsid w:val="382D42DF"/>
    <w:rsid w:val="38303DA7"/>
    <w:rsid w:val="3831064E"/>
    <w:rsid w:val="38325D99"/>
    <w:rsid w:val="38353194"/>
    <w:rsid w:val="3835486A"/>
    <w:rsid w:val="38376F0C"/>
    <w:rsid w:val="383A044D"/>
    <w:rsid w:val="383E029A"/>
    <w:rsid w:val="384229DF"/>
    <w:rsid w:val="38467783"/>
    <w:rsid w:val="384A30E3"/>
    <w:rsid w:val="384E4FBD"/>
    <w:rsid w:val="384F204E"/>
    <w:rsid w:val="384F24A7"/>
    <w:rsid w:val="38547ABE"/>
    <w:rsid w:val="385555E4"/>
    <w:rsid w:val="385A0A04"/>
    <w:rsid w:val="386046B4"/>
    <w:rsid w:val="38606463"/>
    <w:rsid w:val="38635F53"/>
    <w:rsid w:val="38657F1D"/>
    <w:rsid w:val="386D5023"/>
    <w:rsid w:val="386D6DD1"/>
    <w:rsid w:val="386E59BE"/>
    <w:rsid w:val="386E654A"/>
    <w:rsid w:val="387463B2"/>
    <w:rsid w:val="3875408A"/>
    <w:rsid w:val="387D044B"/>
    <w:rsid w:val="387D5266"/>
    <w:rsid w:val="38912AC0"/>
    <w:rsid w:val="38926838"/>
    <w:rsid w:val="389425B0"/>
    <w:rsid w:val="38972D3F"/>
    <w:rsid w:val="389B56ED"/>
    <w:rsid w:val="389E342F"/>
    <w:rsid w:val="389F78EA"/>
    <w:rsid w:val="38A04A09"/>
    <w:rsid w:val="38A547BD"/>
    <w:rsid w:val="38A65E3F"/>
    <w:rsid w:val="38A75F00"/>
    <w:rsid w:val="38AA5930"/>
    <w:rsid w:val="38AC5B4C"/>
    <w:rsid w:val="38B7004D"/>
    <w:rsid w:val="38B86F38"/>
    <w:rsid w:val="38B90459"/>
    <w:rsid w:val="38BA2623"/>
    <w:rsid w:val="38BB18EB"/>
    <w:rsid w:val="38BD1B07"/>
    <w:rsid w:val="38BD38B5"/>
    <w:rsid w:val="38BF587F"/>
    <w:rsid w:val="38C35493"/>
    <w:rsid w:val="38C42E95"/>
    <w:rsid w:val="38C70290"/>
    <w:rsid w:val="38CC3AF8"/>
    <w:rsid w:val="38D0417E"/>
    <w:rsid w:val="38D1110E"/>
    <w:rsid w:val="38E075A3"/>
    <w:rsid w:val="38E452E6"/>
    <w:rsid w:val="38E928FC"/>
    <w:rsid w:val="38E946AA"/>
    <w:rsid w:val="38EA21D0"/>
    <w:rsid w:val="38EE040E"/>
    <w:rsid w:val="38EF3C8A"/>
    <w:rsid w:val="38F12CD3"/>
    <w:rsid w:val="38F1355F"/>
    <w:rsid w:val="38F80D91"/>
    <w:rsid w:val="38F82B3F"/>
    <w:rsid w:val="38F94775"/>
    <w:rsid w:val="38FE5C7B"/>
    <w:rsid w:val="390037A2"/>
    <w:rsid w:val="390246F3"/>
    <w:rsid w:val="390414E4"/>
    <w:rsid w:val="39070FD4"/>
    <w:rsid w:val="39074B30"/>
    <w:rsid w:val="391060DB"/>
    <w:rsid w:val="391361DB"/>
    <w:rsid w:val="39162FC5"/>
    <w:rsid w:val="3919532C"/>
    <w:rsid w:val="391B05DB"/>
    <w:rsid w:val="391B06AE"/>
    <w:rsid w:val="391D4354"/>
    <w:rsid w:val="39246EA0"/>
    <w:rsid w:val="39276F80"/>
    <w:rsid w:val="39290F4A"/>
    <w:rsid w:val="392971ED"/>
    <w:rsid w:val="39317DFF"/>
    <w:rsid w:val="393225AB"/>
    <w:rsid w:val="393C7FB8"/>
    <w:rsid w:val="393D2C48"/>
    <w:rsid w:val="394144E6"/>
    <w:rsid w:val="39461AFC"/>
    <w:rsid w:val="39471E2C"/>
    <w:rsid w:val="394D1614"/>
    <w:rsid w:val="39504729"/>
    <w:rsid w:val="39513FFD"/>
    <w:rsid w:val="3953226C"/>
    <w:rsid w:val="3953286E"/>
    <w:rsid w:val="39535FC7"/>
    <w:rsid w:val="39551D3F"/>
    <w:rsid w:val="39561614"/>
    <w:rsid w:val="39581830"/>
    <w:rsid w:val="395A55A8"/>
    <w:rsid w:val="396226AE"/>
    <w:rsid w:val="3962620A"/>
    <w:rsid w:val="396C52DB"/>
    <w:rsid w:val="396C7089"/>
    <w:rsid w:val="39706B79"/>
    <w:rsid w:val="397321C6"/>
    <w:rsid w:val="39736669"/>
    <w:rsid w:val="397B72CC"/>
    <w:rsid w:val="397D3044"/>
    <w:rsid w:val="398054B8"/>
    <w:rsid w:val="39810D86"/>
    <w:rsid w:val="3983274D"/>
    <w:rsid w:val="39875C71"/>
    <w:rsid w:val="398B750F"/>
    <w:rsid w:val="398C590D"/>
    <w:rsid w:val="39902D77"/>
    <w:rsid w:val="3998098A"/>
    <w:rsid w:val="399860D0"/>
    <w:rsid w:val="399F120C"/>
    <w:rsid w:val="39A14F85"/>
    <w:rsid w:val="39A35178"/>
    <w:rsid w:val="39A6259B"/>
    <w:rsid w:val="39A86313"/>
    <w:rsid w:val="39AE76A2"/>
    <w:rsid w:val="39BC70BE"/>
    <w:rsid w:val="39BD18DE"/>
    <w:rsid w:val="39CB3DB0"/>
    <w:rsid w:val="39CE3969"/>
    <w:rsid w:val="39CE564E"/>
    <w:rsid w:val="39CE6632"/>
    <w:rsid w:val="39D52E80"/>
    <w:rsid w:val="39D54C2E"/>
    <w:rsid w:val="39DF6898"/>
    <w:rsid w:val="39DF785B"/>
    <w:rsid w:val="39E6508D"/>
    <w:rsid w:val="39E758BD"/>
    <w:rsid w:val="39E97DA8"/>
    <w:rsid w:val="39ED01CA"/>
    <w:rsid w:val="39ED1F78"/>
    <w:rsid w:val="39EE5CF0"/>
    <w:rsid w:val="39F2758E"/>
    <w:rsid w:val="39F33306"/>
    <w:rsid w:val="39F350B4"/>
    <w:rsid w:val="39F552D0"/>
    <w:rsid w:val="39F94DC1"/>
    <w:rsid w:val="39F97CAF"/>
    <w:rsid w:val="39FA4695"/>
    <w:rsid w:val="39FC26D0"/>
    <w:rsid w:val="39FE23D7"/>
    <w:rsid w:val="3A064320"/>
    <w:rsid w:val="3A064DE8"/>
    <w:rsid w:val="3A0B0650"/>
    <w:rsid w:val="3A103EB8"/>
    <w:rsid w:val="3A125E82"/>
    <w:rsid w:val="3A127C30"/>
    <w:rsid w:val="3A192D6D"/>
    <w:rsid w:val="3A1A2713"/>
    <w:rsid w:val="3A1A4D37"/>
    <w:rsid w:val="3A1B12AC"/>
    <w:rsid w:val="3A1B478A"/>
    <w:rsid w:val="3A1E073A"/>
    <w:rsid w:val="3A220F95"/>
    <w:rsid w:val="3A281202"/>
    <w:rsid w:val="3A29194C"/>
    <w:rsid w:val="3A296D28"/>
    <w:rsid w:val="3A2B2AA0"/>
    <w:rsid w:val="3A2B3AE8"/>
    <w:rsid w:val="3A2D6818"/>
    <w:rsid w:val="3A2E4B81"/>
    <w:rsid w:val="3A2E7EAC"/>
    <w:rsid w:val="3A306308"/>
    <w:rsid w:val="3A397156"/>
    <w:rsid w:val="3A3A2CE3"/>
    <w:rsid w:val="3A3C6A5B"/>
    <w:rsid w:val="3A410516"/>
    <w:rsid w:val="3A414072"/>
    <w:rsid w:val="3A465B2C"/>
    <w:rsid w:val="3A4B3142"/>
    <w:rsid w:val="3A53360C"/>
    <w:rsid w:val="3A5448AB"/>
    <w:rsid w:val="3A575643"/>
    <w:rsid w:val="3A59585F"/>
    <w:rsid w:val="3A59760D"/>
    <w:rsid w:val="3A5B3385"/>
    <w:rsid w:val="3A6366DE"/>
    <w:rsid w:val="3A663AD8"/>
    <w:rsid w:val="3A685AA2"/>
    <w:rsid w:val="3A704957"/>
    <w:rsid w:val="3A751279"/>
    <w:rsid w:val="3A8723CC"/>
    <w:rsid w:val="3A886068"/>
    <w:rsid w:val="3A887EF3"/>
    <w:rsid w:val="3A8B353F"/>
    <w:rsid w:val="3A8D5509"/>
    <w:rsid w:val="3A8D6676"/>
    <w:rsid w:val="3A8E336A"/>
    <w:rsid w:val="3A916DA7"/>
    <w:rsid w:val="3A921CEB"/>
    <w:rsid w:val="3A971EE4"/>
    <w:rsid w:val="3A995C5C"/>
    <w:rsid w:val="3AA26176"/>
    <w:rsid w:val="3AA60379"/>
    <w:rsid w:val="3AAF3DE4"/>
    <w:rsid w:val="3AB900AC"/>
    <w:rsid w:val="3AB962FE"/>
    <w:rsid w:val="3ABC194A"/>
    <w:rsid w:val="3ABD5DEE"/>
    <w:rsid w:val="3AC52EF5"/>
    <w:rsid w:val="3AC56A51"/>
    <w:rsid w:val="3ACF167E"/>
    <w:rsid w:val="3AD62A0C"/>
    <w:rsid w:val="3AD66EB0"/>
    <w:rsid w:val="3AD849D6"/>
    <w:rsid w:val="3ADA2030"/>
    <w:rsid w:val="3ADB14EF"/>
    <w:rsid w:val="3AE113B1"/>
    <w:rsid w:val="3AE25855"/>
    <w:rsid w:val="3AE35129"/>
    <w:rsid w:val="3AE852B6"/>
    <w:rsid w:val="3AEB79FE"/>
    <w:rsid w:val="3AF94C61"/>
    <w:rsid w:val="3AFD4730"/>
    <w:rsid w:val="3AFD5E03"/>
    <w:rsid w:val="3AFD61EB"/>
    <w:rsid w:val="3B024BDF"/>
    <w:rsid w:val="3B082DE1"/>
    <w:rsid w:val="3B084B8F"/>
    <w:rsid w:val="3B0F5FF0"/>
    <w:rsid w:val="3B111C96"/>
    <w:rsid w:val="3B132EBB"/>
    <w:rsid w:val="3B181276"/>
    <w:rsid w:val="3B1B48C3"/>
    <w:rsid w:val="3B2A0FAA"/>
    <w:rsid w:val="3B345984"/>
    <w:rsid w:val="3B36794F"/>
    <w:rsid w:val="3B3763D1"/>
    <w:rsid w:val="3B4402BD"/>
    <w:rsid w:val="3B4406AD"/>
    <w:rsid w:val="3B514788"/>
    <w:rsid w:val="3B5424B5"/>
    <w:rsid w:val="3B5C3046"/>
    <w:rsid w:val="3B5E2C18"/>
    <w:rsid w:val="3B5F50F7"/>
    <w:rsid w:val="3B625851"/>
    <w:rsid w:val="3B6444BC"/>
    <w:rsid w:val="3B645349"/>
    <w:rsid w:val="3B677B08"/>
    <w:rsid w:val="3B6B3A9C"/>
    <w:rsid w:val="3B6C15C2"/>
    <w:rsid w:val="3B6E0E96"/>
    <w:rsid w:val="3B6F4C0F"/>
    <w:rsid w:val="3B712735"/>
    <w:rsid w:val="3B7346FF"/>
    <w:rsid w:val="3B783AC3"/>
    <w:rsid w:val="3B7A5A8D"/>
    <w:rsid w:val="3B806E1C"/>
    <w:rsid w:val="3B81506E"/>
    <w:rsid w:val="3B862944"/>
    <w:rsid w:val="3B8738E2"/>
    <w:rsid w:val="3B8B7C9A"/>
    <w:rsid w:val="3B8E32E7"/>
    <w:rsid w:val="3B903503"/>
    <w:rsid w:val="3B905FB8"/>
    <w:rsid w:val="3B974891"/>
    <w:rsid w:val="3B9A7EDD"/>
    <w:rsid w:val="3B9D3163"/>
    <w:rsid w:val="3B9F54F4"/>
    <w:rsid w:val="3B9F72A2"/>
    <w:rsid w:val="3BA47D82"/>
    <w:rsid w:val="3BA64AD4"/>
    <w:rsid w:val="3BAB3E99"/>
    <w:rsid w:val="3BAB7ADE"/>
    <w:rsid w:val="3BAC4273"/>
    <w:rsid w:val="3BAE24DA"/>
    <w:rsid w:val="3BAE4630"/>
    <w:rsid w:val="3BB164CD"/>
    <w:rsid w:val="3BBD597A"/>
    <w:rsid w:val="3BBE0D10"/>
    <w:rsid w:val="3BBF16F2"/>
    <w:rsid w:val="3BBF7944"/>
    <w:rsid w:val="3BC1190E"/>
    <w:rsid w:val="3BC136BC"/>
    <w:rsid w:val="3BC60CD2"/>
    <w:rsid w:val="3BCE7B87"/>
    <w:rsid w:val="3BD72366"/>
    <w:rsid w:val="3BD776DA"/>
    <w:rsid w:val="3BD80A06"/>
    <w:rsid w:val="3BDA29D0"/>
    <w:rsid w:val="3BDC22A4"/>
    <w:rsid w:val="3BDD6036"/>
    <w:rsid w:val="3BDF1D94"/>
    <w:rsid w:val="3BE03287"/>
    <w:rsid w:val="3BE9676F"/>
    <w:rsid w:val="3BEF55D0"/>
    <w:rsid w:val="3BF36DBD"/>
    <w:rsid w:val="3BF5780A"/>
    <w:rsid w:val="3BF70E8C"/>
    <w:rsid w:val="3BF84C04"/>
    <w:rsid w:val="3BFD046C"/>
    <w:rsid w:val="3C070B8D"/>
    <w:rsid w:val="3C0E2679"/>
    <w:rsid w:val="3C1001A0"/>
    <w:rsid w:val="3C1063F2"/>
    <w:rsid w:val="3C166A9C"/>
    <w:rsid w:val="3C176C51"/>
    <w:rsid w:val="3C1C4D96"/>
    <w:rsid w:val="3C243C4B"/>
    <w:rsid w:val="3C261771"/>
    <w:rsid w:val="3C2854E9"/>
    <w:rsid w:val="3C2B4FD9"/>
    <w:rsid w:val="3C2D2B00"/>
    <w:rsid w:val="3C3072F9"/>
    <w:rsid w:val="3C33736D"/>
    <w:rsid w:val="3C3A4B39"/>
    <w:rsid w:val="3C4165AB"/>
    <w:rsid w:val="3C430575"/>
    <w:rsid w:val="3C492DBB"/>
    <w:rsid w:val="3C4D0211"/>
    <w:rsid w:val="3C4D13F4"/>
    <w:rsid w:val="3C4F06AE"/>
    <w:rsid w:val="3C504A40"/>
    <w:rsid w:val="3C54160F"/>
    <w:rsid w:val="3C553E04"/>
    <w:rsid w:val="3C681D8A"/>
    <w:rsid w:val="3C6B3628"/>
    <w:rsid w:val="3C700C3E"/>
    <w:rsid w:val="3C7050E2"/>
    <w:rsid w:val="3C7B7D0F"/>
    <w:rsid w:val="3C7C3A87"/>
    <w:rsid w:val="3C7E15AD"/>
    <w:rsid w:val="3C7E4C3C"/>
    <w:rsid w:val="3C7F0E81"/>
    <w:rsid w:val="3C7F11EE"/>
    <w:rsid w:val="3C805325"/>
    <w:rsid w:val="3C940DD1"/>
    <w:rsid w:val="3C942B7F"/>
    <w:rsid w:val="3C97441D"/>
    <w:rsid w:val="3C990195"/>
    <w:rsid w:val="3C9C3DF5"/>
    <w:rsid w:val="3CA01523"/>
    <w:rsid w:val="3CA164D5"/>
    <w:rsid w:val="3CA1704A"/>
    <w:rsid w:val="3CA31F01"/>
    <w:rsid w:val="3CA37266"/>
    <w:rsid w:val="3CA863A8"/>
    <w:rsid w:val="3CAE4BAE"/>
    <w:rsid w:val="3CB7061B"/>
    <w:rsid w:val="3CB90837"/>
    <w:rsid w:val="3CBB45AF"/>
    <w:rsid w:val="3CBC20D5"/>
    <w:rsid w:val="3CBC5080"/>
    <w:rsid w:val="3CBC5C3D"/>
    <w:rsid w:val="3CBE19AA"/>
    <w:rsid w:val="3CC05722"/>
    <w:rsid w:val="3CC316B6"/>
    <w:rsid w:val="3CC33464"/>
    <w:rsid w:val="3CC82828"/>
    <w:rsid w:val="3CCA65A0"/>
    <w:rsid w:val="3CCD3C8C"/>
    <w:rsid w:val="3CD94A35"/>
    <w:rsid w:val="3CDA245A"/>
    <w:rsid w:val="3CDB69FF"/>
    <w:rsid w:val="3CE05DC4"/>
    <w:rsid w:val="3CE37662"/>
    <w:rsid w:val="3CE7185D"/>
    <w:rsid w:val="3CEA4A31"/>
    <w:rsid w:val="3CEC4769"/>
    <w:rsid w:val="3CEE0A37"/>
    <w:rsid w:val="3CF03B2D"/>
    <w:rsid w:val="3CF0711C"/>
    <w:rsid w:val="3CFA3924"/>
    <w:rsid w:val="3CFA5C50"/>
    <w:rsid w:val="3CFC735A"/>
    <w:rsid w:val="3CFE624A"/>
    <w:rsid w:val="3D011811"/>
    <w:rsid w:val="3D015D3A"/>
    <w:rsid w:val="3D053A7C"/>
    <w:rsid w:val="3D05582A"/>
    <w:rsid w:val="3D056A3F"/>
    <w:rsid w:val="3D0F48FB"/>
    <w:rsid w:val="3D10720F"/>
    <w:rsid w:val="3D1141CF"/>
    <w:rsid w:val="3D115F7D"/>
    <w:rsid w:val="3D18555E"/>
    <w:rsid w:val="3D193084"/>
    <w:rsid w:val="3D2008B6"/>
    <w:rsid w:val="3D254AFD"/>
    <w:rsid w:val="3D271C45"/>
    <w:rsid w:val="3D2F0AF9"/>
    <w:rsid w:val="3D3035F9"/>
    <w:rsid w:val="3D314871"/>
    <w:rsid w:val="3D3305EA"/>
    <w:rsid w:val="3D344362"/>
    <w:rsid w:val="3D347EBE"/>
    <w:rsid w:val="3D363C36"/>
    <w:rsid w:val="3D3A1978"/>
    <w:rsid w:val="3D3B56F0"/>
    <w:rsid w:val="3D4201BB"/>
    <w:rsid w:val="3D42082D"/>
    <w:rsid w:val="3D424389"/>
    <w:rsid w:val="3D4520CB"/>
    <w:rsid w:val="3D483969"/>
    <w:rsid w:val="3D4D6987"/>
    <w:rsid w:val="3D4F2F4A"/>
    <w:rsid w:val="3D54230E"/>
    <w:rsid w:val="3D5B369C"/>
    <w:rsid w:val="3D5B544A"/>
    <w:rsid w:val="3D5D7415"/>
    <w:rsid w:val="3D5F318D"/>
    <w:rsid w:val="3D605157"/>
    <w:rsid w:val="3D624A2B"/>
    <w:rsid w:val="3D6469F5"/>
    <w:rsid w:val="3D65276D"/>
    <w:rsid w:val="3D670293"/>
    <w:rsid w:val="3D691975"/>
    <w:rsid w:val="3D6A7D83"/>
    <w:rsid w:val="3D6B6BFA"/>
    <w:rsid w:val="3D6E33D0"/>
    <w:rsid w:val="3D7309E6"/>
    <w:rsid w:val="3D736C38"/>
    <w:rsid w:val="3D785FFC"/>
    <w:rsid w:val="3D7B789B"/>
    <w:rsid w:val="3D7E17DF"/>
    <w:rsid w:val="3D842BF3"/>
    <w:rsid w:val="3D89020A"/>
    <w:rsid w:val="3D8E3A72"/>
    <w:rsid w:val="3D913562"/>
    <w:rsid w:val="3D9904A8"/>
    <w:rsid w:val="3D995D0E"/>
    <w:rsid w:val="3D9C66F8"/>
    <w:rsid w:val="3D9D1F07"/>
    <w:rsid w:val="3DA47914"/>
    <w:rsid w:val="3DA7535D"/>
    <w:rsid w:val="3DA9265A"/>
    <w:rsid w:val="3DB039E8"/>
    <w:rsid w:val="3DB27817"/>
    <w:rsid w:val="3DB42DAD"/>
    <w:rsid w:val="3DB813B0"/>
    <w:rsid w:val="3DBB238D"/>
    <w:rsid w:val="3DBD4357"/>
    <w:rsid w:val="3DD376D7"/>
    <w:rsid w:val="3DD516A1"/>
    <w:rsid w:val="3DD5344F"/>
    <w:rsid w:val="3DDB2643"/>
    <w:rsid w:val="3DDD0555"/>
    <w:rsid w:val="3DDD2303"/>
    <w:rsid w:val="3DDD67A7"/>
    <w:rsid w:val="3DE11078"/>
    <w:rsid w:val="3DE37306"/>
    <w:rsid w:val="3DE61BC4"/>
    <w:rsid w:val="3DE713D4"/>
    <w:rsid w:val="3DE73182"/>
    <w:rsid w:val="3DEA3D83"/>
    <w:rsid w:val="3DEB2C72"/>
    <w:rsid w:val="3DEC0798"/>
    <w:rsid w:val="3DF064DB"/>
    <w:rsid w:val="3DF37D79"/>
    <w:rsid w:val="3DF96E3A"/>
    <w:rsid w:val="3DFC7B0B"/>
    <w:rsid w:val="3DFD29A6"/>
    <w:rsid w:val="3DFD4754"/>
    <w:rsid w:val="3E02320C"/>
    <w:rsid w:val="3E083824"/>
    <w:rsid w:val="3E0930F8"/>
    <w:rsid w:val="3E104487"/>
    <w:rsid w:val="3E1050C1"/>
    <w:rsid w:val="3E1113DE"/>
    <w:rsid w:val="3E1201FF"/>
    <w:rsid w:val="3E126451"/>
    <w:rsid w:val="3E171CB9"/>
    <w:rsid w:val="3E18333B"/>
    <w:rsid w:val="3E186F76"/>
    <w:rsid w:val="3E1A5306"/>
    <w:rsid w:val="3E1A6DC1"/>
    <w:rsid w:val="3E1C107E"/>
    <w:rsid w:val="3E1D0952"/>
    <w:rsid w:val="3E1F291C"/>
    <w:rsid w:val="3E216694"/>
    <w:rsid w:val="3E23240C"/>
    <w:rsid w:val="3E235794"/>
    <w:rsid w:val="3E247F32"/>
    <w:rsid w:val="3E295549"/>
    <w:rsid w:val="3E2972F7"/>
    <w:rsid w:val="3E2B7513"/>
    <w:rsid w:val="3E377C66"/>
    <w:rsid w:val="3E3C71F1"/>
    <w:rsid w:val="3E3D275E"/>
    <w:rsid w:val="3E3F6B1A"/>
    <w:rsid w:val="3E46434D"/>
    <w:rsid w:val="3E467DCB"/>
    <w:rsid w:val="3E473F20"/>
    <w:rsid w:val="3E4D56DB"/>
    <w:rsid w:val="3E4D7489"/>
    <w:rsid w:val="3E4F1FA4"/>
    <w:rsid w:val="3E524A9F"/>
    <w:rsid w:val="3E6447D3"/>
    <w:rsid w:val="3E646581"/>
    <w:rsid w:val="3E693B97"/>
    <w:rsid w:val="3E6A7C37"/>
    <w:rsid w:val="3E6F439C"/>
    <w:rsid w:val="3E767CA2"/>
    <w:rsid w:val="3E78202C"/>
    <w:rsid w:val="3E7C7D6E"/>
    <w:rsid w:val="3E7E5894"/>
    <w:rsid w:val="3E8B6203"/>
    <w:rsid w:val="3E8E35FE"/>
    <w:rsid w:val="3E90381A"/>
    <w:rsid w:val="3E9055C8"/>
    <w:rsid w:val="3E921340"/>
    <w:rsid w:val="3E941710"/>
    <w:rsid w:val="3E95498C"/>
    <w:rsid w:val="3E9A01F4"/>
    <w:rsid w:val="3E9C2D0F"/>
    <w:rsid w:val="3E9C5D1B"/>
    <w:rsid w:val="3E9D66EF"/>
    <w:rsid w:val="3EA10976"/>
    <w:rsid w:val="3EA11895"/>
    <w:rsid w:val="3EA370A9"/>
    <w:rsid w:val="3EAB0654"/>
    <w:rsid w:val="3EB06725"/>
    <w:rsid w:val="3EB452D4"/>
    <w:rsid w:val="3EB9437E"/>
    <w:rsid w:val="3EB94B1E"/>
    <w:rsid w:val="3EBA2645"/>
    <w:rsid w:val="3EBF1FF6"/>
    <w:rsid w:val="3EC139D3"/>
    <w:rsid w:val="3EC7118D"/>
    <w:rsid w:val="3EC7548D"/>
    <w:rsid w:val="3ECC5112"/>
    <w:rsid w:val="3ED03C16"/>
    <w:rsid w:val="3ED100BA"/>
    <w:rsid w:val="3ED41958"/>
    <w:rsid w:val="3EDD198D"/>
    <w:rsid w:val="3EE020AB"/>
    <w:rsid w:val="3EE31B9B"/>
    <w:rsid w:val="3EE6168C"/>
    <w:rsid w:val="3EE86526"/>
    <w:rsid w:val="3EE871B2"/>
    <w:rsid w:val="3EEA4CD8"/>
    <w:rsid w:val="3EED2A1A"/>
    <w:rsid w:val="3EF43DA9"/>
    <w:rsid w:val="3EF618CF"/>
    <w:rsid w:val="3EF94085"/>
    <w:rsid w:val="3F03223E"/>
    <w:rsid w:val="3F057D64"/>
    <w:rsid w:val="3F06588A"/>
    <w:rsid w:val="3F0840B9"/>
    <w:rsid w:val="3F0A35CC"/>
    <w:rsid w:val="3F0A649A"/>
    <w:rsid w:val="3F0B2DA6"/>
    <w:rsid w:val="3F103381"/>
    <w:rsid w:val="3F15211D"/>
    <w:rsid w:val="3F1551DB"/>
    <w:rsid w:val="3F161F71"/>
    <w:rsid w:val="3F171845"/>
    <w:rsid w:val="3F1735F3"/>
    <w:rsid w:val="3F1E4982"/>
    <w:rsid w:val="3F220916"/>
    <w:rsid w:val="3F23468E"/>
    <w:rsid w:val="3F2530A2"/>
    <w:rsid w:val="3F253F62"/>
    <w:rsid w:val="3F281CA4"/>
    <w:rsid w:val="3F2C03A4"/>
    <w:rsid w:val="3F3209B7"/>
    <w:rsid w:val="3F32667F"/>
    <w:rsid w:val="3F375A43"/>
    <w:rsid w:val="3F3917BB"/>
    <w:rsid w:val="3F397A0D"/>
    <w:rsid w:val="3F3E3276"/>
    <w:rsid w:val="3F3E5024"/>
    <w:rsid w:val="3F3E5CD5"/>
    <w:rsid w:val="3F3F3F3A"/>
    <w:rsid w:val="3F3F46D3"/>
    <w:rsid w:val="3F407113"/>
    <w:rsid w:val="3F424E33"/>
    <w:rsid w:val="3F43263A"/>
    <w:rsid w:val="3F44662B"/>
    <w:rsid w:val="3F487C50"/>
    <w:rsid w:val="3F4A741D"/>
    <w:rsid w:val="3F4D34B9"/>
    <w:rsid w:val="3F4D4F72"/>
    <w:rsid w:val="3F5465F5"/>
    <w:rsid w:val="3F5605BF"/>
    <w:rsid w:val="3F56236D"/>
    <w:rsid w:val="3F566811"/>
    <w:rsid w:val="3F5900B0"/>
    <w:rsid w:val="3F591E5E"/>
    <w:rsid w:val="3F5E56C6"/>
    <w:rsid w:val="3F660E74"/>
    <w:rsid w:val="3F696545"/>
    <w:rsid w:val="3F6C393F"/>
    <w:rsid w:val="3F6D50FF"/>
    <w:rsid w:val="3F6D76B7"/>
    <w:rsid w:val="3F6E19E9"/>
    <w:rsid w:val="3F6F1681"/>
    <w:rsid w:val="3F757954"/>
    <w:rsid w:val="3F7942AE"/>
    <w:rsid w:val="3F7B7B8A"/>
    <w:rsid w:val="3F7E3672"/>
    <w:rsid w:val="3F811F08"/>
    <w:rsid w:val="3F817E67"/>
    <w:rsid w:val="3F8213B4"/>
    <w:rsid w:val="3F830C89"/>
    <w:rsid w:val="3F850EA5"/>
    <w:rsid w:val="3F890995"/>
    <w:rsid w:val="3F8A64BB"/>
    <w:rsid w:val="3F9115F7"/>
    <w:rsid w:val="3F917849"/>
    <w:rsid w:val="3F9335CD"/>
    <w:rsid w:val="3F9904AC"/>
    <w:rsid w:val="3F995D91"/>
    <w:rsid w:val="3F9A23F3"/>
    <w:rsid w:val="3F9D1D4A"/>
    <w:rsid w:val="3FA94B93"/>
    <w:rsid w:val="3FAA26B9"/>
    <w:rsid w:val="3FAC01DF"/>
    <w:rsid w:val="3FAE3F57"/>
    <w:rsid w:val="3FAF13AE"/>
    <w:rsid w:val="3FAF7CCF"/>
    <w:rsid w:val="3FB12ADB"/>
    <w:rsid w:val="3FB3156E"/>
    <w:rsid w:val="3FB35A12"/>
    <w:rsid w:val="3FBE7F13"/>
    <w:rsid w:val="3FC217B1"/>
    <w:rsid w:val="3FC419CD"/>
    <w:rsid w:val="3FC65745"/>
    <w:rsid w:val="3FC75AA0"/>
    <w:rsid w:val="3FC86E9D"/>
    <w:rsid w:val="3FC96EB0"/>
    <w:rsid w:val="3FCA68B7"/>
    <w:rsid w:val="3FCF2120"/>
    <w:rsid w:val="3FD07349"/>
    <w:rsid w:val="3FD61700"/>
    <w:rsid w:val="3FDA2F9E"/>
    <w:rsid w:val="3FDF2363"/>
    <w:rsid w:val="3FE55985"/>
    <w:rsid w:val="3FEB51AC"/>
    <w:rsid w:val="3FEC0F24"/>
    <w:rsid w:val="3FEE6A4A"/>
    <w:rsid w:val="3FF027C2"/>
    <w:rsid w:val="3FF102E8"/>
    <w:rsid w:val="3FF1653A"/>
    <w:rsid w:val="3FFA34B2"/>
    <w:rsid w:val="3FFA719D"/>
    <w:rsid w:val="3FFD2A12"/>
    <w:rsid w:val="3FFD4EDF"/>
    <w:rsid w:val="3FFF0C57"/>
    <w:rsid w:val="400647A9"/>
    <w:rsid w:val="400B13AA"/>
    <w:rsid w:val="400B3158"/>
    <w:rsid w:val="400C1667"/>
    <w:rsid w:val="400E7546"/>
    <w:rsid w:val="40170548"/>
    <w:rsid w:val="40170617"/>
    <w:rsid w:val="401C5365"/>
    <w:rsid w:val="401E6EC4"/>
    <w:rsid w:val="401F4E55"/>
    <w:rsid w:val="40224945"/>
    <w:rsid w:val="40227D90"/>
    <w:rsid w:val="4024246B"/>
    <w:rsid w:val="40267F92"/>
    <w:rsid w:val="402814CD"/>
    <w:rsid w:val="402E32EA"/>
    <w:rsid w:val="4030560B"/>
    <w:rsid w:val="40442B0E"/>
    <w:rsid w:val="40547751"/>
    <w:rsid w:val="40572841"/>
    <w:rsid w:val="405C1C05"/>
    <w:rsid w:val="405D772B"/>
    <w:rsid w:val="405E3BCF"/>
    <w:rsid w:val="405F1467"/>
    <w:rsid w:val="40630A6C"/>
    <w:rsid w:val="40646D0C"/>
    <w:rsid w:val="40664832"/>
    <w:rsid w:val="406665E0"/>
    <w:rsid w:val="406B009A"/>
    <w:rsid w:val="40723CDF"/>
    <w:rsid w:val="40730CFD"/>
    <w:rsid w:val="40763704"/>
    <w:rsid w:val="407A6407"/>
    <w:rsid w:val="407A652F"/>
    <w:rsid w:val="407A79D6"/>
    <w:rsid w:val="4081166C"/>
    <w:rsid w:val="40827192"/>
    <w:rsid w:val="408353E4"/>
    <w:rsid w:val="40864ED4"/>
    <w:rsid w:val="40866FF7"/>
    <w:rsid w:val="408E3D89"/>
    <w:rsid w:val="408F7457"/>
    <w:rsid w:val="409018CD"/>
    <w:rsid w:val="40910A42"/>
    <w:rsid w:val="40923879"/>
    <w:rsid w:val="40970E8F"/>
    <w:rsid w:val="4099146F"/>
    <w:rsid w:val="4099578D"/>
    <w:rsid w:val="409D0A43"/>
    <w:rsid w:val="40A55471"/>
    <w:rsid w:val="40A57942"/>
    <w:rsid w:val="40A67324"/>
    <w:rsid w:val="40A8309D"/>
    <w:rsid w:val="40AA1674"/>
    <w:rsid w:val="40BB7697"/>
    <w:rsid w:val="40BE0DB2"/>
    <w:rsid w:val="40BE0F76"/>
    <w:rsid w:val="40BE1F8C"/>
    <w:rsid w:val="40C1373E"/>
    <w:rsid w:val="40C63523"/>
    <w:rsid w:val="40C655E2"/>
    <w:rsid w:val="40C67C6D"/>
    <w:rsid w:val="40C74FEA"/>
    <w:rsid w:val="40C854ED"/>
    <w:rsid w:val="40C8729B"/>
    <w:rsid w:val="40CB28E7"/>
    <w:rsid w:val="40CD582B"/>
    <w:rsid w:val="40CF4866"/>
    <w:rsid w:val="40D07EFD"/>
    <w:rsid w:val="40D257AC"/>
    <w:rsid w:val="40D304EF"/>
    <w:rsid w:val="40DA57F1"/>
    <w:rsid w:val="40DE4339"/>
    <w:rsid w:val="40E13EB9"/>
    <w:rsid w:val="40EC1096"/>
    <w:rsid w:val="40ED0AAF"/>
    <w:rsid w:val="40F621C4"/>
    <w:rsid w:val="40F67CBC"/>
    <w:rsid w:val="40FA31CC"/>
    <w:rsid w:val="40FC0CF2"/>
    <w:rsid w:val="40FE4A6B"/>
    <w:rsid w:val="40FF07E3"/>
    <w:rsid w:val="410127AD"/>
    <w:rsid w:val="410140EC"/>
    <w:rsid w:val="4101455B"/>
    <w:rsid w:val="410302D3"/>
    <w:rsid w:val="41036525"/>
    <w:rsid w:val="410D6D4A"/>
    <w:rsid w:val="41171FD0"/>
    <w:rsid w:val="411A73CB"/>
    <w:rsid w:val="41202C33"/>
    <w:rsid w:val="4121053E"/>
    <w:rsid w:val="4125649B"/>
    <w:rsid w:val="41281AE7"/>
    <w:rsid w:val="412D48D8"/>
    <w:rsid w:val="412E3DA3"/>
    <w:rsid w:val="41314E40"/>
    <w:rsid w:val="41336AA3"/>
    <w:rsid w:val="4134048C"/>
    <w:rsid w:val="41391F47"/>
    <w:rsid w:val="4139769D"/>
    <w:rsid w:val="413E093E"/>
    <w:rsid w:val="413E6223"/>
    <w:rsid w:val="41405083"/>
    <w:rsid w:val="41441117"/>
    <w:rsid w:val="414601C0"/>
    <w:rsid w:val="414A78DB"/>
    <w:rsid w:val="414B6FDA"/>
    <w:rsid w:val="414F0FC2"/>
    <w:rsid w:val="41516DB4"/>
    <w:rsid w:val="41596145"/>
    <w:rsid w:val="41641FEF"/>
    <w:rsid w:val="416A0352"/>
    <w:rsid w:val="416C5E78"/>
    <w:rsid w:val="416D24A3"/>
    <w:rsid w:val="41726F86"/>
    <w:rsid w:val="41742F7F"/>
    <w:rsid w:val="41766CF7"/>
    <w:rsid w:val="4177481D"/>
    <w:rsid w:val="417D0085"/>
    <w:rsid w:val="418036D2"/>
    <w:rsid w:val="41815E93"/>
    <w:rsid w:val="4183725B"/>
    <w:rsid w:val="41850CE8"/>
    <w:rsid w:val="418A09F4"/>
    <w:rsid w:val="418B6F45"/>
    <w:rsid w:val="418E2292"/>
    <w:rsid w:val="419453CF"/>
    <w:rsid w:val="41A1329E"/>
    <w:rsid w:val="41A354FD"/>
    <w:rsid w:val="41AB3DDC"/>
    <w:rsid w:val="41AF3FB7"/>
    <w:rsid w:val="41B21056"/>
    <w:rsid w:val="41B36CDD"/>
    <w:rsid w:val="41BA23CC"/>
    <w:rsid w:val="41BE5A2A"/>
    <w:rsid w:val="41C12819"/>
    <w:rsid w:val="41C31810"/>
    <w:rsid w:val="41C537DA"/>
    <w:rsid w:val="41C63BEE"/>
    <w:rsid w:val="41C662EF"/>
    <w:rsid w:val="41CA7043"/>
    <w:rsid w:val="41CF2217"/>
    <w:rsid w:val="41D1217F"/>
    <w:rsid w:val="41D8350E"/>
    <w:rsid w:val="41DC3706"/>
    <w:rsid w:val="41DC535C"/>
    <w:rsid w:val="41DD28D2"/>
    <w:rsid w:val="41E023C2"/>
    <w:rsid w:val="41E90D89"/>
    <w:rsid w:val="41E952A1"/>
    <w:rsid w:val="41EC6FB9"/>
    <w:rsid w:val="41EE4ADF"/>
    <w:rsid w:val="41F12821"/>
    <w:rsid w:val="41F145CF"/>
    <w:rsid w:val="41F30347"/>
    <w:rsid w:val="41F52311"/>
    <w:rsid w:val="41F61BE6"/>
    <w:rsid w:val="41FA16D6"/>
    <w:rsid w:val="41FB36A0"/>
    <w:rsid w:val="42004812"/>
    <w:rsid w:val="4205007B"/>
    <w:rsid w:val="420C31B7"/>
    <w:rsid w:val="420E33EE"/>
    <w:rsid w:val="42114C71"/>
    <w:rsid w:val="421309EA"/>
    <w:rsid w:val="421449FF"/>
    <w:rsid w:val="421502BE"/>
    <w:rsid w:val="42165DE4"/>
    <w:rsid w:val="42187DAE"/>
    <w:rsid w:val="421A3B26"/>
    <w:rsid w:val="421D7172"/>
    <w:rsid w:val="42204EB5"/>
    <w:rsid w:val="42291FBB"/>
    <w:rsid w:val="42293D69"/>
    <w:rsid w:val="42295B17"/>
    <w:rsid w:val="422A188F"/>
    <w:rsid w:val="42346AE3"/>
    <w:rsid w:val="423544BC"/>
    <w:rsid w:val="423821FE"/>
    <w:rsid w:val="423A0FD9"/>
    <w:rsid w:val="423A3BCC"/>
    <w:rsid w:val="423B417B"/>
    <w:rsid w:val="424C5CAA"/>
    <w:rsid w:val="424E37D0"/>
    <w:rsid w:val="425154F8"/>
    <w:rsid w:val="4258464E"/>
    <w:rsid w:val="425C413F"/>
    <w:rsid w:val="425D3A13"/>
    <w:rsid w:val="42612D34"/>
    <w:rsid w:val="42645DC4"/>
    <w:rsid w:val="426D634C"/>
    <w:rsid w:val="42721D88"/>
    <w:rsid w:val="427C3081"/>
    <w:rsid w:val="42816FF2"/>
    <w:rsid w:val="42843695"/>
    <w:rsid w:val="42843BC2"/>
    <w:rsid w:val="428561CB"/>
    <w:rsid w:val="428611BC"/>
    <w:rsid w:val="42892A5A"/>
    <w:rsid w:val="428C585C"/>
    <w:rsid w:val="428C60A6"/>
    <w:rsid w:val="428D254A"/>
    <w:rsid w:val="42903DE8"/>
    <w:rsid w:val="42905431"/>
    <w:rsid w:val="4294605B"/>
    <w:rsid w:val="429733C9"/>
    <w:rsid w:val="429B44C9"/>
    <w:rsid w:val="42A35700"/>
    <w:rsid w:val="42A930FC"/>
    <w:rsid w:val="42AA5F72"/>
    <w:rsid w:val="42B52239"/>
    <w:rsid w:val="42B5384F"/>
    <w:rsid w:val="42B775C7"/>
    <w:rsid w:val="42BA42E3"/>
    <w:rsid w:val="42BD444E"/>
    <w:rsid w:val="42C24102"/>
    <w:rsid w:val="42C341BE"/>
    <w:rsid w:val="42C615B8"/>
    <w:rsid w:val="42CA4EAC"/>
    <w:rsid w:val="42D737C5"/>
    <w:rsid w:val="42DA7950"/>
    <w:rsid w:val="42E20147"/>
    <w:rsid w:val="42E3216A"/>
    <w:rsid w:val="42E47C90"/>
    <w:rsid w:val="42E87780"/>
    <w:rsid w:val="42ED1DD1"/>
    <w:rsid w:val="42F205FF"/>
    <w:rsid w:val="42FC76D0"/>
    <w:rsid w:val="430640AA"/>
    <w:rsid w:val="43095B0E"/>
    <w:rsid w:val="430D71E7"/>
    <w:rsid w:val="43122A4F"/>
    <w:rsid w:val="431324CB"/>
    <w:rsid w:val="43140575"/>
    <w:rsid w:val="431449BC"/>
    <w:rsid w:val="43144A19"/>
    <w:rsid w:val="431542ED"/>
    <w:rsid w:val="43197A0C"/>
    <w:rsid w:val="431A7B56"/>
    <w:rsid w:val="431D0717"/>
    <w:rsid w:val="431D372B"/>
    <w:rsid w:val="4320516C"/>
    <w:rsid w:val="432A3DCF"/>
    <w:rsid w:val="432C7597"/>
    <w:rsid w:val="432D5ADB"/>
    <w:rsid w:val="43302ED5"/>
    <w:rsid w:val="433429C6"/>
    <w:rsid w:val="4339622E"/>
    <w:rsid w:val="433A51B1"/>
    <w:rsid w:val="433A6FE6"/>
    <w:rsid w:val="433C5D1E"/>
    <w:rsid w:val="434075BC"/>
    <w:rsid w:val="434123BC"/>
    <w:rsid w:val="43421586"/>
    <w:rsid w:val="43425DA3"/>
    <w:rsid w:val="43443F1E"/>
    <w:rsid w:val="43454BD3"/>
    <w:rsid w:val="4350713C"/>
    <w:rsid w:val="43566DE0"/>
    <w:rsid w:val="435D5832"/>
    <w:rsid w:val="43615785"/>
    <w:rsid w:val="436653E0"/>
    <w:rsid w:val="43672D9B"/>
    <w:rsid w:val="4368266F"/>
    <w:rsid w:val="436D237B"/>
    <w:rsid w:val="43727992"/>
    <w:rsid w:val="43733496"/>
    <w:rsid w:val="437901B2"/>
    <w:rsid w:val="43790D20"/>
    <w:rsid w:val="4379487C"/>
    <w:rsid w:val="437B23A2"/>
    <w:rsid w:val="437E6337"/>
    <w:rsid w:val="438433D3"/>
    <w:rsid w:val="43843DC2"/>
    <w:rsid w:val="43866F99"/>
    <w:rsid w:val="438A4CDB"/>
    <w:rsid w:val="438F40A0"/>
    <w:rsid w:val="43902128"/>
    <w:rsid w:val="43930246"/>
    <w:rsid w:val="439711A6"/>
    <w:rsid w:val="43973DCE"/>
    <w:rsid w:val="43A02C8E"/>
    <w:rsid w:val="43A55671"/>
    <w:rsid w:val="43A86F10"/>
    <w:rsid w:val="43AC6A00"/>
    <w:rsid w:val="43AE6F7D"/>
    <w:rsid w:val="43B00525"/>
    <w:rsid w:val="43B14016"/>
    <w:rsid w:val="43B34232"/>
    <w:rsid w:val="43B35FE0"/>
    <w:rsid w:val="43B6162D"/>
    <w:rsid w:val="43B9736F"/>
    <w:rsid w:val="43BB30E7"/>
    <w:rsid w:val="43C006FD"/>
    <w:rsid w:val="43C04259"/>
    <w:rsid w:val="43C24475"/>
    <w:rsid w:val="43C401ED"/>
    <w:rsid w:val="43C71A8C"/>
    <w:rsid w:val="43C81360"/>
    <w:rsid w:val="43C8760E"/>
    <w:rsid w:val="43CD667C"/>
    <w:rsid w:val="43CE2E1A"/>
    <w:rsid w:val="43D45F57"/>
    <w:rsid w:val="43DD305D"/>
    <w:rsid w:val="43DE6DD5"/>
    <w:rsid w:val="43E02B4D"/>
    <w:rsid w:val="43E36C7A"/>
    <w:rsid w:val="43EE526A"/>
    <w:rsid w:val="43F14D5A"/>
    <w:rsid w:val="43F62371"/>
    <w:rsid w:val="44022AC4"/>
    <w:rsid w:val="4404683C"/>
    <w:rsid w:val="44071E88"/>
    <w:rsid w:val="440C749E"/>
    <w:rsid w:val="440E3217"/>
    <w:rsid w:val="441069D6"/>
    <w:rsid w:val="441445A5"/>
    <w:rsid w:val="44150A49"/>
    <w:rsid w:val="44175E54"/>
    <w:rsid w:val="441C7F8A"/>
    <w:rsid w:val="441D78FE"/>
    <w:rsid w:val="44202F4A"/>
    <w:rsid w:val="44222311"/>
    <w:rsid w:val="44223EC2"/>
    <w:rsid w:val="44226CC2"/>
    <w:rsid w:val="44246EDE"/>
    <w:rsid w:val="44281AE8"/>
    <w:rsid w:val="442D18F9"/>
    <w:rsid w:val="443D58AA"/>
    <w:rsid w:val="443F7874"/>
    <w:rsid w:val="44450C02"/>
    <w:rsid w:val="44492573"/>
    <w:rsid w:val="445157F9"/>
    <w:rsid w:val="44550E45"/>
    <w:rsid w:val="44557097"/>
    <w:rsid w:val="44567ED7"/>
    <w:rsid w:val="445D7CFA"/>
    <w:rsid w:val="446175D3"/>
    <w:rsid w:val="44625310"/>
    <w:rsid w:val="44661A1F"/>
    <w:rsid w:val="4467501D"/>
    <w:rsid w:val="446B0669"/>
    <w:rsid w:val="446E2DED"/>
    <w:rsid w:val="4473751E"/>
    <w:rsid w:val="4486116B"/>
    <w:rsid w:val="44872FC9"/>
    <w:rsid w:val="448B5623"/>
    <w:rsid w:val="448E06BB"/>
    <w:rsid w:val="448E7078"/>
    <w:rsid w:val="44901E7E"/>
    <w:rsid w:val="44A616A1"/>
    <w:rsid w:val="44A8626A"/>
    <w:rsid w:val="44A973E3"/>
    <w:rsid w:val="44AB4F09"/>
    <w:rsid w:val="44AE67A8"/>
    <w:rsid w:val="44B042CE"/>
    <w:rsid w:val="44B244EA"/>
    <w:rsid w:val="44B5165A"/>
    <w:rsid w:val="44B518E4"/>
    <w:rsid w:val="44B60AAD"/>
    <w:rsid w:val="44B738AE"/>
    <w:rsid w:val="44B83DE4"/>
    <w:rsid w:val="44B85878"/>
    <w:rsid w:val="44BE2E8F"/>
    <w:rsid w:val="44BF2763"/>
    <w:rsid w:val="44C10289"/>
    <w:rsid w:val="44C4421D"/>
    <w:rsid w:val="44C61D43"/>
    <w:rsid w:val="44CB0EE8"/>
    <w:rsid w:val="44CB1108"/>
    <w:rsid w:val="44CB3B1B"/>
    <w:rsid w:val="44CD14E0"/>
    <w:rsid w:val="44CF1BF0"/>
    <w:rsid w:val="44D0671E"/>
    <w:rsid w:val="44D34460"/>
    <w:rsid w:val="44D37FBC"/>
    <w:rsid w:val="44E4041B"/>
    <w:rsid w:val="44E4666D"/>
    <w:rsid w:val="44E81CBA"/>
    <w:rsid w:val="44E83CA9"/>
    <w:rsid w:val="44F06DC0"/>
    <w:rsid w:val="44F42EE1"/>
    <w:rsid w:val="44F63F31"/>
    <w:rsid w:val="44F71EFD"/>
    <w:rsid w:val="44F85C75"/>
    <w:rsid w:val="44F87A23"/>
    <w:rsid w:val="44FA379B"/>
    <w:rsid w:val="44FA4815"/>
    <w:rsid w:val="44FE772F"/>
    <w:rsid w:val="45034D45"/>
    <w:rsid w:val="45097E82"/>
    <w:rsid w:val="450D7972"/>
    <w:rsid w:val="4511711A"/>
    <w:rsid w:val="451231DA"/>
    <w:rsid w:val="45141548"/>
    <w:rsid w:val="451505D5"/>
    <w:rsid w:val="45156827"/>
    <w:rsid w:val="4517434D"/>
    <w:rsid w:val="451A3E3D"/>
    <w:rsid w:val="451E56DB"/>
    <w:rsid w:val="452409D7"/>
    <w:rsid w:val="45246A6A"/>
    <w:rsid w:val="4528655A"/>
    <w:rsid w:val="452F5B3A"/>
    <w:rsid w:val="453250A1"/>
    <w:rsid w:val="453D4D6F"/>
    <w:rsid w:val="454315E6"/>
    <w:rsid w:val="454A2974"/>
    <w:rsid w:val="45505AB1"/>
    <w:rsid w:val="45515F3F"/>
    <w:rsid w:val="455235D7"/>
    <w:rsid w:val="45561AB0"/>
    <w:rsid w:val="45596713"/>
    <w:rsid w:val="455A06DD"/>
    <w:rsid w:val="455A248C"/>
    <w:rsid w:val="45637592"/>
    <w:rsid w:val="456652D4"/>
    <w:rsid w:val="4568104C"/>
    <w:rsid w:val="456926CF"/>
    <w:rsid w:val="456E41DF"/>
    <w:rsid w:val="456E4C88"/>
    <w:rsid w:val="456F738A"/>
    <w:rsid w:val="457479F1"/>
    <w:rsid w:val="457C0A82"/>
    <w:rsid w:val="457E5811"/>
    <w:rsid w:val="458946E9"/>
    <w:rsid w:val="459040FF"/>
    <w:rsid w:val="45911A11"/>
    <w:rsid w:val="45986D8C"/>
    <w:rsid w:val="45992C39"/>
    <w:rsid w:val="45992FB4"/>
    <w:rsid w:val="459B4382"/>
    <w:rsid w:val="45A007E6"/>
    <w:rsid w:val="45A16D05"/>
    <w:rsid w:val="45AD4CB1"/>
    <w:rsid w:val="45AE54CB"/>
    <w:rsid w:val="45B1654F"/>
    <w:rsid w:val="45B26679"/>
    <w:rsid w:val="45B61DB8"/>
    <w:rsid w:val="45B63B66"/>
    <w:rsid w:val="45BD302C"/>
    <w:rsid w:val="45C16A25"/>
    <w:rsid w:val="45CA13BF"/>
    <w:rsid w:val="45CA1598"/>
    <w:rsid w:val="45CA7611"/>
    <w:rsid w:val="45CC5137"/>
    <w:rsid w:val="45CF69D6"/>
    <w:rsid w:val="45D65FB6"/>
    <w:rsid w:val="45DA5812"/>
    <w:rsid w:val="45DE130F"/>
    <w:rsid w:val="45E17E9C"/>
    <w:rsid w:val="45E5269D"/>
    <w:rsid w:val="45E71F71"/>
    <w:rsid w:val="45E87A97"/>
    <w:rsid w:val="45EE5554"/>
    <w:rsid w:val="45F11042"/>
    <w:rsid w:val="45F244DE"/>
    <w:rsid w:val="45F4653A"/>
    <w:rsid w:val="45F67B77"/>
    <w:rsid w:val="45F97EF6"/>
    <w:rsid w:val="45FB654D"/>
    <w:rsid w:val="46001285"/>
    <w:rsid w:val="46014AB2"/>
    <w:rsid w:val="46032B23"/>
    <w:rsid w:val="460C70AB"/>
    <w:rsid w:val="46113D93"/>
    <w:rsid w:val="46146ADE"/>
    <w:rsid w:val="4618037D"/>
    <w:rsid w:val="46184820"/>
    <w:rsid w:val="461B1C1B"/>
    <w:rsid w:val="461D1E37"/>
    <w:rsid w:val="461F516B"/>
    <w:rsid w:val="46207231"/>
    <w:rsid w:val="46244F73"/>
    <w:rsid w:val="46256F3D"/>
    <w:rsid w:val="462907DC"/>
    <w:rsid w:val="462A65A2"/>
    <w:rsid w:val="462C02CC"/>
    <w:rsid w:val="462C5BD6"/>
    <w:rsid w:val="462E5CB9"/>
    <w:rsid w:val="46357180"/>
    <w:rsid w:val="46377A12"/>
    <w:rsid w:val="463902F3"/>
    <w:rsid w:val="463A1ECC"/>
    <w:rsid w:val="463D7073"/>
    <w:rsid w:val="463E0D14"/>
    <w:rsid w:val="4646138E"/>
    <w:rsid w:val="464F5C0D"/>
    <w:rsid w:val="46503FBA"/>
    <w:rsid w:val="46511AE0"/>
    <w:rsid w:val="465515D1"/>
    <w:rsid w:val="46584C1D"/>
    <w:rsid w:val="465D66D7"/>
    <w:rsid w:val="4665558C"/>
    <w:rsid w:val="46670B8F"/>
    <w:rsid w:val="4674757D"/>
    <w:rsid w:val="46753A21"/>
    <w:rsid w:val="46770F87"/>
    <w:rsid w:val="467852BF"/>
    <w:rsid w:val="467B090B"/>
    <w:rsid w:val="467F21AA"/>
    <w:rsid w:val="46821C9A"/>
    <w:rsid w:val="46873754"/>
    <w:rsid w:val="46921B54"/>
    <w:rsid w:val="469519C5"/>
    <w:rsid w:val="469B2D5C"/>
    <w:rsid w:val="46A61E2C"/>
    <w:rsid w:val="46AD52B3"/>
    <w:rsid w:val="46AE0CE1"/>
    <w:rsid w:val="46B300A5"/>
    <w:rsid w:val="46B362F7"/>
    <w:rsid w:val="46BB787A"/>
    <w:rsid w:val="46BC0A08"/>
    <w:rsid w:val="46BD2CD2"/>
    <w:rsid w:val="46BF2EEE"/>
    <w:rsid w:val="46BF4C9C"/>
    <w:rsid w:val="46C04C97"/>
    <w:rsid w:val="46C9474D"/>
    <w:rsid w:val="46CD355E"/>
    <w:rsid w:val="46D00C57"/>
    <w:rsid w:val="46D36999"/>
    <w:rsid w:val="46D5626E"/>
    <w:rsid w:val="46D70238"/>
    <w:rsid w:val="46D955A7"/>
    <w:rsid w:val="46D97270"/>
    <w:rsid w:val="46DB13AA"/>
    <w:rsid w:val="46DC7CBE"/>
    <w:rsid w:val="46DD15C6"/>
    <w:rsid w:val="46E02B43"/>
    <w:rsid w:val="46E22739"/>
    <w:rsid w:val="46E26BDC"/>
    <w:rsid w:val="46E42955"/>
    <w:rsid w:val="46E44703"/>
    <w:rsid w:val="46E93AC7"/>
    <w:rsid w:val="46ED0E13"/>
    <w:rsid w:val="46F13E60"/>
    <w:rsid w:val="46F56910"/>
    <w:rsid w:val="46F72688"/>
    <w:rsid w:val="47044DA5"/>
    <w:rsid w:val="470923BB"/>
    <w:rsid w:val="470E2EE7"/>
    <w:rsid w:val="470E352E"/>
    <w:rsid w:val="470E79D1"/>
    <w:rsid w:val="471054F8"/>
    <w:rsid w:val="47133957"/>
    <w:rsid w:val="4714323A"/>
    <w:rsid w:val="471919C1"/>
    <w:rsid w:val="471A69C9"/>
    <w:rsid w:val="471F1BDF"/>
    <w:rsid w:val="471F398D"/>
    <w:rsid w:val="472114B3"/>
    <w:rsid w:val="47250D5F"/>
    <w:rsid w:val="472745EF"/>
    <w:rsid w:val="472965B9"/>
    <w:rsid w:val="472D42FC"/>
    <w:rsid w:val="472F1A08"/>
    <w:rsid w:val="473236C0"/>
    <w:rsid w:val="47332F94"/>
    <w:rsid w:val="47342495"/>
    <w:rsid w:val="47356D0C"/>
    <w:rsid w:val="47370CD6"/>
    <w:rsid w:val="4737208D"/>
    <w:rsid w:val="473A4147"/>
    <w:rsid w:val="473E02B7"/>
    <w:rsid w:val="473E2065"/>
    <w:rsid w:val="4743767B"/>
    <w:rsid w:val="474451A1"/>
    <w:rsid w:val="47484C91"/>
    <w:rsid w:val="47494EBF"/>
    <w:rsid w:val="47503B46"/>
    <w:rsid w:val="47507FEA"/>
    <w:rsid w:val="475353E4"/>
    <w:rsid w:val="47543636"/>
    <w:rsid w:val="47571378"/>
    <w:rsid w:val="475911F7"/>
    <w:rsid w:val="475E6263"/>
    <w:rsid w:val="47613FA5"/>
    <w:rsid w:val="47680E90"/>
    <w:rsid w:val="477041E8"/>
    <w:rsid w:val="477737C9"/>
    <w:rsid w:val="477912EF"/>
    <w:rsid w:val="4779329E"/>
    <w:rsid w:val="477E6905"/>
    <w:rsid w:val="47811F51"/>
    <w:rsid w:val="478A7058"/>
    <w:rsid w:val="478F0FE7"/>
    <w:rsid w:val="478F466E"/>
    <w:rsid w:val="47901267"/>
    <w:rsid w:val="47955FA7"/>
    <w:rsid w:val="479D0AC1"/>
    <w:rsid w:val="479E48B1"/>
    <w:rsid w:val="479E6FA7"/>
    <w:rsid w:val="47A07E0C"/>
    <w:rsid w:val="47A619B8"/>
    <w:rsid w:val="47A829EE"/>
    <w:rsid w:val="47AA594C"/>
    <w:rsid w:val="47AB5220"/>
    <w:rsid w:val="47AD0F98"/>
    <w:rsid w:val="47B746AA"/>
    <w:rsid w:val="47B916EB"/>
    <w:rsid w:val="47BC11DC"/>
    <w:rsid w:val="47BE4F54"/>
    <w:rsid w:val="47BE6D02"/>
    <w:rsid w:val="47BF7F9B"/>
    <w:rsid w:val="47C6205A"/>
    <w:rsid w:val="47CA7D9C"/>
    <w:rsid w:val="47CF7161"/>
    <w:rsid w:val="47D26C51"/>
    <w:rsid w:val="47DB3D58"/>
    <w:rsid w:val="47DB5B06"/>
    <w:rsid w:val="47DC3CA8"/>
    <w:rsid w:val="47DC523D"/>
    <w:rsid w:val="47DD7AD0"/>
    <w:rsid w:val="47DF34E2"/>
    <w:rsid w:val="47E524E0"/>
    <w:rsid w:val="47E66258"/>
    <w:rsid w:val="47E81FD1"/>
    <w:rsid w:val="47EF37F7"/>
    <w:rsid w:val="47F6293F"/>
    <w:rsid w:val="47FE17F4"/>
    <w:rsid w:val="48030BB8"/>
    <w:rsid w:val="48054931"/>
    <w:rsid w:val="480701F9"/>
    <w:rsid w:val="480A136E"/>
    <w:rsid w:val="480B5E1D"/>
    <w:rsid w:val="481903DC"/>
    <w:rsid w:val="481D7ECC"/>
    <w:rsid w:val="481E59F2"/>
    <w:rsid w:val="481F27F7"/>
    <w:rsid w:val="4820176A"/>
    <w:rsid w:val="48221986"/>
    <w:rsid w:val="48270D4B"/>
    <w:rsid w:val="482B265C"/>
    <w:rsid w:val="482C6361"/>
    <w:rsid w:val="482D3E87"/>
    <w:rsid w:val="48335D86"/>
    <w:rsid w:val="483416BA"/>
    <w:rsid w:val="48345216"/>
    <w:rsid w:val="483671E0"/>
    <w:rsid w:val="483E7E42"/>
    <w:rsid w:val="484216E1"/>
    <w:rsid w:val="48441473"/>
    <w:rsid w:val="48457423"/>
    <w:rsid w:val="4847319B"/>
    <w:rsid w:val="48484C47"/>
    <w:rsid w:val="484C255F"/>
    <w:rsid w:val="484E0AD2"/>
    <w:rsid w:val="485338EE"/>
    <w:rsid w:val="485633DE"/>
    <w:rsid w:val="48580F04"/>
    <w:rsid w:val="485853A8"/>
    <w:rsid w:val="485B4F92"/>
    <w:rsid w:val="485E2293"/>
    <w:rsid w:val="48627FD5"/>
    <w:rsid w:val="48642021"/>
    <w:rsid w:val="48645AFB"/>
    <w:rsid w:val="48650157"/>
    <w:rsid w:val="4867383D"/>
    <w:rsid w:val="48690C2E"/>
    <w:rsid w:val="486A1C17"/>
    <w:rsid w:val="486D24D6"/>
    <w:rsid w:val="486E0728"/>
    <w:rsid w:val="4870272E"/>
    <w:rsid w:val="48723461"/>
    <w:rsid w:val="487675DC"/>
    <w:rsid w:val="487A051B"/>
    <w:rsid w:val="487B1097"/>
    <w:rsid w:val="487C1662"/>
    <w:rsid w:val="48825F81"/>
    <w:rsid w:val="48831CF9"/>
    <w:rsid w:val="48867CD4"/>
    <w:rsid w:val="4889543F"/>
    <w:rsid w:val="48897310"/>
    <w:rsid w:val="488C32A4"/>
    <w:rsid w:val="488F68F0"/>
    <w:rsid w:val="489D2DBB"/>
    <w:rsid w:val="48A36846"/>
    <w:rsid w:val="48A4239B"/>
    <w:rsid w:val="48A534D7"/>
    <w:rsid w:val="48A64365"/>
    <w:rsid w:val="48A73C3A"/>
    <w:rsid w:val="48AA54D8"/>
    <w:rsid w:val="48B325DE"/>
    <w:rsid w:val="48B9571B"/>
    <w:rsid w:val="48BA396D"/>
    <w:rsid w:val="48BA59AE"/>
    <w:rsid w:val="48BB2C0D"/>
    <w:rsid w:val="48BB7D26"/>
    <w:rsid w:val="48BC0D87"/>
    <w:rsid w:val="48BD345D"/>
    <w:rsid w:val="48C04CFB"/>
    <w:rsid w:val="48C04DCB"/>
    <w:rsid w:val="48C26CC5"/>
    <w:rsid w:val="48C4659A"/>
    <w:rsid w:val="48C742DC"/>
    <w:rsid w:val="48C90054"/>
    <w:rsid w:val="48CA7928"/>
    <w:rsid w:val="48CD108C"/>
    <w:rsid w:val="48CD2E1A"/>
    <w:rsid w:val="48D80297"/>
    <w:rsid w:val="48DB1977"/>
    <w:rsid w:val="48DC7D87"/>
    <w:rsid w:val="48DF0B70"/>
    <w:rsid w:val="48E00EFA"/>
    <w:rsid w:val="48EA7AFE"/>
    <w:rsid w:val="48F350D1"/>
    <w:rsid w:val="48FA2E41"/>
    <w:rsid w:val="48FA645F"/>
    <w:rsid w:val="48FC21D7"/>
    <w:rsid w:val="48FF3A76"/>
    <w:rsid w:val="49044BE8"/>
    <w:rsid w:val="490D78A6"/>
    <w:rsid w:val="490E1F0B"/>
    <w:rsid w:val="490E2E80"/>
    <w:rsid w:val="490F3BD6"/>
    <w:rsid w:val="491312CF"/>
    <w:rsid w:val="491A265E"/>
    <w:rsid w:val="491D5CAA"/>
    <w:rsid w:val="491F1F8A"/>
    <w:rsid w:val="491F7C74"/>
    <w:rsid w:val="492139EC"/>
    <w:rsid w:val="49227764"/>
    <w:rsid w:val="49255DFC"/>
    <w:rsid w:val="492732ED"/>
    <w:rsid w:val="49276B29"/>
    <w:rsid w:val="492D05E3"/>
    <w:rsid w:val="49331971"/>
    <w:rsid w:val="4933371F"/>
    <w:rsid w:val="49357497"/>
    <w:rsid w:val="49362ED7"/>
    <w:rsid w:val="49385C0C"/>
    <w:rsid w:val="493C4382"/>
    <w:rsid w:val="493D3419"/>
    <w:rsid w:val="493F0316"/>
    <w:rsid w:val="493F54EA"/>
    <w:rsid w:val="49410206"/>
    <w:rsid w:val="49442815"/>
    <w:rsid w:val="494816E4"/>
    <w:rsid w:val="494B0A69"/>
    <w:rsid w:val="494B472D"/>
    <w:rsid w:val="494B6CBB"/>
    <w:rsid w:val="49585496"/>
    <w:rsid w:val="495A6EFE"/>
    <w:rsid w:val="495F2766"/>
    <w:rsid w:val="496D7F4F"/>
    <w:rsid w:val="496F62BB"/>
    <w:rsid w:val="497266D3"/>
    <w:rsid w:val="4977360C"/>
    <w:rsid w:val="49777AB0"/>
    <w:rsid w:val="498015D8"/>
    <w:rsid w:val="49804BB7"/>
    <w:rsid w:val="49815D26"/>
    <w:rsid w:val="49816239"/>
    <w:rsid w:val="49817C4D"/>
    <w:rsid w:val="49875199"/>
    <w:rsid w:val="49885DAF"/>
    <w:rsid w:val="498A77E3"/>
    <w:rsid w:val="499046CE"/>
    <w:rsid w:val="499441BE"/>
    <w:rsid w:val="49946280"/>
    <w:rsid w:val="49951AC7"/>
    <w:rsid w:val="49957F36"/>
    <w:rsid w:val="49973CAE"/>
    <w:rsid w:val="499A452E"/>
    <w:rsid w:val="499B7670"/>
    <w:rsid w:val="499F2B63"/>
    <w:rsid w:val="49A03A49"/>
    <w:rsid w:val="49A32653"/>
    <w:rsid w:val="49A3380F"/>
    <w:rsid w:val="49A50A8A"/>
    <w:rsid w:val="49A81A70"/>
    <w:rsid w:val="49A918FB"/>
    <w:rsid w:val="49AA1FDC"/>
    <w:rsid w:val="49AA31B5"/>
    <w:rsid w:val="49AB775A"/>
    <w:rsid w:val="49AE2DA6"/>
    <w:rsid w:val="49AF0FF8"/>
    <w:rsid w:val="49BA799D"/>
    <w:rsid w:val="49BC2721"/>
    <w:rsid w:val="49C56A6D"/>
    <w:rsid w:val="49CF169A"/>
    <w:rsid w:val="49D2118A"/>
    <w:rsid w:val="49D40682"/>
    <w:rsid w:val="49D61FF8"/>
    <w:rsid w:val="49D7054F"/>
    <w:rsid w:val="49D767A1"/>
    <w:rsid w:val="49D96147"/>
    <w:rsid w:val="49DB5E2A"/>
    <w:rsid w:val="49DC3DB7"/>
    <w:rsid w:val="49DC7715"/>
    <w:rsid w:val="49E01723"/>
    <w:rsid w:val="49E07403"/>
    <w:rsid w:val="49E1317B"/>
    <w:rsid w:val="49E968C3"/>
    <w:rsid w:val="49EC224C"/>
    <w:rsid w:val="49EF3AEA"/>
    <w:rsid w:val="49F033BE"/>
    <w:rsid w:val="49F92273"/>
    <w:rsid w:val="49FB423D"/>
    <w:rsid w:val="49FC1D63"/>
    <w:rsid w:val="49FD6207"/>
    <w:rsid w:val="4A001853"/>
    <w:rsid w:val="4A023139"/>
    <w:rsid w:val="4A0328F9"/>
    <w:rsid w:val="4A044A63"/>
    <w:rsid w:val="4A064990"/>
    <w:rsid w:val="4A0B1011"/>
    <w:rsid w:val="4A0D21C2"/>
    <w:rsid w:val="4A0D5D1E"/>
    <w:rsid w:val="4A0F5F3A"/>
    <w:rsid w:val="4A0F7CE8"/>
    <w:rsid w:val="4A11580F"/>
    <w:rsid w:val="4A17094B"/>
    <w:rsid w:val="4A174DEF"/>
    <w:rsid w:val="4A1E5D46"/>
    <w:rsid w:val="4A1E617D"/>
    <w:rsid w:val="4A247CED"/>
    <w:rsid w:val="4A253068"/>
    <w:rsid w:val="4A27000B"/>
    <w:rsid w:val="4A2819C9"/>
    <w:rsid w:val="4A2C2648"/>
    <w:rsid w:val="4A2D7C0C"/>
    <w:rsid w:val="4A312113"/>
    <w:rsid w:val="4A3239D7"/>
    <w:rsid w:val="4A353E64"/>
    <w:rsid w:val="4A3634C7"/>
    <w:rsid w:val="4A38723F"/>
    <w:rsid w:val="4A392FB7"/>
    <w:rsid w:val="4A3B0ADD"/>
    <w:rsid w:val="4A3C70D0"/>
    <w:rsid w:val="4A3D2AA8"/>
    <w:rsid w:val="4A435BE4"/>
    <w:rsid w:val="4A4756D4"/>
    <w:rsid w:val="4A492030"/>
    <w:rsid w:val="4A4D606C"/>
    <w:rsid w:val="4A5D6CA6"/>
    <w:rsid w:val="4A600544"/>
    <w:rsid w:val="4A6022F2"/>
    <w:rsid w:val="4A633B90"/>
    <w:rsid w:val="4A6873F9"/>
    <w:rsid w:val="4A695243"/>
    <w:rsid w:val="4A6A3171"/>
    <w:rsid w:val="4A730277"/>
    <w:rsid w:val="4A767D68"/>
    <w:rsid w:val="4A791606"/>
    <w:rsid w:val="4A7A7858"/>
    <w:rsid w:val="4A7B576F"/>
    <w:rsid w:val="4A7D4C52"/>
    <w:rsid w:val="4A7E09CA"/>
    <w:rsid w:val="4A82495E"/>
    <w:rsid w:val="4A82670C"/>
    <w:rsid w:val="4A851D59"/>
    <w:rsid w:val="4A857FAB"/>
    <w:rsid w:val="4A8C38A0"/>
    <w:rsid w:val="4A8E09AD"/>
    <w:rsid w:val="4A8F4985"/>
    <w:rsid w:val="4A914BA1"/>
    <w:rsid w:val="4A987CDE"/>
    <w:rsid w:val="4A9B05A9"/>
    <w:rsid w:val="4A9B77CE"/>
    <w:rsid w:val="4A9D52F4"/>
    <w:rsid w:val="4AA2290B"/>
    <w:rsid w:val="4AA30431"/>
    <w:rsid w:val="4AA743C5"/>
    <w:rsid w:val="4AAA6481"/>
    <w:rsid w:val="4AAD305D"/>
    <w:rsid w:val="4AAE5753"/>
    <w:rsid w:val="4AAF6887"/>
    <w:rsid w:val="4AB04516"/>
    <w:rsid w:val="4AB16FF2"/>
    <w:rsid w:val="4AB50890"/>
    <w:rsid w:val="4ABA7398"/>
    <w:rsid w:val="4ABD30CC"/>
    <w:rsid w:val="4ABE5084"/>
    <w:rsid w:val="4AC07235"/>
    <w:rsid w:val="4AC14F54"/>
    <w:rsid w:val="4ACA3C0F"/>
    <w:rsid w:val="4AD11442"/>
    <w:rsid w:val="4AD36F68"/>
    <w:rsid w:val="4AD5073A"/>
    <w:rsid w:val="4AD60806"/>
    <w:rsid w:val="4AD8632C"/>
    <w:rsid w:val="4ADD0B44"/>
    <w:rsid w:val="4ADE7383"/>
    <w:rsid w:val="4ADF355A"/>
    <w:rsid w:val="4AE051E1"/>
    <w:rsid w:val="4AE5022F"/>
    <w:rsid w:val="4AE7656F"/>
    <w:rsid w:val="4AE76CFB"/>
    <w:rsid w:val="4AEA4061"/>
    <w:rsid w:val="4AEE3DA2"/>
    <w:rsid w:val="4AEE5B50"/>
    <w:rsid w:val="4AF3760A"/>
    <w:rsid w:val="4AF60EA8"/>
    <w:rsid w:val="4AF95AE8"/>
    <w:rsid w:val="4AFB026D"/>
    <w:rsid w:val="4AFE2ACC"/>
    <w:rsid w:val="4B045373"/>
    <w:rsid w:val="4B0B6702"/>
    <w:rsid w:val="4B0E2E17"/>
    <w:rsid w:val="4B117926"/>
    <w:rsid w:val="4B15132F"/>
    <w:rsid w:val="4B1530DD"/>
    <w:rsid w:val="4B182BCD"/>
    <w:rsid w:val="4B187071"/>
    <w:rsid w:val="4B1A06F3"/>
    <w:rsid w:val="4B1A6945"/>
    <w:rsid w:val="4B1C0C8A"/>
    <w:rsid w:val="4B1D4687"/>
    <w:rsid w:val="4B271062"/>
    <w:rsid w:val="4B2A0FBC"/>
    <w:rsid w:val="4B2C48CA"/>
    <w:rsid w:val="4B307F16"/>
    <w:rsid w:val="4B3774F7"/>
    <w:rsid w:val="4B386DCB"/>
    <w:rsid w:val="4B3B7271"/>
    <w:rsid w:val="4B3F0159"/>
    <w:rsid w:val="4B471143"/>
    <w:rsid w:val="4B48362D"/>
    <w:rsid w:val="4B4B4D50"/>
    <w:rsid w:val="4B4C2876"/>
    <w:rsid w:val="4B4E4879"/>
    <w:rsid w:val="4B524331"/>
    <w:rsid w:val="4B5856BF"/>
    <w:rsid w:val="4B5C0D0B"/>
    <w:rsid w:val="4B5F07FC"/>
    <w:rsid w:val="4B5F09E6"/>
    <w:rsid w:val="4B6422B6"/>
    <w:rsid w:val="4B6573C5"/>
    <w:rsid w:val="4B667DDC"/>
    <w:rsid w:val="4B6814D6"/>
    <w:rsid w:val="4B681D46"/>
    <w:rsid w:val="4B683B54"/>
    <w:rsid w:val="4B6978CC"/>
    <w:rsid w:val="4B6C4CC7"/>
    <w:rsid w:val="4B6D2F19"/>
    <w:rsid w:val="4B702A09"/>
    <w:rsid w:val="4B70365A"/>
    <w:rsid w:val="4B777E35"/>
    <w:rsid w:val="4B797B0F"/>
    <w:rsid w:val="4B7C13AE"/>
    <w:rsid w:val="4B7D0C82"/>
    <w:rsid w:val="4B7D55E8"/>
    <w:rsid w:val="4B7F2C4C"/>
    <w:rsid w:val="4B83098E"/>
    <w:rsid w:val="4B842010"/>
    <w:rsid w:val="4B8509FE"/>
    <w:rsid w:val="4B865D88"/>
    <w:rsid w:val="4B9506C1"/>
    <w:rsid w:val="4B977F95"/>
    <w:rsid w:val="4B9A1834"/>
    <w:rsid w:val="4B9E1324"/>
    <w:rsid w:val="4B9F509C"/>
    <w:rsid w:val="4BA10E14"/>
    <w:rsid w:val="4BA34B8C"/>
    <w:rsid w:val="4BA426B2"/>
    <w:rsid w:val="4BA821A3"/>
    <w:rsid w:val="4BA97CC9"/>
    <w:rsid w:val="4BAB57EF"/>
    <w:rsid w:val="4BAD5A0B"/>
    <w:rsid w:val="4BB26B7D"/>
    <w:rsid w:val="4BB328F5"/>
    <w:rsid w:val="4BB5041C"/>
    <w:rsid w:val="4BB52B12"/>
    <w:rsid w:val="4BBA3C84"/>
    <w:rsid w:val="4BBC5C4E"/>
    <w:rsid w:val="4BBF594C"/>
    <w:rsid w:val="4BC863A1"/>
    <w:rsid w:val="4BC93E36"/>
    <w:rsid w:val="4BCE14DD"/>
    <w:rsid w:val="4BD3035B"/>
    <w:rsid w:val="4BD626E7"/>
    <w:rsid w:val="4BD755BD"/>
    <w:rsid w:val="4BD765E4"/>
    <w:rsid w:val="4BD94FE4"/>
    <w:rsid w:val="4BD9720A"/>
    <w:rsid w:val="4BDA60D4"/>
    <w:rsid w:val="4BDE3E16"/>
    <w:rsid w:val="4BDE7972"/>
    <w:rsid w:val="4BE156B5"/>
    <w:rsid w:val="4BE45A77"/>
    <w:rsid w:val="4BE64A79"/>
    <w:rsid w:val="4BEA27BB"/>
    <w:rsid w:val="4BEB6533"/>
    <w:rsid w:val="4BF54CBC"/>
    <w:rsid w:val="4BF70A34"/>
    <w:rsid w:val="4BF74ED8"/>
    <w:rsid w:val="4BF76165"/>
    <w:rsid w:val="4BF90C50"/>
    <w:rsid w:val="4BFC604B"/>
    <w:rsid w:val="4C0118B3"/>
    <w:rsid w:val="4C0D2006"/>
    <w:rsid w:val="4C0D64AA"/>
    <w:rsid w:val="4C107D48"/>
    <w:rsid w:val="4C12586E"/>
    <w:rsid w:val="4C15535E"/>
    <w:rsid w:val="4C177328"/>
    <w:rsid w:val="4C196BFC"/>
    <w:rsid w:val="4C1B2975"/>
    <w:rsid w:val="4C1E2465"/>
    <w:rsid w:val="4C207F8B"/>
    <w:rsid w:val="4C215AB1"/>
    <w:rsid w:val="4C2832E3"/>
    <w:rsid w:val="4C2E62DB"/>
    <w:rsid w:val="4C2F01CE"/>
    <w:rsid w:val="4C304E69"/>
    <w:rsid w:val="4C3103EA"/>
    <w:rsid w:val="4C343841"/>
    <w:rsid w:val="4C3B6274"/>
    <w:rsid w:val="4C3C28EB"/>
    <w:rsid w:val="4C42680C"/>
    <w:rsid w:val="4C4338E3"/>
    <w:rsid w:val="4C435948"/>
    <w:rsid w:val="4C4A0649"/>
    <w:rsid w:val="4C4A2479"/>
    <w:rsid w:val="4C4C6FD2"/>
    <w:rsid w:val="4C51283A"/>
    <w:rsid w:val="4C516396"/>
    <w:rsid w:val="4C5E1AE1"/>
    <w:rsid w:val="4C63431C"/>
    <w:rsid w:val="4C675BBA"/>
    <w:rsid w:val="4C6836E0"/>
    <w:rsid w:val="4C6B091A"/>
    <w:rsid w:val="4C716A38"/>
    <w:rsid w:val="4C744019"/>
    <w:rsid w:val="4C786019"/>
    <w:rsid w:val="4C793B3F"/>
    <w:rsid w:val="4C7C718B"/>
    <w:rsid w:val="4C804ECE"/>
    <w:rsid w:val="4C8147A2"/>
    <w:rsid w:val="4C9857B2"/>
    <w:rsid w:val="4C9D782D"/>
    <w:rsid w:val="4CA02E7A"/>
    <w:rsid w:val="4CA26BF2"/>
    <w:rsid w:val="4CA412EE"/>
    <w:rsid w:val="4CA50490"/>
    <w:rsid w:val="4CA961D2"/>
    <w:rsid w:val="4CAE1A3B"/>
    <w:rsid w:val="4CB16E35"/>
    <w:rsid w:val="4CB22BAD"/>
    <w:rsid w:val="4CB32CFF"/>
    <w:rsid w:val="4CBF59F6"/>
    <w:rsid w:val="4CC0176E"/>
    <w:rsid w:val="4CC2206D"/>
    <w:rsid w:val="4CC4300C"/>
    <w:rsid w:val="4CC528E0"/>
    <w:rsid w:val="4CC622E8"/>
    <w:rsid w:val="4CC72AFC"/>
    <w:rsid w:val="4CCE58CF"/>
    <w:rsid w:val="4CCF375F"/>
    <w:rsid w:val="4CD15729"/>
    <w:rsid w:val="4CD40D75"/>
    <w:rsid w:val="4CD62D3F"/>
    <w:rsid w:val="4CD82614"/>
    <w:rsid w:val="4CDD5E7C"/>
    <w:rsid w:val="4CDE0C9F"/>
    <w:rsid w:val="4CDE39A2"/>
    <w:rsid w:val="4CE30FB8"/>
    <w:rsid w:val="4CE42B3C"/>
    <w:rsid w:val="4CE470D3"/>
    <w:rsid w:val="4CEA0599"/>
    <w:rsid w:val="4CEF5BAF"/>
    <w:rsid w:val="4CF077D9"/>
    <w:rsid w:val="4CFB6302"/>
    <w:rsid w:val="4D023C3A"/>
    <w:rsid w:val="4D0347ED"/>
    <w:rsid w:val="4D04450E"/>
    <w:rsid w:val="4D0A4797"/>
    <w:rsid w:val="4D1004F6"/>
    <w:rsid w:val="4D153868"/>
    <w:rsid w:val="4D1D44CA"/>
    <w:rsid w:val="4D20220D"/>
    <w:rsid w:val="4D227D33"/>
    <w:rsid w:val="4D2770F7"/>
    <w:rsid w:val="4D302450"/>
    <w:rsid w:val="4D355CB8"/>
    <w:rsid w:val="4D3B1C54"/>
    <w:rsid w:val="4D3F481B"/>
    <w:rsid w:val="4D410CA2"/>
    <w:rsid w:val="4D41465D"/>
    <w:rsid w:val="4D4203D5"/>
    <w:rsid w:val="4D430005"/>
    <w:rsid w:val="4D467EC5"/>
    <w:rsid w:val="4D4A6344"/>
    <w:rsid w:val="4D4C3002"/>
    <w:rsid w:val="4D4E5624"/>
    <w:rsid w:val="4D5048A0"/>
    <w:rsid w:val="4D511823"/>
    <w:rsid w:val="4D534390"/>
    <w:rsid w:val="4D53613E"/>
    <w:rsid w:val="4D551EB6"/>
    <w:rsid w:val="4D5C1497"/>
    <w:rsid w:val="4D5D0D6B"/>
    <w:rsid w:val="4D5F2D35"/>
    <w:rsid w:val="4D622825"/>
    <w:rsid w:val="4D6473B4"/>
    <w:rsid w:val="4D6E34CC"/>
    <w:rsid w:val="4D70238D"/>
    <w:rsid w:val="4D73058E"/>
    <w:rsid w:val="4D754306"/>
    <w:rsid w:val="4D7762D0"/>
    <w:rsid w:val="4D7F6F33"/>
    <w:rsid w:val="4D806F98"/>
    <w:rsid w:val="4D814A59"/>
    <w:rsid w:val="4D84279B"/>
    <w:rsid w:val="4D8E361A"/>
    <w:rsid w:val="4D8F45EB"/>
    <w:rsid w:val="4D956757"/>
    <w:rsid w:val="4D986247"/>
    <w:rsid w:val="4D9E78F3"/>
    <w:rsid w:val="4DA326D4"/>
    <w:rsid w:val="4DA60964"/>
    <w:rsid w:val="4DA60C49"/>
    <w:rsid w:val="4DA67FC9"/>
    <w:rsid w:val="4DA70238"/>
    <w:rsid w:val="4DA846DC"/>
    <w:rsid w:val="4DA8622E"/>
    <w:rsid w:val="4DAE0572"/>
    <w:rsid w:val="4DAE15C6"/>
    <w:rsid w:val="4DAE7818"/>
    <w:rsid w:val="4DB43081"/>
    <w:rsid w:val="4DB632A5"/>
    <w:rsid w:val="4DC66910"/>
    <w:rsid w:val="4DCD7C9F"/>
    <w:rsid w:val="4DCE2B1A"/>
    <w:rsid w:val="4DD23507"/>
    <w:rsid w:val="4DD24EDF"/>
    <w:rsid w:val="4DDC73DC"/>
    <w:rsid w:val="4DDF5C24"/>
    <w:rsid w:val="4DE21C50"/>
    <w:rsid w:val="4DEC4FB0"/>
    <w:rsid w:val="4DED0341"/>
    <w:rsid w:val="4DED6593"/>
    <w:rsid w:val="4DEF6FAE"/>
    <w:rsid w:val="4DFA0CB0"/>
    <w:rsid w:val="4E037B64"/>
    <w:rsid w:val="4E075D8A"/>
    <w:rsid w:val="4E09200C"/>
    <w:rsid w:val="4E0B07C7"/>
    <w:rsid w:val="4E0F6509"/>
    <w:rsid w:val="4E141D71"/>
    <w:rsid w:val="4E1C6E78"/>
    <w:rsid w:val="4E1E674C"/>
    <w:rsid w:val="4E265601"/>
    <w:rsid w:val="4E2B4904"/>
    <w:rsid w:val="4E2D2E33"/>
    <w:rsid w:val="4E2F00CD"/>
    <w:rsid w:val="4E30022D"/>
    <w:rsid w:val="4E3046D1"/>
    <w:rsid w:val="4E30647F"/>
    <w:rsid w:val="4E361CE8"/>
    <w:rsid w:val="4E377A81"/>
    <w:rsid w:val="4E393586"/>
    <w:rsid w:val="4E3C6BD2"/>
    <w:rsid w:val="4E3E294A"/>
    <w:rsid w:val="4E3E386B"/>
    <w:rsid w:val="4E3E6DEE"/>
    <w:rsid w:val="4E41243B"/>
    <w:rsid w:val="4E4B5067"/>
    <w:rsid w:val="4E4E3531"/>
    <w:rsid w:val="4E4F21B5"/>
    <w:rsid w:val="4E5008D0"/>
    <w:rsid w:val="4E516B22"/>
    <w:rsid w:val="4E52289A"/>
    <w:rsid w:val="4E557B71"/>
    <w:rsid w:val="4E593C28"/>
    <w:rsid w:val="4E5B17E2"/>
    <w:rsid w:val="4E612B82"/>
    <w:rsid w:val="4E65437B"/>
    <w:rsid w:val="4E6C0560"/>
    <w:rsid w:val="4E6C5709"/>
    <w:rsid w:val="4E720DB0"/>
    <w:rsid w:val="4E7445BE"/>
    <w:rsid w:val="4E796078"/>
    <w:rsid w:val="4E870795"/>
    <w:rsid w:val="4E87155B"/>
    <w:rsid w:val="4E87437C"/>
    <w:rsid w:val="4E8C2811"/>
    <w:rsid w:val="4E922C96"/>
    <w:rsid w:val="4E9764FE"/>
    <w:rsid w:val="4E9B7D9D"/>
    <w:rsid w:val="4EA43198"/>
    <w:rsid w:val="4EA84268"/>
    <w:rsid w:val="4EAA6232"/>
    <w:rsid w:val="4EAC3D58"/>
    <w:rsid w:val="4EAF3848"/>
    <w:rsid w:val="4EB3158A"/>
    <w:rsid w:val="4EB64BD7"/>
    <w:rsid w:val="4EB81371"/>
    <w:rsid w:val="4EB90223"/>
    <w:rsid w:val="4EBE7F2F"/>
    <w:rsid w:val="4EC72940"/>
    <w:rsid w:val="4EC8490A"/>
    <w:rsid w:val="4EC927B3"/>
    <w:rsid w:val="4ECA68D4"/>
    <w:rsid w:val="4ED355A0"/>
    <w:rsid w:val="4ED3756D"/>
    <w:rsid w:val="4ED432AF"/>
    <w:rsid w:val="4ED4505D"/>
    <w:rsid w:val="4ED92673"/>
    <w:rsid w:val="4ED96B17"/>
    <w:rsid w:val="4EDB288F"/>
    <w:rsid w:val="4EDB4BC8"/>
    <w:rsid w:val="4EDD03B5"/>
    <w:rsid w:val="4EDE412D"/>
    <w:rsid w:val="4EDF257D"/>
    <w:rsid w:val="4EE17099"/>
    <w:rsid w:val="4EE41F76"/>
    <w:rsid w:val="4EE51C25"/>
    <w:rsid w:val="4EE527CC"/>
    <w:rsid w:val="4EE85483"/>
    <w:rsid w:val="4EEA2AD2"/>
    <w:rsid w:val="4EEC23A6"/>
    <w:rsid w:val="4EEE25C2"/>
    <w:rsid w:val="4EF474AD"/>
    <w:rsid w:val="4EF94AC3"/>
    <w:rsid w:val="4EFD45B3"/>
    <w:rsid w:val="4F0022F6"/>
    <w:rsid w:val="4F033DD3"/>
    <w:rsid w:val="4F053468"/>
    <w:rsid w:val="4F0C0C9A"/>
    <w:rsid w:val="4F0D4088"/>
    <w:rsid w:val="4F0E4A13"/>
    <w:rsid w:val="4F0E67C1"/>
    <w:rsid w:val="4F1638C7"/>
    <w:rsid w:val="4F18319B"/>
    <w:rsid w:val="4F18763F"/>
    <w:rsid w:val="4F1D07B2"/>
    <w:rsid w:val="4F1D2EA8"/>
    <w:rsid w:val="4F202C68"/>
    <w:rsid w:val="4F2908FF"/>
    <w:rsid w:val="4F29184C"/>
    <w:rsid w:val="4F297FE9"/>
    <w:rsid w:val="4F2D0968"/>
    <w:rsid w:val="4F2E29BF"/>
    <w:rsid w:val="4F334479"/>
    <w:rsid w:val="4F361873"/>
    <w:rsid w:val="4F3855EC"/>
    <w:rsid w:val="4F3B1580"/>
    <w:rsid w:val="4F3D70A6"/>
    <w:rsid w:val="4F4847FE"/>
    <w:rsid w:val="4F495A4B"/>
    <w:rsid w:val="4F4A531F"/>
    <w:rsid w:val="4F4C1097"/>
    <w:rsid w:val="4F50502B"/>
    <w:rsid w:val="4F552641"/>
    <w:rsid w:val="4F5A30F9"/>
    <w:rsid w:val="4F5A7C58"/>
    <w:rsid w:val="4F5B752C"/>
    <w:rsid w:val="4F5F0DCA"/>
    <w:rsid w:val="4F5F701C"/>
    <w:rsid w:val="4F6005A7"/>
    <w:rsid w:val="4F602D94"/>
    <w:rsid w:val="4F636270"/>
    <w:rsid w:val="4F6603AB"/>
    <w:rsid w:val="4F6E3703"/>
    <w:rsid w:val="4F702FD7"/>
    <w:rsid w:val="4F704CF0"/>
    <w:rsid w:val="4F732AC8"/>
    <w:rsid w:val="4F7506C0"/>
    <w:rsid w:val="4F7B197C"/>
    <w:rsid w:val="4F7D3946"/>
    <w:rsid w:val="4F7F321A"/>
    <w:rsid w:val="4F884993"/>
    <w:rsid w:val="4F885589"/>
    <w:rsid w:val="4F8B1BBF"/>
    <w:rsid w:val="4F8E237C"/>
    <w:rsid w:val="4F9A62A6"/>
    <w:rsid w:val="4F9D5D96"/>
    <w:rsid w:val="4FA40ED3"/>
    <w:rsid w:val="4FA54744"/>
    <w:rsid w:val="4FA7451F"/>
    <w:rsid w:val="4FAC7D88"/>
    <w:rsid w:val="4FAD422B"/>
    <w:rsid w:val="4FB01626"/>
    <w:rsid w:val="4FB44097"/>
    <w:rsid w:val="4FBD3D43"/>
    <w:rsid w:val="4FBF7ABB"/>
    <w:rsid w:val="4FC13833"/>
    <w:rsid w:val="4FC357FD"/>
    <w:rsid w:val="4FC43323"/>
    <w:rsid w:val="4FC62A8C"/>
    <w:rsid w:val="4FD96283"/>
    <w:rsid w:val="4FDA2B47"/>
    <w:rsid w:val="4FDD1302"/>
    <w:rsid w:val="4FDE2637"/>
    <w:rsid w:val="4FE20F0D"/>
    <w:rsid w:val="4FE47521"/>
    <w:rsid w:val="4FE87012"/>
    <w:rsid w:val="4FED182E"/>
    <w:rsid w:val="4FED4628"/>
    <w:rsid w:val="4FF37764"/>
    <w:rsid w:val="4FF9121F"/>
    <w:rsid w:val="4FFA5313"/>
    <w:rsid w:val="4FFA6D45"/>
    <w:rsid w:val="4FFD05E3"/>
    <w:rsid w:val="5006393C"/>
    <w:rsid w:val="500656EA"/>
    <w:rsid w:val="500B0F52"/>
    <w:rsid w:val="500D0826"/>
    <w:rsid w:val="50100316"/>
    <w:rsid w:val="501047BA"/>
    <w:rsid w:val="501279DB"/>
    <w:rsid w:val="50153B7F"/>
    <w:rsid w:val="501B6F55"/>
    <w:rsid w:val="501E5995"/>
    <w:rsid w:val="501F67AB"/>
    <w:rsid w:val="50212524"/>
    <w:rsid w:val="502301D1"/>
    <w:rsid w:val="502618E8"/>
    <w:rsid w:val="5026469F"/>
    <w:rsid w:val="502A587C"/>
    <w:rsid w:val="502D2C76"/>
    <w:rsid w:val="503234D1"/>
    <w:rsid w:val="503A5393"/>
    <w:rsid w:val="50446212"/>
    <w:rsid w:val="50454464"/>
    <w:rsid w:val="504637E5"/>
    <w:rsid w:val="504908E4"/>
    <w:rsid w:val="504A4F1C"/>
    <w:rsid w:val="504D156B"/>
    <w:rsid w:val="50503AAD"/>
    <w:rsid w:val="50504C4B"/>
    <w:rsid w:val="50506965"/>
    <w:rsid w:val="5051105B"/>
    <w:rsid w:val="50521F46"/>
    <w:rsid w:val="50546455"/>
    <w:rsid w:val="505521CD"/>
    <w:rsid w:val="50566671"/>
    <w:rsid w:val="50575F45"/>
    <w:rsid w:val="50593A6B"/>
    <w:rsid w:val="505A5A36"/>
    <w:rsid w:val="505C3EB2"/>
    <w:rsid w:val="505C7A00"/>
    <w:rsid w:val="505F4DFA"/>
    <w:rsid w:val="50616DC4"/>
    <w:rsid w:val="506403BE"/>
    <w:rsid w:val="50650662"/>
    <w:rsid w:val="506955FB"/>
    <w:rsid w:val="506A3ECB"/>
    <w:rsid w:val="506B379F"/>
    <w:rsid w:val="506E0C6B"/>
    <w:rsid w:val="506F7733"/>
    <w:rsid w:val="50720FD1"/>
    <w:rsid w:val="50724B2D"/>
    <w:rsid w:val="50753F57"/>
    <w:rsid w:val="5075461D"/>
    <w:rsid w:val="50770396"/>
    <w:rsid w:val="50772144"/>
    <w:rsid w:val="507904F4"/>
    <w:rsid w:val="507A1C34"/>
    <w:rsid w:val="5080549C"/>
    <w:rsid w:val="50867BFF"/>
    <w:rsid w:val="508825A3"/>
    <w:rsid w:val="508B5BEF"/>
    <w:rsid w:val="509176A9"/>
    <w:rsid w:val="509623AA"/>
    <w:rsid w:val="5099030C"/>
    <w:rsid w:val="509947B0"/>
    <w:rsid w:val="509C6E7C"/>
    <w:rsid w:val="509D6FF7"/>
    <w:rsid w:val="509E57AB"/>
    <w:rsid w:val="50A70C7B"/>
    <w:rsid w:val="50A97291"/>
    <w:rsid w:val="50AA42C7"/>
    <w:rsid w:val="50AD3DB7"/>
    <w:rsid w:val="50B43398"/>
    <w:rsid w:val="50B909AE"/>
    <w:rsid w:val="50BE7D72"/>
    <w:rsid w:val="50C15A67"/>
    <w:rsid w:val="50CA3508"/>
    <w:rsid w:val="50CA6717"/>
    <w:rsid w:val="50CD6207"/>
    <w:rsid w:val="50D22EE7"/>
    <w:rsid w:val="50D36B6C"/>
    <w:rsid w:val="50DD32E6"/>
    <w:rsid w:val="50DD469C"/>
    <w:rsid w:val="50E75601"/>
    <w:rsid w:val="50E84F15"/>
    <w:rsid w:val="50E86A91"/>
    <w:rsid w:val="50EA4404"/>
    <w:rsid w:val="50ED0658"/>
    <w:rsid w:val="50EF617E"/>
    <w:rsid w:val="50F432F0"/>
    <w:rsid w:val="50F73284"/>
    <w:rsid w:val="50FE4613"/>
    <w:rsid w:val="51002483"/>
    <w:rsid w:val="5100482F"/>
    <w:rsid w:val="51024103"/>
    <w:rsid w:val="51037E7B"/>
    <w:rsid w:val="510559A1"/>
    <w:rsid w:val="51071719"/>
    <w:rsid w:val="51121E6C"/>
    <w:rsid w:val="51143E36"/>
    <w:rsid w:val="511778D1"/>
    <w:rsid w:val="51192505"/>
    <w:rsid w:val="511D0F3D"/>
    <w:rsid w:val="511D718F"/>
    <w:rsid w:val="51206ED5"/>
    <w:rsid w:val="51220612"/>
    <w:rsid w:val="51226553"/>
    <w:rsid w:val="51271F7E"/>
    <w:rsid w:val="51273B6A"/>
    <w:rsid w:val="51275918"/>
    <w:rsid w:val="51281690"/>
    <w:rsid w:val="5131339E"/>
    <w:rsid w:val="513168B9"/>
    <w:rsid w:val="513358DF"/>
    <w:rsid w:val="5139389D"/>
    <w:rsid w:val="513A0C0E"/>
    <w:rsid w:val="513A6B13"/>
    <w:rsid w:val="513D513B"/>
    <w:rsid w:val="513E0EB3"/>
    <w:rsid w:val="513F5357"/>
    <w:rsid w:val="514566E6"/>
    <w:rsid w:val="51493AE0"/>
    <w:rsid w:val="514A7858"/>
    <w:rsid w:val="514B18D1"/>
    <w:rsid w:val="514D0982"/>
    <w:rsid w:val="514F4E6E"/>
    <w:rsid w:val="51532BB1"/>
    <w:rsid w:val="51576E82"/>
    <w:rsid w:val="515801C7"/>
    <w:rsid w:val="51591E29"/>
    <w:rsid w:val="5160707C"/>
    <w:rsid w:val="5162104E"/>
    <w:rsid w:val="51624BA2"/>
    <w:rsid w:val="51631640"/>
    <w:rsid w:val="51674A18"/>
    <w:rsid w:val="5167665C"/>
    <w:rsid w:val="516B614C"/>
    <w:rsid w:val="516E6ED8"/>
    <w:rsid w:val="51702517"/>
    <w:rsid w:val="51711289"/>
    <w:rsid w:val="5176064D"/>
    <w:rsid w:val="517B2107"/>
    <w:rsid w:val="517D214D"/>
    <w:rsid w:val="518014CC"/>
    <w:rsid w:val="51874608"/>
    <w:rsid w:val="518A40F8"/>
    <w:rsid w:val="518A5306"/>
    <w:rsid w:val="518B234A"/>
    <w:rsid w:val="519531C9"/>
    <w:rsid w:val="5196484B"/>
    <w:rsid w:val="519A433C"/>
    <w:rsid w:val="519B00B4"/>
    <w:rsid w:val="519F5DF6"/>
    <w:rsid w:val="51A46F68"/>
    <w:rsid w:val="51AE0F7B"/>
    <w:rsid w:val="51B54C13"/>
    <w:rsid w:val="51BA5593"/>
    <w:rsid w:val="51C70EA9"/>
    <w:rsid w:val="51C770FB"/>
    <w:rsid w:val="51CC64BF"/>
    <w:rsid w:val="51DD06CC"/>
    <w:rsid w:val="51DD247A"/>
    <w:rsid w:val="51DF4444"/>
    <w:rsid w:val="51E33C89"/>
    <w:rsid w:val="51E41A5B"/>
    <w:rsid w:val="51E65239"/>
    <w:rsid w:val="51EE0B2B"/>
    <w:rsid w:val="51EE28D9"/>
    <w:rsid w:val="51F1661C"/>
    <w:rsid w:val="51F25BDA"/>
    <w:rsid w:val="51FB0B52"/>
    <w:rsid w:val="5201085F"/>
    <w:rsid w:val="5204431E"/>
    <w:rsid w:val="52045C59"/>
    <w:rsid w:val="52045EDF"/>
    <w:rsid w:val="52075749"/>
    <w:rsid w:val="52097713"/>
    <w:rsid w:val="520B348B"/>
    <w:rsid w:val="520D7203"/>
    <w:rsid w:val="520E4D2A"/>
    <w:rsid w:val="52122037"/>
    <w:rsid w:val="5215365D"/>
    <w:rsid w:val="521560B8"/>
    <w:rsid w:val="52181704"/>
    <w:rsid w:val="521A547C"/>
    <w:rsid w:val="521C7446"/>
    <w:rsid w:val="521E2410"/>
    <w:rsid w:val="5221680B"/>
    <w:rsid w:val="52217969"/>
    <w:rsid w:val="52224331"/>
    <w:rsid w:val="522400A9"/>
    <w:rsid w:val="52244433"/>
    <w:rsid w:val="5227544C"/>
    <w:rsid w:val="52287B99"/>
    <w:rsid w:val="522D1654"/>
    <w:rsid w:val="522E717A"/>
    <w:rsid w:val="52320A18"/>
    <w:rsid w:val="52374C03"/>
    <w:rsid w:val="5237602E"/>
    <w:rsid w:val="52383B54"/>
    <w:rsid w:val="52416EAD"/>
    <w:rsid w:val="524244DF"/>
    <w:rsid w:val="52462715"/>
    <w:rsid w:val="524644C3"/>
    <w:rsid w:val="52483D98"/>
    <w:rsid w:val="524D13AE"/>
    <w:rsid w:val="524E2FBC"/>
    <w:rsid w:val="524E5126"/>
    <w:rsid w:val="52500E9E"/>
    <w:rsid w:val="525057AA"/>
    <w:rsid w:val="525210BA"/>
    <w:rsid w:val="525700B0"/>
    <w:rsid w:val="52574ECB"/>
    <w:rsid w:val="525941F7"/>
    <w:rsid w:val="525B6CEF"/>
    <w:rsid w:val="525E35BB"/>
    <w:rsid w:val="52636E23"/>
    <w:rsid w:val="52650DED"/>
    <w:rsid w:val="526515A2"/>
    <w:rsid w:val="526F3A1A"/>
    <w:rsid w:val="527A33E5"/>
    <w:rsid w:val="52850AA4"/>
    <w:rsid w:val="528943B0"/>
    <w:rsid w:val="528B637A"/>
    <w:rsid w:val="528C45CC"/>
    <w:rsid w:val="528D3EA0"/>
    <w:rsid w:val="528E597D"/>
    <w:rsid w:val="528F1410"/>
    <w:rsid w:val="52903990"/>
    <w:rsid w:val="52961E90"/>
    <w:rsid w:val="529671F9"/>
    <w:rsid w:val="52A64F62"/>
    <w:rsid w:val="52A80CDA"/>
    <w:rsid w:val="52A86F2C"/>
    <w:rsid w:val="52B21B59"/>
    <w:rsid w:val="52B4142D"/>
    <w:rsid w:val="52C33D66"/>
    <w:rsid w:val="52C5188C"/>
    <w:rsid w:val="52C553E8"/>
    <w:rsid w:val="52C8137C"/>
    <w:rsid w:val="52CA50F4"/>
    <w:rsid w:val="52D27B05"/>
    <w:rsid w:val="52D4387D"/>
    <w:rsid w:val="52D73AAB"/>
    <w:rsid w:val="52DD7B03"/>
    <w:rsid w:val="52E53CDC"/>
    <w:rsid w:val="52EB0BC7"/>
    <w:rsid w:val="52EC33C3"/>
    <w:rsid w:val="52F1442F"/>
    <w:rsid w:val="52F201A7"/>
    <w:rsid w:val="52F67C97"/>
    <w:rsid w:val="52FD1026"/>
    <w:rsid w:val="52FE6B4C"/>
    <w:rsid w:val="5302488E"/>
    <w:rsid w:val="530D4FE1"/>
    <w:rsid w:val="530E3233"/>
    <w:rsid w:val="5310069C"/>
    <w:rsid w:val="532559D6"/>
    <w:rsid w:val="532A16EF"/>
    <w:rsid w:val="532E7431"/>
    <w:rsid w:val="532F31A9"/>
    <w:rsid w:val="5330338D"/>
    <w:rsid w:val="53312A7E"/>
    <w:rsid w:val="53397B84"/>
    <w:rsid w:val="533D58C6"/>
    <w:rsid w:val="533E33EC"/>
    <w:rsid w:val="534053B7"/>
    <w:rsid w:val="53424C8B"/>
    <w:rsid w:val="53563F10"/>
    <w:rsid w:val="535B7AFB"/>
    <w:rsid w:val="535D1AC5"/>
    <w:rsid w:val="535E4EAC"/>
    <w:rsid w:val="535F3A8F"/>
    <w:rsid w:val="53605111"/>
    <w:rsid w:val="536270DB"/>
    <w:rsid w:val="53654E1D"/>
    <w:rsid w:val="53666D3F"/>
    <w:rsid w:val="536746F1"/>
    <w:rsid w:val="53682217"/>
    <w:rsid w:val="536A41E2"/>
    <w:rsid w:val="536E5A80"/>
    <w:rsid w:val="53715570"/>
    <w:rsid w:val="53764934"/>
    <w:rsid w:val="53803A05"/>
    <w:rsid w:val="53853AFB"/>
    <w:rsid w:val="53874D93"/>
    <w:rsid w:val="538A6632"/>
    <w:rsid w:val="538E7ED0"/>
    <w:rsid w:val="538F3C48"/>
    <w:rsid w:val="538F56F6"/>
    <w:rsid w:val="53936B24"/>
    <w:rsid w:val="5394125E"/>
    <w:rsid w:val="539579A4"/>
    <w:rsid w:val="53964FD7"/>
    <w:rsid w:val="539F2B53"/>
    <w:rsid w:val="53A039CC"/>
    <w:rsid w:val="53A1505A"/>
    <w:rsid w:val="53A169D4"/>
    <w:rsid w:val="53A21BCD"/>
    <w:rsid w:val="53A45945"/>
    <w:rsid w:val="53AA4158"/>
    <w:rsid w:val="53AE2320"/>
    <w:rsid w:val="53B4172F"/>
    <w:rsid w:val="53B62ECA"/>
    <w:rsid w:val="53B92A73"/>
    <w:rsid w:val="53BF452D"/>
    <w:rsid w:val="53C20A91"/>
    <w:rsid w:val="53C25DCC"/>
    <w:rsid w:val="53C32D17"/>
    <w:rsid w:val="53C64D9B"/>
    <w:rsid w:val="53CB1124"/>
    <w:rsid w:val="53D14261"/>
    <w:rsid w:val="53D16DE3"/>
    <w:rsid w:val="53D55AFF"/>
    <w:rsid w:val="53D61877"/>
    <w:rsid w:val="53DD08D8"/>
    <w:rsid w:val="53E05348"/>
    <w:rsid w:val="53E2021C"/>
    <w:rsid w:val="53E43F94"/>
    <w:rsid w:val="53E61ABA"/>
    <w:rsid w:val="53E92248"/>
    <w:rsid w:val="53EB5322"/>
    <w:rsid w:val="53F81956"/>
    <w:rsid w:val="53FF49A6"/>
    <w:rsid w:val="5400590F"/>
    <w:rsid w:val="540168F4"/>
    <w:rsid w:val="540208BE"/>
    <w:rsid w:val="540463E4"/>
    <w:rsid w:val="54063E08"/>
    <w:rsid w:val="54091C4C"/>
    <w:rsid w:val="540B7773"/>
    <w:rsid w:val="540D34EB"/>
    <w:rsid w:val="541D1254"/>
    <w:rsid w:val="541F321E"/>
    <w:rsid w:val="541F4FCC"/>
    <w:rsid w:val="5428092D"/>
    <w:rsid w:val="542A5BF1"/>
    <w:rsid w:val="542B3971"/>
    <w:rsid w:val="542D76E9"/>
    <w:rsid w:val="542E520F"/>
    <w:rsid w:val="543162F7"/>
    <w:rsid w:val="543437E8"/>
    <w:rsid w:val="543547EF"/>
    <w:rsid w:val="5435659E"/>
    <w:rsid w:val="54370568"/>
    <w:rsid w:val="54377B7E"/>
    <w:rsid w:val="5438706C"/>
    <w:rsid w:val="54387E3C"/>
    <w:rsid w:val="544D1B39"/>
    <w:rsid w:val="544D7D8B"/>
    <w:rsid w:val="54520EFE"/>
    <w:rsid w:val="545C7FCE"/>
    <w:rsid w:val="545D78A2"/>
    <w:rsid w:val="5461213E"/>
    <w:rsid w:val="546155E5"/>
    <w:rsid w:val="546159B3"/>
    <w:rsid w:val="54617393"/>
    <w:rsid w:val="54660E4D"/>
    <w:rsid w:val="54684BC5"/>
    <w:rsid w:val="546B0211"/>
    <w:rsid w:val="546B4BDF"/>
    <w:rsid w:val="546B6463"/>
    <w:rsid w:val="546E7D01"/>
    <w:rsid w:val="54770964"/>
    <w:rsid w:val="547A0454"/>
    <w:rsid w:val="547A48F8"/>
    <w:rsid w:val="54857525"/>
    <w:rsid w:val="548B440F"/>
    <w:rsid w:val="548E5CAE"/>
    <w:rsid w:val="548F594D"/>
    <w:rsid w:val="54936E88"/>
    <w:rsid w:val="54971006"/>
    <w:rsid w:val="54990ADB"/>
    <w:rsid w:val="549B6D34"/>
    <w:rsid w:val="54A6749B"/>
    <w:rsid w:val="54A85393"/>
    <w:rsid w:val="54AB6860"/>
    <w:rsid w:val="54B03EEA"/>
    <w:rsid w:val="54B25E40"/>
    <w:rsid w:val="54B5164D"/>
    <w:rsid w:val="54B60678"/>
    <w:rsid w:val="54BB2F47"/>
    <w:rsid w:val="54BC0A6D"/>
    <w:rsid w:val="54BC6CBF"/>
    <w:rsid w:val="54C00390"/>
    <w:rsid w:val="54C17E31"/>
    <w:rsid w:val="54C33BA9"/>
    <w:rsid w:val="54C37597"/>
    <w:rsid w:val="54C60539"/>
    <w:rsid w:val="54C70191"/>
    <w:rsid w:val="54C87412"/>
    <w:rsid w:val="54CA13DC"/>
    <w:rsid w:val="54CD2165"/>
    <w:rsid w:val="54CD2404"/>
    <w:rsid w:val="54CE5923"/>
    <w:rsid w:val="54CE6966"/>
    <w:rsid w:val="54D172DA"/>
    <w:rsid w:val="54D97871"/>
    <w:rsid w:val="54DA7145"/>
    <w:rsid w:val="54DB5397"/>
    <w:rsid w:val="54E16725"/>
    <w:rsid w:val="54E24AD7"/>
    <w:rsid w:val="54E46ED9"/>
    <w:rsid w:val="54EA19CC"/>
    <w:rsid w:val="54EA6368"/>
    <w:rsid w:val="54EB1352"/>
    <w:rsid w:val="54EB72AE"/>
    <w:rsid w:val="54EE1700"/>
    <w:rsid w:val="54F010B9"/>
    <w:rsid w:val="54F14BBA"/>
    <w:rsid w:val="54F16968"/>
    <w:rsid w:val="54F71AA5"/>
    <w:rsid w:val="54F86BA1"/>
    <w:rsid w:val="55050666"/>
    <w:rsid w:val="55052414"/>
    <w:rsid w:val="550A7A2A"/>
    <w:rsid w:val="550C37A2"/>
    <w:rsid w:val="550D751A"/>
    <w:rsid w:val="55116D87"/>
    <w:rsid w:val="55191A1B"/>
    <w:rsid w:val="551D57DB"/>
    <w:rsid w:val="55254864"/>
    <w:rsid w:val="552B0F6D"/>
    <w:rsid w:val="55384597"/>
    <w:rsid w:val="553D1BAE"/>
    <w:rsid w:val="553D6B7E"/>
    <w:rsid w:val="55424033"/>
    <w:rsid w:val="55432F3C"/>
    <w:rsid w:val="554967A4"/>
    <w:rsid w:val="554B0437"/>
    <w:rsid w:val="554B0F1D"/>
    <w:rsid w:val="554C7040"/>
    <w:rsid w:val="554E3DBB"/>
    <w:rsid w:val="554E7A8C"/>
    <w:rsid w:val="554F18E1"/>
    <w:rsid w:val="554F5B03"/>
    <w:rsid w:val="555313D1"/>
    <w:rsid w:val="5553570E"/>
    <w:rsid w:val="555869E7"/>
    <w:rsid w:val="555962BC"/>
    <w:rsid w:val="55620AD4"/>
    <w:rsid w:val="55652944"/>
    <w:rsid w:val="5566599F"/>
    <w:rsid w:val="556A671B"/>
    <w:rsid w:val="556C5FEF"/>
    <w:rsid w:val="557650C0"/>
    <w:rsid w:val="557C1FAA"/>
    <w:rsid w:val="557F21C6"/>
    <w:rsid w:val="55801A9A"/>
    <w:rsid w:val="558570B1"/>
    <w:rsid w:val="558772CD"/>
    <w:rsid w:val="55894DF3"/>
    <w:rsid w:val="558C6691"/>
    <w:rsid w:val="558F6A10"/>
    <w:rsid w:val="559106BB"/>
    <w:rsid w:val="55914F40"/>
    <w:rsid w:val="55935C72"/>
    <w:rsid w:val="559B174B"/>
    <w:rsid w:val="559D43FA"/>
    <w:rsid w:val="55A03EEB"/>
    <w:rsid w:val="55A27C63"/>
    <w:rsid w:val="55A41C2D"/>
    <w:rsid w:val="55A75279"/>
    <w:rsid w:val="55A9466F"/>
    <w:rsid w:val="55AC6D33"/>
    <w:rsid w:val="55AE6607"/>
    <w:rsid w:val="55B160F8"/>
    <w:rsid w:val="55B17EA6"/>
    <w:rsid w:val="55B856D8"/>
    <w:rsid w:val="55BF6A67"/>
    <w:rsid w:val="55C207CD"/>
    <w:rsid w:val="55C55AC1"/>
    <w:rsid w:val="55C67DF5"/>
    <w:rsid w:val="55C7591B"/>
    <w:rsid w:val="55C776C9"/>
    <w:rsid w:val="55C94D0E"/>
    <w:rsid w:val="55CE0CF4"/>
    <w:rsid w:val="55D02A22"/>
    <w:rsid w:val="55D3606E"/>
    <w:rsid w:val="55D41DE6"/>
    <w:rsid w:val="55D6790C"/>
    <w:rsid w:val="55D818D6"/>
    <w:rsid w:val="55DD6EED"/>
    <w:rsid w:val="55E6461A"/>
    <w:rsid w:val="55E93AE3"/>
    <w:rsid w:val="55EA33B8"/>
    <w:rsid w:val="55EA5788"/>
    <w:rsid w:val="55EB160A"/>
    <w:rsid w:val="55F304BE"/>
    <w:rsid w:val="55F54236"/>
    <w:rsid w:val="55FF3307"/>
    <w:rsid w:val="56002BDB"/>
    <w:rsid w:val="560921A1"/>
    <w:rsid w:val="560E52F8"/>
    <w:rsid w:val="56130B60"/>
    <w:rsid w:val="56140E4F"/>
    <w:rsid w:val="56156687"/>
    <w:rsid w:val="561641AD"/>
    <w:rsid w:val="561A1EEF"/>
    <w:rsid w:val="561A3C9D"/>
    <w:rsid w:val="561D19DF"/>
    <w:rsid w:val="56237FD6"/>
    <w:rsid w:val="562E14F6"/>
    <w:rsid w:val="562F67CA"/>
    <w:rsid w:val="563053E6"/>
    <w:rsid w:val="56332FB1"/>
    <w:rsid w:val="56356D29"/>
    <w:rsid w:val="563740DE"/>
    <w:rsid w:val="563A433F"/>
    <w:rsid w:val="563F3703"/>
    <w:rsid w:val="5641747C"/>
    <w:rsid w:val="56424FA2"/>
    <w:rsid w:val="564B02FA"/>
    <w:rsid w:val="564B654C"/>
    <w:rsid w:val="564C327E"/>
    <w:rsid w:val="56502E20"/>
    <w:rsid w:val="56505911"/>
    <w:rsid w:val="56513437"/>
    <w:rsid w:val="565151E5"/>
    <w:rsid w:val="56526D83"/>
    <w:rsid w:val="5666172C"/>
    <w:rsid w:val="56665134"/>
    <w:rsid w:val="56666EE2"/>
    <w:rsid w:val="56674A08"/>
    <w:rsid w:val="566D3E5D"/>
    <w:rsid w:val="566D52ED"/>
    <w:rsid w:val="56701B0F"/>
    <w:rsid w:val="56717635"/>
    <w:rsid w:val="567710EF"/>
    <w:rsid w:val="56794E67"/>
    <w:rsid w:val="567A6461"/>
    <w:rsid w:val="567F3F36"/>
    <w:rsid w:val="567F7FA4"/>
    <w:rsid w:val="56847368"/>
    <w:rsid w:val="56867584"/>
    <w:rsid w:val="56867733"/>
    <w:rsid w:val="568832FC"/>
    <w:rsid w:val="568A7075"/>
    <w:rsid w:val="568B06F7"/>
    <w:rsid w:val="568B6949"/>
    <w:rsid w:val="568D0913"/>
    <w:rsid w:val="56905D0D"/>
    <w:rsid w:val="5691462E"/>
    <w:rsid w:val="56925F29"/>
    <w:rsid w:val="56927CD7"/>
    <w:rsid w:val="56962345"/>
    <w:rsid w:val="569C0B56"/>
    <w:rsid w:val="569F0646"/>
    <w:rsid w:val="56A31EE4"/>
    <w:rsid w:val="56A93273"/>
    <w:rsid w:val="56A96DCF"/>
    <w:rsid w:val="56AE4F0A"/>
    <w:rsid w:val="56B0015D"/>
    <w:rsid w:val="56B13CD2"/>
    <w:rsid w:val="56B14607"/>
    <w:rsid w:val="56B22A9C"/>
    <w:rsid w:val="56BE6D1E"/>
    <w:rsid w:val="56C50A07"/>
    <w:rsid w:val="56C63515"/>
    <w:rsid w:val="56C67981"/>
    <w:rsid w:val="56C9121F"/>
    <w:rsid w:val="56CA3778"/>
    <w:rsid w:val="56CD6741"/>
    <w:rsid w:val="56CE62D0"/>
    <w:rsid w:val="56D54257"/>
    <w:rsid w:val="56D7393C"/>
    <w:rsid w:val="56D976B4"/>
    <w:rsid w:val="56D97F48"/>
    <w:rsid w:val="56DA167E"/>
    <w:rsid w:val="56DF0A43"/>
    <w:rsid w:val="56EE5B8F"/>
    <w:rsid w:val="56EF512A"/>
    <w:rsid w:val="56F42740"/>
    <w:rsid w:val="56F73FDE"/>
    <w:rsid w:val="56FC33A3"/>
    <w:rsid w:val="56FE35BF"/>
    <w:rsid w:val="57007337"/>
    <w:rsid w:val="57032983"/>
    <w:rsid w:val="570606C5"/>
    <w:rsid w:val="57064221"/>
    <w:rsid w:val="570A1F63"/>
    <w:rsid w:val="57106E4E"/>
    <w:rsid w:val="57122BC6"/>
    <w:rsid w:val="5714693E"/>
    <w:rsid w:val="57154464"/>
    <w:rsid w:val="57196706"/>
    <w:rsid w:val="571B7CCD"/>
    <w:rsid w:val="5721105B"/>
    <w:rsid w:val="57250B4B"/>
    <w:rsid w:val="57270A88"/>
    <w:rsid w:val="572C2786"/>
    <w:rsid w:val="572F127F"/>
    <w:rsid w:val="572F3778"/>
    <w:rsid w:val="57313A27"/>
    <w:rsid w:val="57325016"/>
    <w:rsid w:val="57364B06"/>
    <w:rsid w:val="573963A5"/>
    <w:rsid w:val="573E7E5F"/>
    <w:rsid w:val="573F15EA"/>
    <w:rsid w:val="573F5E87"/>
    <w:rsid w:val="57430FD1"/>
    <w:rsid w:val="57456BD3"/>
    <w:rsid w:val="57476652"/>
    <w:rsid w:val="57482A8C"/>
    <w:rsid w:val="574C257C"/>
    <w:rsid w:val="574F5BC8"/>
    <w:rsid w:val="57541431"/>
    <w:rsid w:val="575B27BF"/>
    <w:rsid w:val="575B456D"/>
    <w:rsid w:val="575B774B"/>
    <w:rsid w:val="575D644F"/>
    <w:rsid w:val="57601B83"/>
    <w:rsid w:val="57607DD5"/>
    <w:rsid w:val="57623B4D"/>
    <w:rsid w:val="57631674"/>
    <w:rsid w:val="57672F12"/>
    <w:rsid w:val="57680A38"/>
    <w:rsid w:val="57682711"/>
    <w:rsid w:val="57686C8A"/>
    <w:rsid w:val="576B22D6"/>
    <w:rsid w:val="576C64D8"/>
    <w:rsid w:val="576F0018"/>
    <w:rsid w:val="57727B09"/>
    <w:rsid w:val="5774562F"/>
    <w:rsid w:val="57762B00"/>
    <w:rsid w:val="57776ECD"/>
    <w:rsid w:val="577949F3"/>
    <w:rsid w:val="577B4C0F"/>
    <w:rsid w:val="577C44E3"/>
    <w:rsid w:val="577D0987"/>
    <w:rsid w:val="57833AC4"/>
    <w:rsid w:val="57882E88"/>
    <w:rsid w:val="578C0BCA"/>
    <w:rsid w:val="578F2469"/>
    <w:rsid w:val="578F4217"/>
    <w:rsid w:val="57904B13"/>
    <w:rsid w:val="579161E1"/>
    <w:rsid w:val="579B705F"/>
    <w:rsid w:val="579D05A5"/>
    <w:rsid w:val="579E26AC"/>
    <w:rsid w:val="579E445A"/>
    <w:rsid w:val="57A001D2"/>
    <w:rsid w:val="57A203EE"/>
    <w:rsid w:val="57AB72DA"/>
    <w:rsid w:val="57AC6B77"/>
    <w:rsid w:val="57AE6D93"/>
    <w:rsid w:val="57AF2B0B"/>
    <w:rsid w:val="57B65C47"/>
    <w:rsid w:val="57B72A76"/>
    <w:rsid w:val="57BB7557"/>
    <w:rsid w:val="57BC2B32"/>
    <w:rsid w:val="57BE194A"/>
    <w:rsid w:val="57C049B1"/>
    <w:rsid w:val="57C10AC3"/>
    <w:rsid w:val="57C2639A"/>
    <w:rsid w:val="57C96694"/>
    <w:rsid w:val="57CA524F"/>
    <w:rsid w:val="57CA7FC1"/>
    <w:rsid w:val="57CD4D3F"/>
    <w:rsid w:val="57D12A81"/>
    <w:rsid w:val="57D32355"/>
    <w:rsid w:val="57D4589F"/>
    <w:rsid w:val="57D86F9C"/>
    <w:rsid w:val="57D91936"/>
    <w:rsid w:val="57DA3E17"/>
    <w:rsid w:val="57DD31D4"/>
    <w:rsid w:val="57E427B4"/>
    <w:rsid w:val="57E502DB"/>
    <w:rsid w:val="57E52089"/>
    <w:rsid w:val="57E75E01"/>
    <w:rsid w:val="57EC3417"/>
    <w:rsid w:val="57F56CC7"/>
    <w:rsid w:val="57FD5624"/>
    <w:rsid w:val="57FE314A"/>
    <w:rsid w:val="58000703"/>
    <w:rsid w:val="58021527"/>
    <w:rsid w:val="58027680"/>
    <w:rsid w:val="58042493"/>
    <w:rsid w:val="580764A3"/>
    <w:rsid w:val="58077BB0"/>
    <w:rsid w:val="580F2368"/>
    <w:rsid w:val="581110D0"/>
    <w:rsid w:val="5814471C"/>
    <w:rsid w:val="581B5AAA"/>
    <w:rsid w:val="581F1A3E"/>
    <w:rsid w:val="58215A55"/>
    <w:rsid w:val="58256929"/>
    <w:rsid w:val="58273B30"/>
    <w:rsid w:val="5827444F"/>
    <w:rsid w:val="582B03E3"/>
    <w:rsid w:val="582B57B9"/>
    <w:rsid w:val="582E7AAF"/>
    <w:rsid w:val="582F7D68"/>
    <w:rsid w:val="583077A8"/>
    <w:rsid w:val="58315248"/>
    <w:rsid w:val="583542BF"/>
    <w:rsid w:val="583628E4"/>
    <w:rsid w:val="583E06A5"/>
    <w:rsid w:val="583F3E8F"/>
    <w:rsid w:val="584204B6"/>
    <w:rsid w:val="58421289"/>
    <w:rsid w:val="584274DB"/>
    <w:rsid w:val="58432AE1"/>
    <w:rsid w:val="58496ABB"/>
    <w:rsid w:val="584E019A"/>
    <w:rsid w:val="5851771E"/>
    <w:rsid w:val="585B059D"/>
    <w:rsid w:val="586438F5"/>
    <w:rsid w:val="586C27AA"/>
    <w:rsid w:val="586D5636"/>
    <w:rsid w:val="58704048"/>
    <w:rsid w:val="58737694"/>
    <w:rsid w:val="5875165E"/>
    <w:rsid w:val="5875340D"/>
    <w:rsid w:val="587753D7"/>
    <w:rsid w:val="58783407"/>
    <w:rsid w:val="58791C73"/>
    <w:rsid w:val="58816255"/>
    <w:rsid w:val="58847AF3"/>
    <w:rsid w:val="588E0972"/>
    <w:rsid w:val="589046EA"/>
    <w:rsid w:val="58923090"/>
    <w:rsid w:val="589870FB"/>
    <w:rsid w:val="589C1963"/>
    <w:rsid w:val="589C4E3D"/>
    <w:rsid w:val="589E10DE"/>
    <w:rsid w:val="58A106A5"/>
    <w:rsid w:val="58A3441E"/>
    <w:rsid w:val="58A610F9"/>
    <w:rsid w:val="58AB1524"/>
    <w:rsid w:val="58AB5080"/>
    <w:rsid w:val="58AD0727"/>
    <w:rsid w:val="58AE691E"/>
    <w:rsid w:val="58B303D9"/>
    <w:rsid w:val="58B57CAD"/>
    <w:rsid w:val="58B73A25"/>
    <w:rsid w:val="58B959EF"/>
    <w:rsid w:val="58BC54DF"/>
    <w:rsid w:val="58BE32CF"/>
    <w:rsid w:val="58CD2411"/>
    <w:rsid w:val="58D04AE7"/>
    <w:rsid w:val="58D2085F"/>
    <w:rsid w:val="58D345D7"/>
    <w:rsid w:val="58D42829"/>
    <w:rsid w:val="58D74519"/>
    <w:rsid w:val="58DA7713"/>
    <w:rsid w:val="58DF2F7C"/>
    <w:rsid w:val="58E14F46"/>
    <w:rsid w:val="58E16CF4"/>
    <w:rsid w:val="58E90251"/>
    <w:rsid w:val="58EE169B"/>
    <w:rsid w:val="58EE31BF"/>
    <w:rsid w:val="58F06F37"/>
    <w:rsid w:val="58F509F1"/>
    <w:rsid w:val="58F5279F"/>
    <w:rsid w:val="59044790"/>
    <w:rsid w:val="590649AC"/>
    <w:rsid w:val="59077622"/>
    <w:rsid w:val="590824D3"/>
    <w:rsid w:val="590A1848"/>
    <w:rsid w:val="590A49E9"/>
    <w:rsid w:val="590D5D3B"/>
    <w:rsid w:val="590D7AE9"/>
    <w:rsid w:val="590F3E15"/>
    <w:rsid w:val="591075D9"/>
    <w:rsid w:val="591250FF"/>
    <w:rsid w:val="59142C25"/>
    <w:rsid w:val="5915699E"/>
    <w:rsid w:val="591623EB"/>
    <w:rsid w:val="591946E0"/>
    <w:rsid w:val="591C2557"/>
    <w:rsid w:val="591C7D2C"/>
    <w:rsid w:val="591F6730"/>
    <w:rsid w:val="592310BA"/>
    <w:rsid w:val="59282B75"/>
    <w:rsid w:val="592D1D9B"/>
    <w:rsid w:val="593212FE"/>
    <w:rsid w:val="59350DEE"/>
    <w:rsid w:val="59352B9C"/>
    <w:rsid w:val="59372DB8"/>
    <w:rsid w:val="593A6404"/>
    <w:rsid w:val="593E7CA2"/>
    <w:rsid w:val="593F3A1A"/>
    <w:rsid w:val="59411DC7"/>
    <w:rsid w:val="5943350B"/>
    <w:rsid w:val="59464DA9"/>
    <w:rsid w:val="594A4899"/>
    <w:rsid w:val="59527BF2"/>
    <w:rsid w:val="59544FF5"/>
    <w:rsid w:val="595A2F5E"/>
    <w:rsid w:val="595B4CF8"/>
    <w:rsid w:val="595B6AA6"/>
    <w:rsid w:val="59653481"/>
    <w:rsid w:val="596A6FB5"/>
    <w:rsid w:val="596D0588"/>
    <w:rsid w:val="596D2336"/>
    <w:rsid w:val="596D67DA"/>
    <w:rsid w:val="597263D6"/>
    <w:rsid w:val="59796F2C"/>
    <w:rsid w:val="5980650D"/>
    <w:rsid w:val="59822285"/>
    <w:rsid w:val="598237B0"/>
    <w:rsid w:val="598633F7"/>
    <w:rsid w:val="5987789B"/>
    <w:rsid w:val="5988716F"/>
    <w:rsid w:val="598A738C"/>
    <w:rsid w:val="598B25B9"/>
    <w:rsid w:val="598B7AD8"/>
    <w:rsid w:val="598D29D8"/>
    <w:rsid w:val="5991071A"/>
    <w:rsid w:val="599124C8"/>
    <w:rsid w:val="5999312B"/>
    <w:rsid w:val="599B7E48"/>
    <w:rsid w:val="599C2C1B"/>
    <w:rsid w:val="599C4367"/>
    <w:rsid w:val="599E2524"/>
    <w:rsid w:val="59A246D5"/>
    <w:rsid w:val="59A541C5"/>
    <w:rsid w:val="59A57D21"/>
    <w:rsid w:val="59A850C5"/>
    <w:rsid w:val="59A87812"/>
    <w:rsid w:val="59A939DF"/>
    <w:rsid w:val="59AA453F"/>
    <w:rsid w:val="59AA5338"/>
    <w:rsid w:val="59AC7302"/>
    <w:rsid w:val="59AF6DF2"/>
    <w:rsid w:val="59B14918"/>
    <w:rsid w:val="59B2243E"/>
    <w:rsid w:val="59B526F2"/>
    <w:rsid w:val="59B63CDD"/>
    <w:rsid w:val="59BB5797"/>
    <w:rsid w:val="59BE231D"/>
    <w:rsid w:val="59BE7035"/>
    <w:rsid w:val="59C12681"/>
    <w:rsid w:val="59C3464B"/>
    <w:rsid w:val="59C77C98"/>
    <w:rsid w:val="59C82CB8"/>
    <w:rsid w:val="59C97EB4"/>
    <w:rsid w:val="59CA7788"/>
    <w:rsid w:val="59CF4D9E"/>
    <w:rsid w:val="59D03A04"/>
    <w:rsid w:val="59D12BC9"/>
    <w:rsid w:val="59D2488F"/>
    <w:rsid w:val="59D57095"/>
    <w:rsid w:val="59DD6583"/>
    <w:rsid w:val="59E051FD"/>
    <w:rsid w:val="59E51BA8"/>
    <w:rsid w:val="59E7658C"/>
    <w:rsid w:val="59EA1BD8"/>
    <w:rsid w:val="59EC3BA2"/>
    <w:rsid w:val="59EC5950"/>
    <w:rsid w:val="59EC76FE"/>
    <w:rsid w:val="59F6007B"/>
    <w:rsid w:val="59F73AC1"/>
    <w:rsid w:val="59F8263F"/>
    <w:rsid w:val="5A00764E"/>
    <w:rsid w:val="5A094754"/>
    <w:rsid w:val="5A0C5FF2"/>
    <w:rsid w:val="5A113609"/>
    <w:rsid w:val="5A1629CD"/>
    <w:rsid w:val="5A1E1882"/>
    <w:rsid w:val="5A2275C4"/>
    <w:rsid w:val="5A276988"/>
    <w:rsid w:val="5A277C43"/>
    <w:rsid w:val="5A296BA4"/>
    <w:rsid w:val="5A2E1F00"/>
    <w:rsid w:val="5A306BA3"/>
    <w:rsid w:val="5A3115B5"/>
    <w:rsid w:val="5A380B96"/>
    <w:rsid w:val="5A3A490E"/>
    <w:rsid w:val="5A3C747D"/>
    <w:rsid w:val="5A3D61AC"/>
    <w:rsid w:val="5A3D7F5A"/>
    <w:rsid w:val="5A407A4A"/>
    <w:rsid w:val="5A4455DB"/>
    <w:rsid w:val="5A4532B2"/>
    <w:rsid w:val="5A490FF5"/>
    <w:rsid w:val="5A4A4609"/>
    <w:rsid w:val="5A50597F"/>
    <w:rsid w:val="5A5215F9"/>
    <w:rsid w:val="5A555C7D"/>
    <w:rsid w:val="5A6019BB"/>
    <w:rsid w:val="5A6730BD"/>
    <w:rsid w:val="5A6951F3"/>
    <w:rsid w:val="5A6E45B7"/>
    <w:rsid w:val="5A716D8E"/>
    <w:rsid w:val="5A72070E"/>
    <w:rsid w:val="5A7410C5"/>
    <w:rsid w:val="5A805270"/>
    <w:rsid w:val="5A875679"/>
    <w:rsid w:val="5A89083A"/>
    <w:rsid w:val="5A8913F1"/>
    <w:rsid w:val="5A8C2C8F"/>
    <w:rsid w:val="5A902780"/>
    <w:rsid w:val="5A951B44"/>
    <w:rsid w:val="5A971D60"/>
    <w:rsid w:val="5A9C7376"/>
    <w:rsid w:val="5AA13774"/>
    <w:rsid w:val="5AA1498D"/>
    <w:rsid w:val="5AA47FD9"/>
    <w:rsid w:val="5AB02E22"/>
    <w:rsid w:val="5AB3021C"/>
    <w:rsid w:val="5ABC3575"/>
    <w:rsid w:val="5ABE2233"/>
    <w:rsid w:val="5ABF12B7"/>
    <w:rsid w:val="5AC02939"/>
    <w:rsid w:val="5AC061CA"/>
    <w:rsid w:val="5AC81FAD"/>
    <w:rsid w:val="5ACD5782"/>
    <w:rsid w:val="5ACD7DA0"/>
    <w:rsid w:val="5AD22D98"/>
    <w:rsid w:val="5AD52888"/>
    <w:rsid w:val="5AD63B1B"/>
    <w:rsid w:val="5ADA1D1F"/>
    <w:rsid w:val="5AE55CE6"/>
    <w:rsid w:val="5AE605F2"/>
    <w:rsid w:val="5AEC41CD"/>
    <w:rsid w:val="5AF160F4"/>
    <w:rsid w:val="5AF30F60"/>
    <w:rsid w:val="5AF32C10"/>
    <w:rsid w:val="5AF56A87"/>
    <w:rsid w:val="5AFC6067"/>
    <w:rsid w:val="5AFC7E15"/>
    <w:rsid w:val="5AFE1DDF"/>
    <w:rsid w:val="5AFE3B8D"/>
    <w:rsid w:val="5B01542B"/>
    <w:rsid w:val="5B070568"/>
    <w:rsid w:val="5B0B62AA"/>
    <w:rsid w:val="5B1769FD"/>
    <w:rsid w:val="5B1909C7"/>
    <w:rsid w:val="5B1F079D"/>
    <w:rsid w:val="5B1F58B2"/>
    <w:rsid w:val="5B276D18"/>
    <w:rsid w:val="5B280C0A"/>
    <w:rsid w:val="5B297096"/>
    <w:rsid w:val="5B33135D"/>
    <w:rsid w:val="5B3550D5"/>
    <w:rsid w:val="5B363143"/>
    <w:rsid w:val="5B4D5DFB"/>
    <w:rsid w:val="5B500161"/>
    <w:rsid w:val="5B535F4C"/>
    <w:rsid w:val="5B5437AD"/>
    <w:rsid w:val="5B57329D"/>
    <w:rsid w:val="5B597015"/>
    <w:rsid w:val="5B5A2D8E"/>
    <w:rsid w:val="5B5A4B3C"/>
    <w:rsid w:val="5B5B0FE0"/>
    <w:rsid w:val="5B5C08B4"/>
    <w:rsid w:val="5B5C7E50"/>
    <w:rsid w:val="5B5F2152"/>
    <w:rsid w:val="5B6065F6"/>
    <w:rsid w:val="5B61236E"/>
    <w:rsid w:val="5B6139D7"/>
    <w:rsid w:val="5B61411C"/>
    <w:rsid w:val="5B6C3CDC"/>
    <w:rsid w:val="5B7200D7"/>
    <w:rsid w:val="5B745BFD"/>
    <w:rsid w:val="5B765E19"/>
    <w:rsid w:val="5B7C0F56"/>
    <w:rsid w:val="5B7C4516"/>
    <w:rsid w:val="5B7E082A"/>
    <w:rsid w:val="5B800A46"/>
    <w:rsid w:val="5B804F69"/>
    <w:rsid w:val="5B8322E4"/>
    <w:rsid w:val="5B8C73EB"/>
    <w:rsid w:val="5B8D3163"/>
    <w:rsid w:val="5B8D6CBF"/>
    <w:rsid w:val="5B922527"/>
    <w:rsid w:val="5B9444F1"/>
    <w:rsid w:val="5B962018"/>
    <w:rsid w:val="5B9718EC"/>
    <w:rsid w:val="5B977B3E"/>
    <w:rsid w:val="5B9938B6"/>
    <w:rsid w:val="5B995664"/>
    <w:rsid w:val="5B9960CD"/>
    <w:rsid w:val="5B9C5154"/>
    <w:rsid w:val="5B9E711E"/>
    <w:rsid w:val="5BA04C44"/>
    <w:rsid w:val="5BAB6EC6"/>
    <w:rsid w:val="5BAC15F8"/>
    <w:rsid w:val="5BAC2986"/>
    <w:rsid w:val="5BAC35E9"/>
    <w:rsid w:val="5BB02677"/>
    <w:rsid w:val="5BB22BCA"/>
    <w:rsid w:val="5BB5294E"/>
    <w:rsid w:val="5BB93F58"/>
    <w:rsid w:val="5BC00E43"/>
    <w:rsid w:val="5BC546AB"/>
    <w:rsid w:val="5BCD1E2F"/>
    <w:rsid w:val="5BCF72D8"/>
    <w:rsid w:val="5BD42B40"/>
    <w:rsid w:val="5BD67531"/>
    <w:rsid w:val="5BD75AB2"/>
    <w:rsid w:val="5BD91B0B"/>
    <w:rsid w:val="5BDF5D95"/>
    <w:rsid w:val="5BE00642"/>
    <w:rsid w:val="5BE03293"/>
    <w:rsid w:val="5BE70AC5"/>
    <w:rsid w:val="5BEA5EBF"/>
    <w:rsid w:val="5BEC1C38"/>
    <w:rsid w:val="5BED775E"/>
    <w:rsid w:val="5BF136F2"/>
    <w:rsid w:val="5BF31960"/>
    <w:rsid w:val="5BF40AEC"/>
    <w:rsid w:val="5BF64864"/>
    <w:rsid w:val="5BF8281F"/>
    <w:rsid w:val="5C0827EA"/>
    <w:rsid w:val="5C0A47B4"/>
    <w:rsid w:val="5C0E3BCB"/>
    <w:rsid w:val="5C0F5926"/>
    <w:rsid w:val="5C1271C4"/>
    <w:rsid w:val="5C142F3C"/>
    <w:rsid w:val="5C1B076F"/>
    <w:rsid w:val="5C2238AB"/>
    <w:rsid w:val="5C225659"/>
    <w:rsid w:val="5C2313D1"/>
    <w:rsid w:val="5C237623"/>
    <w:rsid w:val="5C2440E9"/>
    <w:rsid w:val="5C277114"/>
    <w:rsid w:val="5C2B0664"/>
    <w:rsid w:val="5C2D3FFE"/>
    <w:rsid w:val="5C2F421A"/>
    <w:rsid w:val="5C34538D"/>
    <w:rsid w:val="5C3559D8"/>
    <w:rsid w:val="5C361105"/>
    <w:rsid w:val="5C3933B5"/>
    <w:rsid w:val="5C485468"/>
    <w:rsid w:val="5C4952DC"/>
    <w:rsid w:val="5C4E28BC"/>
    <w:rsid w:val="5C4E28F2"/>
    <w:rsid w:val="5C5305C6"/>
    <w:rsid w:val="5C5617A7"/>
    <w:rsid w:val="5C58551F"/>
    <w:rsid w:val="5C594DF3"/>
    <w:rsid w:val="5C5C1087"/>
    <w:rsid w:val="5C62639E"/>
    <w:rsid w:val="5C65155C"/>
    <w:rsid w:val="5C663787"/>
    <w:rsid w:val="5C675762"/>
    <w:rsid w:val="5C6914DA"/>
    <w:rsid w:val="5C6E7D9F"/>
    <w:rsid w:val="5C702869"/>
    <w:rsid w:val="5C71213D"/>
    <w:rsid w:val="5C757E7F"/>
    <w:rsid w:val="5C7D31D8"/>
    <w:rsid w:val="5C7D4F86"/>
    <w:rsid w:val="5C7E4CC3"/>
    <w:rsid w:val="5C8509BC"/>
    <w:rsid w:val="5C853E3A"/>
    <w:rsid w:val="5C86208C"/>
    <w:rsid w:val="5C877BB2"/>
    <w:rsid w:val="5C8D1F38"/>
    <w:rsid w:val="5C9119F8"/>
    <w:rsid w:val="5C9E33F5"/>
    <w:rsid w:val="5C9F4EFC"/>
    <w:rsid w:val="5CA16EC6"/>
    <w:rsid w:val="5CA42512"/>
    <w:rsid w:val="5CA442C0"/>
    <w:rsid w:val="5CA64CDB"/>
    <w:rsid w:val="5CA93FCD"/>
    <w:rsid w:val="5CAB49EC"/>
    <w:rsid w:val="5CB47963"/>
    <w:rsid w:val="5CB85FBE"/>
    <w:rsid w:val="5CBC5AAE"/>
    <w:rsid w:val="5CBF10FA"/>
    <w:rsid w:val="5CC05F06"/>
    <w:rsid w:val="5CC26E3C"/>
    <w:rsid w:val="5CC606DB"/>
    <w:rsid w:val="5CC6692D"/>
    <w:rsid w:val="5CC932A2"/>
    <w:rsid w:val="5CCB3F43"/>
    <w:rsid w:val="5CCB7A9F"/>
    <w:rsid w:val="5CCD7CBB"/>
    <w:rsid w:val="5CCE758F"/>
    <w:rsid w:val="5CD1707F"/>
    <w:rsid w:val="5CD32DF8"/>
    <w:rsid w:val="5CD54DC2"/>
    <w:rsid w:val="5CD76373"/>
    <w:rsid w:val="5CDC7EFE"/>
    <w:rsid w:val="5CE172C2"/>
    <w:rsid w:val="5CEA4796"/>
    <w:rsid w:val="5CEB3BAF"/>
    <w:rsid w:val="5CEC5C67"/>
    <w:rsid w:val="5CEE378D"/>
    <w:rsid w:val="5CF54079"/>
    <w:rsid w:val="5CFB5EAA"/>
    <w:rsid w:val="5D042FB1"/>
    <w:rsid w:val="5D082FB3"/>
    <w:rsid w:val="5D096819"/>
    <w:rsid w:val="5D101956"/>
    <w:rsid w:val="5D1256CE"/>
    <w:rsid w:val="5D1551BE"/>
    <w:rsid w:val="5D170F36"/>
    <w:rsid w:val="5D1A6C78"/>
    <w:rsid w:val="5D1B2582"/>
    <w:rsid w:val="5D1D22C5"/>
    <w:rsid w:val="5D1D3926"/>
    <w:rsid w:val="5D1D77F0"/>
    <w:rsid w:val="5D1F428F"/>
    <w:rsid w:val="5D207DB2"/>
    <w:rsid w:val="5D224A06"/>
    <w:rsid w:val="5D235B2D"/>
    <w:rsid w:val="5D2D075A"/>
    <w:rsid w:val="5D2E6280"/>
    <w:rsid w:val="5D347D3A"/>
    <w:rsid w:val="5D35760E"/>
    <w:rsid w:val="5D395350"/>
    <w:rsid w:val="5D3A2E77"/>
    <w:rsid w:val="5D3A69D3"/>
    <w:rsid w:val="5D3C099D"/>
    <w:rsid w:val="5D3F223B"/>
    <w:rsid w:val="5D467A6D"/>
    <w:rsid w:val="5D494E68"/>
    <w:rsid w:val="5D4E501B"/>
    <w:rsid w:val="5D526412"/>
    <w:rsid w:val="5D535812"/>
    <w:rsid w:val="5D564448"/>
    <w:rsid w:val="5D616655"/>
    <w:rsid w:val="5D641CA2"/>
    <w:rsid w:val="5D681B10"/>
    <w:rsid w:val="5D6A375C"/>
    <w:rsid w:val="5D6D7849"/>
    <w:rsid w:val="5D704AEA"/>
    <w:rsid w:val="5D7235D2"/>
    <w:rsid w:val="5D730D16"/>
    <w:rsid w:val="5D7C523D"/>
    <w:rsid w:val="5D7E0FB5"/>
    <w:rsid w:val="5D7F0889"/>
    <w:rsid w:val="5D814602"/>
    <w:rsid w:val="5D821189"/>
    <w:rsid w:val="5D883BE2"/>
    <w:rsid w:val="5D9200D4"/>
    <w:rsid w:val="5D92680F"/>
    <w:rsid w:val="5D94616F"/>
    <w:rsid w:val="5D955EEB"/>
    <w:rsid w:val="5D9A7B05"/>
    <w:rsid w:val="5DA86032"/>
    <w:rsid w:val="5DA87DE0"/>
    <w:rsid w:val="5DAF5613"/>
    <w:rsid w:val="5DB171DF"/>
    <w:rsid w:val="5DB577BD"/>
    <w:rsid w:val="5DB76275"/>
    <w:rsid w:val="5DB93D9B"/>
    <w:rsid w:val="5DBC6D53"/>
    <w:rsid w:val="5DC866D4"/>
    <w:rsid w:val="5DCA7D57"/>
    <w:rsid w:val="5DCD7847"/>
    <w:rsid w:val="5DD1456E"/>
    <w:rsid w:val="5DDB1F64"/>
    <w:rsid w:val="5DDD2180"/>
    <w:rsid w:val="5DE057CC"/>
    <w:rsid w:val="5DE0757A"/>
    <w:rsid w:val="5DEB5F1F"/>
    <w:rsid w:val="5DEB63BE"/>
    <w:rsid w:val="5DEC4171"/>
    <w:rsid w:val="5DF3340F"/>
    <w:rsid w:val="5DF41277"/>
    <w:rsid w:val="5DF64FF0"/>
    <w:rsid w:val="5DF87A0F"/>
    <w:rsid w:val="5DF87F7B"/>
    <w:rsid w:val="5DFF2729"/>
    <w:rsid w:val="5E044CCE"/>
    <w:rsid w:val="5E070FAB"/>
    <w:rsid w:val="5E0C4813"/>
    <w:rsid w:val="5E0F35C8"/>
    <w:rsid w:val="5E122843"/>
    <w:rsid w:val="5E145476"/>
    <w:rsid w:val="5E167440"/>
    <w:rsid w:val="5E176D14"/>
    <w:rsid w:val="5E18501A"/>
    <w:rsid w:val="5E1B4A56"/>
    <w:rsid w:val="5E1C5632"/>
    <w:rsid w:val="5E2733FB"/>
    <w:rsid w:val="5E2B548C"/>
    <w:rsid w:val="5E2C6C63"/>
    <w:rsid w:val="5E337FF2"/>
    <w:rsid w:val="5E3E0745"/>
    <w:rsid w:val="5E3E24F3"/>
    <w:rsid w:val="5E40270F"/>
    <w:rsid w:val="5E40626B"/>
    <w:rsid w:val="5E473A9D"/>
    <w:rsid w:val="5E483371"/>
    <w:rsid w:val="5E4C10B3"/>
    <w:rsid w:val="5E512226"/>
    <w:rsid w:val="5E5341F0"/>
    <w:rsid w:val="5E541D16"/>
    <w:rsid w:val="5E547F68"/>
    <w:rsid w:val="5E56783C"/>
    <w:rsid w:val="5E5D506F"/>
    <w:rsid w:val="5E624433"/>
    <w:rsid w:val="5E653F23"/>
    <w:rsid w:val="5E6737F7"/>
    <w:rsid w:val="5E6774CF"/>
    <w:rsid w:val="5E68756F"/>
    <w:rsid w:val="5E695530"/>
    <w:rsid w:val="5E6C7060"/>
    <w:rsid w:val="5E710B1A"/>
    <w:rsid w:val="5E745F14"/>
    <w:rsid w:val="5E781EA8"/>
    <w:rsid w:val="5E7A1EB6"/>
    <w:rsid w:val="5E7A3283"/>
    <w:rsid w:val="5E7B278E"/>
    <w:rsid w:val="5E7D126D"/>
    <w:rsid w:val="5E7F4FE5"/>
    <w:rsid w:val="5E8048B9"/>
    <w:rsid w:val="5E806C53"/>
    <w:rsid w:val="5E8343A9"/>
    <w:rsid w:val="5E856373"/>
    <w:rsid w:val="5E892B2C"/>
    <w:rsid w:val="5E8B1BDC"/>
    <w:rsid w:val="5E8E347A"/>
    <w:rsid w:val="5E913942"/>
    <w:rsid w:val="5E916AC6"/>
    <w:rsid w:val="5E9842F9"/>
    <w:rsid w:val="5E987E55"/>
    <w:rsid w:val="5EA20CD3"/>
    <w:rsid w:val="5EA66A16"/>
    <w:rsid w:val="5EA92062"/>
    <w:rsid w:val="5EA92521"/>
    <w:rsid w:val="5EAB5E7A"/>
    <w:rsid w:val="5EAE58CA"/>
    <w:rsid w:val="5EB033F0"/>
    <w:rsid w:val="5EB4159E"/>
    <w:rsid w:val="5EB8071E"/>
    <w:rsid w:val="5EB80AF2"/>
    <w:rsid w:val="5EC073AC"/>
    <w:rsid w:val="5EC450EE"/>
    <w:rsid w:val="5EC7073A"/>
    <w:rsid w:val="5EC92704"/>
    <w:rsid w:val="5ECF37B3"/>
    <w:rsid w:val="5ECF75EF"/>
    <w:rsid w:val="5ED05ACE"/>
    <w:rsid w:val="5ED115B9"/>
    <w:rsid w:val="5ED6097D"/>
    <w:rsid w:val="5ED66BCF"/>
    <w:rsid w:val="5ED846F5"/>
    <w:rsid w:val="5ED97AB4"/>
    <w:rsid w:val="5EDC303D"/>
    <w:rsid w:val="5EE27322"/>
    <w:rsid w:val="5EE4753E"/>
    <w:rsid w:val="5EE65064"/>
    <w:rsid w:val="5EE66E12"/>
    <w:rsid w:val="5EE80859"/>
    <w:rsid w:val="5EE82168"/>
    <w:rsid w:val="5EEE5CC7"/>
    <w:rsid w:val="5EF4086E"/>
    <w:rsid w:val="5EF62DCD"/>
    <w:rsid w:val="5EF77271"/>
    <w:rsid w:val="5EF808F3"/>
    <w:rsid w:val="5EFC4888"/>
    <w:rsid w:val="5F0059FA"/>
    <w:rsid w:val="5F013C4C"/>
    <w:rsid w:val="5F061E42"/>
    <w:rsid w:val="5F08322C"/>
    <w:rsid w:val="5F092B01"/>
    <w:rsid w:val="5F0B0627"/>
    <w:rsid w:val="5F0B6879"/>
    <w:rsid w:val="5F0E0117"/>
    <w:rsid w:val="5F0E45BB"/>
    <w:rsid w:val="5F0E7E34"/>
    <w:rsid w:val="5F1576F7"/>
    <w:rsid w:val="5F182D44"/>
    <w:rsid w:val="5F1A2B43"/>
    <w:rsid w:val="5F1D035A"/>
    <w:rsid w:val="5F1F2324"/>
    <w:rsid w:val="5F21088D"/>
    <w:rsid w:val="5F245B8C"/>
    <w:rsid w:val="5F294F51"/>
    <w:rsid w:val="5F2C67EF"/>
    <w:rsid w:val="5F30008D"/>
    <w:rsid w:val="5F304531"/>
    <w:rsid w:val="5F3F4090"/>
    <w:rsid w:val="5F405364"/>
    <w:rsid w:val="5F4104EC"/>
    <w:rsid w:val="5F4A7642"/>
    <w:rsid w:val="5F5226F9"/>
    <w:rsid w:val="5F546472"/>
    <w:rsid w:val="5F577D10"/>
    <w:rsid w:val="5F5F4E16"/>
    <w:rsid w:val="5F630463"/>
    <w:rsid w:val="5F675A73"/>
    <w:rsid w:val="5F681F1D"/>
    <w:rsid w:val="5F685A79"/>
    <w:rsid w:val="5F6B7317"/>
    <w:rsid w:val="5F6D12E1"/>
    <w:rsid w:val="5F700DD2"/>
    <w:rsid w:val="5F702B80"/>
    <w:rsid w:val="5F75455E"/>
    <w:rsid w:val="5F761608"/>
    <w:rsid w:val="5F7D704B"/>
    <w:rsid w:val="5F7E34EF"/>
    <w:rsid w:val="5F8623A3"/>
    <w:rsid w:val="5F8D4DCC"/>
    <w:rsid w:val="5F8D54E0"/>
    <w:rsid w:val="5F8E1258"/>
    <w:rsid w:val="5F9024A8"/>
    <w:rsid w:val="5F926F9A"/>
    <w:rsid w:val="5F97010C"/>
    <w:rsid w:val="5F9F5213"/>
    <w:rsid w:val="5FA32F55"/>
    <w:rsid w:val="5FA34D03"/>
    <w:rsid w:val="5FA42829"/>
    <w:rsid w:val="5FA8056B"/>
    <w:rsid w:val="5FAA6092"/>
    <w:rsid w:val="5FAB1E0A"/>
    <w:rsid w:val="5FAD000C"/>
    <w:rsid w:val="5FB31BE9"/>
    <w:rsid w:val="5FB36ECE"/>
    <w:rsid w:val="5FB707AE"/>
    <w:rsid w:val="5FB837BB"/>
    <w:rsid w:val="5FBA204D"/>
    <w:rsid w:val="5FBD3482"/>
    <w:rsid w:val="5FBE38EB"/>
    <w:rsid w:val="5FC15189"/>
    <w:rsid w:val="5FC773F1"/>
    <w:rsid w:val="5FCB6008"/>
    <w:rsid w:val="5FCD1D80"/>
    <w:rsid w:val="5FD27396"/>
    <w:rsid w:val="5FD44EBD"/>
    <w:rsid w:val="5FDF3861"/>
    <w:rsid w:val="5FE23F34"/>
    <w:rsid w:val="5FE315A4"/>
    <w:rsid w:val="5FED41D0"/>
    <w:rsid w:val="5FEF1CF6"/>
    <w:rsid w:val="5FEF619A"/>
    <w:rsid w:val="5FF732A1"/>
    <w:rsid w:val="5FF7504F"/>
    <w:rsid w:val="60002155"/>
    <w:rsid w:val="60017C7C"/>
    <w:rsid w:val="600357A2"/>
    <w:rsid w:val="60065E0F"/>
    <w:rsid w:val="600D44FB"/>
    <w:rsid w:val="60125EE4"/>
    <w:rsid w:val="6017124D"/>
    <w:rsid w:val="601A63AB"/>
    <w:rsid w:val="602045A6"/>
    <w:rsid w:val="602A0F80"/>
    <w:rsid w:val="602A71D2"/>
    <w:rsid w:val="602F2A3B"/>
    <w:rsid w:val="603242D9"/>
    <w:rsid w:val="603911C4"/>
    <w:rsid w:val="603F3EAD"/>
    <w:rsid w:val="603F6369"/>
    <w:rsid w:val="60402552"/>
    <w:rsid w:val="6042276E"/>
    <w:rsid w:val="60432479"/>
    <w:rsid w:val="6044257D"/>
    <w:rsid w:val="60477D84"/>
    <w:rsid w:val="604D4C6F"/>
    <w:rsid w:val="604E1113"/>
    <w:rsid w:val="6051475F"/>
    <w:rsid w:val="60520CB5"/>
    <w:rsid w:val="60593614"/>
    <w:rsid w:val="60594A54"/>
    <w:rsid w:val="606A75CF"/>
    <w:rsid w:val="607D004F"/>
    <w:rsid w:val="607E307A"/>
    <w:rsid w:val="607F19DD"/>
    <w:rsid w:val="60805044"/>
    <w:rsid w:val="60870181"/>
    <w:rsid w:val="608F34D9"/>
    <w:rsid w:val="60910B83"/>
    <w:rsid w:val="60912DAE"/>
    <w:rsid w:val="60917251"/>
    <w:rsid w:val="6098413C"/>
    <w:rsid w:val="60997EB4"/>
    <w:rsid w:val="609D069B"/>
    <w:rsid w:val="609D11F2"/>
    <w:rsid w:val="609D79A4"/>
    <w:rsid w:val="609E371C"/>
    <w:rsid w:val="60A056E7"/>
    <w:rsid w:val="60A07495"/>
    <w:rsid w:val="60A13D76"/>
    <w:rsid w:val="60A56859"/>
    <w:rsid w:val="60A76A75"/>
    <w:rsid w:val="60A96349"/>
    <w:rsid w:val="60AC1FF9"/>
    <w:rsid w:val="60AE14F9"/>
    <w:rsid w:val="60B13450"/>
    <w:rsid w:val="60B13610"/>
    <w:rsid w:val="60B30F76"/>
    <w:rsid w:val="60B46A9C"/>
    <w:rsid w:val="60B66CA1"/>
    <w:rsid w:val="60B66CB8"/>
    <w:rsid w:val="60C677C2"/>
    <w:rsid w:val="60C969EB"/>
    <w:rsid w:val="60D55390"/>
    <w:rsid w:val="60D64C64"/>
    <w:rsid w:val="60D84E80"/>
    <w:rsid w:val="60DF1D6B"/>
    <w:rsid w:val="60E37E0A"/>
    <w:rsid w:val="60E76E71"/>
    <w:rsid w:val="60E94998"/>
    <w:rsid w:val="60E9572D"/>
    <w:rsid w:val="60EE1FAE"/>
    <w:rsid w:val="60EF48AF"/>
    <w:rsid w:val="60F34B93"/>
    <w:rsid w:val="60F872D1"/>
    <w:rsid w:val="60F9034D"/>
    <w:rsid w:val="60F90953"/>
    <w:rsid w:val="60FD6695"/>
    <w:rsid w:val="60FF41BB"/>
    <w:rsid w:val="61016185"/>
    <w:rsid w:val="610417D1"/>
    <w:rsid w:val="61045C75"/>
    <w:rsid w:val="6109328C"/>
    <w:rsid w:val="61094D17"/>
    <w:rsid w:val="610C68D8"/>
    <w:rsid w:val="610D1BF1"/>
    <w:rsid w:val="610E08A2"/>
    <w:rsid w:val="610F7301"/>
    <w:rsid w:val="61165902"/>
    <w:rsid w:val="611759A9"/>
    <w:rsid w:val="611834CF"/>
    <w:rsid w:val="611A2DA3"/>
    <w:rsid w:val="6129748A"/>
    <w:rsid w:val="612B4CC9"/>
    <w:rsid w:val="612B4FB0"/>
    <w:rsid w:val="612F6F8F"/>
    <w:rsid w:val="613025C6"/>
    <w:rsid w:val="6139071C"/>
    <w:rsid w:val="613F0A5C"/>
    <w:rsid w:val="6144421A"/>
    <w:rsid w:val="615053A3"/>
    <w:rsid w:val="6151253D"/>
    <w:rsid w:val="6152204F"/>
    <w:rsid w:val="61595DDF"/>
    <w:rsid w:val="615A3AE7"/>
    <w:rsid w:val="615D7134"/>
    <w:rsid w:val="615F10FE"/>
    <w:rsid w:val="61602923"/>
    <w:rsid w:val="6162299C"/>
    <w:rsid w:val="61652C96"/>
    <w:rsid w:val="61677FB2"/>
    <w:rsid w:val="61693D2A"/>
    <w:rsid w:val="616B7AA3"/>
    <w:rsid w:val="61700C15"/>
    <w:rsid w:val="6170768E"/>
    <w:rsid w:val="617701F5"/>
    <w:rsid w:val="61783F6D"/>
    <w:rsid w:val="6178408E"/>
    <w:rsid w:val="617A7CE6"/>
    <w:rsid w:val="617E77D6"/>
    <w:rsid w:val="61834DEC"/>
    <w:rsid w:val="618446C0"/>
    <w:rsid w:val="61897F29"/>
    <w:rsid w:val="618B5A4F"/>
    <w:rsid w:val="618C6A88"/>
    <w:rsid w:val="618D23D7"/>
    <w:rsid w:val="61907509"/>
    <w:rsid w:val="61A15272"/>
    <w:rsid w:val="61A170E7"/>
    <w:rsid w:val="61A42FB4"/>
    <w:rsid w:val="61A66D2D"/>
    <w:rsid w:val="61A905CB"/>
    <w:rsid w:val="61AD3C17"/>
    <w:rsid w:val="61B2122D"/>
    <w:rsid w:val="61B551C2"/>
    <w:rsid w:val="61B56F70"/>
    <w:rsid w:val="61B96A60"/>
    <w:rsid w:val="61BE4076"/>
    <w:rsid w:val="61BF1B9C"/>
    <w:rsid w:val="61C80A51"/>
    <w:rsid w:val="61CA2A1B"/>
    <w:rsid w:val="61CB46C0"/>
    <w:rsid w:val="61CB62CF"/>
    <w:rsid w:val="61D373F6"/>
    <w:rsid w:val="61D70C94"/>
    <w:rsid w:val="61D86D49"/>
    <w:rsid w:val="61DA619C"/>
    <w:rsid w:val="61E03976"/>
    <w:rsid w:val="61E32DD8"/>
    <w:rsid w:val="61E37639"/>
    <w:rsid w:val="61E57855"/>
    <w:rsid w:val="61E84C4F"/>
    <w:rsid w:val="61EB473F"/>
    <w:rsid w:val="61ED04B8"/>
    <w:rsid w:val="61EF4230"/>
    <w:rsid w:val="61F01D56"/>
    <w:rsid w:val="61F950AE"/>
    <w:rsid w:val="61F96E5C"/>
    <w:rsid w:val="61FE26C5"/>
    <w:rsid w:val="62020581"/>
    <w:rsid w:val="62033E14"/>
    <w:rsid w:val="620A72BB"/>
    <w:rsid w:val="62145A44"/>
    <w:rsid w:val="621D3F2C"/>
    <w:rsid w:val="6220263B"/>
    <w:rsid w:val="622A5268"/>
    <w:rsid w:val="6232236E"/>
    <w:rsid w:val="62364782"/>
    <w:rsid w:val="62366C04"/>
    <w:rsid w:val="623734C8"/>
    <w:rsid w:val="62375AF0"/>
    <w:rsid w:val="62375BD7"/>
    <w:rsid w:val="62397551"/>
    <w:rsid w:val="623A66C4"/>
    <w:rsid w:val="623E47E2"/>
    <w:rsid w:val="623E6F65"/>
    <w:rsid w:val="623F6839"/>
    <w:rsid w:val="62426A55"/>
    <w:rsid w:val="62483940"/>
    <w:rsid w:val="624A1848"/>
    <w:rsid w:val="624C78D4"/>
    <w:rsid w:val="624D53FA"/>
    <w:rsid w:val="62540537"/>
    <w:rsid w:val="625422E5"/>
    <w:rsid w:val="625B18C5"/>
    <w:rsid w:val="625B3673"/>
    <w:rsid w:val="625C563D"/>
    <w:rsid w:val="62636AC5"/>
    <w:rsid w:val="62647CEB"/>
    <w:rsid w:val="626B762E"/>
    <w:rsid w:val="626F35C2"/>
    <w:rsid w:val="626F778E"/>
    <w:rsid w:val="627012E0"/>
    <w:rsid w:val="62726C0F"/>
    <w:rsid w:val="62740BD9"/>
    <w:rsid w:val="62764951"/>
    <w:rsid w:val="62783599"/>
    <w:rsid w:val="62791D4B"/>
    <w:rsid w:val="627D7A8D"/>
    <w:rsid w:val="627E3805"/>
    <w:rsid w:val="62830581"/>
    <w:rsid w:val="6286301C"/>
    <w:rsid w:val="62864468"/>
    <w:rsid w:val="628662A2"/>
    <w:rsid w:val="628801E0"/>
    <w:rsid w:val="62881A95"/>
    <w:rsid w:val="62890576"/>
    <w:rsid w:val="62894684"/>
    <w:rsid w:val="628A21AA"/>
    <w:rsid w:val="628C7CD0"/>
    <w:rsid w:val="62946DCA"/>
    <w:rsid w:val="62950184"/>
    <w:rsid w:val="62975F54"/>
    <w:rsid w:val="629F3071"/>
    <w:rsid w:val="62A052B7"/>
    <w:rsid w:val="62A27CA7"/>
    <w:rsid w:val="62A327BB"/>
    <w:rsid w:val="62A768B8"/>
    <w:rsid w:val="62AA63A9"/>
    <w:rsid w:val="62AC2121"/>
    <w:rsid w:val="62AE5E99"/>
    <w:rsid w:val="62B2525D"/>
    <w:rsid w:val="62B47227"/>
    <w:rsid w:val="62B66AFB"/>
    <w:rsid w:val="62B80AC5"/>
    <w:rsid w:val="62BD2580"/>
    <w:rsid w:val="62BF7FA3"/>
    <w:rsid w:val="62C05BCC"/>
    <w:rsid w:val="62C0797A"/>
    <w:rsid w:val="62C236F2"/>
    <w:rsid w:val="62C456BC"/>
    <w:rsid w:val="62C751AC"/>
    <w:rsid w:val="62CC4571"/>
    <w:rsid w:val="62CE3B87"/>
    <w:rsid w:val="62D022B3"/>
    <w:rsid w:val="62D376AD"/>
    <w:rsid w:val="62D84CC4"/>
    <w:rsid w:val="62D94DD2"/>
    <w:rsid w:val="62DB155F"/>
    <w:rsid w:val="62DE6052"/>
    <w:rsid w:val="62E23D94"/>
    <w:rsid w:val="62E418BB"/>
    <w:rsid w:val="62E551E2"/>
    <w:rsid w:val="62EC4C13"/>
    <w:rsid w:val="62F0280B"/>
    <w:rsid w:val="62F5014F"/>
    <w:rsid w:val="62FD297C"/>
    <w:rsid w:val="63021D41"/>
    <w:rsid w:val="6308735D"/>
    <w:rsid w:val="630A6E47"/>
    <w:rsid w:val="630B4F5E"/>
    <w:rsid w:val="630E06E5"/>
    <w:rsid w:val="630E4B89"/>
    <w:rsid w:val="631101D6"/>
    <w:rsid w:val="63185A08"/>
    <w:rsid w:val="631A1780"/>
    <w:rsid w:val="631B1054"/>
    <w:rsid w:val="631B69F2"/>
    <w:rsid w:val="631F28F3"/>
    <w:rsid w:val="63205C13"/>
    <w:rsid w:val="63225184"/>
    <w:rsid w:val="63235063"/>
    <w:rsid w:val="6324615B"/>
    <w:rsid w:val="63260125"/>
    <w:rsid w:val="63286F28"/>
    <w:rsid w:val="632A1297"/>
    <w:rsid w:val="63314B14"/>
    <w:rsid w:val="63332842"/>
    <w:rsid w:val="633914DA"/>
    <w:rsid w:val="633D18C0"/>
    <w:rsid w:val="633D2BD8"/>
    <w:rsid w:val="63416D0D"/>
    <w:rsid w:val="63436152"/>
    <w:rsid w:val="63446617"/>
    <w:rsid w:val="634632A4"/>
    <w:rsid w:val="63471E49"/>
    <w:rsid w:val="63473653"/>
    <w:rsid w:val="63493E13"/>
    <w:rsid w:val="634C7460"/>
    <w:rsid w:val="634E142A"/>
    <w:rsid w:val="63554566"/>
    <w:rsid w:val="63556314"/>
    <w:rsid w:val="635D78BF"/>
    <w:rsid w:val="63650337"/>
    <w:rsid w:val="6367429A"/>
    <w:rsid w:val="636B1FDC"/>
    <w:rsid w:val="636C365E"/>
    <w:rsid w:val="637013A0"/>
    <w:rsid w:val="6370314E"/>
    <w:rsid w:val="63711839"/>
    <w:rsid w:val="637349EC"/>
    <w:rsid w:val="637644DD"/>
    <w:rsid w:val="637864A7"/>
    <w:rsid w:val="637C31BE"/>
    <w:rsid w:val="637C7D45"/>
    <w:rsid w:val="637D1D0F"/>
    <w:rsid w:val="63811F35"/>
    <w:rsid w:val="63881DBD"/>
    <w:rsid w:val="63883103"/>
    <w:rsid w:val="638D4E7E"/>
    <w:rsid w:val="638E7A78"/>
    <w:rsid w:val="639130C5"/>
    <w:rsid w:val="63952BB5"/>
    <w:rsid w:val="639808F7"/>
    <w:rsid w:val="639A466F"/>
    <w:rsid w:val="639B1A12"/>
    <w:rsid w:val="63A252D2"/>
    <w:rsid w:val="63A46FFC"/>
    <w:rsid w:val="63A849D2"/>
    <w:rsid w:val="63AB4186"/>
    <w:rsid w:val="63B03E93"/>
    <w:rsid w:val="63B05C41"/>
    <w:rsid w:val="63B3128D"/>
    <w:rsid w:val="63B76FCF"/>
    <w:rsid w:val="63B948A0"/>
    <w:rsid w:val="63C419B3"/>
    <w:rsid w:val="63C4349A"/>
    <w:rsid w:val="63C811DC"/>
    <w:rsid w:val="63C86A2B"/>
    <w:rsid w:val="63D054A9"/>
    <w:rsid w:val="63D40BE9"/>
    <w:rsid w:val="63D47F9E"/>
    <w:rsid w:val="63D86F45"/>
    <w:rsid w:val="63DD455C"/>
    <w:rsid w:val="63E0211F"/>
    <w:rsid w:val="63E1404C"/>
    <w:rsid w:val="63E37DC4"/>
    <w:rsid w:val="63E678B4"/>
    <w:rsid w:val="63E8362C"/>
    <w:rsid w:val="63EB4ECB"/>
    <w:rsid w:val="63EC4EF3"/>
    <w:rsid w:val="63ED29F1"/>
    <w:rsid w:val="63FE69AC"/>
    <w:rsid w:val="64032214"/>
    <w:rsid w:val="6405643E"/>
    <w:rsid w:val="64061D04"/>
    <w:rsid w:val="640815D9"/>
    <w:rsid w:val="6408782B"/>
    <w:rsid w:val="640A35A3"/>
    <w:rsid w:val="640F0BB9"/>
    <w:rsid w:val="640F2D98"/>
    <w:rsid w:val="6410048D"/>
    <w:rsid w:val="64137F7D"/>
    <w:rsid w:val="64144421"/>
    <w:rsid w:val="64191A38"/>
    <w:rsid w:val="64195594"/>
    <w:rsid w:val="641C5084"/>
    <w:rsid w:val="641E704E"/>
    <w:rsid w:val="64210077"/>
    <w:rsid w:val="642167B4"/>
    <w:rsid w:val="642A77A1"/>
    <w:rsid w:val="642B3519"/>
    <w:rsid w:val="642F125B"/>
    <w:rsid w:val="643028DD"/>
    <w:rsid w:val="64337E72"/>
    <w:rsid w:val="64370110"/>
    <w:rsid w:val="64393E88"/>
    <w:rsid w:val="643C5726"/>
    <w:rsid w:val="643E0E5C"/>
    <w:rsid w:val="643E5117"/>
    <w:rsid w:val="64432611"/>
    <w:rsid w:val="64485E79"/>
    <w:rsid w:val="6449399F"/>
    <w:rsid w:val="644B034C"/>
    <w:rsid w:val="644B15DB"/>
    <w:rsid w:val="644C3BBB"/>
    <w:rsid w:val="644E3D19"/>
    <w:rsid w:val="644F0FB6"/>
    <w:rsid w:val="64524F4A"/>
    <w:rsid w:val="64534785"/>
    <w:rsid w:val="64552344"/>
    <w:rsid w:val="645667E8"/>
    <w:rsid w:val="645B3DFE"/>
    <w:rsid w:val="645C7B76"/>
    <w:rsid w:val="645E38EF"/>
    <w:rsid w:val="645F0A48"/>
    <w:rsid w:val="64654C7D"/>
    <w:rsid w:val="64684E3B"/>
    <w:rsid w:val="646A2293"/>
    <w:rsid w:val="647535D9"/>
    <w:rsid w:val="647640BA"/>
    <w:rsid w:val="647C1FC7"/>
    <w:rsid w:val="647C3D75"/>
    <w:rsid w:val="647F4AE8"/>
    <w:rsid w:val="6483767E"/>
    <w:rsid w:val="6487551C"/>
    <w:rsid w:val="648917D7"/>
    <w:rsid w:val="648A46E4"/>
    <w:rsid w:val="648A7941"/>
    <w:rsid w:val="649308CA"/>
    <w:rsid w:val="649317EA"/>
    <w:rsid w:val="64933ABF"/>
    <w:rsid w:val="649B069F"/>
    <w:rsid w:val="649B244D"/>
    <w:rsid w:val="649E3CEB"/>
    <w:rsid w:val="64A4355C"/>
    <w:rsid w:val="64AD3F2E"/>
    <w:rsid w:val="64AF414A"/>
    <w:rsid w:val="64B41760"/>
    <w:rsid w:val="64B452BD"/>
    <w:rsid w:val="64B55F14"/>
    <w:rsid w:val="64B61035"/>
    <w:rsid w:val="64BD6E3E"/>
    <w:rsid w:val="64BE438D"/>
    <w:rsid w:val="64C00105"/>
    <w:rsid w:val="64C45AF8"/>
    <w:rsid w:val="64C574CA"/>
    <w:rsid w:val="64C64FF0"/>
    <w:rsid w:val="64C84907"/>
    <w:rsid w:val="64C97967"/>
    <w:rsid w:val="64CA0F84"/>
    <w:rsid w:val="64CB5679"/>
    <w:rsid w:val="64CC2606"/>
    <w:rsid w:val="64D836A1"/>
    <w:rsid w:val="64DB6CED"/>
    <w:rsid w:val="64DF43D9"/>
    <w:rsid w:val="64E060B2"/>
    <w:rsid w:val="64E41150"/>
    <w:rsid w:val="64E75692"/>
    <w:rsid w:val="64EA33D4"/>
    <w:rsid w:val="64EC08CE"/>
    <w:rsid w:val="64EC2CA8"/>
    <w:rsid w:val="64EC4A56"/>
    <w:rsid w:val="64EF09EB"/>
    <w:rsid w:val="64F66EBC"/>
    <w:rsid w:val="64FB738F"/>
    <w:rsid w:val="64FD4EB5"/>
    <w:rsid w:val="64FF0C2E"/>
    <w:rsid w:val="6502071E"/>
    <w:rsid w:val="65085608"/>
    <w:rsid w:val="6509385A"/>
    <w:rsid w:val="650B6F5C"/>
    <w:rsid w:val="650C50F9"/>
    <w:rsid w:val="650F65D3"/>
    <w:rsid w:val="65110961"/>
    <w:rsid w:val="65136487"/>
    <w:rsid w:val="651569E0"/>
    <w:rsid w:val="651D5558"/>
    <w:rsid w:val="651E4E2C"/>
    <w:rsid w:val="6522491C"/>
    <w:rsid w:val="65230BB9"/>
    <w:rsid w:val="6525705F"/>
    <w:rsid w:val="652B54CB"/>
    <w:rsid w:val="652C16E9"/>
    <w:rsid w:val="652C579B"/>
    <w:rsid w:val="652E1513"/>
    <w:rsid w:val="65332685"/>
    <w:rsid w:val="653463FD"/>
    <w:rsid w:val="65373578"/>
    <w:rsid w:val="65384140"/>
    <w:rsid w:val="653A02CF"/>
    <w:rsid w:val="653D52B2"/>
    <w:rsid w:val="65427699"/>
    <w:rsid w:val="65436640"/>
    <w:rsid w:val="65442AE4"/>
    <w:rsid w:val="65494C94"/>
    <w:rsid w:val="654C3747"/>
    <w:rsid w:val="654E74BF"/>
    <w:rsid w:val="65532D27"/>
    <w:rsid w:val="655467D1"/>
    <w:rsid w:val="6560179B"/>
    <w:rsid w:val="65624D19"/>
    <w:rsid w:val="65652A5B"/>
    <w:rsid w:val="65654809"/>
    <w:rsid w:val="656B0D13"/>
    <w:rsid w:val="656D4024"/>
    <w:rsid w:val="65705687"/>
    <w:rsid w:val="65711400"/>
    <w:rsid w:val="65711DFC"/>
    <w:rsid w:val="65717652"/>
    <w:rsid w:val="65747D87"/>
    <w:rsid w:val="65756075"/>
    <w:rsid w:val="657809E0"/>
    <w:rsid w:val="657A4758"/>
    <w:rsid w:val="657A6A22"/>
    <w:rsid w:val="657F1404"/>
    <w:rsid w:val="657F3B1C"/>
    <w:rsid w:val="65835ADB"/>
    <w:rsid w:val="65856C59"/>
    <w:rsid w:val="658630FD"/>
    <w:rsid w:val="65896749"/>
    <w:rsid w:val="658C6239"/>
    <w:rsid w:val="65921AA2"/>
    <w:rsid w:val="65943D2E"/>
    <w:rsid w:val="65960165"/>
    <w:rsid w:val="65997102"/>
    <w:rsid w:val="659D21F5"/>
    <w:rsid w:val="659F5F6D"/>
    <w:rsid w:val="65A05841"/>
    <w:rsid w:val="65A101C8"/>
    <w:rsid w:val="65A11CE5"/>
    <w:rsid w:val="65A307FF"/>
    <w:rsid w:val="65A45331"/>
    <w:rsid w:val="65A610A9"/>
    <w:rsid w:val="65A74E21"/>
    <w:rsid w:val="65AB2B63"/>
    <w:rsid w:val="65B4371E"/>
    <w:rsid w:val="65B5753E"/>
    <w:rsid w:val="65BD4645"/>
    <w:rsid w:val="65C038BF"/>
    <w:rsid w:val="65C459D3"/>
    <w:rsid w:val="65C47781"/>
    <w:rsid w:val="65C71020"/>
    <w:rsid w:val="65C94D98"/>
    <w:rsid w:val="65CC6636"/>
    <w:rsid w:val="65D025CA"/>
    <w:rsid w:val="65D16249"/>
    <w:rsid w:val="65D8147F"/>
    <w:rsid w:val="65E25E59"/>
    <w:rsid w:val="65E472BA"/>
    <w:rsid w:val="65E6594A"/>
    <w:rsid w:val="65EB7404"/>
    <w:rsid w:val="65F004D2"/>
    <w:rsid w:val="65F067C8"/>
    <w:rsid w:val="65F57307"/>
    <w:rsid w:val="65F71905"/>
    <w:rsid w:val="65F938CF"/>
    <w:rsid w:val="65FC516D"/>
    <w:rsid w:val="65FD2C93"/>
    <w:rsid w:val="65FE1159"/>
    <w:rsid w:val="65FF6A0B"/>
    <w:rsid w:val="66017C1F"/>
    <w:rsid w:val="6603474E"/>
    <w:rsid w:val="66063C4D"/>
    <w:rsid w:val="660B1854"/>
    <w:rsid w:val="660C375D"/>
    <w:rsid w:val="66122D27"/>
    <w:rsid w:val="6612673F"/>
    <w:rsid w:val="66140709"/>
    <w:rsid w:val="66154481"/>
    <w:rsid w:val="661C3F42"/>
    <w:rsid w:val="661F2C0A"/>
    <w:rsid w:val="662045C9"/>
    <w:rsid w:val="66217D5A"/>
    <w:rsid w:val="66236B9E"/>
    <w:rsid w:val="6624697A"/>
    <w:rsid w:val="66280D11"/>
    <w:rsid w:val="662841B4"/>
    <w:rsid w:val="662A1D70"/>
    <w:rsid w:val="662D5327"/>
    <w:rsid w:val="663027F3"/>
    <w:rsid w:val="66342B59"/>
    <w:rsid w:val="66377F53"/>
    <w:rsid w:val="663E0BF4"/>
    <w:rsid w:val="663E5786"/>
    <w:rsid w:val="663F0955"/>
    <w:rsid w:val="66434B4A"/>
    <w:rsid w:val="66476DEF"/>
    <w:rsid w:val="66482160"/>
    <w:rsid w:val="664B1C51"/>
    <w:rsid w:val="664B7EA3"/>
    <w:rsid w:val="664D7777"/>
    <w:rsid w:val="66544FA9"/>
    <w:rsid w:val="6655487D"/>
    <w:rsid w:val="66564873"/>
    <w:rsid w:val="665E3732"/>
    <w:rsid w:val="665E7BD6"/>
    <w:rsid w:val="66660838"/>
    <w:rsid w:val="666F1DE3"/>
    <w:rsid w:val="66703465"/>
    <w:rsid w:val="667967BE"/>
    <w:rsid w:val="667B0788"/>
    <w:rsid w:val="667B2536"/>
    <w:rsid w:val="667F5A9A"/>
    <w:rsid w:val="6680501B"/>
    <w:rsid w:val="668313EA"/>
    <w:rsid w:val="66833198"/>
    <w:rsid w:val="668533B4"/>
    <w:rsid w:val="66854445"/>
    <w:rsid w:val="668A09CB"/>
    <w:rsid w:val="668D2269"/>
    <w:rsid w:val="668D7512"/>
    <w:rsid w:val="668E3573"/>
    <w:rsid w:val="668F5FE1"/>
    <w:rsid w:val="669B2BD8"/>
    <w:rsid w:val="669B6734"/>
    <w:rsid w:val="669E7FD2"/>
    <w:rsid w:val="669F1927"/>
    <w:rsid w:val="66A15D14"/>
    <w:rsid w:val="66A23F66"/>
    <w:rsid w:val="66A3383B"/>
    <w:rsid w:val="66A6332B"/>
    <w:rsid w:val="66A870A3"/>
    <w:rsid w:val="66AB0941"/>
    <w:rsid w:val="66AF3F8D"/>
    <w:rsid w:val="66B141AA"/>
    <w:rsid w:val="66B772E6"/>
    <w:rsid w:val="66BB7D21"/>
    <w:rsid w:val="66C51A03"/>
    <w:rsid w:val="66C57C55"/>
    <w:rsid w:val="66CD4D5B"/>
    <w:rsid w:val="66CF4630"/>
    <w:rsid w:val="66CF63DE"/>
    <w:rsid w:val="66D165FA"/>
    <w:rsid w:val="66D439F4"/>
    <w:rsid w:val="66D63C10"/>
    <w:rsid w:val="66DD63E5"/>
    <w:rsid w:val="66DF76D4"/>
    <w:rsid w:val="66E16111"/>
    <w:rsid w:val="66E225B5"/>
    <w:rsid w:val="66EA76BB"/>
    <w:rsid w:val="66EC6F90"/>
    <w:rsid w:val="66F01F82"/>
    <w:rsid w:val="66F05F34"/>
    <w:rsid w:val="66F26570"/>
    <w:rsid w:val="66F26971"/>
    <w:rsid w:val="66F4477F"/>
    <w:rsid w:val="66F85A07"/>
    <w:rsid w:val="66FD73EF"/>
    <w:rsid w:val="67000C8D"/>
    <w:rsid w:val="67006EDF"/>
    <w:rsid w:val="67145898"/>
    <w:rsid w:val="671A2875"/>
    <w:rsid w:val="671B1623"/>
    <w:rsid w:val="672030DD"/>
    <w:rsid w:val="67211A19"/>
    <w:rsid w:val="67220C03"/>
    <w:rsid w:val="6723497B"/>
    <w:rsid w:val="67295A58"/>
    <w:rsid w:val="672A5D0A"/>
    <w:rsid w:val="672C6851"/>
    <w:rsid w:val="672D4457"/>
    <w:rsid w:val="672F1572"/>
    <w:rsid w:val="67380715"/>
    <w:rsid w:val="673D77EB"/>
    <w:rsid w:val="673F2C7A"/>
    <w:rsid w:val="673F7A07"/>
    <w:rsid w:val="674072DB"/>
    <w:rsid w:val="674A094A"/>
    <w:rsid w:val="675016C2"/>
    <w:rsid w:val="67522FB5"/>
    <w:rsid w:val="67530DBD"/>
    <w:rsid w:val="67540894"/>
    <w:rsid w:val="67566EED"/>
    <w:rsid w:val="67580AC9"/>
    <w:rsid w:val="67584625"/>
    <w:rsid w:val="676254A4"/>
    <w:rsid w:val="6765041B"/>
    <w:rsid w:val="676A65B4"/>
    <w:rsid w:val="676E3E49"/>
    <w:rsid w:val="676F196F"/>
    <w:rsid w:val="6773320D"/>
    <w:rsid w:val="67746F85"/>
    <w:rsid w:val="677551D7"/>
    <w:rsid w:val="677671A1"/>
    <w:rsid w:val="67786A75"/>
    <w:rsid w:val="67790AF4"/>
    <w:rsid w:val="677B6565"/>
    <w:rsid w:val="677F5452"/>
    <w:rsid w:val="677F6056"/>
    <w:rsid w:val="6780592A"/>
    <w:rsid w:val="678278F4"/>
    <w:rsid w:val="678418BE"/>
    <w:rsid w:val="67841F6B"/>
    <w:rsid w:val="6784366C"/>
    <w:rsid w:val="67883798"/>
    <w:rsid w:val="67896ED4"/>
    <w:rsid w:val="678B49FB"/>
    <w:rsid w:val="678C0773"/>
    <w:rsid w:val="678E0047"/>
    <w:rsid w:val="678E6299"/>
    <w:rsid w:val="67900263"/>
    <w:rsid w:val="67915D89"/>
    <w:rsid w:val="679413D5"/>
    <w:rsid w:val="67982C74"/>
    <w:rsid w:val="679A2E90"/>
    <w:rsid w:val="679B1BC9"/>
    <w:rsid w:val="67A05409"/>
    <w:rsid w:val="67A20640"/>
    <w:rsid w:val="67A21D44"/>
    <w:rsid w:val="67A26575"/>
    <w:rsid w:val="67AC2BC3"/>
    <w:rsid w:val="67B33F51"/>
    <w:rsid w:val="67B75622"/>
    <w:rsid w:val="67BD72E9"/>
    <w:rsid w:val="67BF46A4"/>
    <w:rsid w:val="67C5088E"/>
    <w:rsid w:val="67C63C85"/>
    <w:rsid w:val="67CB3049"/>
    <w:rsid w:val="67CC0B6F"/>
    <w:rsid w:val="67CF2049"/>
    <w:rsid w:val="67D11A4E"/>
    <w:rsid w:val="67D22629"/>
    <w:rsid w:val="67D411EB"/>
    <w:rsid w:val="67DD4B2A"/>
    <w:rsid w:val="67E1286C"/>
    <w:rsid w:val="67E301C9"/>
    <w:rsid w:val="67E4235D"/>
    <w:rsid w:val="67E660D5"/>
    <w:rsid w:val="67E97973"/>
    <w:rsid w:val="67EB7247"/>
    <w:rsid w:val="67EC1211"/>
    <w:rsid w:val="67F51E74"/>
    <w:rsid w:val="67F84BAC"/>
    <w:rsid w:val="67F87BB6"/>
    <w:rsid w:val="67FF2CF3"/>
    <w:rsid w:val="68012F0F"/>
    <w:rsid w:val="68016A6B"/>
    <w:rsid w:val="6804655B"/>
    <w:rsid w:val="680622D3"/>
    <w:rsid w:val="68071BA7"/>
    <w:rsid w:val="680B5B3B"/>
    <w:rsid w:val="680E1188"/>
    <w:rsid w:val="68106CAE"/>
    <w:rsid w:val="6818054C"/>
    <w:rsid w:val="68183DB4"/>
    <w:rsid w:val="68191A91"/>
    <w:rsid w:val="681A7B2C"/>
    <w:rsid w:val="681B464D"/>
    <w:rsid w:val="681F15E7"/>
    <w:rsid w:val="681F5143"/>
    <w:rsid w:val="681F6961"/>
    <w:rsid w:val="682054F9"/>
    <w:rsid w:val="68240B89"/>
    <w:rsid w:val="6826136B"/>
    <w:rsid w:val="68297D70"/>
    <w:rsid w:val="682B1D3A"/>
    <w:rsid w:val="682B7F8C"/>
    <w:rsid w:val="683F3A37"/>
    <w:rsid w:val="683F7593"/>
    <w:rsid w:val="684352D5"/>
    <w:rsid w:val="685017A0"/>
    <w:rsid w:val="68541CB5"/>
    <w:rsid w:val="68570199"/>
    <w:rsid w:val="68570D81"/>
    <w:rsid w:val="685B53D9"/>
    <w:rsid w:val="68610A2F"/>
    <w:rsid w:val="686A0AB4"/>
    <w:rsid w:val="686A5863"/>
    <w:rsid w:val="686F7E78"/>
    <w:rsid w:val="68721717"/>
    <w:rsid w:val="687F3E33"/>
    <w:rsid w:val="68805514"/>
    <w:rsid w:val="6881195A"/>
    <w:rsid w:val="688171D5"/>
    <w:rsid w:val="688B0A2A"/>
    <w:rsid w:val="688C138F"/>
    <w:rsid w:val="68905759"/>
    <w:rsid w:val="68953657"/>
    <w:rsid w:val="689A15B9"/>
    <w:rsid w:val="68A13DAA"/>
    <w:rsid w:val="68A36A6C"/>
    <w:rsid w:val="68A45648"/>
    <w:rsid w:val="68A839E0"/>
    <w:rsid w:val="68A84B24"/>
    <w:rsid w:val="68AA7FC8"/>
    <w:rsid w:val="68AE0E91"/>
    <w:rsid w:val="68AF296B"/>
    <w:rsid w:val="68B03FED"/>
    <w:rsid w:val="68B2355C"/>
    <w:rsid w:val="68BA52A2"/>
    <w:rsid w:val="68BE2BAE"/>
    <w:rsid w:val="68BE495C"/>
    <w:rsid w:val="68C006D4"/>
    <w:rsid w:val="68C1444C"/>
    <w:rsid w:val="68C55CEA"/>
    <w:rsid w:val="68D43ED1"/>
    <w:rsid w:val="68D979E8"/>
    <w:rsid w:val="68DB72BC"/>
    <w:rsid w:val="68E31C7D"/>
    <w:rsid w:val="68E343C2"/>
    <w:rsid w:val="68E36170"/>
    <w:rsid w:val="68E57D0D"/>
    <w:rsid w:val="68EC771B"/>
    <w:rsid w:val="68ED5241"/>
    <w:rsid w:val="68F00A95"/>
    <w:rsid w:val="68F465CF"/>
    <w:rsid w:val="68F55EA4"/>
    <w:rsid w:val="68F760C0"/>
    <w:rsid w:val="68FB795E"/>
    <w:rsid w:val="68FC5484"/>
    <w:rsid w:val="68FE744E"/>
    <w:rsid w:val="6905258B"/>
    <w:rsid w:val="69076303"/>
    <w:rsid w:val="690D040B"/>
    <w:rsid w:val="691643B3"/>
    <w:rsid w:val="69180510"/>
    <w:rsid w:val="69196036"/>
    <w:rsid w:val="691F4FA3"/>
    <w:rsid w:val="692549DB"/>
    <w:rsid w:val="692F717A"/>
    <w:rsid w:val="69310AF9"/>
    <w:rsid w:val="693654E7"/>
    <w:rsid w:val="69382960"/>
    <w:rsid w:val="693C5C0C"/>
    <w:rsid w:val="693D7F76"/>
    <w:rsid w:val="694110E9"/>
    <w:rsid w:val="69431305"/>
    <w:rsid w:val="69450BD9"/>
    <w:rsid w:val="69490210"/>
    <w:rsid w:val="694C1F68"/>
    <w:rsid w:val="694E2071"/>
    <w:rsid w:val="69535A05"/>
    <w:rsid w:val="69561038"/>
    <w:rsid w:val="69562DE6"/>
    <w:rsid w:val="69586B5E"/>
    <w:rsid w:val="695B21AB"/>
    <w:rsid w:val="695E1C9B"/>
    <w:rsid w:val="695E7B16"/>
    <w:rsid w:val="69603C65"/>
    <w:rsid w:val="69603DA2"/>
    <w:rsid w:val="69683798"/>
    <w:rsid w:val="69690D6B"/>
    <w:rsid w:val="696A6E60"/>
    <w:rsid w:val="69715E72"/>
    <w:rsid w:val="69747710"/>
    <w:rsid w:val="697A3B33"/>
    <w:rsid w:val="697E40EB"/>
    <w:rsid w:val="69852275"/>
    <w:rsid w:val="69855479"/>
    <w:rsid w:val="69881641"/>
    <w:rsid w:val="698A0CE2"/>
    <w:rsid w:val="698C6808"/>
    <w:rsid w:val="698E2580"/>
    <w:rsid w:val="69912070"/>
    <w:rsid w:val="69993B96"/>
    <w:rsid w:val="699D238C"/>
    <w:rsid w:val="699D6C67"/>
    <w:rsid w:val="699E2456"/>
    <w:rsid w:val="69A200AE"/>
    <w:rsid w:val="69A2602B"/>
    <w:rsid w:val="69A26117"/>
    <w:rsid w:val="69AA3132"/>
    <w:rsid w:val="69AB0181"/>
    <w:rsid w:val="69AE2C22"/>
    <w:rsid w:val="69AE49D0"/>
    <w:rsid w:val="69B0699A"/>
    <w:rsid w:val="69B144C0"/>
    <w:rsid w:val="69B33D95"/>
    <w:rsid w:val="69B47B0D"/>
    <w:rsid w:val="69BA15C7"/>
    <w:rsid w:val="69BA59A8"/>
    <w:rsid w:val="69BD4C2B"/>
    <w:rsid w:val="69BE2739"/>
    <w:rsid w:val="69C441F4"/>
    <w:rsid w:val="69C46CC3"/>
    <w:rsid w:val="69C97A5C"/>
    <w:rsid w:val="69CC12FA"/>
    <w:rsid w:val="69CE5072"/>
    <w:rsid w:val="69D0459A"/>
    <w:rsid w:val="69D16911"/>
    <w:rsid w:val="69D361E5"/>
    <w:rsid w:val="69D72179"/>
    <w:rsid w:val="69D97A59"/>
    <w:rsid w:val="69DB153D"/>
    <w:rsid w:val="69DD7064"/>
    <w:rsid w:val="69DF4B8A"/>
    <w:rsid w:val="69E46644"/>
    <w:rsid w:val="69E525A6"/>
    <w:rsid w:val="69E84666"/>
    <w:rsid w:val="69ED735F"/>
    <w:rsid w:val="69EE301F"/>
    <w:rsid w:val="69F30635"/>
    <w:rsid w:val="69F66377"/>
    <w:rsid w:val="69FA5E67"/>
    <w:rsid w:val="69FC345A"/>
    <w:rsid w:val="69FC398E"/>
    <w:rsid w:val="69FF522C"/>
    <w:rsid w:val="6A0A597F"/>
    <w:rsid w:val="6A0C7949"/>
    <w:rsid w:val="6A143C4B"/>
    <w:rsid w:val="6A19173C"/>
    <w:rsid w:val="6A197154"/>
    <w:rsid w:val="6A25348F"/>
    <w:rsid w:val="6A2627B9"/>
    <w:rsid w:val="6A2904FB"/>
    <w:rsid w:val="6A294057"/>
    <w:rsid w:val="6A2B4273"/>
    <w:rsid w:val="6A2C58F8"/>
    <w:rsid w:val="6A2E78BF"/>
    <w:rsid w:val="6A2F590D"/>
    <w:rsid w:val="6A30161E"/>
    <w:rsid w:val="6A330AD1"/>
    <w:rsid w:val="6A356EA0"/>
    <w:rsid w:val="6A372C18"/>
    <w:rsid w:val="6A386990"/>
    <w:rsid w:val="6A3C3973"/>
    <w:rsid w:val="6A42336B"/>
    <w:rsid w:val="6A481A52"/>
    <w:rsid w:val="6A4B0471"/>
    <w:rsid w:val="6A4B06F6"/>
    <w:rsid w:val="6A575068"/>
    <w:rsid w:val="6A5A06B4"/>
    <w:rsid w:val="6A611A43"/>
    <w:rsid w:val="6A624A2F"/>
    <w:rsid w:val="6A627569"/>
    <w:rsid w:val="6A640209"/>
    <w:rsid w:val="6A652FD8"/>
    <w:rsid w:val="6A6534F3"/>
    <w:rsid w:val="6A682DD1"/>
    <w:rsid w:val="6A6921D7"/>
    <w:rsid w:val="6A696B49"/>
    <w:rsid w:val="6A6A3122"/>
    <w:rsid w:val="6A731776"/>
    <w:rsid w:val="6A796A9F"/>
    <w:rsid w:val="6A7A2B04"/>
    <w:rsid w:val="6A7E25F5"/>
    <w:rsid w:val="6A813E93"/>
    <w:rsid w:val="6A883473"/>
    <w:rsid w:val="6A90057A"/>
    <w:rsid w:val="6A9260A0"/>
    <w:rsid w:val="6A9516EC"/>
    <w:rsid w:val="6A995680"/>
    <w:rsid w:val="6A9E0AB3"/>
    <w:rsid w:val="6AA302AD"/>
    <w:rsid w:val="6AA72412"/>
    <w:rsid w:val="6AAB7162"/>
    <w:rsid w:val="6AAD2EDA"/>
    <w:rsid w:val="6AB06526"/>
    <w:rsid w:val="6AB627B0"/>
    <w:rsid w:val="6AB75B07"/>
    <w:rsid w:val="6AB9362D"/>
    <w:rsid w:val="6ABA7372"/>
    <w:rsid w:val="6ABC577D"/>
    <w:rsid w:val="6AC326FD"/>
    <w:rsid w:val="6AC344AB"/>
    <w:rsid w:val="6ACA583A"/>
    <w:rsid w:val="6ACF10A2"/>
    <w:rsid w:val="6AD05952"/>
    <w:rsid w:val="6AD12861"/>
    <w:rsid w:val="6AD246EE"/>
    <w:rsid w:val="6AD77F57"/>
    <w:rsid w:val="6ADA2581"/>
    <w:rsid w:val="6AEB755E"/>
    <w:rsid w:val="6AF02DC7"/>
    <w:rsid w:val="6AF86168"/>
    <w:rsid w:val="6AFA64AC"/>
    <w:rsid w:val="6AFE54E3"/>
    <w:rsid w:val="6B00125C"/>
    <w:rsid w:val="6B0E1E52"/>
    <w:rsid w:val="6B0F4184"/>
    <w:rsid w:val="6B0F71E2"/>
    <w:rsid w:val="6B170353"/>
    <w:rsid w:val="6B1747F7"/>
    <w:rsid w:val="6B1B42E7"/>
    <w:rsid w:val="6B1E5B86"/>
    <w:rsid w:val="6B1F5FA9"/>
    <w:rsid w:val="6B217424"/>
    <w:rsid w:val="6B2A277C"/>
    <w:rsid w:val="6B322639"/>
    <w:rsid w:val="6B347157"/>
    <w:rsid w:val="6B364C7D"/>
    <w:rsid w:val="6B413622"/>
    <w:rsid w:val="6B427C02"/>
    <w:rsid w:val="6B43739A"/>
    <w:rsid w:val="6B4C48E8"/>
    <w:rsid w:val="6B5363CE"/>
    <w:rsid w:val="6B5430AF"/>
    <w:rsid w:val="6B56531F"/>
    <w:rsid w:val="6B572E46"/>
    <w:rsid w:val="6B572E49"/>
    <w:rsid w:val="6B581098"/>
    <w:rsid w:val="6B59096C"/>
    <w:rsid w:val="6B5949F9"/>
    <w:rsid w:val="6B5B2936"/>
    <w:rsid w:val="6B5C220A"/>
    <w:rsid w:val="6B637A3C"/>
    <w:rsid w:val="6B6932A5"/>
    <w:rsid w:val="6B6A2B79"/>
    <w:rsid w:val="6B6C3431"/>
    <w:rsid w:val="6B7439F8"/>
    <w:rsid w:val="6B76151E"/>
    <w:rsid w:val="6B7B4D86"/>
    <w:rsid w:val="6B7E5284"/>
    <w:rsid w:val="6B824366"/>
    <w:rsid w:val="6B881251"/>
    <w:rsid w:val="6B8D6867"/>
    <w:rsid w:val="6B8F438D"/>
    <w:rsid w:val="6B8F513C"/>
    <w:rsid w:val="6B910106"/>
    <w:rsid w:val="6B930322"/>
    <w:rsid w:val="6B952F78"/>
    <w:rsid w:val="6B981494"/>
    <w:rsid w:val="6B9A16B0"/>
    <w:rsid w:val="6B9B2D32"/>
    <w:rsid w:val="6B9D2F4E"/>
    <w:rsid w:val="6B9F6CC6"/>
    <w:rsid w:val="6BAC3191"/>
    <w:rsid w:val="6BB40298"/>
    <w:rsid w:val="6BB43DF4"/>
    <w:rsid w:val="6BB81B36"/>
    <w:rsid w:val="6BB838E4"/>
    <w:rsid w:val="6BB9765C"/>
    <w:rsid w:val="6BBA3B00"/>
    <w:rsid w:val="6BBD0EFB"/>
    <w:rsid w:val="6BBF1117"/>
    <w:rsid w:val="6BCE3108"/>
    <w:rsid w:val="6BCE4EB6"/>
    <w:rsid w:val="6BD12AD1"/>
    <w:rsid w:val="6BD526E8"/>
    <w:rsid w:val="6BDD7547"/>
    <w:rsid w:val="6BE40B7D"/>
    <w:rsid w:val="6BEA5A68"/>
    <w:rsid w:val="6BF3491C"/>
    <w:rsid w:val="6BF5165A"/>
    <w:rsid w:val="6BF568E6"/>
    <w:rsid w:val="6BF8342F"/>
    <w:rsid w:val="6BF95CAB"/>
    <w:rsid w:val="6BFB3FCD"/>
    <w:rsid w:val="6BFD1C3F"/>
    <w:rsid w:val="6BFF1513"/>
    <w:rsid w:val="6C005EAC"/>
    <w:rsid w:val="6C0528A2"/>
    <w:rsid w:val="6C0E1756"/>
    <w:rsid w:val="6C0E79A8"/>
    <w:rsid w:val="6C0F54CE"/>
    <w:rsid w:val="6C101972"/>
    <w:rsid w:val="6C117498"/>
    <w:rsid w:val="6C136D6D"/>
    <w:rsid w:val="6C155E31"/>
    <w:rsid w:val="6C165A05"/>
    <w:rsid w:val="6C170751"/>
    <w:rsid w:val="6C1F3963"/>
    <w:rsid w:val="6C214EA2"/>
    <w:rsid w:val="6C223454"/>
    <w:rsid w:val="6C264CF2"/>
    <w:rsid w:val="6C2B2308"/>
    <w:rsid w:val="6C2B3654"/>
    <w:rsid w:val="6C2B67AC"/>
    <w:rsid w:val="6C2C6080"/>
    <w:rsid w:val="6C2E004A"/>
    <w:rsid w:val="6C30791F"/>
    <w:rsid w:val="6C33740F"/>
    <w:rsid w:val="6C3513D9"/>
    <w:rsid w:val="6C376EFF"/>
    <w:rsid w:val="6C3867D3"/>
    <w:rsid w:val="6C3D028D"/>
    <w:rsid w:val="6C3F7B62"/>
    <w:rsid w:val="6C417D7E"/>
    <w:rsid w:val="6C496C32"/>
    <w:rsid w:val="6C4C0AD1"/>
    <w:rsid w:val="6C4C5516"/>
    <w:rsid w:val="6C4E140D"/>
    <w:rsid w:val="6C4E742C"/>
    <w:rsid w:val="6C537AB1"/>
    <w:rsid w:val="6C5B1319"/>
    <w:rsid w:val="6C5B6D25"/>
    <w:rsid w:val="6C5C0714"/>
    <w:rsid w:val="6C5E2E70"/>
    <w:rsid w:val="6C621AA2"/>
    <w:rsid w:val="6C636C38"/>
    <w:rsid w:val="6C6677E4"/>
    <w:rsid w:val="6C731F01"/>
    <w:rsid w:val="6C733CAF"/>
    <w:rsid w:val="6C757A27"/>
    <w:rsid w:val="6C7A503E"/>
    <w:rsid w:val="6C7C1405"/>
    <w:rsid w:val="6C7C2B64"/>
    <w:rsid w:val="6C7F4402"/>
    <w:rsid w:val="6C804DEF"/>
    <w:rsid w:val="6C81017A"/>
    <w:rsid w:val="6C847C6A"/>
    <w:rsid w:val="6C8639E2"/>
    <w:rsid w:val="6C8E6D3B"/>
    <w:rsid w:val="6C9102FF"/>
    <w:rsid w:val="6C92218A"/>
    <w:rsid w:val="6C937EAD"/>
    <w:rsid w:val="6C9500C9"/>
    <w:rsid w:val="6C960867"/>
    <w:rsid w:val="6C97174C"/>
    <w:rsid w:val="6C9D2ADA"/>
    <w:rsid w:val="6CA125CA"/>
    <w:rsid w:val="6CA34594"/>
    <w:rsid w:val="6CA9147F"/>
    <w:rsid w:val="6CAE6A95"/>
    <w:rsid w:val="6CB06CB1"/>
    <w:rsid w:val="6CBC3901"/>
    <w:rsid w:val="6CBC5656"/>
    <w:rsid w:val="6CBD4F2A"/>
    <w:rsid w:val="6CC16DF1"/>
    <w:rsid w:val="6CC462B9"/>
    <w:rsid w:val="6CC664D5"/>
    <w:rsid w:val="6CC81212"/>
    <w:rsid w:val="6CD26C28"/>
    <w:rsid w:val="6CD3474E"/>
    <w:rsid w:val="6CE26D5D"/>
    <w:rsid w:val="6CE32BE3"/>
    <w:rsid w:val="6CE4695B"/>
    <w:rsid w:val="6CE60925"/>
    <w:rsid w:val="6CE81FA7"/>
    <w:rsid w:val="6CEB0E5F"/>
    <w:rsid w:val="6CEB120D"/>
    <w:rsid w:val="6CED5810"/>
    <w:rsid w:val="6CF22E26"/>
    <w:rsid w:val="6CF52916"/>
    <w:rsid w:val="6CF63A92"/>
    <w:rsid w:val="6CF941B4"/>
    <w:rsid w:val="6CFC32B8"/>
    <w:rsid w:val="6CFC4F20"/>
    <w:rsid w:val="6CFC5A53"/>
    <w:rsid w:val="6CFF0B45"/>
    <w:rsid w:val="6D0112BB"/>
    <w:rsid w:val="6D013776"/>
    <w:rsid w:val="6D026DC6"/>
    <w:rsid w:val="6D0512FF"/>
    <w:rsid w:val="6D0B038C"/>
    <w:rsid w:val="6D0B4F67"/>
    <w:rsid w:val="6D154D66"/>
    <w:rsid w:val="6D194857"/>
    <w:rsid w:val="6D1B05CF"/>
    <w:rsid w:val="6D1C7EA3"/>
    <w:rsid w:val="6D1E1E6D"/>
    <w:rsid w:val="6D205BE5"/>
    <w:rsid w:val="6D2154B9"/>
    <w:rsid w:val="6D267B26"/>
    <w:rsid w:val="6D2A6A64"/>
    <w:rsid w:val="6D2C27DC"/>
    <w:rsid w:val="6D34343E"/>
    <w:rsid w:val="6D372F2F"/>
    <w:rsid w:val="6D3A657B"/>
    <w:rsid w:val="6D3C1731"/>
    <w:rsid w:val="6D3E42BD"/>
    <w:rsid w:val="6D435308"/>
    <w:rsid w:val="6D4573FA"/>
    <w:rsid w:val="6D4A2C62"/>
    <w:rsid w:val="6D4A4A10"/>
    <w:rsid w:val="6D4B3F19"/>
    <w:rsid w:val="6D515941"/>
    <w:rsid w:val="6D543AE1"/>
    <w:rsid w:val="6D5910F7"/>
    <w:rsid w:val="6D602485"/>
    <w:rsid w:val="6D605FE2"/>
    <w:rsid w:val="6D617FAC"/>
    <w:rsid w:val="6D667370"/>
    <w:rsid w:val="6D673814"/>
    <w:rsid w:val="6D6A6E60"/>
    <w:rsid w:val="6D6C0E2A"/>
    <w:rsid w:val="6D6E6E45"/>
    <w:rsid w:val="6D723F67"/>
    <w:rsid w:val="6D741A8D"/>
    <w:rsid w:val="6D7766CE"/>
    <w:rsid w:val="6D7970A3"/>
    <w:rsid w:val="6D7D4DE5"/>
    <w:rsid w:val="6D7E290C"/>
    <w:rsid w:val="6D836174"/>
    <w:rsid w:val="6D864791"/>
    <w:rsid w:val="6D8A7502"/>
    <w:rsid w:val="6D8C14BB"/>
    <w:rsid w:val="6D8D2B4F"/>
    <w:rsid w:val="6D8F4B19"/>
    <w:rsid w:val="6D967C55"/>
    <w:rsid w:val="6D997745"/>
    <w:rsid w:val="6D9A2D85"/>
    <w:rsid w:val="6D9C0FE4"/>
    <w:rsid w:val="6DA265FA"/>
    <w:rsid w:val="6DA34120"/>
    <w:rsid w:val="6DA41B00"/>
    <w:rsid w:val="6DAA1953"/>
    <w:rsid w:val="6DB157EC"/>
    <w:rsid w:val="6DB225B5"/>
    <w:rsid w:val="6DB34098"/>
    <w:rsid w:val="6DB545B6"/>
    <w:rsid w:val="6DB93944"/>
    <w:rsid w:val="6DBC594E"/>
    <w:rsid w:val="6DBE0F5A"/>
    <w:rsid w:val="6DC02C1E"/>
    <w:rsid w:val="6DC04CD2"/>
    <w:rsid w:val="6DC16B04"/>
    <w:rsid w:val="6DC42A14"/>
    <w:rsid w:val="6DC9627D"/>
    <w:rsid w:val="6DCA3DA3"/>
    <w:rsid w:val="6DD038D1"/>
    <w:rsid w:val="6DD51ED2"/>
    <w:rsid w:val="6DD54C21"/>
    <w:rsid w:val="6DD86E68"/>
    <w:rsid w:val="6DD9192B"/>
    <w:rsid w:val="6DDA1931"/>
    <w:rsid w:val="6DDA2238"/>
    <w:rsid w:val="6DDD7632"/>
    <w:rsid w:val="6DDF4286"/>
    <w:rsid w:val="6DE07122"/>
    <w:rsid w:val="6DE309C1"/>
    <w:rsid w:val="6DE50BDD"/>
    <w:rsid w:val="6DE9247B"/>
    <w:rsid w:val="6DE94229"/>
    <w:rsid w:val="6DEE2714"/>
    <w:rsid w:val="6DF130DE"/>
    <w:rsid w:val="6DF350A8"/>
    <w:rsid w:val="6DF80910"/>
    <w:rsid w:val="6DF826BE"/>
    <w:rsid w:val="6DF901E4"/>
    <w:rsid w:val="6DFA4688"/>
    <w:rsid w:val="6DFB1424"/>
    <w:rsid w:val="6E04380A"/>
    <w:rsid w:val="6E072901"/>
    <w:rsid w:val="6E0948CB"/>
    <w:rsid w:val="6E0A6EA2"/>
    <w:rsid w:val="6E0B4EFC"/>
    <w:rsid w:val="6E0F17B6"/>
    <w:rsid w:val="6E13574A"/>
    <w:rsid w:val="6E1B281B"/>
    <w:rsid w:val="6E22598D"/>
    <w:rsid w:val="6E22773B"/>
    <w:rsid w:val="6E2407C0"/>
    <w:rsid w:val="6E2434B3"/>
    <w:rsid w:val="6E245261"/>
    <w:rsid w:val="6E2A4841"/>
    <w:rsid w:val="6E2B2A93"/>
    <w:rsid w:val="6E2C2368"/>
    <w:rsid w:val="6E3336F6"/>
    <w:rsid w:val="6E3F02ED"/>
    <w:rsid w:val="6E430122"/>
    <w:rsid w:val="6E4375A0"/>
    <w:rsid w:val="6E46167B"/>
    <w:rsid w:val="6E4771A1"/>
    <w:rsid w:val="6E493F8C"/>
    <w:rsid w:val="6E496F01"/>
    <w:rsid w:val="6E4E6782"/>
    <w:rsid w:val="6E5024FA"/>
    <w:rsid w:val="6E514CED"/>
    <w:rsid w:val="6E5518BE"/>
    <w:rsid w:val="6E565636"/>
    <w:rsid w:val="6E587601"/>
    <w:rsid w:val="6E597DC9"/>
    <w:rsid w:val="6E5D4C17"/>
    <w:rsid w:val="6E5D6D8A"/>
    <w:rsid w:val="6E625D89"/>
    <w:rsid w:val="6E650E15"/>
    <w:rsid w:val="6E6623CD"/>
    <w:rsid w:val="6E663ACB"/>
    <w:rsid w:val="6E6C7882"/>
    <w:rsid w:val="6E755ABD"/>
    <w:rsid w:val="6E76798E"/>
    <w:rsid w:val="6E786E93"/>
    <w:rsid w:val="6E79491A"/>
    <w:rsid w:val="6E82467D"/>
    <w:rsid w:val="6E8E6B7E"/>
    <w:rsid w:val="6E906D9A"/>
    <w:rsid w:val="6E91666F"/>
    <w:rsid w:val="6E941144"/>
    <w:rsid w:val="6E985C4F"/>
    <w:rsid w:val="6E9C573F"/>
    <w:rsid w:val="6E9F6FDD"/>
    <w:rsid w:val="6EA37E3E"/>
    <w:rsid w:val="6EA445F4"/>
    <w:rsid w:val="6EA510B2"/>
    <w:rsid w:val="6EA6211A"/>
    <w:rsid w:val="6EB1286D"/>
    <w:rsid w:val="6EB20ABF"/>
    <w:rsid w:val="6EB41E64"/>
    <w:rsid w:val="6EB563D5"/>
    <w:rsid w:val="6EBA6F09"/>
    <w:rsid w:val="6EBD7464"/>
    <w:rsid w:val="6EC30F1E"/>
    <w:rsid w:val="6EC407F2"/>
    <w:rsid w:val="6EC425A0"/>
    <w:rsid w:val="6EC46A44"/>
    <w:rsid w:val="6EC66318"/>
    <w:rsid w:val="6EC72090"/>
    <w:rsid w:val="6EC86534"/>
    <w:rsid w:val="6ECA1007"/>
    <w:rsid w:val="6ED21161"/>
    <w:rsid w:val="6ED50C51"/>
    <w:rsid w:val="6EDA0016"/>
    <w:rsid w:val="6EDC0332"/>
    <w:rsid w:val="6EDE1721"/>
    <w:rsid w:val="6EDF562C"/>
    <w:rsid w:val="6EE127E5"/>
    <w:rsid w:val="6EE3336E"/>
    <w:rsid w:val="6EED1FF5"/>
    <w:rsid w:val="6EED5F9B"/>
    <w:rsid w:val="6EF235B1"/>
    <w:rsid w:val="6EF54E4F"/>
    <w:rsid w:val="6EFF182A"/>
    <w:rsid w:val="6EFF440A"/>
    <w:rsid w:val="6EFF7A7C"/>
    <w:rsid w:val="6F0137F4"/>
    <w:rsid w:val="6F082DD5"/>
    <w:rsid w:val="6F086931"/>
    <w:rsid w:val="6F0D03EB"/>
    <w:rsid w:val="6F0F7D5C"/>
    <w:rsid w:val="6F1144B0"/>
    <w:rsid w:val="6F126B79"/>
    <w:rsid w:val="6F152DFC"/>
    <w:rsid w:val="6F1C1F3D"/>
    <w:rsid w:val="6F225983"/>
    <w:rsid w:val="6F2319BD"/>
    <w:rsid w:val="6F287F6F"/>
    <w:rsid w:val="6F2D45E9"/>
    <w:rsid w:val="6F2F65B3"/>
    <w:rsid w:val="6F345978"/>
    <w:rsid w:val="6F394D3C"/>
    <w:rsid w:val="6F3C2A7E"/>
    <w:rsid w:val="6F3E67F6"/>
    <w:rsid w:val="6F433E0D"/>
    <w:rsid w:val="6F481423"/>
    <w:rsid w:val="6F490CF7"/>
    <w:rsid w:val="6F4A519B"/>
    <w:rsid w:val="6F4B0F13"/>
    <w:rsid w:val="6F4B2CC1"/>
    <w:rsid w:val="6F4D07E7"/>
    <w:rsid w:val="6F4D4C8B"/>
    <w:rsid w:val="6F4D6F96"/>
    <w:rsid w:val="6F4F630E"/>
    <w:rsid w:val="6F5007E2"/>
    <w:rsid w:val="6F5A4CB2"/>
    <w:rsid w:val="6F5D2C01"/>
    <w:rsid w:val="6F5E0C47"/>
    <w:rsid w:val="6F60676D"/>
    <w:rsid w:val="6F6124E5"/>
    <w:rsid w:val="6F644787"/>
    <w:rsid w:val="6F673B85"/>
    <w:rsid w:val="6F6D491A"/>
    <w:rsid w:val="6F72517F"/>
    <w:rsid w:val="6F725BBB"/>
    <w:rsid w:val="6F745D74"/>
    <w:rsid w:val="6F751AEC"/>
    <w:rsid w:val="6F7904EA"/>
    <w:rsid w:val="6F795A80"/>
    <w:rsid w:val="6F7F743C"/>
    <w:rsid w:val="6F885CC3"/>
    <w:rsid w:val="6F8F1B70"/>
    <w:rsid w:val="6F901390"/>
    <w:rsid w:val="6F934682"/>
    <w:rsid w:val="6F9B1553"/>
    <w:rsid w:val="6FA279E0"/>
    <w:rsid w:val="6FA34A20"/>
    <w:rsid w:val="6FA80114"/>
    <w:rsid w:val="6FAA3E8C"/>
    <w:rsid w:val="6FAC19B2"/>
    <w:rsid w:val="6FAD74D8"/>
    <w:rsid w:val="6FB03B79"/>
    <w:rsid w:val="6FB12BB4"/>
    <w:rsid w:val="6FB371D3"/>
    <w:rsid w:val="6FB66A33"/>
    <w:rsid w:val="6FB70357"/>
    <w:rsid w:val="6FC247B9"/>
    <w:rsid w:val="6FC30AAA"/>
    <w:rsid w:val="6FC50CC6"/>
    <w:rsid w:val="6FC82564"/>
    <w:rsid w:val="6FCA62DC"/>
    <w:rsid w:val="6FD11419"/>
    <w:rsid w:val="6FD20CED"/>
    <w:rsid w:val="6FD311BE"/>
    <w:rsid w:val="6FD35191"/>
    <w:rsid w:val="6FD809F9"/>
    <w:rsid w:val="6FD9207B"/>
    <w:rsid w:val="6FDF69AC"/>
    <w:rsid w:val="6FE27A2C"/>
    <w:rsid w:val="6FE3114C"/>
    <w:rsid w:val="6FE50A20"/>
    <w:rsid w:val="6FE543B9"/>
    <w:rsid w:val="6FE7243C"/>
    <w:rsid w:val="6FE85244"/>
    <w:rsid w:val="6FEA072C"/>
    <w:rsid w:val="6FEA4288"/>
    <w:rsid w:val="6FED3D79"/>
    <w:rsid w:val="6FED5B27"/>
    <w:rsid w:val="6FEE1FCA"/>
    <w:rsid w:val="6FEF2BB1"/>
    <w:rsid w:val="6FF5548D"/>
    <w:rsid w:val="6FF70753"/>
    <w:rsid w:val="6FF84BF7"/>
    <w:rsid w:val="6FF869A5"/>
    <w:rsid w:val="6FFA3B3C"/>
    <w:rsid w:val="6FFB0243"/>
    <w:rsid w:val="6FFC5590"/>
    <w:rsid w:val="6FFD3FBC"/>
    <w:rsid w:val="6FFE7D34"/>
    <w:rsid w:val="70003AAC"/>
    <w:rsid w:val="7003534A"/>
    <w:rsid w:val="7003546C"/>
    <w:rsid w:val="70111815"/>
    <w:rsid w:val="701337DF"/>
    <w:rsid w:val="70141305"/>
    <w:rsid w:val="70144C09"/>
    <w:rsid w:val="70175A87"/>
    <w:rsid w:val="70186826"/>
    <w:rsid w:val="701B08E6"/>
    <w:rsid w:val="701B2694"/>
    <w:rsid w:val="701D640C"/>
    <w:rsid w:val="70221C74"/>
    <w:rsid w:val="70231548"/>
    <w:rsid w:val="702459EC"/>
    <w:rsid w:val="702754DC"/>
    <w:rsid w:val="7029639C"/>
    <w:rsid w:val="702C664F"/>
    <w:rsid w:val="702E0844"/>
    <w:rsid w:val="702E3539"/>
    <w:rsid w:val="702E686B"/>
    <w:rsid w:val="702F4391"/>
    <w:rsid w:val="702F4530"/>
    <w:rsid w:val="70301DA3"/>
    <w:rsid w:val="7036571F"/>
    <w:rsid w:val="70383246"/>
    <w:rsid w:val="70384FF4"/>
    <w:rsid w:val="704240C4"/>
    <w:rsid w:val="70473489"/>
    <w:rsid w:val="70497201"/>
    <w:rsid w:val="704C0A9F"/>
    <w:rsid w:val="70531E2E"/>
    <w:rsid w:val="70567B70"/>
    <w:rsid w:val="70585696"/>
    <w:rsid w:val="70593891"/>
    <w:rsid w:val="705F4C76"/>
    <w:rsid w:val="70666005"/>
    <w:rsid w:val="70691651"/>
    <w:rsid w:val="70696F3D"/>
    <w:rsid w:val="706A63CD"/>
    <w:rsid w:val="706D1DD0"/>
    <w:rsid w:val="706D7810"/>
    <w:rsid w:val="706E6C67"/>
    <w:rsid w:val="7075449A"/>
    <w:rsid w:val="70765B1C"/>
    <w:rsid w:val="707A560C"/>
    <w:rsid w:val="707A59BC"/>
    <w:rsid w:val="707B3132"/>
    <w:rsid w:val="708244C1"/>
    <w:rsid w:val="70840239"/>
    <w:rsid w:val="70856B87"/>
    <w:rsid w:val="70877D29"/>
    <w:rsid w:val="70891CF3"/>
    <w:rsid w:val="708C752D"/>
    <w:rsid w:val="708E25E0"/>
    <w:rsid w:val="708E730A"/>
    <w:rsid w:val="708F6BDE"/>
    <w:rsid w:val="70935816"/>
    <w:rsid w:val="70974410"/>
    <w:rsid w:val="70986DE0"/>
    <w:rsid w:val="709A5CAE"/>
    <w:rsid w:val="709B291A"/>
    <w:rsid w:val="709D754D"/>
    <w:rsid w:val="709E4AA2"/>
    <w:rsid w:val="709E5582"/>
    <w:rsid w:val="70A00DEB"/>
    <w:rsid w:val="70A32137"/>
    <w:rsid w:val="70AC7790"/>
    <w:rsid w:val="70B328CC"/>
    <w:rsid w:val="70B34FC2"/>
    <w:rsid w:val="70B54896"/>
    <w:rsid w:val="70B623BC"/>
    <w:rsid w:val="70BF74C3"/>
    <w:rsid w:val="70C42D2B"/>
    <w:rsid w:val="70C660AD"/>
    <w:rsid w:val="70C8281B"/>
    <w:rsid w:val="70CC398E"/>
    <w:rsid w:val="70D171F6"/>
    <w:rsid w:val="70D2369A"/>
    <w:rsid w:val="70D527EE"/>
    <w:rsid w:val="70DF5DB7"/>
    <w:rsid w:val="70E1568B"/>
    <w:rsid w:val="70E231B1"/>
    <w:rsid w:val="70E7115A"/>
    <w:rsid w:val="70F30C50"/>
    <w:rsid w:val="70F3716D"/>
    <w:rsid w:val="70F80C27"/>
    <w:rsid w:val="70F829D5"/>
    <w:rsid w:val="70F84783"/>
    <w:rsid w:val="70FF5B11"/>
    <w:rsid w:val="71025602"/>
    <w:rsid w:val="7104581E"/>
    <w:rsid w:val="71053EA6"/>
    <w:rsid w:val="710851C5"/>
    <w:rsid w:val="710A276A"/>
    <w:rsid w:val="710E3140"/>
    <w:rsid w:val="71105F71"/>
    <w:rsid w:val="7113780F"/>
    <w:rsid w:val="71186BD3"/>
    <w:rsid w:val="711C66C3"/>
    <w:rsid w:val="71213CDA"/>
    <w:rsid w:val="71285068"/>
    <w:rsid w:val="71311217"/>
    <w:rsid w:val="71347EB1"/>
    <w:rsid w:val="7137174F"/>
    <w:rsid w:val="713A4D9B"/>
    <w:rsid w:val="713F0604"/>
    <w:rsid w:val="714025F2"/>
    <w:rsid w:val="71410FFA"/>
    <w:rsid w:val="714125CE"/>
    <w:rsid w:val="7141612A"/>
    <w:rsid w:val="714479C8"/>
    <w:rsid w:val="71494FDF"/>
    <w:rsid w:val="714E77C7"/>
    <w:rsid w:val="7150636D"/>
    <w:rsid w:val="71542301"/>
    <w:rsid w:val="715A71EC"/>
    <w:rsid w:val="715B3690"/>
    <w:rsid w:val="715B5300"/>
    <w:rsid w:val="715D3781"/>
    <w:rsid w:val="715F4BD7"/>
    <w:rsid w:val="71685DAD"/>
    <w:rsid w:val="71692DEE"/>
    <w:rsid w:val="71695F16"/>
    <w:rsid w:val="716A5681"/>
    <w:rsid w:val="716B764B"/>
    <w:rsid w:val="716C66CF"/>
    <w:rsid w:val="71702252"/>
    <w:rsid w:val="717958C4"/>
    <w:rsid w:val="717C41F3"/>
    <w:rsid w:val="718524BB"/>
    <w:rsid w:val="71864485"/>
    <w:rsid w:val="718E4C5A"/>
    <w:rsid w:val="71946BA2"/>
    <w:rsid w:val="71950224"/>
    <w:rsid w:val="71956476"/>
    <w:rsid w:val="71985ADC"/>
    <w:rsid w:val="71995F66"/>
    <w:rsid w:val="719E357C"/>
    <w:rsid w:val="719E474F"/>
    <w:rsid w:val="71A52274"/>
    <w:rsid w:val="71A67840"/>
    <w:rsid w:val="71A861A9"/>
    <w:rsid w:val="71AB48B1"/>
    <w:rsid w:val="71B132B0"/>
    <w:rsid w:val="71B52674"/>
    <w:rsid w:val="71BC7EA6"/>
    <w:rsid w:val="71BD7E79"/>
    <w:rsid w:val="71C56D5B"/>
    <w:rsid w:val="71C6373E"/>
    <w:rsid w:val="71C72AD3"/>
    <w:rsid w:val="71CD3E62"/>
    <w:rsid w:val="71CD79BE"/>
    <w:rsid w:val="71D27F8A"/>
    <w:rsid w:val="71E13469"/>
    <w:rsid w:val="71E511AB"/>
    <w:rsid w:val="71EC078C"/>
    <w:rsid w:val="71ED21B3"/>
    <w:rsid w:val="71EF202A"/>
    <w:rsid w:val="71F413EE"/>
    <w:rsid w:val="71F744C6"/>
    <w:rsid w:val="71F92EA9"/>
    <w:rsid w:val="71F960CF"/>
    <w:rsid w:val="71FE04BF"/>
    <w:rsid w:val="71FE0CFF"/>
    <w:rsid w:val="72037883"/>
    <w:rsid w:val="72084E9A"/>
    <w:rsid w:val="72090091"/>
    <w:rsid w:val="720F4AB6"/>
    <w:rsid w:val="72113D47"/>
    <w:rsid w:val="72135089"/>
    <w:rsid w:val="7214383E"/>
    <w:rsid w:val="72144E11"/>
    <w:rsid w:val="72165809"/>
    <w:rsid w:val="72190E55"/>
    <w:rsid w:val="72203F91"/>
    <w:rsid w:val="72206F55"/>
    <w:rsid w:val="72226347"/>
    <w:rsid w:val="72232B8E"/>
    <w:rsid w:val="722515A8"/>
    <w:rsid w:val="722577FA"/>
    <w:rsid w:val="722717C4"/>
    <w:rsid w:val="722A3062"/>
    <w:rsid w:val="722D2858"/>
    <w:rsid w:val="72330169"/>
    <w:rsid w:val="723B526F"/>
    <w:rsid w:val="7243340D"/>
    <w:rsid w:val="72435ED2"/>
    <w:rsid w:val="72442376"/>
    <w:rsid w:val="72457E9C"/>
    <w:rsid w:val="72483C2E"/>
    <w:rsid w:val="7249040E"/>
    <w:rsid w:val="7249798C"/>
    <w:rsid w:val="724A3704"/>
    <w:rsid w:val="724C2FD8"/>
    <w:rsid w:val="724C4D86"/>
    <w:rsid w:val="724C706C"/>
    <w:rsid w:val="724D0AFE"/>
    <w:rsid w:val="724F7474"/>
    <w:rsid w:val="72516841"/>
    <w:rsid w:val="72563E57"/>
    <w:rsid w:val="725E2D0C"/>
    <w:rsid w:val="72620A4E"/>
    <w:rsid w:val="7264459B"/>
    <w:rsid w:val="72646574"/>
    <w:rsid w:val="72655E48"/>
    <w:rsid w:val="726B1116"/>
    <w:rsid w:val="726F6CC7"/>
    <w:rsid w:val="7275721E"/>
    <w:rsid w:val="727A5D97"/>
    <w:rsid w:val="72800ED4"/>
    <w:rsid w:val="72842772"/>
    <w:rsid w:val="728564EA"/>
    <w:rsid w:val="72862DE7"/>
    <w:rsid w:val="728E091D"/>
    <w:rsid w:val="72914E8F"/>
    <w:rsid w:val="72930C07"/>
    <w:rsid w:val="729329B5"/>
    <w:rsid w:val="729606F7"/>
    <w:rsid w:val="72966949"/>
    <w:rsid w:val="7297664B"/>
    <w:rsid w:val="7298446F"/>
    <w:rsid w:val="72A03324"/>
    <w:rsid w:val="72A44BC2"/>
    <w:rsid w:val="72A46970"/>
    <w:rsid w:val="72A9418F"/>
    <w:rsid w:val="72A9667D"/>
    <w:rsid w:val="72AF5690"/>
    <w:rsid w:val="72B172DF"/>
    <w:rsid w:val="72B56DCF"/>
    <w:rsid w:val="72BB015E"/>
    <w:rsid w:val="72C131B2"/>
    <w:rsid w:val="72C214EC"/>
    <w:rsid w:val="72C76912"/>
    <w:rsid w:val="72C963D7"/>
    <w:rsid w:val="72CC236B"/>
    <w:rsid w:val="72CC4119"/>
    <w:rsid w:val="72CE60E3"/>
    <w:rsid w:val="72CE7E91"/>
    <w:rsid w:val="72D00517"/>
    <w:rsid w:val="72D644DE"/>
    <w:rsid w:val="72D73968"/>
    <w:rsid w:val="72D80D10"/>
    <w:rsid w:val="72DA3A73"/>
    <w:rsid w:val="72DD00D4"/>
    <w:rsid w:val="72DD5F01"/>
    <w:rsid w:val="72E75119"/>
    <w:rsid w:val="72E94CCB"/>
    <w:rsid w:val="72E96A79"/>
    <w:rsid w:val="72EB27F1"/>
    <w:rsid w:val="72F258C2"/>
    <w:rsid w:val="72F31907"/>
    <w:rsid w:val="72FA0C86"/>
    <w:rsid w:val="72FA74C9"/>
    <w:rsid w:val="72FB055A"/>
    <w:rsid w:val="72FD42D3"/>
    <w:rsid w:val="73027B3B"/>
    <w:rsid w:val="730613D9"/>
    <w:rsid w:val="7306762B"/>
    <w:rsid w:val="73076EFF"/>
    <w:rsid w:val="730833A3"/>
    <w:rsid w:val="73117D7E"/>
    <w:rsid w:val="73142E27"/>
    <w:rsid w:val="7316181C"/>
    <w:rsid w:val="731A30D6"/>
    <w:rsid w:val="731C2459"/>
    <w:rsid w:val="731F5D5E"/>
    <w:rsid w:val="73216213"/>
    <w:rsid w:val="73221F8B"/>
    <w:rsid w:val="73263829"/>
    <w:rsid w:val="7327064F"/>
    <w:rsid w:val="732C5510"/>
    <w:rsid w:val="733817AF"/>
    <w:rsid w:val="7338355D"/>
    <w:rsid w:val="73397A01"/>
    <w:rsid w:val="733F2B3D"/>
    <w:rsid w:val="73426189"/>
    <w:rsid w:val="7346211D"/>
    <w:rsid w:val="73465C7A"/>
    <w:rsid w:val="734A7BDE"/>
    <w:rsid w:val="734E2D80"/>
    <w:rsid w:val="734E4B2E"/>
    <w:rsid w:val="73530396"/>
    <w:rsid w:val="735465E8"/>
    <w:rsid w:val="735635E4"/>
    <w:rsid w:val="7359395E"/>
    <w:rsid w:val="735D79A5"/>
    <w:rsid w:val="735E1215"/>
    <w:rsid w:val="735E1E53"/>
    <w:rsid w:val="736305DA"/>
    <w:rsid w:val="736A5E0C"/>
    <w:rsid w:val="736D76AA"/>
    <w:rsid w:val="73700F48"/>
    <w:rsid w:val="73702CF6"/>
    <w:rsid w:val="737062B6"/>
    <w:rsid w:val="737462E1"/>
    <w:rsid w:val="737819FB"/>
    <w:rsid w:val="7379604F"/>
    <w:rsid w:val="737F73DD"/>
    <w:rsid w:val="7382588D"/>
    <w:rsid w:val="7383282E"/>
    <w:rsid w:val="73840550"/>
    <w:rsid w:val="7386076C"/>
    <w:rsid w:val="73886292"/>
    <w:rsid w:val="738F520D"/>
    <w:rsid w:val="7398711B"/>
    <w:rsid w:val="739A52AC"/>
    <w:rsid w:val="739C1D3D"/>
    <w:rsid w:val="739C3AEB"/>
    <w:rsid w:val="73A115C0"/>
    <w:rsid w:val="73A3131E"/>
    <w:rsid w:val="73A40BF2"/>
    <w:rsid w:val="73AB01D2"/>
    <w:rsid w:val="73AB1F81"/>
    <w:rsid w:val="73B726D3"/>
    <w:rsid w:val="73BB1DFB"/>
    <w:rsid w:val="73BE3A62"/>
    <w:rsid w:val="73BF31E9"/>
    <w:rsid w:val="73C13552"/>
    <w:rsid w:val="73C179F6"/>
    <w:rsid w:val="73C60B68"/>
    <w:rsid w:val="73CC2623"/>
    <w:rsid w:val="73CC79FC"/>
    <w:rsid w:val="73D028F7"/>
    <w:rsid w:val="73D03795"/>
    <w:rsid w:val="73D2575F"/>
    <w:rsid w:val="73D72D76"/>
    <w:rsid w:val="73DB0AB8"/>
    <w:rsid w:val="73DB2866"/>
    <w:rsid w:val="73DC213A"/>
    <w:rsid w:val="73DC4E36"/>
    <w:rsid w:val="73DE4104"/>
    <w:rsid w:val="73DE5EB2"/>
    <w:rsid w:val="73DF2727"/>
    <w:rsid w:val="73E01C2A"/>
    <w:rsid w:val="73E32748"/>
    <w:rsid w:val="73EA3012"/>
    <w:rsid w:val="73EF4563"/>
    <w:rsid w:val="73F2195D"/>
    <w:rsid w:val="73F27BAF"/>
    <w:rsid w:val="73F61F09"/>
    <w:rsid w:val="73F676A0"/>
    <w:rsid w:val="73F819A5"/>
    <w:rsid w:val="73F97190"/>
    <w:rsid w:val="74017DF2"/>
    <w:rsid w:val="74024296"/>
    <w:rsid w:val="74031DBD"/>
    <w:rsid w:val="740718AD"/>
    <w:rsid w:val="74082FD3"/>
    <w:rsid w:val="740C48D9"/>
    <w:rsid w:val="7416564C"/>
    <w:rsid w:val="741915E0"/>
    <w:rsid w:val="741E793C"/>
    <w:rsid w:val="74213FF1"/>
    <w:rsid w:val="742400E9"/>
    <w:rsid w:val="74275AAB"/>
    <w:rsid w:val="74277E3A"/>
    <w:rsid w:val="742C30C1"/>
    <w:rsid w:val="74324450"/>
    <w:rsid w:val="743326A2"/>
    <w:rsid w:val="74381A66"/>
    <w:rsid w:val="743C0E2B"/>
    <w:rsid w:val="743D707D"/>
    <w:rsid w:val="74410A17"/>
    <w:rsid w:val="744523D5"/>
    <w:rsid w:val="74457850"/>
    <w:rsid w:val="74471CA9"/>
    <w:rsid w:val="7447614D"/>
    <w:rsid w:val="74487DCD"/>
    <w:rsid w:val="744C3764"/>
    <w:rsid w:val="744C5512"/>
    <w:rsid w:val="744C72C0"/>
    <w:rsid w:val="744E128A"/>
    <w:rsid w:val="744F4C3F"/>
    <w:rsid w:val="744F5FE5"/>
    <w:rsid w:val="74566390"/>
    <w:rsid w:val="74575798"/>
    <w:rsid w:val="745B5755"/>
    <w:rsid w:val="74604B19"/>
    <w:rsid w:val="74631ADE"/>
    <w:rsid w:val="74640AAD"/>
    <w:rsid w:val="746565D3"/>
    <w:rsid w:val="746740F9"/>
    <w:rsid w:val="74675EA7"/>
    <w:rsid w:val="746A5998"/>
    <w:rsid w:val="746C7962"/>
    <w:rsid w:val="746D092B"/>
    <w:rsid w:val="74734539"/>
    <w:rsid w:val="74746816"/>
    <w:rsid w:val="7476301D"/>
    <w:rsid w:val="74784559"/>
    <w:rsid w:val="74793E2D"/>
    <w:rsid w:val="747B5DF7"/>
    <w:rsid w:val="747C2324"/>
    <w:rsid w:val="74806E03"/>
    <w:rsid w:val="748527D2"/>
    <w:rsid w:val="748C0004"/>
    <w:rsid w:val="748C2B39"/>
    <w:rsid w:val="748C590E"/>
    <w:rsid w:val="748D49CD"/>
    <w:rsid w:val="748F1AFC"/>
    <w:rsid w:val="74934EEE"/>
    <w:rsid w:val="74980757"/>
    <w:rsid w:val="7499002B"/>
    <w:rsid w:val="749B0247"/>
    <w:rsid w:val="749B1FF5"/>
    <w:rsid w:val="749B5C86"/>
    <w:rsid w:val="749D6880"/>
    <w:rsid w:val="749D7B1B"/>
    <w:rsid w:val="74A4534E"/>
    <w:rsid w:val="74A50BEC"/>
    <w:rsid w:val="74A52E74"/>
    <w:rsid w:val="74AC35B3"/>
    <w:rsid w:val="74AE3AD6"/>
    <w:rsid w:val="74AE4B4E"/>
    <w:rsid w:val="74B135C7"/>
    <w:rsid w:val="74B314A3"/>
    <w:rsid w:val="74B64406"/>
    <w:rsid w:val="74BA31C7"/>
    <w:rsid w:val="74BE7A92"/>
    <w:rsid w:val="74C351B8"/>
    <w:rsid w:val="74C4154C"/>
    <w:rsid w:val="74C432FA"/>
    <w:rsid w:val="74C4779E"/>
    <w:rsid w:val="74CC2B9D"/>
    <w:rsid w:val="74CC7FCC"/>
    <w:rsid w:val="74D97E42"/>
    <w:rsid w:val="74DA6907"/>
    <w:rsid w:val="74DB6895"/>
    <w:rsid w:val="74DD6779"/>
    <w:rsid w:val="74DE2DFA"/>
    <w:rsid w:val="74E03EAC"/>
    <w:rsid w:val="74E05C5A"/>
    <w:rsid w:val="74E221F2"/>
    <w:rsid w:val="74E25E76"/>
    <w:rsid w:val="74E90AEC"/>
    <w:rsid w:val="74E97204"/>
    <w:rsid w:val="74EC45FF"/>
    <w:rsid w:val="74EF50AE"/>
    <w:rsid w:val="74F636CF"/>
    <w:rsid w:val="74F87447"/>
    <w:rsid w:val="74FC2045"/>
    <w:rsid w:val="74FD4A5E"/>
    <w:rsid w:val="75022074"/>
    <w:rsid w:val="75022368"/>
    <w:rsid w:val="7503583D"/>
    <w:rsid w:val="75061B64"/>
    <w:rsid w:val="75071439"/>
    <w:rsid w:val="750B09B8"/>
    <w:rsid w:val="750D643F"/>
    <w:rsid w:val="7513602F"/>
    <w:rsid w:val="7524023C"/>
    <w:rsid w:val="75241FEA"/>
    <w:rsid w:val="752975C2"/>
    <w:rsid w:val="752C70F1"/>
    <w:rsid w:val="752D5343"/>
    <w:rsid w:val="752D7D55"/>
    <w:rsid w:val="752F1C88"/>
    <w:rsid w:val="7532211D"/>
    <w:rsid w:val="75327179"/>
    <w:rsid w:val="75363ACC"/>
    <w:rsid w:val="75394CD8"/>
    <w:rsid w:val="753B10E2"/>
    <w:rsid w:val="753F0BD2"/>
    <w:rsid w:val="753F6E24"/>
    <w:rsid w:val="75410DEE"/>
    <w:rsid w:val="75412B9C"/>
    <w:rsid w:val="7544268D"/>
    <w:rsid w:val="75461F61"/>
    <w:rsid w:val="75491A51"/>
    <w:rsid w:val="754B7577"/>
    <w:rsid w:val="75530B22"/>
    <w:rsid w:val="7553467E"/>
    <w:rsid w:val="755521A4"/>
    <w:rsid w:val="755A5A0C"/>
    <w:rsid w:val="75616E6D"/>
    <w:rsid w:val="75630D65"/>
    <w:rsid w:val="75662603"/>
    <w:rsid w:val="756B19C7"/>
    <w:rsid w:val="75703448"/>
    <w:rsid w:val="75734D20"/>
    <w:rsid w:val="75752846"/>
    <w:rsid w:val="75792336"/>
    <w:rsid w:val="757B16F4"/>
    <w:rsid w:val="757C3BD5"/>
    <w:rsid w:val="757C5983"/>
    <w:rsid w:val="757F36C5"/>
    <w:rsid w:val="7581743D"/>
    <w:rsid w:val="75874327"/>
    <w:rsid w:val="75894543"/>
    <w:rsid w:val="758D193E"/>
    <w:rsid w:val="758D75E2"/>
    <w:rsid w:val="758F1B5A"/>
    <w:rsid w:val="7590669F"/>
    <w:rsid w:val="75986327"/>
    <w:rsid w:val="75994786"/>
    <w:rsid w:val="759A04FF"/>
    <w:rsid w:val="759C7DD3"/>
    <w:rsid w:val="759F4EC0"/>
    <w:rsid w:val="75AA17D7"/>
    <w:rsid w:val="75AD1FE0"/>
    <w:rsid w:val="75AE7B06"/>
    <w:rsid w:val="75B415C0"/>
    <w:rsid w:val="75BC0475"/>
    <w:rsid w:val="75BE0ADD"/>
    <w:rsid w:val="75C31803"/>
    <w:rsid w:val="75C630A2"/>
    <w:rsid w:val="75C67E24"/>
    <w:rsid w:val="75C8506C"/>
    <w:rsid w:val="75CA04F1"/>
    <w:rsid w:val="75CB4B5C"/>
    <w:rsid w:val="75CF008B"/>
    <w:rsid w:val="75D25EEA"/>
    <w:rsid w:val="75D752AF"/>
    <w:rsid w:val="75DF5F11"/>
    <w:rsid w:val="75E33C54"/>
    <w:rsid w:val="75E8126A"/>
    <w:rsid w:val="75EA6D90"/>
    <w:rsid w:val="75EF0F06"/>
    <w:rsid w:val="75F06371"/>
    <w:rsid w:val="75F25C45"/>
    <w:rsid w:val="75F93477"/>
    <w:rsid w:val="75FE45EA"/>
    <w:rsid w:val="75FE6CDF"/>
    <w:rsid w:val="760140DA"/>
    <w:rsid w:val="76024A7F"/>
    <w:rsid w:val="760C31AA"/>
    <w:rsid w:val="7610431D"/>
    <w:rsid w:val="76120323"/>
    <w:rsid w:val="761262E7"/>
    <w:rsid w:val="7613626B"/>
    <w:rsid w:val="76157B85"/>
    <w:rsid w:val="761734C3"/>
    <w:rsid w:val="761C7166"/>
    <w:rsid w:val="76200A04"/>
    <w:rsid w:val="76206C56"/>
    <w:rsid w:val="762229CE"/>
    <w:rsid w:val="76263B40"/>
    <w:rsid w:val="76311FF8"/>
    <w:rsid w:val="76312C11"/>
    <w:rsid w:val="76341118"/>
    <w:rsid w:val="7634625D"/>
    <w:rsid w:val="763E532E"/>
    <w:rsid w:val="76465F91"/>
    <w:rsid w:val="76472434"/>
    <w:rsid w:val="764865EB"/>
    <w:rsid w:val="764A5A81"/>
    <w:rsid w:val="764A782F"/>
    <w:rsid w:val="764D19B8"/>
    <w:rsid w:val="765C7562"/>
    <w:rsid w:val="765E777E"/>
    <w:rsid w:val="765F7301"/>
    <w:rsid w:val="76673004"/>
    <w:rsid w:val="766823AB"/>
    <w:rsid w:val="766E5C13"/>
    <w:rsid w:val="76736211"/>
    <w:rsid w:val="76746FA2"/>
    <w:rsid w:val="76760624"/>
    <w:rsid w:val="767945B8"/>
    <w:rsid w:val="767A350B"/>
    <w:rsid w:val="767D197B"/>
    <w:rsid w:val="767E008B"/>
    <w:rsid w:val="767E397C"/>
    <w:rsid w:val="76880357"/>
    <w:rsid w:val="7688510D"/>
    <w:rsid w:val="768C7E47"/>
    <w:rsid w:val="768E0063"/>
    <w:rsid w:val="76927701"/>
    <w:rsid w:val="76937428"/>
    <w:rsid w:val="769413F2"/>
    <w:rsid w:val="76960CC6"/>
    <w:rsid w:val="76984A3E"/>
    <w:rsid w:val="769A6A08"/>
    <w:rsid w:val="769B008A"/>
    <w:rsid w:val="76A258BD"/>
    <w:rsid w:val="76A333E3"/>
    <w:rsid w:val="76A553AD"/>
    <w:rsid w:val="76A71125"/>
    <w:rsid w:val="76AA651F"/>
    <w:rsid w:val="76AB19E8"/>
    <w:rsid w:val="76AE24B4"/>
    <w:rsid w:val="76AE6010"/>
    <w:rsid w:val="76BD44A5"/>
    <w:rsid w:val="76BD6253"/>
    <w:rsid w:val="76C269AB"/>
    <w:rsid w:val="76C27D0D"/>
    <w:rsid w:val="76C37C6F"/>
    <w:rsid w:val="76CE1B2D"/>
    <w:rsid w:val="76D206BD"/>
    <w:rsid w:val="76D31F1A"/>
    <w:rsid w:val="76D33CC8"/>
    <w:rsid w:val="76D717A6"/>
    <w:rsid w:val="76D90FCE"/>
    <w:rsid w:val="76DA32A9"/>
    <w:rsid w:val="76DA5057"/>
    <w:rsid w:val="76DB2B7D"/>
    <w:rsid w:val="76DD06A3"/>
    <w:rsid w:val="76DE441B"/>
    <w:rsid w:val="76E131F8"/>
    <w:rsid w:val="76E45ED5"/>
    <w:rsid w:val="76E6765B"/>
    <w:rsid w:val="76E77774"/>
    <w:rsid w:val="76E97048"/>
    <w:rsid w:val="76EA1012"/>
    <w:rsid w:val="76ED1FB3"/>
    <w:rsid w:val="76F61765"/>
    <w:rsid w:val="76F62D49"/>
    <w:rsid w:val="76F65C09"/>
    <w:rsid w:val="76F679B7"/>
    <w:rsid w:val="76FB4FCD"/>
    <w:rsid w:val="76FD2AF3"/>
    <w:rsid w:val="770220A6"/>
    <w:rsid w:val="77043E82"/>
    <w:rsid w:val="77101B8D"/>
    <w:rsid w:val="771542E1"/>
    <w:rsid w:val="771A18F7"/>
    <w:rsid w:val="771C566F"/>
    <w:rsid w:val="771D36E6"/>
    <w:rsid w:val="771F319A"/>
    <w:rsid w:val="77274014"/>
    <w:rsid w:val="77274B25"/>
    <w:rsid w:val="772766B1"/>
    <w:rsid w:val="772938E8"/>
    <w:rsid w:val="77297EB7"/>
    <w:rsid w:val="772C33D8"/>
    <w:rsid w:val="772C5186"/>
    <w:rsid w:val="772D6C40"/>
    <w:rsid w:val="772E7150"/>
    <w:rsid w:val="77324E93"/>
    <w:rsid w:val="773504DF"/>
    <w:rsid w:val="7735567E"/>
    <w:rsid w:val="77364257"/>
    <w:rsid w:val="773662B1"/>
    <w:rsid w:val="77387FCF"/>
    <w:rsid w:val="77426B90"/>
    <w:rsid w:val="774271E1"/>
    <w:rsid w:val="774C75D7"/>
    <w:rsid w:val="774D25F6"/>
    <w:rsid w:val="774E334F"/>
    <w:rsid w:val="775947BB"/>
    <w:rsid w:val="77597468"/>
    <w:rsid w:val="775A7F45"/>
    <w:rsid w:val="775D17E4"/>
    <w:rsid w:val="775F555C"/>
    <w:rsid w:val="77613082"/>
    <w:rsid w:val="77652D5E"/>
    <w:rsid w:val="77664B3C"/>
    <w:rsid w:val="776D5ECB"/>
    <w:rsid w:val="77707E71"/>
    <w:rsid w:val="77723F18"/>
    <w:rsid w:val="77735147"/>
    <w:rsid w:val="77762421"/>
    <w:rsid w:val="77784870"/>
    <w:rsid w:val="77796881"/>
    <w:rsid w:val="778154D2"/>
    <w:rsid w:val="7783749C"/>
    <w:rsid w:val="77846CDF"/>
    <w:rsid w:val="77846D70"/>
    <w:rsid w:val="778B00FF"/>
    <w:rsid w:val="778E33FA"/>
    <w:rsid w:val="778E7BEF"/>
    <w:rsid w:val="779276DF"/>
    <w:rsid w:val="77935205"/>
    <w:rsid w:val="779571D0"/>
    <w:rsid w:val="779A6594"/>
    <w:rsid w:val="779E0807"/>
    <w:rsid w:val="779F004E"/>
    <w:rsid w:val="77A15B74"/>
    <w:rsid w:val="77A45665"/>
    <w:rsid w:val="77AB69F3"/>
    <w:rsid w:val="77AD4519"/>
    <w:rsid w:val="77B6195A"/>
    <w:rsid w:val="77B95E16"/>
    <w:rsid w:val="77BA0F87"/>
    <w:rsid w:val="77BC475C"/>
    <w:rsid w:val="77C27899"/>
    <w:rsid w:val="77CB499F"/>
    <w:rsid w:val="77CC444C"/>
    <w:rsid w:val="77CD6969"/>
    <w:rsid w:val="77CF345E"/>
    <w:rsid w:val="77D53A70"/>
    <w:rsid w:val="77D655BF"/>
    <w:rsid w:val="77D777E8"/>
    <w:rsid w:val="77D96FB3"/>
    <w:rsid w:val="77E048EF"/>
    <w:rsid w:val="77E37AD6"/>
    <w:rsid w:val="77E421DC"/>
    <w:rsid w:val="77E77FA4"/>
    <w:rsid w:val="77EA751B"/>
    <w:rsid w:val="77ED2B68"/>
    <w:rsid w:val="77F32090"/>
    <w:rsid w:val="780103C1"/>
    <w:rsid w:val="78016613"/>
    <w:rsid w:val="78042A17"/>
    <w:rsid w:val="780600CD"/>
    <w:rsid w:val="78063C29"/>
    <w:rsid w:val="7808174F"/>
    <w:rsid w:val="78085BF3"/>
    <w:rsid w:val="780B1240"/>
    <w:rsid w:val="780D4FB8"/>
    <w:rsid w:val="780F09F4"/>
    <w:rsid w:val="78153E6C"/>
    <w:rsid w:val="78186399"/>
    <w:rsid w:val="781A1483"/>
    <w:rsid w:val="781C169F"/>
    <w:rsid w:val="782B18E2"/>
    <w:rsid w:val="782D565A"/>
    <w:rsid w:val="782F1C1A"/>
    <w:rsid w:val="7831514A"/>
    <w:rsid w:val="78324A1E"/>
    <w:rsid w:val="78342545"/>
    <w:rsid w:val="78397B5B"/>
    <w:rsid w:val="783C1535"/>
    <w:rsid w:val="78435FB8"/>
    <w:rsid w:val="78454752"/>
    <w:rsid w:val="784F02E1"/>
    <w:rsid w:val="7851759A"/>
    <w:rsid w:val="785229A8"/>
    <w:rsid w:val="785901FD"/>
    <w:rsid w:val="785E75C1"/>
    <w:rsid w:val="785F0F7A"/>
    <w:rsid w:val="7860333A"/>
    <w:rsid w:val="7866354D"/>
    <w:rsid w:val="786B1CDE"/>
    <w:rsid w:val="78760DAF"/>
    <w:rsid w:val="78793171"/>
    <w:rsid w:val="787943FB"/>
    <w:rsid w:val="787D20B0"/>
    <w:rsid w:val="787E5EB6"/>
    <w:rsid w:val="78810287"/>
    <w:rsid w:val="78824593"/>
    <w:rsid w:val="788860C0"/>
    <w:rsid w:val="788A6608"/>
    <w:rsid w:val="788D434B"/>
    <w:rsid w:val="788F1E71"/>
    <w:rsid w:val="788F3C1F"/>
    <w:rsid w:val="789254BD"/>
    <w:rsid w:val="78964FAD"/>
    <w:rsid w:val="789C4F47"/>
    <w:rsid w:val="789C633C"/>
    <w:rsid w:val="78A11715"/>
    <w:rsid w:val="78A37DFC"/>
    <w:rsid w:val="78A551F0"/>
    <w:rsid w:val="78A90480"/>
    <w:rsid w:val="78AC0BE6"/>
    <w:rsid w:val="78B1554E"/>
    <w:rsid w:val="78B35B5F"/>
    <w:rsid w:val="78B43685"/>
    <w:rsid w:val="78BD69DE"/>
    <w:rsid w:val="78C31B1A"/>
    <w:rsid w:val="78C57641"/>
    <w:rsid w:val="78C7785D"/>
    <w:rsid w:val="78CA4586"/>
    <w:rsid w:val="78CC351E"/>
    <w:rsid w:val="78D35BBD"/>
    <w:rsid w:val="78D36201"/>
    <w:rsid w:val="78D37FAF"/>
    <w:rsid w:val="78D646F6"/>
    <w:rsid w:val="78D67AA0"/>
    <w:rsid w:val="78DA7590"/>
    <w:rsid w:val="78E0447A"/>
    <w:rsid w:val="78E163DA"/>
    <w:rsid w:val="78E20A03"/>
    <w:rsid w:val="78E26444"/>
    <w:rsid w:val="78E30EC4"/>
    <w:rsid w:val="78E8315E"/>
    <w:rsid w:val="78F10436"/>
    <w:rsid w:val="78F36279"/>
    <w:rsid w:val="78F65A4C"/>
    <w:rsid w:val="78F817C4"/>
    <w:rsid w:val="78F9201C"/>
    <w:rsid w:val="78F92F18"/>
    <w:rsid w:val="78FD0B56"/>
    <w:rsid w:val="7904104F"/>
    <w:rsid w:val="790463BB"/>
    <w:rsid w:val="7906211F"/>
    <w:rsid w:val="790939D1"/>
    <w:rsid w:val="790A14F7"/>
    <w:rsid w:val="790D1571"/>
    <w:rsid w:val="79122B54"/>
    <w:rsid w:val="791650FE"/>
    <w:rsid w:val="791660EE"/>
    <w:rsid w:val="79175833"/>
    <w:rsid w:val="7919798C"/>
    <w:rsid w:val="791B3704"/>
    <w:rsid w:val="791D747D"/>
    <w:rsid w:val="791F1447"/>
    <w:rsid w:val="79246A5D"/>
    <w:rsid w:val="79297BCF"/>
    <w:rsid w:val="792A1B99"/>
    <w:rsid w:val="792C4CC9"/>
    <w:rsid w:val="792F0F5E"/>
    <w:rsid w:val="79312F28"/>
    <w:rsid w:val="79330A4E"/>
    <w:rsid w:val="79350C82"/>
    <w:rsid w:val="79352A18"/>
    <w:rsid w:val="7936053E"/>
    <w:rsid w:val="79394A97"/>
    <w:rsid w:val="793B7903"/>
    <w:rsid w:val="7940316B"/>
    <w:rsid w:val="79404F19"/>
    <w:rsid w:val="79426EE3"/>
    <w:rsid w:val="79442C5B"/>
    <w:rsid w:val="79483B47"/>
    <w:rsid w:val="79490AB5"/>
    <w:rsid w:val="794C38BE"/>
    <w:rsid w:val="794E7636"/>
    <w:rsid w:val="79507900"/>
    <w:rsid w:val="79594081"/>
    <w:rsid w:val="7967694A"/>
    <w:rsid w:val="796B49DC"/>
    <w:rsid w:val="796D289A"/>
    <w:rsid w:val="796E46DA"/>
    <w:rsid w:val="797057FE"/>
    <w:rsid w:val="79717E77"/>
    <w:rsid w:val="7973484F"/>
    <w:rsid w:val="7973709D"/>
    <w:rsid w:val="79752E15"/>
    <w:rsid w:val="79761652"/>
    <w:rsid w:val="79780B57"/>
    <w:rsid w:val="797A042B"/>
    <w:rsid w:val="797C0647"/>
    <w:rsid w:val="797C23F5"/>
    <w:rsid w:val="79811327"/>
    <w:rsid w:val="798219D5"/>
    <w:rsid w:val="79863274"/>
    <w:rsid w:val="79876FEC"/>
    <w:rsid w:val="798C63B0"/>
    <w:rsid w:val="798D4602"/>
    <w:rsid w:val="798E3ED6"/>
    <w:rsid w:val="798E437D"/>
    <w:rsid w:val="79905EA0"/>
    <w:rsid w:val="799314ED"/>
    <w:rsid w:val="79935991"/>
    <w:rsid w:val="79951709"/>
    <w:rsid w:val="79974728"/>
    <w:rsid w:val="79983E20"/>
    <w:rsid w:val="799D236B"/>
    <w:rsid w:val="79A11E5C"/>
    <w:rsid w:val="79A8143C"/>
    <w:rsid w:val="79A90CAB"/>
    <w:rsid w:val="79AC0800"/>
    <w:rsid w:val="79B0209F"/>
    <w:rsid w:val="79B43D9D"/>
    <w:rsid w:val="79B74AA6"/>
    <w:rsid w:val="79B778D1"/>
    <w:rsid w:val="79B86634"/>
    <w:rsid w:val="79BE0C60"/>
    <w:rsid w:val="79C03F87"/>
    <w:rsid w:val="79C124FE"/>
    <w:rsid w:val="79C7027F"/>
    <w:rsid w:val="79CE69C9"/>
    <w:rsid w:val="79D02741"/>
    <w:rsid w:val="79D33FDF"/>
    <w:rsid w:val="79D42231"/>
    <w:rsid w:val="79D45972"/>
    <w:rsid w:val="79D7587D"/>
    <w:rsid w:val="79DB76E8"/>
    <w:rsid w:val="79DC2E94"/>
    <w:rsid w:val="79DE4E5E"/>
    <w:rsid w:val="79DF4732"/>
    <w:rsid w:val="79E104AA"/>
    <w:rsid w:val="79E24222"/>
    <w:rsid w:val="79E838CA"/>
    <w:rsid w:val="79E93803"/>
    <w:rsid w:val="79ED50A1"/>
    <w:rsid w:val="79EE0E19"/>
    <w:rsid w:val="79F24465"/>
    <w:rsid w:val="79F62EF9"/>
    <w:rsid w:val="79F703FC"/>
    <w:rsid w:val="79F71A7C"/>
    <w:rsid w:val="79FC52E4"/>
    <w:rsid w:val="79FE72AE"/>
    <w:rsid w:val="7A0A5C53"/>
    <w:rsid w:val="7A137FC7"/>
    <w:rsid w:val="7A1C7734"/>
    <w:rsid w:val="7A1E16FE"/>
    <w:rsid w:val="7A1F0FD2"/>
    <w:rsid w:val="7A22231A"/>
    <w:rsid w:val="7A24780B"/>
    <w:rsid w:val="7A252A8D"/>
    <w:rsid w:val="7A274CFC"/>
    <w:rsid w:val="7A2A3180"/>
    <w:rsid w:val="7A2B5BC9"/>
    <w:rsid w:val="7A2D7B93"/>
    <w:rsid w:val="7A2F56B9"/>
    <w:rsid w:val="7A316DFD"/>
    <w:rsid w:val="7A364017"/>
    <w:rsid w:val="7A3A5144"/>
    <w:rsid w:val="7A3B22B0"/>
    <w:rsid w:val="7A3E3B4E"/>
    <w:rsid w:val="7A41719B"/>
    <w:rsid w:val="7A4647B1"/>
    <w:rsid w:val="7A4656A2"/>
    <w:rsid w:val="7A48677B"/>
    <w:rsid w:val="7A4B626B"/>
    <w:rsid w:val="7A505630"/>
    <w:rsid w:val="7A5E1AFB"/>
    <w:rsid w:val="7A665F33"/>
    <w:rsid w:val="7A6660F8"/>
    <w:rsid w:val="7A680BCB"/>
    <w:rsid w:val="7A6A426A"/>
    <w:rsid w:val="7A6B1967"/>
    <w:rsid w:val="7A6D48C0"/>
    <w:rsid w:val="7A6F3D08"/>
    <w:rsid w:val="7A70182E"/>
    <w:rsid w:val="7A715CD2"/>
    <w:rsid w:val="7A7C3632"/>
    <w:rsid w:val="7A7C6425"/>
    <w:rsid w:val="7A8265E1"/>
    <w:rsid w:val="7A886347"/>
    <w:rsid w:val="7A903C7E"/>
    <w:rsid w:val="7A9574D4"/>
    <w:rsid w:val="7A9B4AFD"/>
    <w:rsid w:val="7AA240DD"/>
    <w:rsid w:val="7AAA2F92"/>
    <w:rsid w:val="7AAC11BF"/>
    <w:rsid w:val="7AB07CD4"/>
    <w:rsid w:val="7AB21E46"/>
    <w:rsid w:val="7AB94F83"/>
    <w:rsid w:val="7ABE0549"/>
    <w:rsid w:val="7AC04563"/>
    <w:rsid w:val="7AC314BE"/>
    <w:rsid w:val="7AC322A6"/>
    <w:rsid w:val="7AC57DCC"/>
    <w:rsid w:val="7ACF0C4A"/>
    <w:rsid w:val="7AD65B35"/>
    <w:rsid w:val="7AD7365B"/>
    <w:rsid w:val="7AD86316"/>
    <w:rsid w:val="7AD97E03"/>
    <w:rsid w:val="7ADB75EF"/>
    <w:rsid w:val="7ADF6323"/>
    <w:rsid w:val="7AE475C4"/>
    <w:rsid w:val="7AE9497B"/>
    <w:rsid w:val="7AF10BC1"/>
    <w:rsid w:val="7AF4245F"/>
    <w:rsid w:val="7AF91C89"/>
    <w:rsid w:val="7AFA2D33"/>
    <w:rsid w:val="7B002BB2"/>
    <w:rsid w:val="7B007056"/>
    <w:rsid w:val="7B0613DB"/>
    <w:rsid w:val="7B09415C"/>
    <w:rsid w:val="7B0A57DF"/>
    <w:rsid w:val="7B14665D"/>
    <w:rsid w:val="7B1B3E90"/>
    <w:rsid w:val="7B1B5C3E"/>
    <w:rsid w:val="7B1D5512"/>
    <w:rsid w:val="7B1E49F7"/>
    <w:rsid w:val="7B1F572E"/>
    <w:rsid w:val="7B205002"/>
    <w:rsid w:val="7B222BFA"/>
    <w:rsid w:val="7B29035B"/>
    <w:rsid w:val="7B2A7C2F"/>
    <w:rsid w:val="7B2C3224"/>
    <w:rsid w:val="7B3650A3"/>
    <w:rsid w:val="7B3B410F"/>
    <w:rsid w:val="7B42766E"/>
    <w:rsid w:val="7B43689E"/>
    <w:rsid w:val="7B4738E3"/>
    <w:rsid w:val="7B486307"/>
    <w:rsid w:val="7B4E1B6F"/>
    <w:rsid w:val="7B4E6013"/>
    <w:rsid w:val="7B537186"/>
    <w:rsid w:val="7B5770BD"/>
    <w:rsid w:val="7B5829EE"/>
    <w:rsid w:val="7B58479C"/>
    <w:rsid w:val="7B5E1E17"/>
    <w:rsid w:val="7B5E43AD"/>
    <w:rsid w:val="7B6018A2"/>
    <w:rsid w:val="7B6249F8"/>
    <w:rsid w:val="7B6479E6"/>
    <w:rsid w:val="7B686D42"/>
    <w:rsid w:val="7B6969A9"/>
    <w:rsid w:val="7B6A54D9"/>
    <w:rsid w:val="7B6C0247"/>
    <w:rsid w:val="7B727A53"/>
    <w:rsid w:val="7B74267B"/>
    <w:rsid w:val="7B7470FC"/>
    <w:rsid w:val="7B7A0FC8"/>
    <w:rsid w:val="7B7A2A36"/>
    <w:rsid w:val="7B7D06A6"/>
    <w:rsid w:val="7B7F61CD"/>
    <w:rsid w:val="7B811F45"/>
    <w:rsid w:val="7B841746"/>
    <w:rsid w:val="7B86755B"/>
    <w:rsid w:val="7B8B207E"/>
    <w:rsid w:val="7B8B4B71"/>
    <w:rsid w:val="7B8D7AD7"/>
    <w:rsid w:val="7B901128"/>
    <w:rsid w:val="7B917878"/>
    <w:rsid w:val="7B925FE7"/>
    <w:rsid w:val="7B98103C"/>
    <w:rsid w:val="7B9A3A6E"/>
    <w:rsid w:val="7B9A4DB4"/>
    <w:rsid w:val="7B9A4F9A"/>
    <w:rsid w:val="7B9D6653"/>
    <w:rsid w:val="7BA14395"/>
    <w:rsid w:val="7BA53E28"/>
    <w:rsid w:val="7BA63759"/>
    <w:rsid w:val="7BA93249"/>
    <w:rsid w:val="7BA94FF8"/>
    <w:rsid w:val="7BAE0225"/>
    <w:rsid w:val="7BB16806"/>
    <w:rsid w:val="7BBD0AA3"/>
    <w:rsid w:val="7BBD7749"/>
    <w:rsid w:val="7BC72716"/>
    <w:rsid w:val="7BCE0F02"/>
    <w:rsid w:val="7BD3786A"/>
    <w:rsid w:val="7BD37981"/>
    <w:rsid w:val="7BD5403F"/>
    <w:rsid w:val="7BD55DED"/>
    <w:rsid w:val="7BD61B65"/>
    <w:rsid w:val="7BD8369B"/>
    <w:rsid w:val="7BD858DD"/>
    <w:rsid w:val="7BDA78A7"/>
    <w:rsid w:val="7BDC717B"/>
    <w:rsid w:val="7BDE5DCC"/>
    <w:rsid w:val="7BE01E2D"/>
    <w:rsid w:val="7BE55C9F"/>
    <w:rsid w:val="7BE6624C"/>
    <w:rsid w:val="7BEB1AB4"/>
    <w:rsid w:val="7BF6580F"/>
    <w:rsid w:val="7BFA3C79"/>
    <w:rsid w:val="7C00348C"/>
    <w:rsid w:val="7C0045FA"/>
    <w:rsid w:val="7C013085"/>
    <w:rsid w:val="7C04545E"/>
    <w:rsid w:val="7C0473F0"/>
    <w:rsid w:val="7C06069C"/>
    <w:rsid w:val="7C0641F8"/>
    <w:rsid w:val="7C075F3B"/>
    <w:rsid w:val="7C1032C9"/>
    <w:rsid w:val="7C120DEF"/>
    <w:rsid w:val="7C1508DF"/>
    <w:rsid w:val="7C1B0ED7"/>
    <w:rsid w:val="7C1C3A1B"/>
    <w:rsid w:val="7C1F350C"/>
    <w:rsid w:val="7C2154D6"/>
    <w:rsid w:val="7C246915"/>
    <w:rsid w:val="7C2823C0"/>
    <w:rsid w:val="7C2B1EB0"/>
    <w:rsid w:val="7C31692C"/>
    <w:rsid w:val="7C330D65"/>
    <w:rsid w:val="7C3F3BAE"/>
    <w:rsid w:val="7C464F3C"/>
    <w:rsid w:val="7C484810"/>
    <w:rsid w:val="7C4A67DB"/>
    <w:rsid w:val="7C4B4301"/>
    <w:rsid w:val="7C4B60AF"/>
    <w:rsid w:val="7C4C69A8"/>
    <w:rsid w:val="7C4F3DF1"/>
    <w:rsid w:val="7C5076B5"/>
    <w:rsid w:val="7C5A2FCC"/>
    <w:rsid w:val="7C5E5DE2"/>
    <w:rsid w:val="7C611D76"/>
    <w:rsid w:val="7C63789C"/>
    <w:rsid w:val="7C644183"/>
    <w:rsid w:val="7C644564"/>
    <w:rsid w:val="7C653614"/>
    <w:rsid w:val="7C6929D9"/>
    <w:rsid w:val="7C6F6241"/>
    <w:rsid w:val="7C701FB9"/>
    <w:rsid w:val="7C705B15"/>
    <w:rsid w:val="7C730E76"/>
    <w:rsid w:val="7C743857"/>
    <w:rsid w:val="7C773348"/>
    <w:rsid w:val="7C7F3FAA"/>
    <w:rsid w:val="7C857813"/>
    <w:rsid w:val="7C896BD7"/>
    <w:rsid w:val="7C8D3F98"/>
    <w:rsid w:val="7C943EFA"/>
    <w:rsid w:val="7C950E2A"/>
    <w:rsid w:val="7C952014"/>
    <w:rsid w:val="7C961A20"/>
    <w:rsid w:val="7C9663A3"/>
    <w:rsid w:val="7C9712F4"/>
    <w:rsid w:val="7C98391B"/>
    <w:rsid w:val="7C9C6796"/>
    <w:rsid w:val="7C9E6B26"/>
    <w:rsid w:val="7CA103C5"/>
    <w:rsid w:val="7CA52E86"/>
    <w:rsid w:val="7CA67789"/>
    <w:rsid w:val="7CA83501"/>
    <w:rsid w:val="7CAA1027"/>
    <w:rsid w:val="7CAF0FCF"/>
    <w:rsid w:val="7CAF2E0F"/>
    <w:rsid w:val="7CB00608"/>
    <w:rsid w:val="7CB579CC"/>
    <w:rsid w:val="7CB9570E"/>
    <w:rsid w:val="7CBC0D5A"/>
    <w:rsid w:val="7CBC51FE"/>
    <w:rsid w:val="7CCA3477"/>
    <w:rsid w:val="7CCC5441"/>
    <w:rsid w:val="7CCF0A8E"/>
    <w:rsid w:val="7CCF4C6B"/>
    <w:rsid w:val="7CD10CAA"/>
    <w:rsid w:val="7CD2057E"/>
    <w:rsid w:val="7CD20D82"/>
    <w:rsid w:val="7CDE5175"/>
    <w:rsid w:val="7CE00EED"/>
    <w:rsid w:val="7CE26411"/>
    <w:rsid w:val="7CE309DD"/>
    <w:rsid w:val="7CE342B8"/>
    <w:rsid w:val="7CE34539"/>
    <w:rsid w:val="7CE502B1"/>
    <w:rsid w:val="7CE7227B"/>
    <w:rsid w:val="7CEA3B1A"/>
    <w:rsid w:val="7CED7B72"/>
    <w:rsid w:val="7CF36423"/>
    <w:rsid w:val="7CF46746"/>
    <w:rsid w:val="7CF93D5D"/>
    <w:rsid w:val="7CFB7AD5"/>
    <w:rsid w:val="7D020AEB"/>
    <w:rsid w:val="7D0239FF"/>
    <w:rsid w:val="7D027841"/>
    <w:rsid w:val="7D034BDB"/>
    <w:rsid w:val="7D0428EB"/>
    <w:rsid w:val="7D0467C0"/>
    <w:rsid w:val="7D0A41BC"/>
    <w:rsid w:val="7D0A66E9"/>
    <w:rsid w:val="7D0D15B6"/>
    <w:rsid w:val="7D0E1EA7"/>
    <w:rsid w:val="7D11554A"/>
    <w:rsid w:val="7D115EA6"/>
    <w:rsid w:val="7D142945"/>
    <w:rsid w:val="7D146DE8"/>
    <w:rsid w:val="7D180687"/>
    <w:rsid w:val="7D1F7C67"/>
    <w:rsid w:val="7D21405B"/>
    <w:rsid w:val="7D225061"/>
    <w:rsid w:val="7D23702C"/>
    <w:rsid w:val="7D252DA4"/>
    <w:rsid w:val="7D284642"/>
    <w:rsid w:val="7D311CF4"/>
    <w:rsid w:val="7D33726F"/>
    <w:rsid w:val="7D342FE7"/>
    <w:rsid w:val="7D344D95"/>
    <w:rsid w:val="7D37575A"/>
    <w:rsid w:val="7D3905FD"/>
    <w:rsid w:val="7D3D2AA8"/>
    <w:rsid w:val="7D3F0F24"/>
    <w:rsid w:val="7D4274B2"/>
    <w:rsid w:val="7D450D50"/>
    <w:rsid w:val="7D472D1A"/>
    <w:rsid w:val="7D513B99"/>
    <w:rsid w:val="7D515947"/>
    <w:rsid w:val="7D52346D"/>
    <w:rsid w:val="7D580A83"/>
    <w:rsid w:val="7D5B67C5"/>
    <w:rsid w:val="7D5E40CD"/>
    <w:rsid w:val="7D605B8A"/>
    <w:rsid w:val="7D637428"/>
    <w:rsid w:val="7D6438CC"/>
    <w:rsid w:val="7D645601"/>
    <w:rsid w:val="7D6500F5"/>
    <w:rsid w:val="7D6505FA"/>
    <w:rsid w:val="7D6531A0"/>
    <w:rsid w:val="7D693BED"/>
    <w:rsid w:val="7D694C7C"/>
    <w:rsid w:val="7D6C2781"/>
    <w:rsid w:val="7D7004C3"/>
    <w:rsid w:val="7D705BFF"/>
    <w:rsid w:val="7D711B45"/>
    <w:rsid w:val="7D761851"/>
    <w:rsid w:val="7D781125"/>
    <w:rsid w:val="7D7D04EA"/>
    <w:rsid w:val="7D824B7F"/>
    <w:rsid w:val="7D8950E1"/>
    <w:rsid w:val="7D8E7BDF"/>
    <w:rsid w:val="7D8F0799"/>
    <w:rsid w:val="7D944F65"/>
    <w:rsid w:val="7D9558DE"/>
    <w:rsid w:val="7D957F29"/>
    <w:rsid w:val="7D983576"/>
    <w:rsid w:val="7D9B2E98"/>
    <w:rsid w:val="7D9B3066"/>
    <w:rsid w:val="7D9D6DDE"/>
    <w:rsid w:val="7D9F0BCB"/>
    <w:rsid w:val="7DA0067C"/>
    <w:rsid w:val="7DA61F6B"/>
    <w:rsid w:val="7DAC3C93"/>
    <w:rsid w:val="7DB06B11"/>
    <w:rsid w:val="7DB3215D"/>
    <w:rsid w:val="7DB859C6"/>
    <w:rsid w:val="7DB92447"/>
    <w:rsid w:val="7DBA7990"/>
    <w:rsid w:val="7DC10D1E"/>
    <w:rsid w:val="7DC51888"/>
    <w:rsid w:val="7DC600E3"/>
    <w:rsid w:val="7DC92BE0"/>
    <w:rsid w:val="7DCB394B"/>
    <w:rsid w:val="7DCE51E9"/>
    <w:rsid w:val="7DD37B87"/>
    <w:rsid w:val="7DD44EEC"/>
    <w:rsid w:val="7DD722F0"/>
    <w:rsid w:val="7DD81BC4"/>
    <w:rsid w:val="7DD86068"/>
    <w:rsid w:val="7DDE34B5"/>
    <w:rsid w:val="7DDF2F52"/>
    <w:rsid w:val="7DEB7B49"/>
    <w:rsid w:val="7DF10ED8"/>
    <w:rsid w:val="7DF12C86"/>
    <w:rsid w:val="7DF34C50"/>
    <w:rsid w:val="7DFA5FDE"/>
    <w:rsid w:val="7E024E93"/>
    <w:rsid w:val="7E040C0B"/>
    <w:rsid w:val="7E052BDE"/>
    <w:rsid w:val="7E057D7A"/>
    <w:rsid w:val="7E094473"/>
    <w:rsid w:val="7E0B440B"/>
    <w:rsid w:val="7E0D5D12"/>
    <w:rsid w:val="7E0E55E6"/>
    <w:rsid w:val="7E132BFC"/>
    <w:rsid w:val="7E1532BF"/>
    <w:rsid w:val="7E156974"/>
    <w:rsid w:val="7E1846B6"/>
    <w:rsid w:val="7E186CB2"/>
    <w:rsid w:val="7E1A042F"/>
    <w:rsid w:val="7E1A6BBD"/>
    <w:rsid w:val="7E1B52D0"/>
    <w:rsid w:val="7E1D118B"/>
    <w:rsid w:val="7E1D624C"/>
    <w:rsid w:val="7E2117BD"/>
    <w:rsid w:val="7E24305B"/>
    <w:rsid w:val="7E246BF6"/>
    <w:rsid w:val="7E2E3EDA"/>
    <w:rsid w:val="7E2E5C88"/>
    <w:rsid w:val="7E301A00"/>
    <w:rsid w:val="7E371D41"/>
    <w:rsid w:val="7E3C666E"/>
    <w:rsid w:val="7E3D5ECB"/>
    <w:rsid w:val="7E3E411D"/>
    <w:rsid w:val="7E462FD2"/>
    <w:rsid w:val="7E4D6024"/>
    <w:rsid w:val="7E4E04C2"/>
    <w:rsid w:val="7E50377C"/>
    <w:rsid w:val="7E5356EF"/>
    <w:rsid w:val="7E5637D7"/>
    <w:rsid w:val="7E58122B"/>
    <w:rsid w:val="7E5A4CCF"/>
    <w:rsid w:val="7E5D031B"/>
    <w:rsid w:val="7E5F4093"/>
    <w:rsid w:val="7E5F7640"/>
    <w:rsid w:val="7E6873EC"/>
    <w:rsid w:val="7E6D1E3F"/>
    <w:rsid w:val="7E6D67B0"/>
    <w:rsid w:val="7E722019"/>
    <w:rsid w:val="7E7358D0"/>
    <w:rsid w:val="7E762DB4"/>
    <w:rsid w:val="7E7A0ECD"/>
    <w:rsid w:val="7E7B3C1E"/>
    <w:rsid w:val="7E7C69F3"/>
    <w:rsid w:val="7E7F64E4"/>
    <w:rsid w:val="7E8104AE"/>
    <w:rsid w:val="7E81225C"/>
    <w:rsid w:val="7E8458A8"/>
    <w:rsid w:val="7E865AC4"/>
    <w:rsid w:val="7E891110"/>
    <w:rsid w:val="7E8A1149"/>
    <w:rsid w:val="7E8A55B4"/>
    <w:rsid w:val="7E8B30DA"/>
    <w:rsid w:val="7E8D6E52"/>
    <w:rsid w:val="7E8E4F55"/>
    <w:rsid w:val="7E9401E1"/>
    <w:rsid w:val="7E97382D"/>
    <w:rsid w:val="7E99373B"/>
    <w:rsid w:val="7E9D1B2B"/>
    <w:rsid w:val="7EA30424"/>
    <w:rsid w:val="7EA33FDE"/>
    <w:rsid w:val="7EA40AE0"/>
    <w:rsid w:val="7EA45F4A"/>
    <w:rsid w:val="7EA5419C"/>
    <w:rsid w:val="7EAB552B"/>
    <w:rsid w:val="7EB264E4"/>
    <w:rsid w:val="7EB27693"/>
    <w:rsid w:val="7EB42631"/>
    <w:rsid w:val="7EB56F67"/>
    <w:rsid w:val="7EB837A6"/>
    <w:rsid w:val="7EBB6578"/>
    <w:rsid w:val="7EC02D84"/>
    <w:rsid w:val="7EC64112"/>
    <w:rsid w:val="7EC65EC0"/>
    <w:rsid w:val="7EC860DC"/>
    <w:rsid w:val="7ECD36F3"/>
    <w:rsid w:val="7ECD54A1"/>
    <w:rsid w:val="7ED455CC"/>
    <w:rsid w:val="7ED4682F"/>
    <w:rsid w:val="7ED71E7C"/>
    <w:rsid w:val="7ED92098"/>
    <w:rsid w:val="7ED92904"/>
    <w:rsid w:val="7EE527EB"/>
    <w:rsid w:val="7EEF18BB"/>
    <w:rsid w:val="7EF24D84"/>
    <w:rsid w:val="7EF42A2E"/>
    <w:rsid w:val="7EF961DF"/>
    <w:rsid w:val="7EFE1AFE"/>
    <w:rsid w:val="7F01514B"/>
    <w:rsid w:val="7F0215EE"/>
    <w:rsid w:val="7F037115"/>
    <w:rsid w:val="7F0709B3"/>
    <w:rsid w:val="7F076C05"/>
    <w:rsid w:val="7F0A6D29"/>
    <w:rsid w:val="7F0B7D77"/>
    <w:rsid w:val="7F10538E"/>
    <w:rsid w:val="7F1135E0"/>
    <w:rsid w:val="7F1429AC"/>
    <w:rsid w:val="7F1629A4"/>
    <w:rsid w:val="7F1950C0"/>
    <w:rsid w:val="7F196938"/>
    <w:rsid w:val="7F231565"/>
    <w:rsid w:val="7F236931"/>
    <w:rsid w:val="7F250E39"/>
    <w:rsid w:val="7F264BB1"/>
    <w:rsid w:val="7F2A28F3"/>
    <w:rsid w:val="7F2D4191"/>
    <w:rsid w:val="7F2D7CEE"/>
    <w:rsid w:val="7F3124A9"/>
    <w:rsid w:val="7F3217A8"/>
    <w:rsid w:val="7F364DF4"/>
    <w:rsid w:val="7F3E639F"/>
    <w:rsid w:val="7F405C73"/>
    <w:rsid w:val="7F4219EB"/>
    <w:rsid w:val="7F435763"/>
    <w:rsid w:val="7F437511"/>
    <w:rsid w:val="7F4A08A0"/>
    <w:rsid w:val="7F4C0ABC"/>
    <w:rsid w:val="7F4C4618"/>
    <w:rsid w:val="7F4E0A26"/>
    <w:rsid w:val="7F57023D"/>
    <w:rsid w:val="7F597551"/>
    <w:rsid w:val="7F5C7D12"/>
    <w:rsid w:val="7F604567"/>
    <w:rsid w:val="7F607B23"/>
    <w:rsid w:val="7F625BE9"/>
    <w:rsid w:val="7F686F78"/>
    <w:rsid w:val="7F6A7224"/>
    <w:rsid w:val="7F6C6A68"/>
    <w:rsid w:val="7F6F0306"/>
    <w:rsid w:val="7F7A0869"/>
    <w:rsid w:val="7F7D0C75"/>
    <w:rsid w:val="7F7D2A23"/>
    <w:rsid w:val="7F7E49ED"/>
    <w:rsid w:val="7F7F7177"/>
    <w:rsid w:val="7F800765"/>
    <w:rsid w:val="7F89586C"/>
    <w:rsid w:val="7F916650"/>
    <w:rsid w:val="7F9D1317"/>
    <w:rsid w:val="7F9F508F"/>
    <w:rsid w:val="7F9F6E3D"/>
    <w:rsid w:val="7FA12C09"/>
    <w:rsid w:val="7FA1658D"/>
    <w:rsid w:val="7FA206DC"/>
    <w:rsid w:val="7FA2692E"/>
    <w:rsid w:val="7FA44454"/>
    <w:rsid w:val="7FA44DC6"/>
    <w:rsid w:val="7FA53D28"/>
    <w:rsid w:val="7FA91A6A"/>
    <w:rsid w:val="7FA96067"/>
    <w:rsid w:val="7FB34697"/>
    <w:rsid w:val="7FB421BD"/>
    <w:rsid w:val="7FB83A5B"/>
    <w:rsid w:val="7FB87EFF"/>
    <w:rsid w:val="7FBA05E0"/>
    <w:rsid w:val="7FBB179D"/>
    <w:rsid w:val="7FBD3767"/>
    <w:rsid w:val="7FBE40A5"/>
    <w:rsid w:val="7FBE43E0"/>
    <w:rsid w:val="7FC37379"/>
    <w:rsid w:val="7FC44AF6"/>
    <w:rsid w:val="7FC66CD0"/>
    <w:rsid w:val="7FCC39AA"/>
    <w:rsid w:val="7FD5285F"/>
    <w:rsid w:val="7FD64829"/>
    <w:rsid w:val="7FD85EAB"/>
    <w:rsid w:val="7FDB04BF"/>
    <w:rsid w:val="7FDC1E3F"/>
    <w:rsid w:val="7FDF527F"/>
    <w:rsid w:val="7FE24F7C"/>
    <w:rsid w:val="7FE42AA2"/>
    <w:rsid w:val="7FE47E50"/>
    <w:rsid w:val="7FE76BED"/>
    <w:rsid w:val="7FE80AE4"/>
    <w:rsid w:val="7FE9630A"/>
    <w:rsid w:val="7FEE3921"/>
    <w:rsid w:val="7FF57F11"/>
    <w:rsid w:val="7FF75AFE"/>
    <w:rsid w:val="7FFE741B"/>
    <w:rsid w:val="B199A06A"/>
    <w:rsid w:val="EB7E68D6"/>
    <w:rsid w:val="FFFF5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qFormat="1"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7"/>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38"/>
    <w:autoRedefine/>
    <w:qFormat/>
    <w:locked/>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autoRedefine/>
    <w:qFormat/>
    <w:locked/>
    <w:uiPriority w:val="0"/>
    <w:pPr>
      <w:numPr>
        <w:ilvl w:val="2"/>
        <w:numId w:val="1"/>
      </w:numPr>
      <w:spacing w:before="50" w:beforeLines="50"/>
      <w:ind w:left="0" w:firstLine="0"/>
      <w:jc w:val="left"/>
      <w:outlineLvl w:val="2"/>
    </w:pPr>
    <w:rPr>
      <w:b/>
      <w:sz w:val="28"/>
    </w:rPr>
  </w:style>
  <w:style w:type="paragraph" w:styleId="5">
    <w:name w:val="heading 4"/>
    <w:basedOn w:val="1"/>
    <w:next w:val="1"/>
    <w:autoRedefine/>
    <w:qFormat/>
    <w:locked/>
    <w:uiPriority w:val="99"/>
    <w:pPr>
      <w:keepNext/>
      <w:keepLines/>
      <w:numPr>
        <w:ilvl w:val="3"/>
        <w:numId w:val="1"/>
      </w:numPr>
      <w:ind w:left="0" w:firstLine="0"/>
      <w:jc w:val="left"/>
      <w:outlineLvl w:val="3"/>
    </w:pPr>
    <w:rPr>
      <w:b/>
      <w:bCs/>
      <w:szCs w:val="28"/>
    </w:r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7"/>
    <w:autoRedefine/>
    <w:qFormat/>
    <w:uiPriority w:val="0"/>
    <w:pPr>
      <w:spacing w:line="460" w:lineRule="atLeast"/>
      <w:ind w:firstLine="420"/>
    </w:pPr>
    <w:rPr>
      <w:szCs w:val="20"/>
    </w:rPr>
  </w:style>
  <w:style w:type="paragraph" w:styleId="7">
    <w:name w:val="Body Text"/>
    <w:basedOn w:val="1"/>
    <w:next w:val="8"/>
    <w:link w:val="51"/>
    <w:autoRedefine/>
    <w:qFormat/>
    <w:uiPriority w:val="0"/>
    <w:pPr>
      <w:widowControl/>
      <w:snapToGrid w:val="0"/>
      <w:spacing w:before="60" w:after="160" w:line="259" w:lineRule="auto"/>
      <w:ind w:right="113"/>
    </w:pPr>
    <w:rPr>
      <w:kern w:val="0"/>
      <w:sz w:val="18"/>
      <w:szCs w:val="18"/>
    </w:rPr>
  </w:style>
  <w:style w:type="paragraph" w:customStyle="1" w:styleId="8">
    <w:name w:val="Normal (Web)1"/>
    <w:basedOn w:val="1"/>
    <w:next w:val="9"/>
    <w:autoRedefine/>
    <w:qFormat/>
    <w:uiPriority w:val="0"/>
    <w:pPr>
      <w:widowControl/>
    </w:pPr>
    <w:rPr>
      <w:rFonts w:ascii="宋体"/>
      <w:sz w:val="24"/>
      <w:szCs w:val="21"/>
    </w:rPr>
  </w:style>
  <w:style w:type="paragraph" w:customStyle="1" w:styleId="9">
    <w:name w:val="Date1"/>
    <w:basedOn w:val="1"/>
    <w:next w:val="1"/>
    <w:autoRedefine/>
    <w:qFormat/>
    <w:uiPriority w:val="0"/>
    <w:pPr>
      <w:ind w:left="2500" w:leftChars="2500"/>
    </w:pPr>
  </w:style>
  <w:style w:type="paragraph" w:styleId="10">
    <w:name w:val="caption"/>
    <w:basedOn w:val="1"/>
    <w:next w:val="1"/>
    <w:autoRedefine/>
    <w:qFormat/>
    <w:locked/>
    <w:uiPriority w:val="0"/>
    <w:rPr>
      <w:rFonts w:ascii="Arial" w:hAnsi="Arial" w:eastAsia="黑体"/>
      <w:sz w:val="20"/>
      <w:szCs w:val="20"/>
    </w:rPr>
  </w:style>
  <w:style w:type="paragraph" w:styleId="11">
    <w:name w:val="annotation text"/>
    <w:basedOn w:val="1"/>
    <w:link w:val="50"/>
    <w:autoRedefine/>
    <w:semiHidden/>
    <w:qFormat/>
    <w:uiPriority w:val="0"/>
    <w:pPr>
      <w:jc w:val="left"/>
    </w:pPr>
    <w:rPr>
      <w:kern w:val="0"/>
      <w:sz w:val="20"/>
    </w:rPr>
  </w:style>
  <w:style w:type="paragraph" w:styleId="12">
    <w:name w:val="Body Text Indent"/>
    <w:basedOn w:val="1"/>
    <w:link w:val="52"/>
    <w:autoRedefine/>
    <w:semiHidden/>
    <w:qFormat/>
    <w:uiPriority w:val="0"/>
    <w:pPr>
      <w:spacing w:after="120"/>
      <w:ind w:left="420" w:leftChars="200"/>
    </w:pPr>
  </w:style>
  <w:style w:type="paragraph" w:styleId="13">
    <w:name w:val="Block Text"/>
    <w:basedOn w:val="1"/>
    <w:next w:val="1"/>
    <w:autoRedefine/>
    <w:qFormat/>
    <w:uiPriority w:val="0"/>
    <w:pPr>
      <w:spacing w:line="240" w:lineRule="auto"/>
      <w:ind w:left="113" w:right="113" w:firstLine="3584"/>
      <w:jc w:val="center"/>
    </w:pPr>
  </w:style>
  <w:style w:type="paragraph" w:styleId="14">
    <w:name w:val="Plain Text"/>
    <w:basedOn w:val="1"/>
    <w:next w:val="15"/>
    <w:autoRedefine/>
    <w:qFormat/>
    <w:uiPriority w:val="0"/>
    <w:rPr>
      <w:rFonts w:ascii="宋体" w:hAnsi="Courier New" w:cs="Courier New"/>
      <w:szCs w:val="21"/>
    </w:rPr>
  </w:style>
  <w:style w:type="paragraph" w:styleId="15">
    <w:name w:val="toc 1"/>
    <w:basedOn w:val="1"/>
    <w:next w:val="1"/>
    <w:autoRedefine/>
    <w:qFormat/>
    <w:locked/>
    <w:uiPriority w:val="0"/>
    <w:pPr>
      <w:spacing w:line="360" w:lineRule="auto"/>
    </w:pPr>
    <w:rPr>
      <w:b/>
      <w:sz w:val="24"/>
    </w:rPr>
  </w:style>
  <w:style w:type="paragraph" w:styleId="16">
    <w:name w:val="Date"/>
    <w:basedOn w:val="1"/>
    <w:next w:val="1"/>
    <w:link w:val="53"/>
    <w:autoRedefine/>
    <w:qFormat/>
    <w:uiPriority w:val="0"/>
    <w:pPr>
      <w:ind w:left="100" w:leftChars="2500"/>
    </w:pPr>
    <w:rPr>
      <w:kern w:val="0"/>
      <w:sz w:val="20"/>
    </w:rPr>
  </w:style>
  <w:style w:type="paragraph" w:styleId="17">
    <w:name w:val="Body Text Indent 2"/>
    <w:basedOn w:val="1"/>
    <w:next w:val="1"/>
    <w:autoRedefine/>
    <w:qFormat/>
    <w:uiPriority w:val="0"/>
    <w:pPr>
      <w:spacing w:after="120" w:line="480" w:lineRule="auto"/>
      <w:ind w:left="420" w:leftChars="200"/>
    </w:pPr>
  </w:style>
  <w:style w:type="paragraph" w:styleId="18">
    <w:name w:val="Balloon Text"/>
    <w:basedOn w:val="1"/>
    <w:next w:val="13"/>
    <w:link w:val="54"/>
    <w:autoRedefine/>
    <w:semiHidden/>
    <w:qFormat/>
    <w:uiPriority w:val="0"/>
    <w:rPr>
      <w:sz w:val="18"/>
      <w:szCs w:val="18"/>
    </w:rPr>
  </w:style>
  <w:style w:type="paragraph" w:styleId="19">
    <w:name w:val="footer"/>
    <w:basedOn w:val="1"/>
    <w:link w:val="55"/>
    <w:autoRedefine/>
    <w:qFormat/>
    <w:uiPriority w:val="0"/>
    <w:pPr>
      <w:tabs>
        <w:tab w:val="center" w:pos="4153"/>
        <w:tab w:val="right" w:pos="8306"/>
      </w:tabs>
      <w:snapToGrid w:val="0"/>
      <w:jc w:val="left"/>
    </w:pPr>
    <w:rPr>
      <w:sz w:val="18"/>
      <w:szCs w:val="18"/>
    </w:rPr>
  </w:style>
  <w:style w:type="paragraph" w:styleId="20">
    <w:name w:val="header"/>
    <w:basedOn w:val="1"/>
    <w:next w:val="21"/>
    <w:link w:val="56"/>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21">
    <w:name w:val="样式5"/>
    <w:basedOn w:val="1"/>
    <w:autoRedefine/>
    <w:qFormat/>
    <w:uiPriority w:val="0"/>
    <w:pPr>
      <w:spacing w:line="380" w:lineRule="exact"/>
      <w:ind w:firstLine="566" w:firstLineChars="202"/>
    </w:pPr>
    <w:rPr>
      <w:rFonts w:eastAsia="华文行楷"/>
    </w:rPr>
  </w:style>
  <w:style w:type="paragraph" w:styleId="22">
    <w:name w:val="List"/>
    <w:basedOn w:val="1"/>
    <w:autoRedefine/>
    <w:qFormat/>
    <w:uiPriority w:val="0"/>
    <w:pPr>
      <w:ind w:left="200" w:hanging="200" w:hangingChars="200"/>
    </w:pPr>
  </w:style>
  <w:style w:type="paragraph" w:styleId="23">
    <w:name w:val="toc 6"/>
    <w:basedOn w:val="1"/>
    <w:next w:val="1"/>
    <w:autoRedefine/>
    <w:qFormat/>
    <w:locked/>
    <w:uiPriority w:val="0"/>
    <w:pPr>
      <w:ind w:left="2100" w:leftChars="1000"/>
    </w:pPr>
  </w:style>
  <w:style w:type="paragraph" w:styleId="24">
    <w:name w:val="Body Text Indent 3"/>
    <w:basedOn w:val="1"/>
    <w:next w:val="18"/>
    <w:autoRedefine/>
    <w:qFormat/>
    <w:uiPriority w:val="0"/>
    <w:pPr>
      <w:spacing w:after="120"/>
      <w:ind w:left="420" w:leftChars="200"/>
    </w:pPr>
    <w:rPr>
      <w:sz w:val="16"/>
      <w:szCs w:val="16"/>
    </w:rPr>
  </w:style>
  <w:style w:type="paragraph" w:styleId="25">
    <w:name w:val="table of figures"/>
    <w:basedOn w:val="1"/>
    <w:next w:val="1"/>
    <w:autoRedefine/>
    <w:qFormat/>
    <w:uiPriority w:val="0"/>
    <w:pPr>
      <w:autoSpaceDE w:val="0"/>
      <w:autoSpaceDN w:val="0"/>
      <w:spacing w:line="360" w:lineRule="auto"/>
      <w:ind w:left="200" w:leftChars="200" w:hanging="200" w:hangingChars="200"/>
    </w:pPr>
    <w:rPr>
      <w:sz w:val="28"/>
      <w:szCs w:val="20"/>
    </w:rPr>
  </w:style>
  <w:style w:type="paragraph" w:styleId="26">
    <w:name w:val="toc 2"/>
    <w:basedOn w:val="1"/>
    <w:next w:val="1"/>
    <w:autoRedefine/>
    <w:unhideWhenUsed/>
    <w:qFormat/>
    <w:locked/>
    <w:uiPriority w:val="39"/>
    <w:pPr>
      <w:ind w:left="420" w:leftChars="200"/>
    </w:pPr>
    <w:rPr>
      <w:rFonts w:ascii="Calibri" w:hAnsi="Calibri"/>
    </w:rPr>
  </w:style>
  <w:style w:type="paragraph" w:styleId="27">
    <w:name w:val="Message Header"/>
    <w:basedOn w:val="1"/>
    <w:autoRedefine/>
    <w:semiHidden/>
    <w:qFormat/>
    <w:uiPriority w:val="0"/>
    <w:pPr>
      <w:widowControl/>
      <w:pBdr>
        <w:top w:val="single" w:color="auto" w:sz="6" w:space="1"/>
        <w:left w:val="single" w:color="auto" w:sz="6" w:space="1"/>
        <w:bottom w:val="single" w:color="auto" w:sz="6" w:space="1"/>
        <w:right w:val="single" w:color="auto" w:sz="6" w:space="1"/>
      </w:pBdr>
      <w:shd w:val="pct20" w:color="auto" w:fill="auto"/>
      <w:spacing w:line="520" w:lineRule="exact"/>
      <w:ind w:left="1080" w:leftChars="500" w:hanging="1080" w:hangingChars="500"/>
    </w:pPr>
    <w:rPr>
      <w:rFonts w:ascii="Arial" w:hAnsi="Arial" w:cs="Arial"/>
      <w:bCs/>
      <w:kern w:val="0"/>
      <w:sz w:val="24"/>
    </w:rPr>
  </w:style>
  <w:style w:type="paragraph" w:styleId="28">
    <w:name w:val="Normal (Web)"/>
    <w:basedOn w:val="1"/>
    <w:link w:val="57"/>
    <w:autoRedefine/>
    <w:qFormat/>
    <w:uiPriority w:val="0"/>
    <w:pPr>
      <w:widowControl/>
      <w:spacing w:before="100" w:beforeAutospacing="1" w:after="100" w:afterAutospacing="1"/>
      <w:jc w:val="left"/>
    </w:pPr>
    <w:rPr>
      <w:rFonts w:ascii="宋体" w:hAnsi="宋体"/>
      <w:kern w:val="0"/>
      <w:sz w:val="24"/>
    </w:rPr>
  </w:style>
  <w:style w:type="paragraph" w:styleId="29">
    <w:name w:val="Title"/>
    <w:basedOn w:val="1"/>
    <w:next w:val="1"/>
    <w:qFormat/>
    <w:locked/>
    <w:uiPriority w:val="0"/>
    <w:pPr>
      <w:jc w:val="left"/>
      <w:outlineLvl w:val="0"/>
    </w:pPr>
    <w:rPr>
      <w:rFonts w:cstheme="majorBidi"/>
      <w:b/>
      <w:bCs/>
      <w:sz w:val="24"/>
      <w:szCs w:val="32"/>
    </w:rPr>
  </w:style>
  <w:style w:type="paragraph" w:styleId="30">
    <w:name w:val="annotation subject"/>
    <w:basedOn w:val="11"/>
    <w:next w:val="11"/>
    <w:link w:val="58"/>
    <w:autoRedefine/>
    <w:semiHidden/>
    <w:qFormat/>
    <w:uiPriority w:val="0"/>
    <w:rPr>
      <w:b/>
      <w:bCs/>
    </w:rPr>
  </w:style>
  <w:style w:type="paragraph" w:styleId="31">
    <w:name w:val="Body Text First Indent"/>
    <w:basedOn w:val="1"/>
    <w:next w:val="32"/>
    <w:autoRedefine/>
    <w:qFormat/>
    <w:uiPriority w:val="0"/>
    <w:pPr>
      <w:ind w:firstLine="420" w:firstLineChars="100"/>
    </w:pPr>
  </w:style>
  <w:style w:type="paragraph" w:customStyle="1" w:styleId="32">
    <w:name w:val="样式 正文首行缩进 + 首行缩进:  2 字符1"/>
    <w:basedOn w:val="31"/>
    <w:next w:val="15"/>
    <w:autoRedefine/>
    <w:qFormat/>
    <w:uiPriority w:val="0"/>
    <w:pPr>
      <w:spacing w:line="360" w:lineRule="auto"/>
      <w:ind w:firstLine="480" w:firstLineChars="200"/>
    </w:pPr>
    <w:rPr>
      <w:sz w:val="24"/>
    </w:rPr>
  </w:style>
  <w:style w:type="paragraph" w:styleId="33">
    <w:name w:val="Body Text First Indent 2"/>
    <w:basedOn w:val="12"/>
    <w:next w:val="1"/>
    <w:autoRedefine/>
    <w:qFormat/>
    <w:uiPriority w:val="0"/>
    <w:pPr>
      <w:adjustRightInd/>
      <w:spacing w:after="120" w:line="240" w:lineRule="auto"/>
      <w:ind w:left="420" w:leftChars="200" w:firstLine="420" w:firstLineChars="200"/>
    </w:pPr>
    <w:rPr>
      <w:rFonts w:ascii="Times New Roman" w:hAnsi="Times New Roman" w:eastAsia="宋体" w:cs="Times New Roman"/>
      <w:color w:val="auto"/>
      <w:sz w:val="21"/>
      <w:szCs w:val="21"/>
    </w:rPr>
  </w:style>
  <w:style w:type="table" w:styleId="35">
    <w:name w:val="Table Grid"/>
    <w:basedOn w:val="3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autoRedefine/>
    <w:qFormat/>
    <w:locked/>
    <w:uiPriority w:val="0"/>
    <w:rPr>
      <w:b/>
    </w:rPr>
  </w:style>
  <w:style w:type="character" w:styleId="38">
    <w:name w:val="page number"/>
    <w:basedOn w:val="36"/>
    <w:autoRedefine/>
    <w:qFormat/>
    <w:uiPriority w:val="0"/>
    <w:rPr>
      <w:rFonts w:hint="default" w:ascii="Times New Roman" w:hAnsi="Times New Roman" w:cs="Times New Roman"/>
    </w:rPr>
  </w:style>
  <w:style w:type="character" w:styleId="39">
    <w:name w:val="FollowedHyperlink"/>
    <w:basedOn w:val="36"/>
    <w:autoRedefine/>
    <w:qFormat/>
    <w:uiPriority w:val="0"/>
    <w:rPr>
      <w:color w:val="185ECF"/>
      <w:u w:val="none"/>
    </w:rPr>
  </w:style>
  <w:style w:type="character" w:styleId="40">
    <w:name w:val="Emphasis"/>
    <w:autoRedefine/>
    <w:qFormat/>
    <w:locked/>
    <w:uiPriority w:val="0"/>
    <w:rPr>
      <w:i/>
    </w:rPr>
  </w:style>
  <w:style w:type="character" w:styleId="41">
    <w:name w:val="Hyperlink"/>
    <w:autoRedefine/>
    <w:qFormat/>
    <w:uiPriority w:val="0"/>
    <w:rPr>
      <w:color w:val="0000FF"/>
      <w:u w:val="single"/>
    </w:rPr>
  </w:style>
  <w:style w:type="character" w:styleId="42">
    <w:name w:val="annotation reference"/>
    <w:autoRedefine/>
    <w:semiHidden/>
    <w:qFormat/>
    <w:uiPriority w:val="0"/>
    <w:rPr>
      <w:sz w:val="21"/>
    </w:rPr>
  </w:style>
  <w:style w:type="paragraph" w:customStyle="1" w:styleId="43">
    <w:name w:val="BodyText"/>
    <w:basedOn w:val="1"/>
    <w:autoRedefine/>
    <w:qFormat/>
    <w:uiPriority w:val="0"/>
    <w:pPr>
      <w:textAlignment w:val="baseline"/>
    </w:pPr>
    <w:rPr>
      <w:rFonts w:ascii="宋体" w:hAnsi="宋体"/>
      <w:szCs w:val="21"/>
    </w:rPr>
  </w:style>
  <w:style w:type="paragraph" w:customStyle="1" w:styleId="44">
    <w:name w:val="表头"/>
    <w:basedOn w:val="22"/>
    <w:next w:val="1"/>
    <w:autoRedefine/>
    <w:qFormat/>
    <w:uiPriority w:val="0"/>
    <w:rPr>
      <w:rFonts w:eastAsia="黑体"/>
    </w:rPr>
  </w:style>
  <w:style w:type="paragraph" w:customStyle="1" w:styleId="45">
    <w:name w:val="xl27"/>
    <w:basedOn w:val="1"/>
    <w:autoRedefine/>
    <w:qFormat/>
    <w:uiPriority w:val="99"/>
    <w:pPr>
      <w:widowControl/>
      <w:pBdr>
        <w:top w:val="single" w:color="auto" w:sz="8" w:space="0"/>
        <w:left w:val="single" w:color="auto" w:sz="8" w:space="0"/>
        <w:right w:val="single" w:color="auto" w:sz="8" w:space="0"/>
      </w:pBdr>
      <w:spacing w:before="100" w:beforeAutospacing="1" w:after="100" w:afterAutospacing="1"/>
      <w:jc w:val="center"/>
    </w:pPr>
    <w:rPr>
      <w:rFonts w:ascii="Arial Unicode MS" w:hAnsi="Arial Unicode MS" w:eastAsia="Arial Unicode MS"/>
      <w:sz w:val="22"/>
      <w:szCs w:val="22"/>
    </w:rPr>
  </w:style>
  <w:style w:type="paragraph" w:customStyle="1" w:styleId="46">
    <w:name w:val="_Style 4"/>
    <w:autoRedefine/>
    <w:qFormat/>
    <w:uiPriority w:val="1"/>
    <w:pPr>
      <w:widowControl w:val="0"/>
      <w:jc w:val="both"/>
    </w:pPr>
    <w:rPr>
      <w:rFonts w:ascii="Calibri" w:hAnsi="Calibri" w:eastAsia="仿宋_GB2312" w:cs="Times New Roman"/>
      <w:kern w:val="2"/>
      <w:sz w:val="24"/>
      <w:szCs w:val="22"/>
      <w:lang w:val="en-US" w:eastAsia="zh-CN" w:bidi="ar-SA"/>
    </w:rPr>
  </w:style>
  <w:style w:type="paragraph" w:customStyle="1" w:styleId="47">
    <w:name w:val="内容"/>
    <w:basedOn w:val="1"/>
    <w:autoRedefine/>
    <w:qFormat/>
    <w:uiPriority w:val="0"/>
    <w:pPr>
      <w:spacing w:beforeLines="50" w:afterLines="50"/>
      <w:ind w:firstLine="200" w:firstLineChars="200"/>
    </w:pPr>
    <w:rPr>
      <w:color w:val="000000"/>
      <w:sz w:val="24"/>
    </w:rPr>
  </w:style>
  <w:style w:type="paragraph" w:customStyle="1" w:styleId="48">
    <w:name w:val="Default"/>
    <w:basedOn w:val="49"/>
    <w:next w:val="1"/>
    <w:autoRedefine/>
    <w:qFormat/>
    <w:uiPriority w:val="0"/>
    <w:pPr>
      <w:widowControl w:val="0"/>
      <w:autoSpaceDE w:val="0"/>
      <w:autoSpaceDN w:val="0"/>
    </w:pPr>
    <w:rPr>
      <w:color w:val="000000"/>
    </w:rPr>
  </w:style>
  <w:style w:type="paragraph" w:customStyle="1" w:styleId="49">
    <w:name w:val="纯文本1"/>
    <w:autoRedefine/>
    <w:qFormat/>
    <w:uiPriority w:val="0"/>
    <w:pPr>
      <w:adjustRightInd w:val="0"/>
      <w:jc w:val="center"/>
      <w:textAlignment w:val="baseline"/>
    </w:pPr>
    <w:rPr>
      <w:rFonts w:ascii="宋体" w:hAnsi="Courier New" w:eastAsia="宋体" w:cs="Times New Roman"/>
      <w:sz w:val="24"/>
      <w:lang w:val="en-US" w:eastAsia="zh-CN" w:bidi="ar-SA"/>
    </w:rPr>
  </w:style>
  <w:style w:type="character" w:customStyle="1" w:styleId="50">
    <w:name w:val="批注文字 字符"/>
    <w:link w:val="11"/>
    <w:autoRedefine/>
    <w:qFormat/>
    <w:locked/>
    <w:uiPriority w:val="0"/>
    <w:rPr>
      <w:rFonts w:ascii="Times New Roman" w:hAnsi="Times New Roman" w:eastAsia="宋体"/>
      <w:sz w:val="24"/>
    </w:rPr>
  </w:style>
  <w:style w:type="character" w:customStyle="1" w:styleId="51">
    <w:name w:val="正文文本 字符"/>
    <w:link w:val="7"/>
    <w:autoRedefine/>
    <w:qFormat/>
    <w:locked/>
    <w:uiPriority w:val="0"/>
    <w:rPr>
      <w:sz w:val="18"/>
    </w:rPr>
  </w:style>
  <w:style w:type="character" w:customStyle="1" w:styleId="52">
    <w:name w:val="正文文本缩进 字符"/>
    <w:link w:val="12"/>
    <w:autoRedefine/>
    <w:semiHidden/>
    <w:qFormat/>
    <w:locked/>
    <w:uiPriority w:val="0"/>
    <w:rPr>
      <w:rFonts w:ascii="Times New Roman" w:hAnsi="Times New Roman" w:eastAsia="宋体" w:cs="Times New Roman"/>
      <w:sz w:val="24"/>
      <w:szCs w:val="24"/>
    </w:rPr>
  </w:style>
  <w:style w:type="character" w:customStyle="1" w:styleId="53">
    <w:name w:val="日期 字符1"/>
    <w:link w:val="16"/>
    <w:autoRedefine/>
    <w:qFormat/>
    <w:locked/>
    <w:uiPriority w:val="0"/>
    <w:rPr>
      <w:rFonts w:ascii="Times New Roman" w:hAnsi="Times New Roman" w:eastAsia="宋体"/>
      <w:sz w:val="24"/>
    </w:rPr>
  </w:style>
  <w:style w:type="character" w:customStyle="1" w:styleId="54">
    <w:name w:val="批注框文本 字符"/>
    <w:link w:val="18"/>
    <w:autoRedefine/>
    <w:semiHidden/>
    <w:qFormat/>
    <w:locked/>
    <w:uiPriority w:val="0"/>
    <w:rPr>
      <w:rFonts w:ascii="Times New Roman" w:hAnsi="Times New Roman" w:eastAsia="宋体" w:cs="Times New Roman"/>
      <w:sz w:val="18"/>
      <w:szCs w:val="18"/>
    </w:rPr>
  </w:style>
  <w:style w:type="character" w:customStyle="1" w:styleId="55">
    <w:name w:val="页脚 字符"/>
    <w:link w:val="19"/>
    <w:autoRedefine/>
    <w:qFormat/>
    <w:locked/>
    <w:uiPriority w:val="0"/>
    <w:rPr>
      <w:rFonts w:cs="Times New Roman"/>
      <w:sz w:val="18"/>
      <w:szCs w:val="18"/>
    </w:rPr>
  </w:style>
  <w:style w:type="character" w:customStyle="1" w:styleId="56">
    <w:name w:val="页眉 字符1"/>
    <w:link w:val="20"/>
    <w:autoRedefine/>
    <w:qFormat/>
    <w:locked/>
    <w:uiPriority w:val="0"/>
    <w:rPr>
      <w:rFonts w:cs="Times New Roman"/>
      <w:sz w:val="18"/>
      <w:szCs w:val="18"/>
    </w:rPr>
  </w:style>
  <w:style w:type="character" w:customStyle="1" w:styleId="57">
    <w:name w:val="普通(网站) 字符"/>
    <w:link w:val="28"/>
    <w:autoRedefine/>
    <w:qFormat/>
    <w:locked/>
    <w:uiPriority w:val="0"/>
    <w:rPr>
      <w:rFonts w:ascii="宋体" w:hAnsi="宋体" w:eastAsia="宋体"/>
      <w:sz w:val="24"/>
    </w:rPr>
  </w:style>
  <w:style w:type="character" w:customStyle="1" w:styleId="58">
    <w:name w:val="批注主题 字符"/>
    <w:link w:val="30"/>
    <w:autoRedefine/>
    <w:semiHidden/>
    <w:qFormat/>
    <w:locked/>
    <w:uiPriority w:val="0"/>
    <w:rPr>
      <w:rFonts w:cs="Times New Roman"/>
      <w:b/>
      <w:bCs/>
      <w:kern w:val="2"/>
      <w:szCs w:val="24"/>
    </w:rPr>
  </w:style>
  <w:style w:type="character" w:customStyle="1" w:styleId="59">
    <w:name w:val="页眉 字符"/>
    <w:autoRedefine/>
    <w:qFormat/>
    <w:uiPriority w:val="0"/>
    <w:rPr>
      <w:rFonts w:hint="default" w:ascii="Calibri" w:hAnsi="Calibri" w:cs="Calibri"/>
    </w:rPr>
  </w:style>
  <w:style w:type="character" w:customStyle="1" w:styleId="60">
    <w:name w:val="普通(网站) Char"/>
    <w:autoRedefine/>
    <w:qFormat/>
    <w:locked/>
    <w:uiPriority w:val="0"/>
    <w:rPr>
      <w:rFonts w:ascii="宋体" w:hAnsi="宋体" w:eastAsia="宋体"/>
      <w:sz w:val="24"/>
    </w:rPr>
  </w:style>
  <w:style w:type="character" w:customStyle="1" w:styleId="61">
    <w:name w:val="日期 字符"/>
    <w:autoRedefine/>
    <w:semiHidden/>
    <w:qFormat/>
    <w:uiPriority w:val="0"/>
    <w:rPr>
      <w:rFonts w:ascii="Times New Roman" w:hAnsi="Times New Roman" w:eastAsia="宋体" w:cs="Times New Roman"/>
      <w:sz w:val="24"/>
      <w:szCs w:val="24"/>
    </w:rPr>
  </w:style>
  <w:style w:type="character" w:customStyle="1" w:styleId="62">
    <w:name w:val="批注文字 字符1"/>
    <w:autoRedefine/>
    <w:semiHidden/>
    <w:qFormat/>
    <w:uiPriority w:val="0"/>
    <w:rPr>
      <w:rFonts w:ascii="Times New Roman" w:hAnsi="Times New Roman" w:eastAsia="宋体" w:cs="Times New Roman"/>
      <w:sz w:val="24"/>
      <w:szCs w:val="24"/>
    </w:rPr>
  </w:style>
  <w:style w:type="character" w:customStyle="1" w:styleId="63">
    <w:name w:val="正文文本 字符1"/>
    <w:autoRedefine/>
    <w:semiHidden/>
    <w:qFormat/>
    <w:uiPriority w:val="0"/>
    <w:rPr>
      <w:rFonts w:ascii="Times New Roman" w:hAnsi="Times New Roman" w:eastAsia="宋体" w:cs="Times New Roman"/>
      <w:sz w:val="24"/>
      <w:szCs w:val="24"/>
    </w:rPr>
  </w:style>
  <w:style w:type="character" w:customStyle="1" w:styleId="64">
    <w:name w:val="表格 Char"/>
    <w:link w:val="65"/>
    <w:autoRedefine/>
    <w:qFormat/>
    <w:locked/>
    <w:uiPriority w:val="0"/>
    <w:rPr>
      <w:rFonts w:ascii="宋体"/>
      <w:sz w:val="21"/>
    </w:rPr>
  </w:style>
  <w:style w:type="paragraph" w:customStyle="1" w:styleId="65">
    <w:name w:val="表格"/>
    <w:basedOn w:val="6"/>
    <w:next w:val="1"/>
    <w:link w:val="64"/>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66">
    <w:name w:val="apple-converted-space"/>
    <w:autoRedefine/>
    <w:qFormat/>
    <w:uiPriority w:val="0"/>
    <w:rPr>
      <w:rFonts w:hint="default" w:ascii="Times New Roman" w:hAnsi="Times New Roman" w:cs="Times New Roman"/>
    </w:rPr>
  </w:style>
  <w:style w:type="paragraph" w:customStyle="1" w:styleId="67">
    <w:name w:val="样式 标题 1 + 首行缩进:  2 字符"/>
    <w:basedOn w:val="2"/>
    <w:autoRedefine/>
    <w:qFormat/>
    <w:uiPriority w:val="0"/>
    <w:pPr>
      <w:spacing w:before="0" w:after="0" w:line="720" w:lineRule="auto"/>
      <w:ind w:firstLine="200" w:firstLineChars="200"/>
      <w:jc w:val="center"/>
    </w:pPr>
    <w:rPr>
      <w:rFonts w:ascii="黑体" w:cs="宋体"/>
      <w:kern w:val="2"/>
      <w:sz w:val="36"/>
      <w:szCs w:val="20"/>
    </w:rPr>
  </w:style>
  <w:style w:type="paragraph" w:customStyle="1" w:styleId="68">
    <w:name w:val="报告表正文"/>
    <w:basedOn w:val="69"/>
    <w:next w:val="1"/>
    <w:autoRedefine/>
    <w:qFormat/>
    <w:uiPriority w:val="0"/>
    <w:pPr>
      <w:adjustRightInd w:val="0"/>
      <w:spacing w:line="312" w:lineRule="auto"/>
      <w:ind w:left="113" w:right="113" w:firstLine="482"/>
      <w:jc w:val="left"/>
      <w:textAlignment w:val="baseline"/>
    </w:pPr>
    <w:rPr>
      <w:kern w:val="0"/>
      <w:sz w:val="24"/>
    </w:rPr>
  </w:style>
  <w:style w:type="paragraph" w:customStyle="1" w:styleId="69">
    <w:name w:val="CM4"/>
    <w:basedOn w:val="1"/>
    <w:next w:val="1"/>
    <w:autoRedefine/>
    <w:qFormat/>
    <w:uiPriority w:val="0"/>
    <w:pPr>
      <w:keepNext/>
      <w:spacing w:line="520" w:lineRule="exact"/>
      <w:jc w:val="center"/>
    </w:pPr>
    <w:rPr>
      <w:b/>
      <w:kern w:val="0"/>
      <w:szCs w:val="21"/>
    </w:rPr>
  </w:style>
  <w:style w:type="paragraph" w:customStyle="1" w:styleId="70">
    <w:name w:val="表格标题"/>
    <w:basedOn w:val="1"/>
    <w:next w:val="1"/>
    <w:autoRedefine/>
    <w:qFormat/>
    <w:uiPriority w:val="0"/>
    <w:pPr>
      <w:tabs>
        <w:tab w:val="left" w:pos="5400"/>
      </w:tabs>
      <w:spacing w:before="156" w:beforeLines="50" w:after="156" w:afterLines="50" w:line="400" w:lineRule="exact"/>
      <w:jc w:val="center"/>
    </w:pPr>
    <w:rPr>
      <w:rFonts w:ascii="黑体" w:hAnsi="宋体" w:eastAsia="黑体"/>
      <w:color w:val="000000"/>
      <w:spacing w:val="4"/>
      <w:sz w:val="24"/>
    </w:rPr>
  </w:style>
  <w:style w:type="paragraph" w:customStyle="1" w:styleId="71">
    <w:name w:val="【表头】"/>
    <w:basedOn w:val="72"/>
    <w:autoRedefine/>
    <w:qFormat/>
    <w:uiPriority w:val="0"/>
    <w:pPr>
      <w:spacing w:line="460" w:lineRule="exact"/>
      <w:jc w:val="center"/>
    </w:pPr>
    <w:rPr>
      <w:rFonts w:eastAsia="黑体"/>
      <w:sz w:val="24"/>
    </w:rPr>
  </w:style>
  <w:style w:type="paragraph" w:customStyle="1" w:styleId="72">
    <w:name w:val="0"/>
    <w:basedOn w:val="1"/>
    <w:autoRedefine/>
    <w:qFormat/>
    <w:uiPriority w:val="99"/>
    <w:pPr>
      <w:widowControl/>
      <w:snapToGrid w:val="0"/>
      <w:jc w:val="left"/>
    </w:pPr>
    <w:rPr>
      <w:rFonts w:ascii="宋体"/>
      <w:kern w:val="0"/>
      <w:sz w:val="20"/>
      <w:szCs w:val="20"/>
    </w:rPr>
  </w:style>
  <w:style w:type="paragraph" w:customStyle="1" w:styleId="73">
    <w:name w:val="【正文】"/>
    <w:basedOn w:val="1"/>
    <w:next w:val="27"/>
    <w:autoRedefine/>
    <w:qFormat/>
    <w:uiPriority w:val="0"/>
    <w:pPr>
      <w:spacing w:line="440" w:lineRule="exact"/>
      <w:ind w:firstLine="544"/>
    </w:pPr>
    <w:rPr>
      <w:rFonts w:cs="宋体"/>
      <w:szCs w:val="20"/>
    </w:rPr>
  </w:style>
  <w:style w:type="paragraph" w:customStyle="1" w:styleId="74">
    <w:name w:val="正文00"/>
    <w:basedOn w:val="1"/>
    <w:autoRedefine/>
    <w:qFormat/>
    <w:uiPriority w:val="0"/>
    <w:pPr>
      <w:widowControl/>
      <w:spacing w:line="425" w:lineRule="atLeast"/>
      <w:ind w:left="107" w:leftChars="51" w:right="124" w:rightChars="59" w:firstLine="480"/>
      <w:textAlignment w:val="baseline"/>
    </w:pPr>
    <w:rPr>
      <w:rFonts w:ascii="Calibri"/>
      <w:sz w:val="28"/>
    </w:rPr>
  </w:style>
  <w:style w:type="paragraph" w:customStyle="1" w:styleId="75">
    <w:name w:val="样式4"/>
    <w:basedOn w:val="7"/>
    <w:autoRedefine/>
    <w:qFormat/>
    <w:uiPriority w:val="0"/>
    <w:pPr>
      <w:adjustRightInd w:val="0"/>
      <w:jc w:val="center"/>
    </w:pPr>
    <w:rPr>
      <w:sz w:val="24"/>
    </w:rPr>
  </w:style>
  <w:style w:type="paragraph" w:customStyle="1" w:styleId="76">
    <w:name w:val="Table Paragraph"/>
    <w:basedOn w:val="1"/>
    <w:autoRedefine/>
    <w:unhideWhenUsed/>
    <w:qFormat/>
    <w:uiPriority w:val="1"/>
    <w:rPr>
      <w:sz w:val="24"/>
    </w:rPr>
  </w:style>
  <w:style w:type="paragraph" w:customStyle="1" w:styleId="77">
    <w:name w:val="煤炭资源普查报告格式"/>
    <w:basedOn w:val="1"/>
    <w:autoRedefine/>
    <w:qFormat/>
    <w:uiPriority w:val="0"/>
    <w:pPr>
      <w:spacing w:line="500" w:lineRule="exact"/>
    </w:pPr>
  </w:style>
  <w:style w:type="paragraph" w:customStyle="1" w:styleId="78">
    <w:name w:val="表头文字"/>
    <w:basedOn w:val="1"/>
    <w:autoRedefine/>
    <w:qFormat/>
    <w:uiPriority w:val="0"/>
    <w:pPr>
      <w:adjustRightInd w:val="0"/>
      <w:jc w:val="center"/>
    </w:pPr>
    <w:rPr>
      <w:sz w:val="28"/>
      <w:szCs w:val="20"/>
    </w:rPr>
  </w:style>
  <w:style w:type="paragraph" w:customStyle="1" w:styleId="79">
    <w:name w:val="标题4"/>
    <w:basedOn w:val="74"/>
    <w:autoRedefine/>
    <w:qFormat/>
    <w:uiPriority w:val="0"/>
    <w:pPr>
      <w:ind w:left="51" w:right="59" w:firstLine="100" w:firstLineChars="100"/>
    </w:pPr>
    <w:rPr>
      <w:b/>
    </w:rPr>
  </w:style>
  <w:style w:type="paragraph" w:customStyle="1" w:styleId="80">
    <w:name w:val="正文----------------"/>
    <w:basedOn w:val="1"/>
    <w:autoRedefine/>
    <w:qFormat/>
    <w:uiPriority w:val="0"/>
    <w:pPr>
      <w:spacing w:line="440" w:lineRule="exact"/>
      <w:ind w:firstLine="544" w:firstLineChars="200"/>
    </w:pPr>
    <w:rPr>
      <w:rFonts w:ascii="Calibri" w:cs="宋体"/>
      <w:spacing w:val="16"/>
      <w:szCs w:val="20"/>
    </w:rPr>
  </w:style>
  <w:style w:type="paragraph" w:customStyle="1" w:styleId="81">
    <w:name w:val="表文"/>
    <w:basedOn w:val="1"/>
    <w:autoRedefine/>
    <w:qFormat/>
    <w:uiPriority w:val="0"/>
    <w:pPr>
      <w:tabs>
        <w:tab w:val="left" w:pos="6480"/>
      </w:tabs>
      <w:spacing w:line="360" w:lineRule="exact"/>
    </w:pPr>
    <w:rPr>
      <w:rFonts w:ascii="宋体" w:hAnsi="宋体"/>
      <w:sz w:val="24"/>
    </w:rPr>
  </w:style>
  <w:style w:type="paragraph" w:customStyle="1" w:styleId="82">
    <w:name w:val="表格文字"/>
    <w:basedOn w:val="1"/>
    <w:link w:val="150"/>
    <w:autoRedefine/>
    <w:qFormat/>
    <w:uiPriority w:val="0"/>
    <w:pPr>
      <w:jc w:val="center"/>
    </w:pPr>
    <w:rPr>
      <w:rFonts w:ascii="new times roma" w:hAnsi="new times roma"/>
    </w:rPr>
  </w:style>
  <w:style w:type="paragraph" w:styleId="83">
    <w:name w:val="No Spacing"/>
    <w:autoRedefine/>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84">
    <w:name w:val="表格内容"/>
    <w:basedOn w:val="85"/>
    <w:next w:val="1"/>
    <w:autoRedefine/>
    <w:qFormat/>
    <w:uiPriority w:val="0"/>
    <w:pPr>
      <w:spacing w:line="240" w:lineRule="exact"/>
    </w:pPr>
    <w:rPr>
      <w:snapToGrid w:val="0"/>
      <w:color w:val="FF0000"/>
      <w:kern w:val="0"/>
      <w:sz w:val="21"/>
      <w:szCs w:val="21"/>
    </w:rPr>
  </w:style>
  <w:style w:type="paragraph" w:customStyle="1" w:styleId="85">
    <w:name w:val="封皮-证书编号"/>
    <w:basedOn w:val="1"/>
    <w:autoRedefine/>
    <w:qFormat/>
    <w:uiPriority w:val="0"/>
    <w:pPr>
      <w:jc w:val="center"/>
    </w:pPr>
    <w:rPr>
      <w:rFonts w:eastAsia="黑体"/>
      <w:sz w:val="28"/>
    </w:rPr>
  </w:style>
  <w:style w:type="paragraph" w:customStyle="1" w:styleId="8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7">
    <w:name w:val="表头-------------"/>
    <w:basedOn w:val="1"/>
    <w:autoRedefine/>
    <w:qFormat/>
    <w:uiPriority w:val="0"/>
    <w:pPr>
      <w:spacing w:line="460" w:lineRule="exact"/>
      <w:jc w:val="center"/>
    </w:pPr>
    <w:rPr>
      <w:rFonts w:ascii="Calibri" w:eastAsia="黑体" w:cs="宋体"/>
      <w:szCs w:val="20"/>
    </w:rPr>
  </w:style>
  <w:style w:type="paragraph" w:customStyle="1" w:styleId="88">
    <w:name w:val="正文01"/>
    <w:basedOn w:val="1"/>
    <w:autoRedefine/>
    <w:qFormat/>
    <w:uiPriority w:val="0"/>
    <w:pPr>
      <w:spacing w:before="60" w:line="460" w:lineRule="exact"/>
      <w:ind w:firstLine="200" w:firstLineChars="200"/>
    </w:pPr>
    <w:rPr>
      <w:snapToGrid w:val="0"/>
      <w:kern w:val="0"/>
      <w:sz w:val="24"/>
    </w:rPr>
  </w:style>
  <w:style w:type="paragraph" w:customStyle="1" w:styleId="89">
    <w:name w:val="样式 正文文字-1 + 首行缩进:  2.1 字符1"/>
    <w:basedOn w:val="90"/>
    <w:autoRedefine/>
    <w:qFormat/>
    <w:uiPriority w:val="0"/>
    <w:pPr>
      <w:spacing w:line="440" w:lineRule="exact"/>
      <w:ind w:firstLine="210"/>
    </w:pPr>
    <w:rPr>
      <w:rFonts w:cs="宋体"/>
      <w:szCs w:val="20"/>
    </w:rPr>
  </w:style>
  <w:style w:type="paragraph" w:customStyle="1" w:styleId="90">
    <w:name w:val="正文文字-1 Char"/>
    <w:autoRedefine/>
    <w:qFormat/>
    <w:uiPriority w:val="0"/>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paragraph" w:customStyle="1" w:styleId="91">
    <w:name w:val="表格正文"/>
    <w:basedOn w:val="1"/>
    <w:autoRedefine/>
    <w:qFormat/>
    <w:uiPriority w:val="0"/>
    <w:pPr>
      <w:spacing w:line="360" w:lineRule="exact"/>
      <w:ind w:firstLine="640" w:firstLineChars="200"/>
      <w:jc w:val="center"/>
    </w:pPr>
    <w:rPr>
      <w:sz w:val="28"/>
      <w:szCs w:val="28"/>
    </w:rPr>
  </w:style>
  <w:style w:type="paragraph" w:customStyle="1" w:styleId="92">
    <w:name w:val="Table caption|1"/>
    <w:basedOn w:val="1"/>
    <w:autoRedefine/>
    <w:qFormat/>
    <w:uiPriority w:val="0"/>
    <w:rPr>
      <w:rFonts w:ascii="宋体" w:hAnsi="宋体" w:cs="宋体"/>
      <w:sz w:val="13"/>
      <w:szCs w:val="13"/>
      <w:lang w:val="zh-TW" w:eastAsia="zh-TW" w:bidi="zh-TW"/>
    </w:rPr>
  </w:style>
  <w:style w:type="paragraph" w:customStyle="1" w:styleId="93">
    <w:name w:val="报告书正文"/>
    <w:basedOn w:val="1"/>
    <w:autoRedefine/>
    <w:qFormat/>
    <w:uiPriority w:val="0"/>
    <w:pPr>
      <w:adjustRightInd w:val="0"/>
      <w:snapToGrid w:val="0"/>
      <w:spacing w:line="360" w:lineRule="auto"/>
      <w:ind w:firstLine="425"/>
      <w:textAlignment w:val="baseline"/>
    </w:pPr>
    <w:rPr>
      <w:rFonts w:ascii="Arial" w:hAnsi="Arial"/>
      <w:kern w:val="0"/>
      <w:sz w:val="24"/>
    </w:rPr>
  </w:style>
  <w:style w:type="paragraph" w:customStyle="1" w:styleId="94">
    <w:name w:val="正文样式1"/>
    <w:basedOn w:val="1"/>
    <w:autoRedefine/>
    <w:qFormat/>
    <w:uiPriority w:val="0"/>
    <w:pPr>
      <w:adjustRightInd w:val="0"/>
      <w:spacing w:line="288" w:lineRule="auto"/>
      <w:ind w:firstLine="360" w:firstLineChars="150"/>
      <w:textAlignment w:val="baseline"/>
    </w:pPr>
    <w:rPr>
      <w:kern w:val="0"/>
      <w:sz w:val="24"/>
      <w:szCs w:val="20"/>
    </w:rPr>
  </w:style>
  <w:style w:type="paragraph" w:customStyle="1" w:styleId="95">
    <w:name w:val="正文_14"/>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
    <w:name w:val="正文_15"/>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97">
    <w:name w:val="List Paragraph"/>
    <w:basedOn w:val="1"/>
    <w:autoRedefine/>
    <w:qFormat/>
    <w:uiPriority w:val="34"/>
    <w:pPr>
      <w:ind w:firstLine="420" w:firstLineChars="200"/>
    </w:pPr>
    <w:rPr>
      <w:szCs w:val="22"/>
    </w:rPr>
  </w:style>
  <w:style w:type="paragraph" w:customStyle="1" w:styleId="98">
    <w:name w:val="表中字"/>
    <w:autoRedefine/>
    <w:qFormat/>
    <w:uiPriority w:val="0"/>
    <w:pPr>
      <w:jc w:val="center"/>
    </w:pPr>
    <w:rPr>
      <w:rFonts w:ascii="Times New Roman" w:hAnsi="Times New Roman" w:eastAsia="宋体" w:cs="Times New Roman"/>
      <w:kern w:val="2"/>
      <w:sz w:val="21"/>
      <w:szCs w:val="22"/>
      <w:lang w:val="zh-CN" w:eastAsia="zh-CN" w:bidi="ar-SA"/>
    </w:rPr>
  </w:style>
  <w:style w:type="paragraph" w:customStyle="1" w:styleId="99">
    <w:name w:val="样式 Times New Roman 五号 居中1"/>
    <w:basedOn w:val="1"/>
    <w:autoRedefine/>
    <w:qFormat/>
    <w:uiPriority w:val="0"/>
    <w:pPr>
      <w:jc w:val="center"/>
    </w:pPr>
    <w:rPr>
      <w:rFonts w:cs="宋体"/>
      <w:szCs w:val="20"/>
    </w:rPr>
  </w:style>
  <w:style w:type="paragraph" w:customStyle="1" w:styleId="100">
    <w:name w:val="_Style 3"/>
    <w:basedOn w:val="1"/>
    <w:autoRedefine/>
    <w:qFormat/>
    <w:uiPriority w:val="34"/>
    <w:pPr>
      <w:ind w:firstLine="420" w:firstLineChars="200"/>
    </w:pPr>
    <w:rPr>
      <w:rFonts w:ascii="Calibri" w:hAnsi="Calibri"/>
      <w:szCs w:val="22"/>
    </w:rPr>
  </w:style>
  <w:style w:type="paragraph" w:customStyle="1" w:styleId="101">
    <w:name w:val="表1"/>
    <w:next w:val="1"/>
    <w:autoRedefine/>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102">
    <w:name w:val="Body text|4"/>
    <w:basedOn w:val="1"/>
    <w:autoRedefine/>
    <w:qFormat/>
    <w:uiPriority w:val="0"/>
    <w:pPr>
      <w:spacing w:line="434" w:lineRule="auto"/>
      <w:ind w:firstLine="500"/>
    </w:pPr>
    <w:rPr>
      <w:color w:val="FF0000"/>
    </w:rPr>
  </w:style>
  <w:style w:type="paragraph" w:customStyle="1" w:styleId="103">
    <w:name w:val="Body text|1"/>
    <w:basedOn w:val="1"/>
    <w:autoRedefine/>
    <w:qFormat/>
    <w:uiPriority w:val="0"/>
    <w:pPr>
      <w:spacing w:line="480" w:lineRule="auto"/>
      <w:ind w:firstLine="400"/>
    </w:pPr>
    <w:rPr>
      <w:rFonts w:ascii="宋体" w:hAnsi="宋体" w:cs="宋体"/>
      <w:sz w:val="22"/>
      <w:szCs w:val="22"/>
      <w:lang w:val="zh-TW" w:eastAsia="zh-TW" w:bidi="zh-TW"/>
    </w:rPr>
  </w:style>
  <w:style w:type="paragraph" w:customStyle="1" w:styleId="104">
    <w:name w:val="Other|1"/>
    <w:basedOn w:val="1"/>
    <w:autoRedefine/>
    <w:qFormat/>
    <w:uiPriority w:val="0"/>
    <w:pPr>
      <w:jc w:val="center"/>
    </w:pPr>
    <w:rPr>
      <w:rFonts w:ascii="宋体" w:hAnsi="宋体" w:cs="宋体"/>
      <w:sz w:val="20"/>
      <w:szCs w:val="20"/>
      <w:lang w:val="zh-TW" w:eastAsia="zh-TW" w:bidi="zh-TW"/>
    </w:rPr>
  </w:style>
  <w:style w:type="paragraph" w:customStyle="1" w:styleId="105">
    <w:name w:val="首行缩进表格正文"/>
    <w:basedOn w:val="1"/>
    <w:autoRedefine/>
    <w:qFormat/>
    <w:uiPriority w:val="0"/>
    <w:pPr>
      <w:spacing w:line="360" w:lineRule="auto"/>
      <w:ind w:firstLine="720" w:firstLineChars="200"/>
      <w:jc w:val="left"/>
    </w:pPr>
  </w:style>
  <w:style w:type="paragraph" w:customStyle="1" w:styleId="106">
    <w:name w:val="C首行缩进正文"/>
    <w:basedOn w:val="73"/>
    <w:autoRedefine/>
    <w:qFormat/>
    <w:uiPriority w:val="0"/>
    <w:pPr>
      <w:spacing w:line="360" w:lineRule="auto"/>
      <w:ind w:firstLine="200"/>
    </w:pPr>
    <w:rPr>
      <w:color w:val="000000"/>
    </w:rPr>
  </w:style>
  <w:style w:type="paragraph" w:customStyle="1" w:styleId="107">
    <w:name w:val="C【表中文字】-"/>
    <w:basedOn w:val="1"/>
    <w:autoRedefine/>
    <w:qFormat/>
    <w:uiPriority w:val="0"/>
    <w:pPr>
      <w:adjustRightInd w:val="0"/>
      <w:snapToGrid w:val="0"/>
      <w:jc w:val="center"/>
    </w:pPr>
    <w:rPr>
      <w:kern w:val="0"/>
      <w:szCs w:val="20"/>
    </w:rPr>
  </w:style>
  <w:style w:type="paragraph" w:customStyle="1" w:styleId="108">
    <w:name w:val="正文_6"/>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09">
    <w:name w:val="11111"/>
    <w:basedOn w:val="1"/>
    <w:next w:val="1"/>
    <w:autoRedefine/>
    <w:qFormat/>
    <w:uiPriority w:val="0"/>
    <w:pPr>
      <w:spacing w:line="360" w:lineRule="auto"/>
      <w:ind w:firstLine="200" w:firstLineChars="200"/>
    </w:pPr>
    <w:rPr>
      <w:rFonts w:hAnsi="宋体" w:cs="宋体"/>
    </w:rPr>
  </w:style>
  <w:style w:type="character" w:customStyle="1" w:styleId="110">
    <w:name w:val="chakan"/>
    <w:basedOn w:val="36"/>
    <w:autoRedefine/>
    <w:qFormat/>
    <w:uiPriority w:val="0"/>
    <w:rPr>
      <w:color w:val="0064EA"/>
    </w:rPr>
  </w:style>
  <w:style w:type="character" w:customStyle="1" w:styleId="111">
    <w:name w:val="checkbox2"/>
    <w:basedOn w:val="36"/>
    <w:autoRedefine/>
    <w:qFormat/>
    <w:uiPriority w:val="0"/>
  </w:style>
  <w:style w:type="character" w:customStyle="1" w:styleId="112">
    <w:name w:val="shenbao"/>
    <w:basedOn w:val="36"/>
    <w:autoRedefine/>
    <w:qFormat/>
    <w:uiPriority w:val="0"/>
    <w:rPr>
      <w:color w:val="EF6334"/>
    </w:rPr>
  </w:style>
  <w:style w:type="character" w:customStyle="1" w:styleId="113">
    <w:name w:val="checkbox"/>
    <w:basedOn w:val="36"/>
    <w:autoRedefine/>
    <w:qFormat/>
    <w:uiPriority w:val="0"/>
  </w:style>
  <w:style w:type="paragraph" w:customStyle="1" w:styleId="114">
    <w:name w:val="表中"/>
    <w:basedOn w:val="1"/>
    <w:autoRedefine/>
    <w:qFormat/>
    <w:uiPriority w:val="0"/>
    <w:pPr>
      <w:spacing w:line="240" w:lineRule="exact"/>
    </w:pPr>
    <w:rPr>
      <w:szCs w:val="21"/>
    </w:rPr>
  </w:style>
  <w:style w:type="paragraph" w:customStyle="1" w:styleId="115">
    <w:name w:val="TOC2"/>
    <w:basedOn w:val="1"/>
    <w:next w:val="1"/>
    <w:autoRedefine/>
    <w:qFormat/>
    <w:uiPriority w:val="0"/>
    <w:pPr>
      <w:widowControl/>
      <w:spacing w:after="100" w:line="276" w:lineRule="auto"/>
      <w:ind w:left="220"/>
      <w:jc w:val="left"/>
      <w:textAlignment w:val="baseline"/>
    </w:pPr>
    <w:rPr>
      <w:rFonts w:ascii="Calibri" w:hAnsi="Calibri"/>
      <w:kern w:val="0"/>
      <w:sz w:val="22"/>
      <w:szCs w:val="22"/>
    </w:rPr>
  </w:style>
  <w:style w:type="paragraph" w:customStyle="1" w:styleId="116">
    <w:name w:val="中文报告书样式"/>
    <w:basedOn w:val="1"/>
    <w:autoRedefine/>
    <w:qFormat/>
    <w:uiPriority w:val="0"/>
    <w:pPr>
      <w:adjustRightInd w:val="0"/>
      <w:spacing w:line="480" w:lineRule="atLeast"/>
      <w:ind w:firstLine="482"/>
      <w:textAlignment w:val="baseline"/>
    </w:pPr>
    <w:rPr>
      <w:kern w:val="24"/>
      <w:szCs w:val="20"/>
    </w:rPr>
  </w:style>
  <w:style w:type="paragraph" w:customStyle="1" w:styleId="117">
    <w:name w:val="UserStyle_0"/>
    <w:basedOn w:val="118"/>
    <w:next w:val="119"/>
    <w:autoRedefine/>
    <w:qFormat/>
    <w:uiPriority w:val="0"/>
    <w:pPr>
      <w:spacing w:line="360" w:lineRule="auto"/>
      <w:ind w:firstLine="480" w:firstLineChars="200"/>
    </w:pPr>
    <w:rPr>
      <w:rFonts w:ascii="Calibri" w:hAnsi="Calibri"/>
      <w:sz w:val="24"/>
      <w:szCs w:val="22"/>
    </w:rPr>
  </w:style>
  <w:style w:type="paragraph" w:customStyle="1" w:styleId="118">
    <w:name w:val="UserStyle_1"/>
    <w:basedOn w:val="1"/>
    <w:next w:val="1"/>
    <w:autoRedefine/>
    <w:qFormat/>
    <w:uiPriority w:val="0"/>
    <w:pPr>
      <w:spacing w:after="120"/>
      <w:textAlignment w:val="baseline"/>
    </w:pPr>
  </w:style>
  <w:style w:type="paragraph" w:customStyle="1" w:styleId="119">
    <w:name w:val="TOC1"/>
    <w:basedOn w:val="1"/>
    <w:next w:val="1"/>
    <w:autoRedefine/>
    <w:qFormat/>
    <w:uiPriority w:val="0"/>
    <w:pPr>
      <w:spacing w:line="360" w:lineRule="auto"/>
      <w:textAlignment w:val="baseline"/>
    </w:pPr>
    <w:rPr>
      <w:rFonts w:ascii="Calibri" w:hAnsi="Calibri"/>
      <w:b/>
      <w:sz w:val="24"/>
      <w:szCs w:val="22"/>
    </w:rPr>
  </w:style>
  <w:style w:type="character" w:customStyle="1" w:styleId="120">
    <w:name w:val="NormalCharacter"/>
    <w:autoRedefine/>
    <w:qFormat/>
    <w:uiPriority w:val="0"/>
    <w:rPr>
      <w:kern w:val="2"/>
      <w:sz w:val="21"/>
      <w:szCs w:val="24"/>
      <w:lang w:val="en-US" w:eastAsia="zh-CN" w:bidi="ar-SA"/>
    </w:rPr>
  </w:style>
  <w:style w:type="paragraph" w:customStyle="1" w:styleId="121">
    <w:name w:val="表头1"/>
    <w:basedOn w:val="122"/>
    <w:next w:val="1"/>
    <w:autoRedefine/>
    <w:qFormat/>
    <w:uiPriority w:val="0"/>
    <w:pPr>
      <w:spacing w:before="120" w:beforeLines="50"/>
    </w:pPr>
  </w:style>
  <w:style w:type="paragraph" w:customStyle="1" w:styleId="122">
    <w:name w:val="文华表标题"/>
    <w:basedOn w:val="123"/>
    <w:autoRedefine/>
    <w:qFormat/>
    <w:uiPriority w:val="0"/>
    <w:pPr>
      <w:spacing w:line="240" w:lineRule="auto"/>
      <w:ind w:firstLine="0"/>
      <w:jc w:val="center"/>
    </w:pPr>
    <w:rPr>
      <w:rFonts w:eastAsia="黑体"/>
    </w:rPr>
  </w:style>
  <w:style w:type="paragraph" w:customStyle="1" w:styleId="123">
    <w:name w:val="文华表正文"/>
    <w:basedOn w:val="68"/>
    <w:autoRedefine/>
    <w:qFormat/>
    <w:uiPriority w:val="0"/>
  </w:style>
  <w:style w:type="paragraph" w:customStyle="1" w:styleId="124">
    <w:name w:val="xl25"/>
    <w:basedOn w:val="1"/>
    <w:autoRedefine/>
    <w:qFormat/>
    <w:uiPriority w:val="0"/>
    <w:pPr>
      <w:widowControl/>
      <w:pBdr>
        <w:bottom w:val="single" w:color="auto" w:sz="4" w:space="0"/>
        <w:right w:val="single" w:color="auto" w:sz="4" w:space="0"/>
      </w:pBdr>
      <w:spacing w:before="100" w:beforeAutospacing="1" w:after="100" w:afterAutospacing="1"/>
    </w:pPr>
    <w:rPr>
      <w:kern w:val="0"/>
      <w:szCs w:val="21"/>
    </w:rPr>
  </w:style>
  <w:style w:type="paragraph" w:customStyle="1" w:styleId="125">
    <w:name w:val="xl36"/>
    <w:basedOn w:val="1"/>
    <w:autoRedefine/>
    <w:qFormat/>
    <w:uiPriority w:val="0"/>
    <w:pPr>
      <w:widowControl/>
      <w:pBdr>
        <w:left w:val="single" w:color="auto" w:sz="4" w:space="0"/>
        <w:right w:val="single" w:color="auto" w:sz="4" w:space="0"/>
      </w:pBdr>
      <w:spacing w:before="100" w:beforeAutospacing="1" w:after="100" w:afterAutospacing="1"/>
      <w:jc w:val="center"/>
      <w:textAlignment w:val="top"/>
    </w:pPr>
    <w:rPr>
      <w:kern w:val="0"/>
      <w:sz w:val="24"/>
    </w:rPr>
  </w:style>
  <w:style w:type="paragraph" w:customStyle="1" w:styleId="126">
    <w:name w:val="文华表1级标题1"/>
    <w:basedOn w:val="2"/>
    <w:next w:val="127"/>
    <w:autoRedefine/>
    <w:qFormat/>
    <w:uiPriority w:val="0"/>
    <w:pPr>
      <w:keepNext w:val="0"/>
    </w:pPr>
    <w:rPr>
      <w:kern w:val="4"/>
      <w:sz w:val="28"/>
    </w:rPr>
  </w:style>
  <w:style w:type="paragraph" w:customStyle="1" w:styleId="127">
    <w:name w:val="文本正文"/>
    <w:basedOn w:val="1"/>
    <w:autoRedefine/>
    <w:qFormat/>
    <w:uiPriority w:val="0"/>
    <w:pPr>
      <w:spacing w:line="360" w:lineRule="auto"/>
      <w:ind w:firstLine="480" w:firstLineChars="200"/>
    </w:pPr>
    <w:rPr>
      <w:rFonts w:ascii="Calibri" w:hAnsi="Calibri"/>
      <w:sz w:val="24"/>
    </w:rPr>
  </w:style>
  <w:style w:type="paragraph" w:customStyle="1" w:styleId="128">
    <w:name w:val="zxzx书正文"/>
    <w:basedOn w:val="1"/>
    <w:autoRedefine/>
    <w:qFormat/>
    <w:uiPriority w:val="0"/>
    <w:pPr>
      <w:widowControl/>
      <w:spacing w:line="440" w:lineRule="exact"/>
      <w:ind w:firstLine="880" w:firstLineChars="200"/>
      <w:jc w:val="left"/>
    </w:pPr>
    <w:rPr>
      <w:sz w:val="24"/>
    </w:rPr>
  </w:style>
  <w:style w:type="paragraph" w:customStyle="1" w:styleId="129">
    <w:name w:val="正文--环评"/>
    <w:basedOn w:val="1"/>
    <w:autoRedefine/>
    <w:qFormat/>
    <w:uiPriority w:val="0"/>
    <w:pPr>
      <w:spacing w:line="360" w:lineRule="auto"/>
      <w:ind w:firstLine="480" w:firstLineChars="200"/>
    </w:pPr>
    <w:rPr>
      <w:rFonts w:cs="宋体"/>
      <w:color w:val="000000"/>
      <w:spacing w:val="0"/>
      <w:sz w:val="24"/>
    </w:rPr>
  </w:style>
  <w:style w:type="paragraph" w:customStyle="1" w:styleId="130">
    <w:name w:val="表中文字（工大）"/>
    <w:basedOn w:val="1"/>
    <w:autoRedefine/>
    <w:qFormat/>
    <w:uiPriority w:val="0"/>
    <w:pPr>
      <w:spacing w:line="440" w:lineRule="exact"/>
      <w:jc w:val="center"/>
    </w:pPr>
    <w:rPr>
      <w:sz w:val="21"/>
      <w:szCs w:val="20"/>
    </w:rPr>
  </w:style>
  <w:style w:type="character" w:customStyle="1" w:styleId="131">
    <w:name w:val="font11"/>
    <w:basedOn w:val="36"/>
    <w:autoRedefine/>
    <w:qFormat/>
    <w:uiPriority w:val="0"/>
    <w:rPr>
      <w:rFonts w:hint="default" w:ascii="Times New Roman" w:hAnsi="Times New Roman" w:cs="Times New Roman"/>
      <w:color w:val="000000"/>
      <w:sz w:val="18"/>
      <w:szCs w:val="18"/>
      <w:u w:val="none"/>
    </w:rPr>
  </w:style>
  <w:style w:type="character" w:customStyle="1" w:styleId="132">
    <w:name w:val="font21"/>
    <w:basedOn w:val="36"/>
    <w:autoRedefine/>
    <w:qFormat/>
    <w:uiPriority w:val="0"/>
    <w:rPr>
      <w:rFonts w:hint="eastAsia" w:ascii="宋体" w:hAnsi="宋体" w:eastAsia="宋体" w:cs="宋体"/>
      <w:color w:val="000000"/>
      <w:sz w:val="18"/>
      <w:szCs w:val="18"/>
      <w:u w:val="none"/>
    </w:rPr>
  </w:style>
  <w:style w:type="paragraph" w:customStyle="1" w:styleId="133">
    <w:name w:val="文本框样式"/>
    <w:basedOn w:val="1"/>
    <w:autoRedefine/>
    <w:qFormat/>
    <w:uiPriority w:val="0"/>
    <w:pPr>
      <w:spacing w:line="240" w:lineRule="auto"/>
      <w:ind w:firstLine="0" w:firstLineChars="0"/>
      <w:jc w:val="center"/>
    </w:pPr>
    <w:rPr>
      <w:sz w:val="21"/>
    </w:rPr>
  </w:style>
  <w:style w:type="paragraph" w:customStyle="1" w:styleId="134">
    <w:name w:val="表"/>
    <w:autoRedefine/>
    <w:qFormat/>
    <w:uiPriority w:val="0"/>
    <w:pPr>
      <w:spacing w:line="440" w:lineRule="exact"/>
      <w:ind w:firstLine="200" w:firstLineChars="200"/>
      <w:jc w:val="both"/>
    </w:pPr>
    <w:rPr>
      <w:rFonts w:ascii="Calibri" w:hAnsi="Calibri" w:eastAsia="宋体" w:cs="Times New Roman"/>
      <w:sz w:val="24"/>
      <w:lang w:val="en-US" w:eastAsia="zh-CN" w:bidi="ar-SA"/>
    </w:rPr>
  </w:style>
  <w:style w:type="paragraph" w:customStyle="1" w:styleId="135">
    <w:name w:val="cucd-0"/>
    <w:autoRedefine/>
    <w:qFormat/>
    <w:uiPriority w:val="0"/>
    <w:pPr>
      <w:numPr>
        <w:ilvl w:val="0"/>
        <w:numId w:val="2"/>
      </w:numPr>
      <w:tabs>
        <w:tab w:val="left" w:pos="3485"/>
      </w:tabs>
      <w:spacing w:line="360" w:lineRule="auto"/>
    </w:pPr>
    <w:rPr>
      <w:rFonts w:ascii="Times New Roman" w:hAnsi="Times New Roman" w:eastAsia="宋体" w:cs="Times New Roman"/>
      <w:kern w:val="2"/>
      <w:sz w:val="24"/>
      <w:szCs w:val="24"/>
      <w:lang w:val="en-US" w:eastAsia="zh-CN" w:bidi="ar-SA"/>
    </w:rPr>
  </w:style>
  <w:style w:type="paragraph" w:customStyle="1" w:styleId="136">
    <w:name w:val="段落正文"/>
    <w:basedOn w:val="1"/>
    <w:autoRedefine/>
    <w:qFormat/>
    <w:uiPriority w:val="0"/>
    <w:pPr>
      <w:widowControl w:val="0"/>
      <w:spacing w:line="500" w:lineRule="atLeast"/>
    </w:pPr>
    <w:rPr>
      <w:rFonts w:eastAsia="仿宋_GB2312"/>
      <w:szCs w:val="28"/>
    </w:rPr>
  </w:style>
  <w:style w:type="character" w:customStyle="1" w:styleId="137">
    <w:name w:val="标题 1 Char1"/>
    <w:link w:val="2"/>
    <w:autoRedefine/>
    <w:qFormat/>
    <w:uiPriority w:val="0"/>
    <w:rPr>
      <w:rFonts w:eastAsia="黑体"/>
      <w:b/>
      <w:bCs/>
      <w:color w:val="000000"/>
      <w:kern w:val="44"/>
      <w:sz w:val="30"/>
      <w:szCs w:val="30"/>
    </w:rPr>
  </w:style>
  <w:style w:type="character" w:customStyle="1" w:styleId="138">
    <w:name w:val="标题 2 Char"/>
    <w:link w:val="3"/>
    <w:autoRedefine/>
    <w:qFormat/>
    <w:uiPriority w:val="0"/>
    <w:rPr>
      <w:rFonts w:ascii="Arial" w:hAnsi="Arial" w:eastAsia="黑体"/>
      <w:b/>
      <w:bCs/>
      <w:sz w:val="32"/>
      <w:szCs w:val="32"/>
    </w:rPr>
  </w:style>
  <w:style w:type="paragraph" w:customStyle="1" w:styleId="139">
    <w:name w:val="表体"/>
    <w:basedOn w:val="1"/>
    <w:autoRedefine/>
    <w:qFormat/>
    <w:uiPriority w:val="0"/>
    <w:pPr>
      <w:spacing w:line="240" w:lineRule="auto"/>
    </w:pPr>
    <w:rPr>
      <w:sz w:val="21"/>
      <w:szCs w:val="21"/>
    </w:rPr>
  </w:style>
  <w:style w:type="paragraph" w:customStyle="1" w:styleId="140">
    <w:name w:val="Char Char Char Char Char Char Char2"/>
    <w:basedOn w:val="1"/>
    <w:autoRedefine/>
    <w:qFormat/>
    <w:uiPriority w:val="0"/>
    <w:pPr>
      <w:snapToGrid w:val="0"/>
      <w:spacing w:line="360" w:lineRule="auto"/>
      <w:ind w:firstLine="529" w:firstLineChars="200"/>
    </w:pPr>
  </w:style>
  <w:style w:type="paragraph" w:customStyle="1" w:styleId="141">
    <w:name w:val="表格题目"/>
    <w:basedOn w:val="1"/>
    <w:autoRedefine/>
    <w:qFormat/>
    <w:uiPriority w:val="0"/>
    <w:pPr>
      <w:spacing w:line="240" w:lineRule="atLeast"/>
      <w:jc w:val="center"/>
    </w:pPr>
    <w:rPr>
      <w:rFonts w:ascii="黑体" w:hAnsi="宋体" w:eastAsia="黑体"/>
      <w:sz w:val="24"/>
    </w:rPr>
  </w:style>
  <w:style w:type="table" w:customStyle="1" w:styleId="142">
    <w:name w:val="Table Normal"/>
    <w:autoRedefine/>
    <w:semiHidden/>
    <w:unhideWhenUsed/>
    <w:qFormat/>
    <w:uiPriority w:val="0"/>
    <w:tblPr>
      <w:tblCellMar>
        <w:top w:w="0" w:type="dxa"/>
        <w:left w:w="0" w:type="dxa"/>
        <w:bottom w:w="0" w:type="dxa"/>
        <w:right w:w="0" w:type="dxa"/>
      </w:tblCellMar>
    </w:tblPr>
  </w:style>
  <w:style w:type="character" w:customStyle="1" w:styleId="143">
    <w:name w:val="正文（首行缩进两字） Char"/>
    <w:autoRedefine/>
    <w:qFormat/>
    <w:uiPriority w:val="0"/>
    <w:rPr>
      <w:rFonts w:eastAsia="宋体"/>
      <w:kern w:val="2"/>
      <w:sz w:val="24"/>
      <w:lang w:val="en-US" w:eastAsia="zh-CN"/>
    </w:rPr>
  </w:style>
  <w:style w:type="paragraph" w:customStyle="1" w:styleId="144">
    <w:name w:val="表中文字"/>
    <w:basedOn w:val="1"/>
    <w:autoRedefine/>
    <w:qFormat/>
    <w:uiPriority w:val="0"/>
    <w:pPr>
      <w:jc w:val="center"/>
    </w:pPr>
    <w:rPr>
      <w:szCs w:val="20"/>
    </w:rPr>
  </w:style>
  <w:style w:type="paragraph" w:customStyle="1" w:styleId="145">
    <w:name w:val="正文格式"/>
    <w:basedOn w:val="1"/>
    <w:autoRedefine/>
    <w:qFormat/>
    <w:uiPriority w:val="0"/>
    <w:pPr>
      <w:spacing w:line="360" w:lineRule="auto"/>
      <w:ind w:firstLine="482"/>
    </w:pPr>
  </w:style>
  <w:style w:type="paragraph" w:customStyle="1" w:styleId="146">
    <w:name w:val="Table Text"/>
    <w:basedOn w:val="1"/>
    <w:autoRedefine/>
    <w:semiHidden/>
    <w:qFormat/>
    <w:uiPriority w:val="0"/>
    <w:rPr>
      <w:rFonts w:ascii="宋体" w:hAnsi="宋体" w:eastAsia="宋体" w:cs="宋体"/>
      <w:sz w:val="24"/>
      <w:szCs w:val="24"/>
      <w:lang w:val="en-US" w:eastAsia="en-US" w:bidi="ar-SA"/>
    </w:rPr>
  </w:style>
  <w:style w:type="paragraph" w:customStyle="1" w:styleId="147">
    <w:name w:val="【表中文字】"/>
    <w:basedOn w:val="148"/>
    <w:autoRedefine/>
    <w:qFormat/>
    <w:uiPriority w:val="0"/>
    <w:pPr>
      <w:jc w:val="center"/>
    </w:pPr>
    <w:rPr>
      <w:kern w:val="0"/>
      <w:szCs w:val="20"/>
    </w:rPr>
  </w:style>
  <w:style w:type="paragraph" w:customStyle="1" w:styleId="148">
    <w:name w:val=".表1-1-1内容"/>
    <w:basedOn w:val="1"/>
    <w:autoRedefine/>
    <w:qFormat/>
    <w:uiPriority w:val="0"/>
    <w:pPr>
      <w:spacing w:line="300" w:lineRule="exact"/>
      <w:jc w:val="center"/>
    </w:pPr>
    <w:rPr>
      <w:kern w:val="0"/>
      <w:szCs w:val="21"/>
    </w:rPr>
  </w:style>
  <w:style w:type="paragraph" w:customStyle="1" w:styleId="149">
    <w:name w:val="a正文"/>
    <w:basedOn w:val="145"/>
    <w:autoRedefine/>
    <w:qFormat/>
    <w:uiPriority w:val="0"/>
    <w:pPr>
      <w:spacing w:line="520" w:lineRule="exact"/>
      <w:ind w:firstLine="200" w:firstLineChars="200"/>
    </w:pPr>
    <w:rPr>
      <w:kern w:val="0"/>
      <w:szCs w:val="21"/>
    </w:rPr>
  </w:style>
  <w:style w:type="character" w:customStyle="1" w:styleId="150">
    <w:name w:val="表格文字 Char"/>
    <w:link w:val="82"/>
    <w:autoRedefine/>
    <w:qFormat/>
    <w:uiPriority w:val="0"/>
    <w:rPr>
      <w:rFonts w:ascii="new times roma" w:hAnsi="new times roma"/>
    </w:rPr>
  </w:style>
  <w:style w:type="paragraph" w:customStyle="1" w:styleId="151">
    <w:name w:val="表表头"/>
    <w:basedOn w:val="1"/>
    <w:autoRedefine/>
    <w:qFormat/>
    <w:uiPriority w:val="0"/>
    <w:pPr>
      <w:jc w:val="center"/>
    </w:pPr>
    <w:rPr>
      <w:rFonts w:ascii="Calibri" w:hAnsi="Calibri" w:eastAsia="黑体"/>
    </w:rPr>
  </w:style>
  <w:style w:type="character" w:customStyle="1" w:styleId="152">
    <w:name w:val="【正文】 Char1"/>
    <w:autoRedefine/>
    <w:qFormat/>
    <w:locked/>
    <w:uiPriority w:val="0"/>
    <w:rPr>
      <w:rFonts w:ascii="Times New Roman" w:hAnsi="Times New Roman" w:eastAsia="宋体" w:cs="Times New Roman"/>
      <w:sz w:val="24"/>
      <w:szCs w:val="24"/>
    </w:rPr>
  </w:style>
  <w:style w:type="paragraph" w:customStyle="1" w:styleId="153">
    <w:name w:val="正文首行缩进1"/>
    <w:basedOn w:val="1"/>
    <w:autoRedefine/>
    <w:qFormat/>
    <w:uiPriority w:val="0"/>
    <w:pPr>
      <w:widowControl w:val="0"/>
      <w:snapToGrid/>
      <w:spacing w:before="0" w:after="120" w:line="240" w:lineRule="auto"/>
      <w:ind w:right="0" w:firstLine="420" w:firstLineChars="100"/>
    </w:pPr>
    <w:rPr>
      <w:kern w:val="2"/>
      <w:sz w:val="21"/>
      <w:szCs w:val="24"/>
    </w:rPr>
  </w:style>
  <w:style w:type="paragraph" w:customStyle="1" w:styleId="154">
    <w:name w:val="正文缩进1"/>
    <w:basedOn w:val="1"/>
    <w:autoRedefine/>
    <w:qFormat/>
    <w:uiPriority w:val="0"/>
    <w:pPr>
      <w:ind w:firstLine="420"/>
    </w:pPr>
    <w:rPr>
      <w:rFonts w:eastAsia="宋体"/>
      <w:sz w:val="28"/>
    </w:rPr>
  </w:style>
  <w:style w:type="paragraph" w:customStyle="1" w:styleId="155">
    <w:name w:val="专篇正文"/>
    <w:basedOn w:val="73"/>
    <w:autoRedefine/>
    <w:qFormat/>
    <w:uiPriority w:val="0"/>
  </w:style>
  <w:style w:type="paragraph" w:customStyle="1" w:styleId="156">
    <w:name w:val="a表格标题"/>
    <w:basedOn w:val="1"/>
    <w:autoRedefine/>
    <w:qFormat/>
    <w:uiPriority w:val="0"/>
    <w:pPr>
      <w:widowControl/>
      <w:spacing w:line="360" w:lineRule="auto"/>
      <w:jc w:val="center"/>
    </w:pPr>
    <w:rPr>
      <w:b/>
      <w:kern w:val="0"/>
      <w:szCs w:val="21"/>
    </w:rPr>
  </w:style>
  <w:style w:type="paragraph" w:customStyle="1" w:styleId="157">
    <w:name w:val="盂县"/>
    <w:basedOn w:val="1"/>
    <w:autoRedefine/>
    <w:qFormat/>
    <w:uiPriority w:val="0"/>
    <w:pPr>
      <w:adjustRightInd w:val="0"/>
      <w:snapToGrid w:val="0"/>
      <w:spacing w:line="312" w:lineRule="auto"/>
      <w:ind w:firstLine="560" w:firstLineChars="200"/>
    </w:pPr>
    <w:rPr>
      <w:sz w:val="28"/>
    </w:rPr>
  </w:style>
  <w:style w:type="paragraph" w:customStyle="1" w:styleId="158">
    <w:name w:val="填表样式"/>
    <w:autoRedefine/>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1"/>
      <w:szCs w:val="24"/>
      <w:lang w:val="en-US" w:eastAsia="zh-CN" w:bidi="ar-SA"/>
    </w:rPr>
  </w:style>
  <w:style w:type="paragraph" w:customStyle="1" w:styleId="159">
    <w:name w:val="C【表头】"/>
    <w:basedOn w:val="1"/>
    <w:autoRedefine/>
    <w:qFormat/>
    <w:uiPriority w:val="0"/>
    <w:pPr>
      <w:widowControl/>
      <w:adjustRightInd w:val="0"/>
      <w:snapToGrid w:val="0"/>
      <w:jc w:val="center"/>
    </w:pPr>
    <w:rPr>
      <w:rFonts w:eastAsia="黑体" w:cs="宋体"/>
      <w:kern w:val="0"/>
      <w:sz w:val="24"/>
      <w:szCs w:val="20"/>
    </w:rPr>
  </w:style>
  <w:style w:type="paragraph" w:customStyle="1" w:styleId="160">
    <w:name w:val="C表两端"/>
    <w:basedOn w:val="1"/>
    <w:autoRedefine/>
    <w:qFormat/>
    <w:uiPriority w:val="0"/>
    <w:pPr>
      <w:adjustRightInd w:val="0"/>
      <w:snapToGrid w:val="0"/>
    </w:pPr>
    <w:rPr>
      <w:kern w:val="0"/>
      <w:szCs w:val="20"/>
    </w:rPr>
  </w:style>
  <w:style w:type="paragraph" w:customStyle="1" w:styleId="161">
    <w:name w:val="图注"/>
    <w:basedOn w:val="1"/>
    <w:autoRedefine/>
    <w:qFormat/>
    <w:uiPriority w:val="0"/>
    <w:pPr>
      <w:ind w:firstLine="0" w:firstLineChars="0"/>
      <w:jc w:val="center"/>
    </w:pPr>
    <w:rPr>
      <w:rFonts w:eastAsia="黑体"/>
    </w:rPr>
  </w:style>
  <w:style w:type="character" w:customStyle="1" w:styleId="162">
    <w:name w:val="【表中文字】 Char"/>
    <w:autoRedefine/>
    <w:qFormat/>
    <w:uiPriority w:val="0"/>
    <w:rPr>
      <w:rFonts w:hint="default" w:ascii="Times New Roman" w:hAnsi="Times New Roman" w:cs="Times New Roman"/>
      <w:kern w:val="2"/>
      <w:sz w:val="21"/>
    </w:rPr>
  </w:style>
  <w:style w:type="paragraph" w:customStyle="1" w:styleId="163">
    <w:name w:val="环评正文"/>
    <w:basedOn w:val="1"/>
    <w:autoRedefine/>
    <w:qFormat/>
    <w:uiPriority w:val="0"/>
    <w:pPr>
      <w:spacing w:line="360" w:lineRule="auto"/>
      <w:ind w:firstLine="200" w:firstLineChars="200"/>
    </w:pPr>
    <w:rPr>
      <w:rFonts w:ascii="Cambria Math" w:hAnsi="Cambria Math" w:eastAsia="Arial" w:cs="Cambria Math"/>
      <w:sz w:val="24"/>
    </w:rPr>
  </w:style>
  <w:style w:type="paragraph" w:customStyle="1" w:styleId="164">
    <w:name w:val="[正文]"/>
    <w:basedOn w:val="145"/>
    <w:qFormat/>
    <w:uiPriority w:val="0"/>
    <w:pPr>
      <w:spacing w:line="520" w:lineRule="exact"/>
      <w:ind w:firstLine="200"/>
    </w:pPr>
    <w:rPr>
      <w:rFonts w:ascii="Times New Roman" w:hAnsi="Times New Roman"/>
      <w:sz w:val="24"/>
    </w:rPr>
  </w:style>
  <w:style w:type="character" w:customStyle="1" w:styleId="165">
    <w:name w:val="font3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9.png"/><Relationship Id="rId5" Type="http://schemas.openxmlformats.org/officeDocument/2006/relationships/footer" Target="footer3.xml"/><Relationship Id="rId49" Type="http://schemas.openxmlformats.org/officeDocument/2006/relationships/image" Target="media/image38.pn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wmf"/><Relationship Id="rId21" Type="http://schemas.openxmlformats.org/officeDocument/2006/relationships/oleObject" Target="embeddings/oleObject4.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jpeg"/><Relationship Id="rId17" Type="http://schemas.openxmlformats.org/officeDocument/2006/relationships/image" Target="media/image8.wmf"/><Relationship Id="rId16" Type="http://schemas.openxmlformats.org/officeDocument/2006/relationships/oleObject" Target="embeddings/oleObject2.bin"/><Relationship Id="rId15" Type="http://schemas.openxmlformats.org/officeDocument/2006/relationships/image" Target="media/image7.wmf"/><Relationship Id="rId14" Type="http://schemas.openxmlformats.org/officeDocument/2006/relationships/oleObject" Target="embeddings/oleObject1.bin"/><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Yu</Manager>
  <Company>-</Company>
  <Pages>81</Pages>
  <Words>16286</Words>
  <Characters>17800</Characters>
  <Lines>1</Lines>
  <Paragraphs>1</Paragraphs>
  <TotalTime>1</TotalTime>
  <ScaleCrop>false</ScaleCrop>
  <LinksUpToDate>false</LinksUpToDate>
  <CharactersWithSpaces>17912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2020-12-24T17:42:00Z</dcterms:created>
  <dc:creator>Yu</dc:creator>
  <cp:lastModifiedBy>F-Hawk</cp:lastModifiedBy>
  <cp:lastPrinted>2021-09-17T00:57:00Z</cp:lastPrinted>
  <dcterms:modified xsi:type="dcterms:W3CDTF">2025-10-21T03:13:01Z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CD6529681DE5416AAA399D0521CCB8EC_13</vt:lpwstr>
  </property>
  <property fmtid="{D5CDD505-2E9C-101B-9397-08002B2CF9AE}" pid="4" name="KSOTemplateDocerSaveRecord">
    <vt:lpwstr>eyJoZGlkIjoiYTBmMzQ1MTAwZDg4M2M3ZGE5ODhkNTE5MjAwOTUxYTkiLCJ1c2VySWQiOiI0MjMxNjkwOTIifQ==</vt:lpwstr>
  </property>
</Properties>
</file>