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9584EA">
      <w:pPr>
        <w:rPr>
          <w:rFonts w:hint="default" w:ascii="Times New Roman" w:hAnsi="Times New Roman" w:eastAsia="仿宋_GB2312" w:cs="Times New Roman"/>
          <w:color w:val="auto"/>
          <w:sz w:val="36"/>
          <w:szCs w:val="36"/>
          <w:highlight w:val="none"/>
        </w:rPr>
      </w:pPr>
      <w:bookmarkStart w:id="0" w:name="_Hlk57883707"/>
    </w:p>
    <w:p w14:paraId="416BD573">
      <w:pPr>
        <w:rPr>
          <w:rFonts w:hint="default" w:ascii="Times New Roman" w:hAnsi="Times New Roman" w:eastAsia="仿宋_GB2312" w:cs="Times New Roman"/>
          <w:color w:val="auto"/>
          <w:sz w:val="36"/>
          <w:szCs w:val="36"/>
          <w:highlight w:val="none"/>
        </w:rPr>
      </w:pPr>
    </w:p>
    <w:p w14:paraId="0C4068DD">
      <w:pPr>
        <w:rPr>
          <w:rFonts w:hint="default" w:ascii="Times New Roman" w:hAnsi="Times New Roman" w:eastAsia="仿宋_GB2312" w:cs="Times New Roman"/>
          <w:color w:val="auto"/>
          <w:sz w:val="36"/>
          <w:szCs w:val="36"/>
          <w:highlight w:val="none"/>
        </w:rPr>
      </w:pPr>
    </w:p>
    <w:bookmarkEnd w:id="0"/>
    <w:p w14:paraId="4BA0F612">
      <w:pPr>
        <w:adjustRightInd w:val="0"/>
        <w:snapToGrid w:val="0"/>
        <w:jc w:val="center"/>
        <w:rPr>
          <w:rFonts w:hint="default" w:ascii="Times New Roman" w:hAnsi="Times New Roman" w:eastAsia="方正小标宋_GBK" w:cs="Times New Roman"/>
          <w:bCs/>
          <w:color w:val="auto"/>
          <w:sz w:val="72"/>
          <w:szCs w:val="72"/>
          <w:highlight w:val="none"/>
        </w:rPr>
      </w:pPr>
      <w:r>
        <w:rPr>
          <w:rFonts w:hint="default" w:ascii="Times New Roman" w:hAnsi="Times New Roman" w:eastAsia="方正小标宋_GBK" w:cs="Times New Roman"/>
          <w:bCs/>
          <w:color w:val="auto"/>
          <w:sz w:val="72"/>
          <w:szCs w:val="72"/>
          <w:highlight w:val="none"/>
        </w:rPr>
        <w:t>建设项目环境影响报告表</w:t>
      </w:r>
    </w:p>
    <w:p w14:paraId="61394746">
      <w:pPr>
        <w:adjustRightInd w:val="0"/>
        <w:snapToGrid w:val="0"/>
        <w:spacing w:before="249"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1447E1D6">
      <w:pPr>
        <w:adjustRightInd w:val="0"/>
        <w:snapToGrid w:val="0"/>
        <w:spacing w:line="288" w:lineRule="auto"/>
        <w:jc w:val="center"/>
        <w:rPr>
          <w:rFonts w:hint="default" w:ascii="Times New Roman" w:hAnsi="Times New Roman" w:eastAsia="华文仿宋" w:cs="Times New Roman"/>
          <w:color w:val="auto"/>
          <w:kern w:val="44"/>
          <w:sz w:val="44"/>
          <w:szCs w:val="44"/>
          <w:highlight w:val="none"/>
        </w:rPr>
      </w:pPr>
      <w:bookmarkStart w:id="1" w:name="_Hlk57883728"/>
    </w:p>
    <w:p w14:paraId="64826D85">
      <w:pPr>
        <w:jc w:val="center"/>
        <w:rPr>
          <w:rFonts w:hint="default" w:ascii="Times New Roman" w:hAnsi="Times New Roman" w:eastAsia="仿宋" w:cs="Times New Roman"/>
          <w:color w:val="auto"/>
          <w:sz w:val="52"/>
          <w:szCs w:val="52"/>
          <w:highlight w:val="none"/>
        </w:rPr>
      </w:pPr>
    </w:p>
    <w:p w14:paraId="71362A28">
      <w:pPr>
        <w:ind w:firstLine="1040"/>
        <w:rPr>
          <w:rFonts w:hint="default" w:ascii="Times New Roman" w:hAnsi="Times New Roman" w:eastAsia="仿宋" w:cs="Times New Roman"/>
          <w:color w:val="auto"/>
          <w:sz w:val="44"/>
          <w:szCs w:val="44"/>
          <w:highlight w:val="none"/>
        </w:rPr>
      </w:pPr>
    </w:p>
    <w:p w14:paraId="6477A18B">
      <w:pPr>
        <w:pStyle w:val="9"/>
        <w:rPr>
          <w:rFonts w:hint="default" w:ascii="Times New Roman" w:hAnsi="Times New Roman" w:eastAsia="仿宋" w:cs="Times New Roman"/>
          <w:color w:val="auto"/>
          <w:sz w:val="44"/>
          <w:szCs w:val="44"/>
          <w:highlight w:val="none"/>
        </w:rPr>
      </w:pPr>
    </w:p>
    <w:p w14:paraId="1D682225">
      <w:pPr>
        <w:pStyle w:val="10"/>
        <w:rPr>
          <w:rFonts w:hint="default" w:ascii="Times New Roman" w:hAnsi="Times New Roman" w:eastAsia="仿宋" w:cs="Times New Roman"/>
          <w:color w:val="auto"/>
          <w:sz w:val="44"/>
          <w:szCs w:val="44"/>
          <w:highlight w:val="none"/>
        </w:rPr>
      </w:pPr>
    </w:p>
    <w:p w14:paraId="6E31ECB6">
      <w:pPr>
        <w:pStyle w:val="11"/>
        <w:rPr>
          <w:rFonts w:hint="default"/>
          <w:color w:val="auto"/>
          <w:highlight w:val="none"/>
        </w:rPr>
      </w:pPr>
    </w:p>
    <w:p w14:paraId="7385D4A9">
      <w:pPr>
        <w:rPr>
          <w:rFonts w:hint="default" w:ascii="Times New Roman" w:hAnsi="Times New Roman" w:eastAsia="仿宋" w:cs="Times New Roman"/>
          <w:color w:val="auto"/>
          <w:sz w:val="44"/>
          <w:szCs w:val="44"/>
          <w:highlight w:val="none"/>
        </w:rPr>
      </w:pPr>
    </w:p>
    <w:bookmarkEnd w:id="1"/>
    <w:p w14:paraId="4F244781">
      <w:pPr>
        <w:numPr>
          <w:ilvl w:val="0"/>
          <w:numId w:val="0"/>
        </w:numPr>
        <w:jc w:val="both"/>
        <w:rPr>
          <w:rFonts w:hint="default" w:ascii="Times New Roman" w:hAnsi="Times New Roman" w:eastAsia="仿宋_GB2312" w:cs="Times New Roman"/>
          <w:color w:val="auto"/>
          <w:spacing w:val="-17"/>
          <w:sz w:val="36"/>
          <w:szCs w:val="36"/>
          <w:highlight w:val="none"/>
          <w:u w:val="single"/>
          <w:lang w:val="en-US"/>
        </w:rPr>
      </w:pPr>
      <w:r>
        <w:rPr>
          <w:rFonts w:hint="default" w:ascii="Times New Roman" w:hAnsi="Times New Roman" w:eastAsia="仿宋_GB2312" w:cs="Times New Roman"/>
          <w:color w:val="auto"/>
          <w:spacing w:val="-17"/>
          <w:sz w:val="36"/>
          <w:szCs w:val="36"/>
          <w:highlight w:val="none"/>
        </w:rPr>
        <w:t>项目名称：</w:t>
      </w:r>
      <w:r>
        <w:rPr>
          <w:rFonts w:hint="eastAsia" w:eastAsia="仿宋_GB2312" w:cs="Times New Roman"/>
          <w:color w:val="auto"/>
          <w:spacing w:val="-17"/>
          <w:sz w:val="36"/>
          <w:szCs w:val="36"/>
          <w:highlight w:val="none"/>
          <w:lang w:val="en-US" w:eastAsia="zh-CN"/>
        </w:rPr>
        <w:t xml:space="preserve"> </w:t>
      </w:r>
      <w:r>
        <w:rPr>
          <w:rFonts w:hint="eastAsia" w:eastAsia="仿宋_GB2312" w:cs="Times New Roman"/>
          <w:color w:val="auto"/>
          <w:spacing w:val="-17"/>
          <w:sz w:val="36"/>
          <w:szCs w:val="36"/>
          <w:highlight w:val="none"/>
          <w:u w:val="single"/>
          <w:lang w:val="en-US" w:eastAsia="zh-CN"/>
        </w:rPr>
        <w:t xml:space="preserve">      </w:t>
      </w:r>
      <w:r>
        <w:rPr>
          <w:rFonts w:hint="eastAsia" w:ascii="仿宋_GB2312" w:hAnsi="仿宋_GB2312" w:eastAsia="仿宋_GB2312" w:cs="仿宋_GB2312"/>
          <w:color w:val="auto"/>
          <w:sz w:val="36"/>
          <w:szCs w:val="36"/>
          <w:highlight w:val="none"/>
          <w:u w:val="single"/>
          <w:lang w:val="en-US" w:eastAsia="zh-CN"/>
        </w:rPr>
        <w:t xml:space="preserve">东山煤矿洗煤一厂锅炉改造项目         </w:t>
      </w:r>
    </w:p>
    <w:p w14:paraId="5C2BA62C">
      <w:pPr>
        <w:adjustRightInd w:val="0"/>
        <w:snapToGrid w:val="0"/>
        <w:spacing w:line="288" w:lineRule="auto"/>
        <w:ind w:left="1800" w:hanging="1800" w:hangingChars="500"/>
        <w:rPr>
          <w:rFonts w:hint="default" w:ascii="Times New Roman" w:hAnsi="Times New Roman" w:eastAsia="仿宋_GB2312" w:cs="Times New Roman"/>
          <w:color w:val="auto"/>
          <w:sz w:val="36"/>
          <w:szCs w:val="36"/>
          <w:highlight w:val="none"/>
          <w:u w:val="single"/>
          <w:lang w:val="en-US" w:eastAsia="zh-CN"/>
        </w:rPr>
      </w:pPr>
      <w:r>
        <w:rPr>
          <w:rFonts w:hint="default" w:ascii="Times New Roman" w:hAnsi="Times New Roman" w:eastAsia="仿宋_GB2312" w:cs="Times New Roman"/>
          <w:color w:val="auto"/>
          <w:sz w:val="36"/>
          <w:szCs w:val="36"/>
          <w:highlight w:val="none"/>
        </w:rPr>
        <w:t>建设单位：</w:t>
      </w:r>
      <w:r>
        <w:rPr>
          <w:rFonts w:hint="eastAsia" w:eastAsia="仿宋_GB2312" w:cs="Times New Roman"/>
          <w:color w:val="auto"/>
          <w:sz w:val="36"/>
          <w:szCs w:val="36"/>
          <w:highlight w:val="none"/>
          <w:u w:val="single"/>
          <w:lang w:val="en-US" w:eastAsia="zh-CN"/>
        </w:rPr>
        <w:t xml:space="preserve">  </w:t>
      </w:r>
      <w:r>
        <w:rPr>
          <w:rFonts w:hint="eastAsia" w:ascii="仿宋_GB2312" w:hAnsi="仿宋_GB2312" w:eastAsia="仿宋_GB2312" w:cs="仿宋_GB2312"/>
          <w:color w:val="auto"/>
          <w:sz w:val="36"/>
          <w:szCs w:val="36"/>
          <w:highlight w:val="none"/>
          <w:u w:val="single"/>
          <w:lang w:val="en-US" w:eastAsia="zh-CN"/>
        </w:rPr>
        <w:t xml:space="preserve"> 黑龙江龙煤鸡西矿业有限责任公司       </w:t>
      </w:r>
    </w:p>
    <w:p w14:paraId="16A660F0">
      <w:pPr>
        <w:adjustRightInd w:val="0"/>
        <w:snapToGrid w:val="0"/>
        <w:spacing w:line="288" w:lineRule="auto"/>
        <w:rPr>
          <w:rFonts w:hint="eastAsia" w:ascii="Times New Roman" w:hAnsi="Times New Roman" w:eastAsia="仿宋_GB2312" w:cs="Times New Roman"/>
          <w:color w:val="auto"/>
          <w:sz w:val="36"/>
          <w:szCs w:val="36"/>
          <w:highlight w:val="none"/>
          <w:u w:val="single"/>
          <w:lang w:val="en-US" w:eastAsia="zh-CN"/>
        </w:rPr>
      </w:pPr>
      <w:r>
        <w:rPr>
          <w:rFonts w:hint="default" w:ascii="Times New Roman" w:hAnsi="Times New Roman" w:eastAsia="仿宋_GB2312" w:cs="Times New Roman"/>
          <w:color w:val="auto"/>
          <w:sz w:val="36"/>
          <w:szCs w:val="36"/>
          <w:highlight w:val="none"/>
        </w:rPr>
        <w:t>编制日期：</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202</w:t>
      </w:r>
      <w:r>
        <w:rPr>
          <w:rFonts w:hint="eastAsia" w:eastAsia="仿宋_GB2312" w:cs="Times New Roman"/>
          <w:color w:val="auto"/>
          <w:sz w:val="36"/>
          <w:szCs w:val="36"/>
          <w:highlight w:val="none"/>
          <w:u w:val="single"/>
          <w:lang w:val="en-US" w:eastAsia="zh-CN"/>
        </w:rPr>
        <w:t>5</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10</w:t>
      </w:r>
      <w:r>
        <w:rPr>
          <w:rFonts w:hint="default" w:ascii="Times New Roman" w:hAnsi="Times New Roman" w:eastAsia="仿宋_GB2312" w:cs="Times New Roman"/>
          <w:color w:val="auto"/>
          <w:sz w:val="36"/>
          <w:szCs w:val="36"/>
          <w:highlight w:val="none"/>
          <w:u w:val="single"/>
        </w:rPr>
        <w:t xml:space="preserve">月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p>
    <w:p w14:paraId="49D4A1C0">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p>
    <w:p w14:paraId="72FBEFD3">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2528ED5A">
      <w:pPr>
        <w:adjustRightInd w:val="0"/>
        <w:snapToGrid w:val="0"/>
        <w:spacing w:line="288" w:lineRule="auto"/>
        <w:rPr>
          <w:rFonts w:hint="default" w:ascii="Times New Roman" w:hAnsi="Times New Roman" w:eastAsia="仿宋_GB2312" w:cs="Times New Roman"/>
          <w:color w:val="auto"/>
          <w:sz w:val="36"/>
          <w:szCs w:val="36"/>
          <w:highlight w:val="none"/>
        </w:rPr>
      </w:pPr>
    </w:p>
    <w:p w14:paraId="1FC2408A">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07EB47BC">
      <w:pPr>
        <w:adjustRightInd w:val="0"/>
        <w:snapToGrid w:val="0"/>
        <w:spacing w:line="288" w:lineRule="auto"/>
        <w:jc w:val="center"/>
        <w:rPr>
          <w:rFonts w:hint="default" w:ascii="Times New Roman" w:hAnsi="Times New Roman" w:eastAsia="楷体_GB2312" w:cs="Times New Roman"/>
          <w:color w:val="auto"/>
          <w:sz w:val="36"/>
          <w:szCs w:val="36"/>
          <w:highlight w:val="none"/>
        </w:rPr>
        <w:sectPr>
          <w:footerReference r:id="rId3" w:type="default"/>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hint="default" w:ascii="Times New Roman" w:hAnsi="Times New Roman" w:eastAsia="楷体_GB2312" w:cs="Times New Roman"/>
          <w:color w:val="auto"/>
          <w:sz w:val="36"/>
          <w:szCs w:val="36"/>
          <w:highlight w:val="none"/>
        </w:rPr>
        <w:t>中华人民共和国生态环境部</w:t>
      </w:r>
    </w:p>
    <w:p w14:paraId="3F13339D">
      <w:pPr>
        <w:pStyle w:val="31"/>
        <w:spacing w:before="0" w:beforeAutospacing="0" w:after="156" w:afterLines="50" w:afterAutospacing="0"/>
        <w:jc w:val="center"/>
        <w:outlineLvl w:val="0"/>
        <w:rPr>
          <w:color w:val="auto"/>
          <w:highlight w:val="none"/>
        </w:rPr>
      </w:pPr>
      <w:bookmarkStart w:id="2" w:name="_Toc16950"/>
      <w:r>
        <w:drawing>
          <wp:inline distT="0" distB="0" distL="114300" distR="114300">
            <wp:extent cx="5578475" cy="7684135"/>
            <wp:effectExtent l="0" t="0" r="3175" b="12065"/>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8"/>
                    <a:stretch>
                      <a:fillRect/>
                    </a:stretch>
                  </pic:blipFill>
                  <pic:spPr>
                    <a:xfrm>
                      <a:off x="0" y="0"/>
                      <a:ext cx="5578475" cy="7684135"/>
                    </a:xfrm>
                    <a:prstGeom prst="rect">
                      <a:avLst/>
                    </a:prstGeom>
                    <a:noFill/>
                    <a:ln>
                      <a:noFill/>
                    </a:ln>
                  </pic:spPr>
                </pic:pic>
              </a:graphicData>
            </a:graphic>
          </wp:inline>
        </w:drawing>
      </w:r>
    </w:p>
    <w:p w14:paraId="76D3C006">
      <w:pPr>
        <w:pStyle w:val="31"/>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p>
    <w:p w14:paraId="4391903E">
      <w:pPr>
        <w:pStyle w:val="31"/>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t>一、建设项目基本情况</w:t>
      </w:r>
      <w:bookmarkEnd w:id="2"/>
    </w:p>
    <w:tbl>
      <w:tblPr>
        <w:tblStyle w:val="37"/>
        <w:tblW w:w="51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6"/>
        <w:gridCol w:w="2141"/>
        <w:gridCol w:w="2146"/>
        <w:gridCol w:w="3165"/>
      </w:tblGrid>
      <w:tr w14:paraId="6DA076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9BD3DA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建设项目名称</w:t>
            </w:r>
          </w:p>
        </w:tc>
        <w:tc>
          <w:tcPr>
            <w:tcW w:w="4104" w:type="pct"/>
            <w:gridSpan w:val="3"/>
            <w:vAlign w:val="center"/>
          </w:tcPr>
          <w:p w14:paraId="0A086244">
            <w:pPr>
              <w:keepNext w:val="0"/>
              <w:keepLines w:val="0"/>
              <w:numPr>
                <w:ilvl w:val="0"/>
                <w:numId w:val="0"/>
              </w:numPr>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eastAsia="zh-CN"/>
              </w:rPr>
            </w:pPr>
            <w:r>
              <w:rPr>
                <w:rFonts w:hint="eastAsia"/>
                <w:color w:val="auto"/>
                <w:highlight w:val="none"/>
                <w:lang w:val="en-US" w:eastAsia="zh-CN"/>
              </w:rPr>
              <w:t>东山煤矿洗煤一厂锅炉改造项目</w:t>
            </w:r>
          </w:p>
        </w:tc>
      </w:tr>
      <w:tr w14:paraId="09D68F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CF1E18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项目代码</w:t>
            </w:r>
          </w:p>
        </w:tc>
        <w:tc>
          <w:tcPr>
            <w:tcW w:w="4104" w:type="pct"/>
            <w:gridSpan w:val="3"/>
            <w:vAlign w:val="center"/>
          </w:tcPr>
          <w:p w14:paraId="07D2820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spacing w:val="4"/>
                <w:sz w:val="21"/>
                <w:szCs w:val="21"/>
                <w:highlight w:val="none"/>
                <w:lang w:val="en-US" w:eastAsia="zh-CN"/>
              </w:rPr>
              <w:t>无</w:t>
            </w:r>
          </w:p>
        </w:tc>
      </w:tr>
      <w:tr w14:paraId="73C795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37C913C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建设单位联系人</w:t>
            </w:r>
          </w:p>
        </w:tc>
        <w:tc>
          <w:tcPr>
            <w:tcW w:w="1179" w:type="pct"/>
            <w:vAlign w:val="center"/>
          </w:tcPr>
          <w:p w14:paraId="2BA90F5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eastAsia="zh-CN"/>
              </w:rPr>
            </w:pPr>
            <w:r>
              <w:rPr>
                <w:rFonts w:hint="eastAsia"/>
                <w:color w:val="auto"/>
                <w:highlight w:val="none"/>
                <w:lang w:val="en-US" w:eastAsia="zh-CN"/>
              </w:rPr>
              <w:t>付成林</w:t>
            </w:r>
          </w:p>
        </w:tc>
        <w:tc>
          <w:tcPr>
            <w:tcW w:w="1182" w:type="pct"/>
            <w:vAlign w:val="center"/>
          </w:tcPr>
          <w:p w14:paraId="4CFF97F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联系方式</w:t>
            </w:r>
          </w:p>
        </w:tc>
        <w:tc>
          <w:tcPr>
            <w:tcW w:w="1743" w:type="pct"/>
            <w:vAlign w:val="center"/>
          </w:tcPr>
          <w:p w14:paraId="34D5722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lang w:val="en-US"/>
              </w:rPr>
            </w:pPr>
            <w:r>
              <w:rPr>
                <w:rFonts w:hint="eastAsia"/>
                <w:color w:val="auto"/>
                <w:highlight w:val="none"/>
                <w:lang w:val="en-US" w:eastAsia="zh-CN"/>
              </w:rPr>
              <w:t>15946767770</w:t>
            </w:r>
          </w:p>
        </w:tc>
      </w:tr>
      <w:tr w14:paraId="643342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7A81FB8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建设地点</w:t>
            </w:r>
          </w:p>
        </w:tc>
        <w:tc>
          <w:tcPr>
            <w:tcW w:w="4104" w:type="pct"/>
            <w:gridSpan w:val="3"/>
            <w:vAlign w:val="center"/>
          </w:tcPr>
          <w:p w14:paraId="1DE69D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鸡西市恒山区小恒山东山煤矿</w:t>
            </w:r>
          </w:p>
        </w:tc>
      </w:tr>
      <w:tr w14:paraId="1F43AE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95" w:type="pct"/>
            <w:tcMar>
              <w:top w:w="16" w:type="dxa"/>
              <w:left w:w="16" w:type="dxa"/>
              <w:right w:w="16" w:type="dxa"/>
            </w:tcMar>
            <w:vAlign w:val="center"/>
          </w:tcPr>
          <w:p w14:paraId="32586F7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地理坐标</w:t>
            </w:r>
          </w:p>
        </w:tc>
        <w:tc>
          <w:tcPr>
            <w:tcW w:w="4104" w:type="pct"/>
            <w:gridSpan w:val="3"/>
            <w:vAlign w:val="center"/>
          </w:tcPr>
          <w:p w14:paraId="63F40785">
            <w:pPr>
              <w:keepNext w:val="0"/>
              <w:keepLines w:val="0"/>
              <w:suppressLineNumbers w:val="0"/>
              <w:spacing w:before="0" w:beforeAutospacing="0" w:after="0" w:afterAutospacing="0"/>
              <w:ind w:left="0" w:right="0"/>
              <w:jc w:val="center"/>
              <w:rPr>
                <w:rFonts w:hint="default"/>
                <w:color w:val="auto"/>
                <w:highlight w:val="none"/>
                <w:lang w:val="en-US" w:eastAsia="zh-CN"/>
              </w:rPr>
            </w:pPr>
            <w:r>
              <w:rPr>
                <w:rFonts w:hint="default"/>
                <w:color w:val="auto"/>
                <w:szCs w:val="21"/>
                <w:highlight w:val="none"/>
              </w:rPr>
              <w:t>（</w:t>
            </w:r>
            <w:r>
              <w:rPr>
                <w:rFonts w:hint="default"/>
                <w:color w:val="auto"/>
                <w:szCs w:val="21"/>
                <w:highlight w:val="none"/>
                <w:u w:val="single"/>
              </w:rPr>
              <w:t>1</w:t>
            </w:r>
            <w:r>
              <w:rPr>
                <w:rFonts w:hint="eastAsia"/>
                <w:color w:val="auto"/>
                <w:szCs w:val="21"/>
                <w:highlight w:val="none"/>
                <w:u w:val="single"/>
                <w:lang w:val="en-US" w:eastAsia="zh-CN"/>
              </w:rPr>
              <w:t>30</w:t>
            </w:r>
            <w:r>
              <w:rPr>
                <w:rFonts w:hint="default"/>
                <w:color w:val="auto"/>
                <w:szCs w:val="21"/>
                <w:highlight w:val="none"/>
              </w:rPr>
              <w:t>度</w:t>
            </w:r>
            <w:r>
              <w:rPr>
                <w:rFonts w:hint="eastAsia"/>
                <w:color w:val="auto"/>
                <w:szCs w:val="21"/>
                <w:highlight w:val="none"/>
                <w:u w:val="single"/>
                <w:lang w:val="en-US" w:eastAsia="zh-CN"/>
              </w:rPr>
              <w:t>56</w:t>
            </w:r>
            <w:r>
              <w:rPr>
                <w:rFonts w:hint="default"/>
                <w:color w:val="auto"/>
                <w:szCs w:val="21"/>
                <w:highlight w:val="none"/>
              </w:rPr>
              <w:t>分</w:t>
            </w:r>
            <w:r>
              <w:rPr>
                <w:rFonts w:hint="eastAsia"/>
                <w:color w:val="auto"/>
                <w:szCs w:val="21"/>
                <w:highlight w:val="none"/>
                <w:u w:val="single"/>
                <w:lang w:val="en-US" w:eastAsia="zh-CN"/>
              </w:rPr>
              <w:t>36</w:t>
            </w:r>
            <w:r>
              <w:rPr>
                <w:rFonts w:hint="default"/>
                <w:color w:val="auto"/>
                <w:szCs w:val="21"/>
                <w:highlight w:val="none"/>
                <w:u w:val="single"/>
              </w:rPr>
              <w:t>.</w:t>
            </w:r>
            <w:r>
              <w:rPr>
                <w:rFonts w:hint="eastAsia"/>
                <w:color w:val="auto"/>
                <w:szCs w:val="21"/>
                <w:highlight w:val="none"/>
                <w:u w:val="single"/>
                <w:lang w:val="en-US" w:eastAsia="zh-CN"/>
              </w:rPr>
              <w:t>907</w:t>
            </w:r>
            <w:r>
              <w:rPr>
                <w:rFonts w:hint="default"/>
                <w:color w:val="auto"/>
                <w:szCs w:val="21"/>
                <w:highlight w:val="none"/>
              </w:rPr>
              <w:t>秒，</w:t>
            </w:r>
            <w:r>
              <w:rPr>
                <w:rFonts w:hint="default"/>
                <w:color w:val="auto"/>
                <w:szCs w:val="21"/>
                <w:highlight w:val="none"/>
                <w:u w:val="single"/>
              </w:rPr>
              <w:t>4</w:t>
            </w:r>
            <w:r>
              <w:rPr>
                <w:rFonts w:hint="eastAsia"/>
                <w:color w:val="auto"/>
                <w:szCs w:val="21"/>
                <w:highlight w:val="none"/>
                <w:u w:val="single"/>
                <w:lang w:val="en-US" w:eastAsia="zh-CN"/>
              </w:rPr>
              <w:t>5</w:t>
            </w:r>
            <w:r>
              <w:rPr>
                <w:rFonts w:hint="default"/>
                <w:color w:val="auto"/>
                <w:szCs w:val="21"/>
                <w:highlight w:val="none"/>
              </w:rPr>
              <w:t>度</w:t>
            </w:r>
            <w:r>
              <w:rPr>
                <w:rFonts w:hint="eastAsia"/>
                <w:color w:val="auto"/>
                <w:szCs w:val="21"/>
                <w:highlight w:val="none"/>
                <w:u w:val="single"/>
                <w:lang w:val="en-US" w:eastAsia="zh-CN"/>
              </w:rPr>
              <w:t>12</w:t>
            </w:r>
            <w:r>
              <w:rPr>
                <w:rFonts w:hint="default"/>
                <w:color w:val="auto"/>
                <w:szCs w:val="21"/>
                <w:highlight w:val="none"/>
              </w:rPr>
              <w:t>分</w:t>
            </w:r>
            <w:r>
              <w:rPr>
                <w:rFonts w:hint="eastAsia"/>
                <w:color w:val="auto"/>
                <w:szCs w:val="21"/>
                <w:highlight w:val="none"/>
                <w:u w:val="single"/>
                <w:lang w:val="en-US" w:eastAsia="zh-CN"/>
              </w:rPr>
              <w:t>21</w:t>
            </w:r>
            <w:r>
              <w:rPr>
                <w:rFonts w:hint="default"/>
                <w:color w:val="auto"/>
                <w:szCs w:val="21"/>
                <w:highlight w:val="none"/>
                <w:u w:val="single"/>
              </w:rPr>
              <w:t>.</w:t>
            </w:r>
            <w:r>
              <w:rPr>
                <w:rFonts w:hint="eastAsia"/>
                <w:color w:val="auto"/>
                <w:szCs w:val="21"/>
                <w:highlight w:val="none"/>
                <w:u w:val="single"/>
                <w:lang w:val="en-US" w:eastAsia="zh-CN"/>
              </w:rPr>
              <w:t>254</w:t>
            </w:r>
            <w:r>
              <w:rPr>
                <w:rFonts w:hint="default"/>
                <w:color w:val="auto"/>
                <w:szCs w:val="21"/>
                <w:highlight w:val="none"/>
              </w:rPr>
              <w:t>秒）</w:t>
            </w:r>
          </w:p>
        </w:tc>
      </w:tr>
      <w:tr w14:paraId="58C59B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A0843E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国民经济</w:t>
            </w:r>
          </w:p>
          <w:p w14:paraId="194A9C0A">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179" w:type="pct"/>
            <w:vAlign w:val="center"/>
          </w:tcPr>
          <w:p w14:paraId="3EB939D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lang w:val="en-US"/>
              </w:rPr>
            </w:pPr>
            <w:r>
              <w:rPr>
                <w:rFonts w:hint="default" w:ascii="Times New Roman" w:hAnsi="Times New Roman" w:eastAsia="宋体" w:cs="Times New Roman"/>
                <w:color w:val="auto"/>
                <w:sz w:val="21"/>
                <w:szCs w:val="21"/>
                <w:highlight w:val="none"/>
              </w:rPr>
              <w:t>D4430热力生产和供应</w:t>
            </w:r>
          </w:p>
        </w:tc>
        <w:tc>
          <w:tcPr>
            <w:tcW w:w="1182" w:type="pct"/>
            <w:vAlign w:val="center"/>
          </w:tcPr>
          <w:p w14:paraId="484A6FC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3C05189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743" w:type="pct"/>
            <w:vAlign w:val="center"/>
          </w:tcPr>
          <w:p w14:paraId="1E2DFF4D">
            <w:pPr>
              <w:keepNext w:val="0"/>
              <w:keepLines w:val="0"/>
              <w:widowControl/>
              <w:suppressLineNumbers w:val="0"/>
              <w:spacing w:before="0" w:beforeAutospacing="0" w:after="0" w:afterAutospacing="0"/>
              <w:ind w:left="0" w:right="0"/>
              <w:jc w:val="center"/>
              <w:rPr>
                <w:rFonts w:hint="default" w:eastAsia="宋体"/>
                <w:color w:val="auto"/>
                <w:highlight w:val="none"/>
                <w:lang w:val="en-US" w:eastAsia="zh-CN"/>
              </w:rPr>
            </w:pPr>
            <w:r>
              <w:rPr>
                <w:rFonts w:hint="default" w:ascii="Times New Roman" w:hAnsi="Times New Roman" w:eastAsia="宋体" w:cs="Times New Roman"/>
                <w:color w:val="auto"/>
                <w:sz w:val="21"/>
                <w:szCs w:val="21"/>
                <w:highlight w:val="none"/>
                <w:lang w:val="en-US"/>
              </w:rPr>
              <w:t>四十一、电力、热力生产和供应业 91.热力生产和供应工程（包括建设单位自建自用的供热工程）</w:t>
            </w:r>
          </w:p>
        </w:tc>
      </w:tr>
      <w:tr w14:paraId="3AE66B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E40568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建设性质</w:t>
            </w:r>
          </w:p>
        </w:tc>
        <w:tc>
          <w:tcPr>
            <w:tcW w:w="1179" w:type="pct"/>
            <w:vAlign w:val="center"/>
          </w:tcPr>
          <w:p w14:paraId="20A61EBD">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新建（迁建）</w:t>
            </w:r>
          </w:p>
          <w:p w14:paraId="57D55229">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改建</w:t>
            </w:r>
          </w:p>
          <w:p w14:paraId="56F0D15E">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扩建</w:t>
            </w:r>
          </w:p>
          <w:p w14:paraId="0FE8ECB0">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技术改造</w:t>
            </w:r>
          </w:p>
        </w:tc>
        <w:tc>
          <w:tcPr>
            <w:tcW w:w="1182" w:type="pct"/>
            <w:vAlign w:val="center"/>
          </w:tcPr>
          <w:p w14:paraId="3188C1E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7A11B4B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申报情形</w:t>
            </w:r>
          </w:p>
        </w:tc>
        <w:tc>
          <w:tcPr>
            <w:tcW w:w="1743" w:type="pct"/>
            <w:vAlign w:val="center"/>
          </w:tcPr>
          <w:p w14:paraId="6CB62CAA">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首次申报项目</w:t>
            </w:r>
          </w:p>
          <w:p w14:paraId="53092309">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不予批准后再次申报项目</w:t>
            </w:r>
          </w:p>
          <w:p w14:paraId="4204AE83">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超五年重新审核项目</w:t>
            </w:r>
          </w:p>
          <w:p w14:paraId="41B45860">
            <w:pPr>
              <w:keepNext w:val="0"/>
              <w:keepLines w:val="0"/>
              <w:suppressLineNumbers w:val="0"/>
              <w:spacing w:before="0" w:beforeAutospacing="0" w:after="0" w:afterAutospacing="0"/>
              <w:ind w:left="0" w:right="0"/>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重大变动重新报批项目</w:t>
            </w:r>
          </w:p>
        </w:tc>
      </w:tr>
      <w:tr w14:paraId="7B42AF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454B60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3DB9F06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备案）部门（选填）</w:t>
            </w:r>
          </w:p>
        </w:tc>
        <w:tc>
          <w:tcPr>
            <w:tcW w:w="1179" w:type="pct"/>
            <w:vAlign w:val="center"/>
          </w:tcPr>
          <w:p w14:paraId="5A6DD70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c>
          <w:tcPr>
            <w:tcW w:w="1182" w:type="pct"/>
            <w:vAlign w:val="center"/>
          </w:tcPr>
          <w:p w14:paraId="0453746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4BD564D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备案）文号（选填）</w:t>
            </w:r>
          </w:p>
        </w:tc>
        <w:tc>
          <w:tcPr>
            <w:tcW w:w="1743" w:type="pct"/>
            <w:vAlign w:val="center"/>
          </w:tcPr>
          <w:p w14:paraId="378BF00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r>
      <w:tr w14:paraId="26A82E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0CEE95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总投资（万元）</w:t>
            </w:r>
          </w:p>
        </w:tc>
        <w:tc>
          <w:tcPr>
            <w:tcW w:w="1179" w:type="pct"/>
            <w:vAlign w:val="center"/>
          </w:tcPr>
          <w:p w14:paraId="0762FAF0">
            <w:pPr>
              <w:pStyle w:val="88"/>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highlight w:val="none"/>
                <w:lang w:val="en-US" w:eastAsia="zh-CN"/>
              </w:rPr>
            </w:pPr>
            <w:r>
              <w:rPr>
                <w:rFonts w:hint="eastAsia"/>
                <w:color w:val="auto"/>
                <w:highlight w:val="none"/>
                <w:lang w:val="en-US" w:eastAsia="zh-CN"/>
              </w:rPr>
              <w:t>773.62</w:t>
            </w:r>
          </w:p>
        </w:tc>
        <w:tc>
          <w:tcPr>
            <w:tcW w:w="1182" w:type="pct"/>
            <w:tcMar>
              <w:top w:w="16" w:type="dxa"/>
              <w:left w:w="16" w:type="dxa"/>
              <w:right w:w="16" w:type="dxa"/>
            </w:tcMar>
            <w:vAlign w:val="center"/>
          </w:tcPr>
          <w:p w14:paraId="3BADF1E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环保投资（万元）</w:t>
            </w:r>
          </w:p>
        </w:tc>
        <w:tc>
          <w:tcPr>
            <w:tcW w:w="1743" w:type="pct"/>
            <w:vAlign w:val="center"/>
          </w:tcPr>
          <w:p w14:paraId="0E8116F5">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1"/>
                <w:szCs w:val="21"/>
                <w:highlight w:val="none"/>
                <w:lang w:val="en-US" w:eastAsia="zh-CN"/>
              </w:rPr>
            </w:pPr>
            <w:r>
              <w:rPr>
                <w:rFonts w:hint="eastAsia" w:cs="Times New Roman" w:eastAsiaTheme="minorEastAsia"/>
                <w:color w:val="auto"/>
                <w:kern w:val="21"/>
                <w:szCs w:val="21"/>
                <w:highlight w:val="none"/>
                <w:lang w:val="en-US" w:eastAsia="zh-CN"/>
              </w:rPr>
              <w:t>60</w:t>
            </w:r>
          </w:p>
        </w:tc>
      </w:tr>
      <w:tr w14:paraId="32D87A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A64B4A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环保投资占比（%）</w:t>
            </w:r>
          </w:p>
        </w:tc>
        <w:tc>
          <w:tcPr>
            <w:tcW w:w="1179" w:type="pct"/>
            <w:vAlign w:val="center"/>
          </w:tcPr>
          <w:p w14:paraId="16869476">
            <w:pPr>
              <w:pStyle w:val="88"/>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kern w:val="21"/>
                <w:highlight w:val="none"/>
                <w:lang w:val="en-US" w:eastAsia="zh-CN"/>
              </w:rPr>
            </w:pPr>
            <w:r>
              <w:rPr>
                <w:rFonts w:hint="eastAsia" w:cs="Times New Roman" w:eastAsiaTheme="minorEastAsia"/>
                <w:color w:val="auto"/>
                <w:kern w:val="21"/>
                <w:highlight w:val="none"/>
                <w:lang w:val="en-US" w:eastAsia="zh-CN"/>
              </w:rPr>
              <w:t>7.8</w:t>
            </w:r>
          </w:p>
        </w:tc>
        <w:tc>
          <w:tcPr>
            <w:tcW w:w="1182" w:type="pct"/>
            <w:tcMar>
              <w:top w:w="16" w:type="dxa"/>
              <w:left w:w="16" w:type="dxa"/>
              <w:right w:w="16" w:type="dxa"/>
            </w:tcMar>
            <w:vAlign w:val="center"/>
          </w:tcPr>
          <w:p w14:paraId="30CE08A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施工工期</w:t>
            </w:r>
          </w:p>
        </w:tc>
        <w:tc>
          <w:tcPr>
            <w:tcW w:w="1743" w:type="pct"/>
            <w:vAlign w:val="center"/>
          </w:tcPr>
          <w:p w14:paraId="69CB56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2025年11月—2026年1月</w:t>
            </w:r>
          </w:p>
        </w:tc>
      </w:tr>
      <w:tr w14:paraId="2A50EC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3000F1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是否开工建设</w:t>
            </w:r>
          </w:p>
        </w:tc>
        <w:tc>
          <w:tcPr>
            <w:tcW w:w="1179" w:type="pct"/>
            <w:vAlign w:val="center"/>
          </w:tcPr>
          <w:p w14:paraId="4C89A729">
            <w:pPr>
              <w:keepNext w:val="0"/>
              <w:keepLines w:val="0"/>
              <w:suppressLineNumbers w:val="0"/>
              <w:spacing w:before="0" w:beforeAutospacing="0" w:after="0" w:afterAutospacing="0"/>
              <w:ind w:left="0" w:right="0" w:firstLine="105"/>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否</w:t>
            </w:r>
          </w:p>
          <w:p w14:paraId="1A3614EB">
            <w:pPr>
              <w:keepNext w:val="0"/>
              <w:keepLines w:val="0"/>
              <w:suppressLineNumbers w:val="0"/>
              <w:spacing w:before="0" w:beforeAutospacing="0" w:after="0" w:afterAutospacing="0"/>
              <w:ind w:left="0" w:right="0" w:firstLine="92"/>
              <w:jc w:val="left"/>
              <w:rPr>
                <w:rFonts w:hint="default" w:ascii="Times New Roman" w:hAnsi="Times New Roman" w:eastAsia="宋体" w:cs="Times New Roman"/>
                <w:color w:val="auto"/>
                <w:kern w:val="21"/>
                <w:szCs w:val="21"/>
                <w:highlight w:val="none"/>
                <w:u w:val="single"/>
                <w:lang w:val="en-US" w:eastAsia="zh-CN"/>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是：</w:t>
            </w:r>
            <w:r>
              <w:rPr>
                <w:rFonts w:hint="eastAsia" w:cs="Times New Roman"/>
                <w:color w:val="auto"/>
                <w:kern w:val="21"/>
                <w:szCs w:val="21"/>
                <w:highlight w:val="none"/>
                <w:u w:val="single"/>
                <w:lang w:val="en-US" w:eastAsia="zh-CN"/>
              </w:rPr>
              <w:t xml:space="preserve">            </w:t>
            </w:r>
          </w:p>
        </w:tc>
        <w:tc>
          <w:tcPr>
            <w:tcW w:w="1182" w:type="pct"/>
            <w:vAlign w:val="center"/>
          </w:tcPr>
          <w:p w14:paraId="195A6A94">
            <w:pPr>
              <w:keepNext w:val="0"/>
              <w:keepLines w:val="0"/>
              <w:suppressLineNumbers w:val="0"/>
              <w:spacing w:before="0" w:beforeAutospacing="0" w:after="0" w:afterAutospacing="0"/>
              <w:ind w:left="0" w:right="0" w:firstLine="92"/>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用地（用海）面积（m</w:t>
            </w:r>
            <w:r>
              <w:rPr>
                <w:rFonts w:hint="default" w:ascii="Times New Roman" w:hAnsi="Times New Roman" w:cs="Times New Roman"/>
                <w:color w:val="auto"/>
                <w:kern w:val="21"/>
                <w:szCs w:val="21"/>
                <w:highlight w:val="none"/>
                <w:vertAlign w:val="superscript"/>
              </w:rPr>
              <w:t>2</w:t>
            </w:r>
            <w:r>
              <w:rPr>
                <w:rFonts w:hint="default" w:ascii="Times New Roman" w:hAnsi="Times New Roman" w:cs="Times New Roman"/>
                <w:color w:val="auto"/>
                <w:kern w:val="21"/>
                <w:szCs w:val="21"/>
                <w:highlight w:val="none"/>
              </w:rPr>
              <w:t>）</w:t>
            </w:r>
          </w:p>
        </w:tc>
        <w:tc>
          <w:tcPr>
            <w:tcW w:w="1743" w:type="pct"/>
            <w:vAlign w:val="center"/>
          </w:tcPr>
          <w:p w14:paraId="559150A1">
            <w:pPr>
              <w:pStyle w:val="2"/>
              <w:keepLines w:val="0"/>
              <w:suppressLineNumbers w:val="0"/>
              <w:spacing w:beforeAutospacing="0" w:afterAutospacing="0" w:line="240" w:lineRule="auto"/>
              <w:ind w:right="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p>
        </w:tc>
      </w:tr>
      <w:tr w14:paraId="111A61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DC455A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专项评价设置情况</w:t>
            </w:r>
          </w:p>
        </w:tc>
        <w:tc>
          <w:tcPr>
            <w:tcW w:w="4104" w:type="pct"/>
            <w:gridSpan w:val="3"/>
            <w:tcMar>
              <w:top w:w="16" w:type="dxa"/>
              <w:left w:w="16" w:type="dxa"/>
              <w:right w:w="16" w:type="dxa"/>
            </w:tcMar>
            <w:vAlign w:val="center"/>
          </w:tcPr>
          <w:p w14:paraId="101A1B78">
            <w:pPr>
              <w:keepNext w:val="0"/>
              <w:keepLines w:val="0"/>
              <w:widowControl/>
              <w:suppressLineNumbers w:val="0"/>
              <w:snapToGrid/>
              <w:spacing w:before="0" w:beforeAutospacing="0" w:after="0" w:afterAutospacing="0" w:line="360" w:lineRule="auto"/>
              <w:ind w:left="0" w:right="0" w:firstLine="420" w:firstLineChars="200"/>
              <w:rPr>
                <w:rFonts w:hint="default"/>
                <w:color w:val="auto"/>
                <w:highlight w:val="none"/>
              </w:rPr>
            </w:pPr>
            <w:r>
              <w:rPr>
                <w:rFonts w:hint="default"/>
                <w:color w:val="auto"/>
                <w:szCs w:val="21"/>
                <w:highlight w:val="none"/>
              </w:rPr>
              <w:t>根据《建设项目环境影响报告表</w:t>
            </w:r>
            <w:r>
              <w:rPr>
                <w:rFonts w:hint="eastAsia"/>
                <w:color w:val="auto"/>
                <w:szCs w:val="21"/>
                <w:highlight w:val="none"/>
              </w:rPr>
              <w:t>编制</w:t>
            </w:r>
            <w:r>
              <w:rPr>
                <w:rFonts w:hint="default"/>
                <w:color w:val="auto"/>
                <w:szCs w:val="21"/>
                <w:highlight w:val="none"/>
              </w:rPr>
              <w:t>技术指南（污染影响类）》可知，土壤、声环境</w:t>
            </w:r>
            <w:r>
              <w:rPr>
                <w:rFonts w:hint="eastAsia"/>
                <w:color w:val="auto"/>
                <w:szCs w:val="21"/>
                <w:highlight w:val="none"/>
                <w:lang w:val="en-US" w:eastAsia="zh-CN"/>
              </w:rPr>
              <w:t>及</w:t>
            </w:r>
            <w:r>
              <w:rPr>
                <w:rFonts w:hint="default"/>
                <w:color w:val="auto"/>
                <w:szCs w:val="21"/>
                <w:highlight w:val="none"/>
              </w:rPr>
              <w:t>地下水不开展专项评价，本项目大气、地表水、环境风险、生态和海洋专项评价设置情况详见</w:t>
            </w:r>
            <w:r>
              <w:rPr>
                <w:rFonts w:hint="eastAsia"/>
                <w:color w:val="auto"/>
                <w:szCs w:val="21"/>
                <w:highlight w:val="none"/>
              </w:rPr>
              <w:t>下</w:t>
            </w:r>
            <w:r>
              <w:rPr>
                <w:rFonts w:hint="default"/>
                <w:color w:val="auto"/>
                <w:szCs w:val="21"/>
                <w:highlight w:val="none"/>
              </w:rPr>
              <w:t>表1-1。</w:t>
            </w:r>
          </w:p>
          <w:p w14:paraId="7D1E2063">
            <w:pPr>
              <w:keepNext w:val="0"/>
              <w:keepLines w:val="0"/>
              <w:widowControl/>
              <w:suppressLineNumbers w:val="0"/>
              <w:snapToGrid/>
              <w:spacing w:before="0" w:beforeAutospacing="0" w:after="0" w:afterAutospacing="0"/>
              <w:ind w:left="0" w:right="0"/>
              <w:jc w:val="center"/>
              <w:rPr>
                <w:rFonts w:hint="default"/>
                <w:b/>
                <w:color w:val="auto"/>
                <w:kern w:val="0"/>
                <w:sz w:val="21"/>
                <w:szCs w:val="21"/>
                <w:highlight w:val="none"/>
              </w:rPr>
            </w:pPr>
            <w:r>
              <w:rPr>
                <w:rFonts w:hint="eastAsia"/>
                <w:b/>
                <w:color w:val="auto"/>
                <w:kern w:val="0"/>
                <w:sz w:val="21"/>
                <w:szCs w:val="21"/>
                <w:highlight w:val="none"/>
              </w:rPr>
              <w:t>表1-1本项目专项评价设置情况</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2"/>
              <w:gridCol w:w="4048"/>
            </w:tblGrid>
            <w:tr w14:paraId="401E6E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2E8FD9F9">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设置原则</w:t>
                  </w:r>
                </w:p>
              </w:tc>
              <w:tc>
                <w:tcPr>
                  <w:tcW w:w="2727" w:type="pct"/>
                  <w:tcBorders>
                    <w:tl2br w:val="nil"/>
                    <w:tr2bl w:val="nil"/>
                  </w:tcBorders>
                  <w:noWrap w:val="0"/>
                  <w:vAlign w:val="center"/>
                </w:tcPr>
                <w:p w14:paraId="407E55D8">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本项目设置情况</w:t>
                  </w:r>
                </w:p>
              </w:tc>
            </w:tr>
            <w:tr w14:paraId="53E8EC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0CA1C4AE">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排放废气含有毒有害污染物、二噁英、苯并[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]芘、氰化物、氯气且厂界外500米</w:t>
                  </w:r>
                  <w:r>
                    <w:rPr>
                      <w:rFonts w:hint="eastAsia" w:ascii="Times New Roman" w:hAnsi="Times New Roman"/>
                      <w:color w:val="auto"/>
                      <w:sz w:val="18"/>
                      <w:szCs w:val="18"/>
                      <w:highlight w:val="none"/>
                    </w:rPr>
                    <w:t>范</w:t>
                  </w:r>
                  <w:r>
                    <w:rPr>
                      <w:rFonts w:hint="default" w:ascii="Times New Roman" w:hAnsi="Times New Roman"/>
                      <w:color w:val="auto"/>
                      <w:sz w:val="18"/>
                      <w:szCs w:val="18"/>
                      <w:highlight w:val="none"/>
                    </w:rPr>
                    <w:t>围内有环境空气保护目标的建设项</w:t>
                  </w:r>
                  <w:r>
                    <w:rPr>
                      <w:rFonts w:hint="eastAsia" w:ascii="Times New Roman" w:hAnsi="Times New Roman"/>
                      <w:color w:val="auto"/>
                      <w:sz w:val="18"/>
                      <w:szCs w:val="18"/>
                      <w:highlight w:val="none"/>
                    </w:rPr>
                    <w:t>目</w:t>
                  </w:r>
                </w:p>
              </w:tc>
              <w:tc>
                <w:tcPr>
                  <w:tcW w:w="2727" w:type="pct"/>
                  <w:tcBorders>
                    <w:tl2br w:val="nil"/>
                    <w:tr2bl w:val="nil"/>
                  </w:tcBorders>
                  <w:noWrap w:val="0"/>
                  <w:vAlign w:val="center"/>
                </w:tcPr>
                <w:p w14:paraId="34CCE3D7">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本项目排放废气中不含有毒有害污染物、</w:t>
                  </w:r>
                  <w:r>
                    <w:rPr>
                      <w:rFonts w:hint="default" w:ascii="Times New Roman" w:hAnsi="Times New Roman"/>
                      <w:color w:val="auto"/>
                      <w:sz w:val="18"/>
                      <w:szCs w:val="18"/>
                      <w:highlight w:val="none"/>
                    </w:rPr>
                    <w:t>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w:t>
                  </w:r>
                  <w:r>
                    <w:rPr>
                      <w:rFonts w:hint="eastAsia" w:ascii="Times New Roman" w:hAnsi="Times New Roman"/>
                      <w:color w:val="auto"/>
                      <w:sz w:val="18"/>
                      <w:szCs w:val="18"/>
                      <w:highlight w:val="none"/>
                    </w:rPr>
                    <w:t>，</w:t>
                  </w:r>
                  <w:r>
                    <w:rPr>
                      <w:rFonts w:hint="eastAsia" w:ascii="Times New Roman" w:hAnsi="Times New Roman"/>
                      <w:color w:val="auto"/>
                      <w:sz w:val="18"/>
                      <w:szCs w:val="18"/>
                      <w:highlight w:val="none"/>
                      <w:lang w:val="en-US" w:eastAsia="zh-CN"/>
                    </w:rPr>
                    <w:t>且</w:t>
                  </w:r>
                  <w:r>
                    <w:rPr>
                      <w:rFonts w:hint="eastAsia" w:ascii="Times New Roman" w:hAnsi="Times New Roman"/>
                      <w:color w:val="auto"/>
                      <w:sz w:val="18"/>
                      <w:szCs w:val="18"/>
                      <w:highlight w:val="none"/>
                    </w:rPr>
                    <w:t>本项目生物质不含汞</w:t>
                  </w:r>
                  <w:r>
                    <w:rPr>
                      <w:rFonts w:hint="eastAsia" w:ascii="Times New Roman" w:hAnsi="Times New Roman"/>
                      <w:color w:val="auto"/>
                      <w:sz w:val="18"/>
                      <w:szCs w:val="18"/>
                      <w:highlight w:val="none"/>
                      <w:lang w:val="en-US" w:eastAsia="zh-CN"/>
                    </w:rPr>
                    <w:t>及其化合物</w:t>
                  </w:r>
                  <w:r>
                    <w:rPr>
                      <w:rFonts w:hint="eastAsia" w:ascii="Times New Roman" w:hAnsi="Times New Roman"/>
                      <w:color w:val="auto"/>
                      <w:sz w:val="18"/>
                      <w:szCs w:val="18"/>
                      <w:highlight w:val="none"/>
                    </w:rPr>
                    <w:t>，不需设置大气专项评价。</w:t>
                  </w:r>
                </w:p>
              </w:tc>
            </w:tr>
            <w:tr w14:paraId="74F885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3F6243EB">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新增工业废水直排建设项目（槽罐车外送污水处理厂的除外）；新增废水直排的污水集中处理厂</w:t>
                  </w:r>
                </w:p>
              </w:tc>
              <w:tc>
                <w:tcPr>
                  <w:tcW w:w="2727" w:type="pct"/>
                  <w:tcBorders>
                    <w:tl2br w:val="nil"/>
                    <w:tr2bl w:val="nil"/>
                  </w:tcBorders>
                  <w:noWrap w:val="0"/>
                  <w:vAlign w:val="center"/>
                </w:tcPr>
                <w:p w14:paraId="69D66902">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本项目不属于新增工业废水直排建设项目，也不属于新增废水直排的污水集中处理厂，不需设置地表水专项评价。</w:t>
                  </w:r>
                </w:p>
              </w:tc>
            </w:tr>
            <w:tr w14:paraId="067FA1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76910D2C">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有毒有害和易燃易爆危险物质存储量超过临界量的建设项目</w:t>
                  </w:r>
                </w:p>
              </w:tc>
              <w:tc>
                <w:tcPr>
                  <w:tcW w:w="4048" w:type="dxa"/>
                  <w:tcBorders>
                    <w:tl2br w:val="nil"/>
                    <w:tr2bl w:val="nil"/>
                  </w:tcBorders>
                  <w:noWrap w:val="0"/>
                  <w:vAlign w:val="center"/>
                </w:tcPr>
                <w:p w14:paraId="489779C4">
                  <w:pPr>
                    <w:pStyle w:val="27"/>
                    <w:keepNext w:val="0"/>
                    <w:keepLines w:val="0"/>
                    <w:suppressLineNumbers w:val="0"/>
                    <w:spacing w:before="0" w:beforeAutospacing="0" w:after="0" w:afterAutospacing="0"/>
                    <w:ind w:left="0" w:leftChars="0" w:right="0" w:rightChars="0"/>
                    <w:jc w:val="center"/>
                    <w:rPr>
                      <w:rFonts w:hint="default" w:ascii="Times New Roman" w:hAnsi="Times New Roman"/>
                      <w:color w:val="FF0000"/>
                      <w:sz w:val="18"/>
                      <w:szCs w:val="18"/>
                      <w:highlight w:val="none"/>
                    </w:rPr>
                  </w:pPr>
                  <w:r>
                    <w:rPr>
                      <w:rFonts w:hint="eastAsia" w:ascii="Times New Roman" w:hAnsi="Times New Roman"/>
                      <w:color w:val="auto"/>
                      <w:sz w:val="18"/>
                      <w:szCs w:val="18"/>
                      <w:highlight w:val="none"/>
                    </w:rPr>
                    <w:t>本项目</w:t>
                  </w:r>
                  <w:r>
                    <w:rPr>
                      <w:rFonts w:hint="eastAsia" w:ascii="Times New Roman" w:hAnsi="Times New Roman"/>
                      <w:color w:val="auto"/>
                      <w:sz w:val="18"/>
                      <w:szCs w:val="18"/>
                      <w:highlight w:val="none"/>
                      <w:lang w:val="en-US" w:eastAsia="zh-CN"/>
                    </w:rPr>
                    <w:t>危险物质未超过临界量</w:t>
                  </w:r>
                  <w:r>
                    <w:rPr>
                      <w:rFonts w:hint="eastAsia" w:ascii="Times New Roman" w:hAnsi="Times New Roman"/>
                      <w:color w:val="auto"/>
                      <w:sz w:val="18"/>
                      <w:szCs w:val="18"/>
                      <w:highlight w:val="none"/>
                    </w:rPr>
                    <w:t>，因此不设置环境风险专项评价</w:t>
                  </w:r>
                  <w:r>
                    <w:rPr>
                      <w:rFonts w:hint="eastAsia" w:ascii="Times New Roman" w:hAnsi="Times New Roman"/>
                      <w:color w:val="auto"/>
                      <w:sz w:val="18"/>
                      <w:szCs w:val="18"/>
                      <w:highlight w:val="none"/>
                      <w:lang w:eastAsia="zh-CN"/>
                    </w:rPr>
                    <w:t>。</w:t>
                  </w:r>
                </w:p>
              </w:tc>
            </w:tr>
            <w:tr w14:paraId="6A4BE2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7B458338">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p>
              </w:tc>
              <w:tc>
                <w:tcPr>
                  <w:tcW w:w="2727" w:type="pct"/>
                  <w:tcBorders>
                    <w:tl2br w:val="nil"/>
                    <w:tr2bl w:val="nil"/>
                  </w:tcBorders>
                  <w:noWrap w:val="0"/>
                  <w:vAlign w:val="center"/>
                </w:tcPr>
                <w:p w14:paraId="32346B41">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本项目供水</w:t>
                  </w:r>
                  <w:r>
                    <w:rPr>
                      <w:rFonts w:hint="eastAsia" w:ascii="Times New Roman" w:hAnsi="Times New Roman"/>
                      <w:color w:val="auto"/>
                      <w:sz w:val="18"/>
                      <w:szCs w:val="18"/>
                      <w:highlight w:val="none"/>
                      <w:lang w:val="en-US" w:eastAsia="zh-CN"/>
                    </w:rPr>
                    <w:t>为市政自来水，不属于</w:t>
                  </w: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r>
                    <w:rPr>
                      <w:rFonts w:hint="default" w:ascii="Times New Roman" w:hAnsi="Times New Roman"/>
                      <w:color w:val="auto"/>
                      <w:sz w:val="18"/>
                      <w:szCs w:val="18"/>
                      <w:highlight w:val="none"/>
                    </w:rPr>
                    <w:t>，不需设置生态专项评价。</w:t>
                  </w:r>
                </w:p>
              </w:tc>
            </w:tr>
            <w:tr w14:paraId="548DB6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316C660A">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直接向海排放污染物的海洋工程建设项目</w:t>
                  </w:r>
                </w:p>
              </w:tc>
              <w:tc>
                <w:tcPr>
                  <w:tcW w:w="2727" w:type="pct"/>
                  <w:tcBorders>
                    <w:tl2br w:val="nil"/>
                    <w:tr2bl w:val="nil"/>
                  </w:tcBorders>
                  <w:noWrap w:val="0"/>
                  <w:vAlign w:val="center"/>
                </w:tcPr>
                <w:p w14:paraId="4C1C80C6">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本项目不属于海洋工程，不需设置海洋专项评价。</w:t>
                  </w:r>
                </w:p>
              </w:tc>
            </w:tr>
          </w:tbl>
          <w:p w14:paraId="3161D319">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default"/>
                <w:color w:val="auto"/>
                <w:szCs w:val="21"/>
                <w:highlight w:val="none"/>
              </w:rPr>
              <w:t>综上所述，本项目无需开展专项评价工作。</w:t>
            </w:r>
          </w:p>
        </w:tc>
      </w:tr>
      <w:tr w14:paraId="4248B0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876DDD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规划情况</w:t>
            </w:r>
          </w:p>
        </w:tc>
        <w:tc>
          <w:tcPr>
            <w:tcW w:w="7452" w:type="dxa"/>
            <w:gridSpan w:val="3"/>
            <w:tcMar>
              <w:top w:w="16" w:type="dxa"/>
              <w:left w:w="16" w:type="dxa"/>
              <w:right w:w="16" w:type="dxa"/>
            </w:tcMar>
            <w:vAlign w:val="center"/>
          </w:tcPr>
          <w:p w14:paraId="157C0E9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kern w:val="21"/>
                <w:sz w:val="21"/>
                <w:szCs w:val="21"/>
                <w:highlight w:val="none"/>
                <w:lang w:val="en-US" w:eastAsia="zh-CN"/>
              </w:rPr>
            </w:pPr>
            <w:r>
              <w:rPr>
                <w:rFonts w:hint="default"/>
                <w:color w:val="auto"/>
                <w:kern w:val="0"/>
                <w:szCs w:val="21"/>
                <w:highlight w:val="none"/>
              </w:rPr>
              <w:t>无</w:t>
            </w:r>
          </w:p>
        </w:tc>
      </w:tr>
      <w:tr w14:paraId="34122B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B560E1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规划环境影响</w:t>
            </w:r>
          </w:p>
          <w:p w14:paraId="0FF2F9E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评价情况</w:t>
            </w:r>
          </w:p>
        </w:tc>
        <w:tc>
          <w:tcPr>
            <w:tcW w:w="7452" w:type="dxa"/>
            <w:gridSpan w:val="3"/>
            <w:tcMar>
              <w:top w:w="16" w:type="dxa"/>
              <w:left w:w="16" w:type="dxa"/>
              <w:right w:w="16" w:type="dxa"/>
            </w:tcMar>
            <w:vAlign w:val="center"/>
          </w:tcPr>
          <w:p w14:paraId="6279B7D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1"/>
                <w:sz w:val="21"/>
                <w:szCs w:val="21"/>
                <w:highlight w:val="none"/>
                <w:lang w:val="en-US" w:eastAsia="zh-CN"/>
              </w:rPr>
            </w:pPr>
            <w:r>
              <w:rPr>
                <w:rFonts w:hint="default"/>
                <w:color w:val="auto"/>
                <w:kern w:val="0"/>
                <w:szCs w:val="21"/>
                <w:highlight w:val="none"/>
              </w:rPr>
              <w:t>无</w:t>
            </w:r>
          </w:p>
        </w:tc>
      </w:tr>
      <w:tr w14:paraId="0F839F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6B91AA2">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规划及规划环境影响评价符合性分析</w:t>
            </w:r>
          </w:p>
        </w:tc>
        <w:tc>
          <w:tcPr>
            <w:tcW w:w="7452" w:type="dxa"/>
            <w:gridSpan w:val="3"/>
            <w:tcMar>
              <w:top w:w="16" w:type="dxa"/>
              <w:left w:w="16" w:type="dxa"/>
              <w:right w:w="16" w:type="dxa"/>
            </w:tcMar>
            <w:vAlign w:val="center"/>
          </w:tcPr>
          <w:p w14:paraId="5B7574F6">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color w:val="auto"/>
                <w:highlight w:val="none"/>
                <w:lang w:val="en-US" w:eastAsia="zh-CN"/>
              </w:rPr>
            </w:pPr>
            <w:r>
              <w:rPr>
                <w:rFonts w:hint="default"/>
                <w:color w:val="auto"/>
                <w:kern w:val="0"/>
                <w:szCs w:val="21"/>
                <w:highlight w:val="none"/>
              </w:rPr>
              <w:t>无</w:t>
            </w:r>
          </w:p>
        </w:tc>
      </w:tr>
      <w:tr w14:paraId="6D24D6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74" w:hRule="atLeast"/>
          <w:jc w:val="center"/>
        </w:trPr>
        <w:tc>
          <w:tcPr>
            <w:tcW w:w="895" w:type="pct"/>
            <w:tcMar>
              <w:top w:w="16" w:type="dxa"/>
              <w:left w:w="16" w:type="dxa"/>
              <w:right w:w="16" w:type="dxa"/>
            </w:tcMar>
            <w:vAlign w:val="center"/>
          </w:tcPr>
          <w:p w14:paraId="65DC9A04">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Cs w:val="21"/>
                <w:highlight w:val="none"/>
              </w:rPr>
            </w:pPr>
            <w:bookmarkStart w:id="3" w:name="_Hlk56690880"/>
            <w:r>
              <w:rPr>
                <w:rFonts w:hint="default" w:ascii="Times New Roman" w:hAnsi="Times New Roman" w:cs="Times New Roman"/>
                <w:color w:val="auto"/>
                <w:kern w:val="21"/>
                <w:szCs w:val="21"/>
                <w:highlight w:val="none"/>
              </w:rPr>
              <w:t>其他符合性分析</w:t>
            </w:r>
          </w:p>
        </w:tc>
        <w:tc>
          <w:tcPr>
            <w:tcW w:w="4104" w:type="pct"/>
            <w:gridSpan w:val="3"/>
            <w:tcMar>
              <w:top w:w="16" w:type="dxa"/>
              <w:left w:w="16" w:type="dxa"/>
              <w:right w:w="16" w:type="dxa"/>
            </w:tcMar>
            <w:vAlign w:val="center"/>
          </w:tcPr>
          <w:p w14:paraId="1393A700">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default"/>
                <w:b/>
                <w:bCs/>
                <w:color w:val="auto"/>
                <w:kern w:val="0"/>
                <w:szCs w:val="21"/>
                <w:highlight w:val="none"/>
              </w:rPr>
            </w:pPr>
            <w:r>
              <w:rPr>
                <w:rFonts w:hint="eastAsia"/>
                <w:b/>
                <w:bCs/>
                <w:color w:val="auto"/>
                <w:kern w:val="0"/>
                <w:szCs w:val="21"/>
                <w:highlight w:val="none"/>
              </w:rPr>
              <w:t>1、</w:t>
            </w:r>
            <w:r>
              <w:rPr>
                <w:rFonts w:hint="eastAsia"/>
                <w:b/>
                <w:bCs/>
                <w:color w:val="auto"/>
                <w:kern w:val="0"/>
                <w:sz w:val="21"/>
                <w:szCs w:val="21"/>
                <w:highlight w:val="none"/>
                <w:lang w:eastAsia="zh-CN"/>
              </w:rPr>
              <w:t>生态环境分区管控</w:t>
            </w:r>
            <w:r>
              <w:rPr>
                <w:rFonts w:hint="eastAsia"/>
                <w:b/>
                <w:bCs/>
                <w:color w:val="auto"/>
                <w:kern w:val="0"/>
                <w:szCs w:val="21"/>
                <w:highlight w:val="none"/>
              </w:rPr>
              <w:t>符合性分析</w:t>
            </w:r>
          </w:p>
          <w:p w14:paraId="227A70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eastAsia="zh-CN" w:bidi="ar"/>
              </w:rPr>
            </w:pPr>
            <w:r>
              <w:rPr>
                <w:rFonts w:hint="default" w:ascii="Times New Roman" w:hAnsi="Times New Roman" w:cs="Times New Roman"/>
                <w:color w:val="auto"/>
                <w:sz w:val="21"/>
                <w:szCs w:val="21"/>
                <w:highlight w:val="none"/>
              </w:rPr>
              <w:t>根据黑龙江省生态环境厅发布的《关于发布 2023 年生态环境分区管控动态更新成果的通知》</w:t>
            </w:r>
            <w:r>
              <w:rPr>
                <w:rFonts w:hint="default" w:ascii="Times New Roman" w:hAnsi="Times New Roman" w:cs="Times New Roman"/>
                <w:color w:val="auto"/>
                <w:kern w:val="0"/>
                <w:sz w:val="21"/>
                <w:szCs w:val="21"/>
                <w:highlight w:val="none"/>
                <w:lang w:bidi="ar"/>
              </w:rPr>
              <w:t>（</w:t>
            </w:r>
            <w:r>
              <w:rPr>
                <w:rFonts w:hint="default" w:ascii="Times New Roman" w:hAnsi="Times New Roman" w:cs="Times New Roman"/>
                <w:color w:val="auto"/>
                <w:sz w:val="21"/>
                <w:szCs w:val="21"/>
                <w:highlight w:val="none"/>
              </w:rPr>
              <w:t>黑环发</w:t>
            </w:r>
            <w:r>
              <w:rPr>
                <w:rFonts w:hint="default" w:ascii="Times New Roman" w:hAnsi="Times New Roman" w:cs="Times New Roman"/>
                <w:color w:val="auto"/>
                <w:kern w:val="0"/>
                <w:sz w:val="21"/>
                <w:szCs w:val="21"/>
                <w:highlight w:val="none"/>
                <w:lang w:bidi="ar"/>
              </w:rPr>
              <w:t>〔</w:t>
            </w:r>
            <w:r>
              <w:rPr>
                <w:rFonts w:hint="default" w:ascii="Times New Roman" w:hAnsi="Times New Roman" w:cs="Times New Roman"/>
                <w:color w:val="auto"/>
                <w:sz w:val="21"/>
                <w:szCs w:val="21"/>
                <w:highlight w:val="none"/>
              </w:rPr>
              <w:t>2024</w:t>
            </w:r>
            <w:r>
              <w:rPr>
                <w:rFonts w:hint="default" w:ascii="Times New Roman" w:hAnsi="Times New Roman" w:cs="Times New Roman"/>
                <w:color w:val="auto"/>
                <w:kern w:val="0"/>
                <w:sz w:val="21"/>
                <w:szCs w:val="21"/>
                <w:highlight w:val="none"/>
                <w:lang w:bidi="ar"/>
              </w:rPr>
              <w:t>〕</w:t>
            </w:r>
            <w:r>
              <w:rPr>
                <w:rFonts w:hint="default" w:ascii="Times New Roman" w:hAnsi="Times New Roman" w:cs="Times New Roman"/>
                <w:color w:val="auto"/>
                <w:sz w:val="21"/>
                <w:szCs w:val="21"/>
                <w:highlight w:val="none"/>
              </w:rPr>
              <w:t>1 号</w:t>
            </w:r>
            <w:r>
              <w:rPr>
                <w:rFonts w:hint="default" w:ascii="Times New Roman" w:hAnsi="Times New Roman" w:cs="Times New Roman"/>
                <w:color w:val="auto"/>
                <w:kern w:val="0"/>
                <w:sz w:val="21"/>
                <w:szCs w:val="21"/>
                <w:highlight w:val="none"/>
                <w:lang w:bidi="ar"/>
              </w:rPr>
              <w:t>）</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kern w:val="0"/>
                <w:sz w:val="21"/>
                <w:szCs w:val="21"/>
                <w:highlight w:val="none"/>
                <w:lang w:bidi="ar"/>
              </w:rPr>
              <w:t>《黑龙江省人民政府关于实施</w:t>
            </w:r>
            <w:r>
              <w:rPr>
                <w:rFonts w:hint="eastAsia" w:ascii="宋体" w:hAnsi="宋体" w:eastAsia="宋体" w:cs="宋体"/>
                <w:color w:val="auto"/>
                <w:kern w:val="0"/>
                <w:sz w:val="21"/>
                <w:szCs w:val="21"/>
                <w:highlight w:val="none"/>
                <w:lang w:bidi="ar"/>
              </w:rPr>
              <w:t>“三线一单”生</w:t>
            </w:r>
            <w:r>
              <w:rPr>
                <w:rFonts w:hint="default" w:ascii="Times New Roman" w:hAnsi="Times New Roman" w:cs="Times New Roman"/>
                <w:color w:val="auto"/>
                <w:kern w:val="0"/>
                <w:sz w:val="21"/>
                <w:szCs w:val="21"/>
                <w:highlight w:val="none"/>
                <w:lang w:bidi="ar"/>
              </w:rPr>
              <w:t>态环境分区管控的意见》（黑政发〔2020〕14号）、《</w:t>
            </w:r>
            <w:r>
              <w:rPr>
                <w:rFonts w:hint="default" w:ascii="Times New Roman" w:hAnsi="Times New Roman"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w:t>
            </w:r>
            <w:r>
              <w:rPr>
                <w:rFonts w:hint="eastAsia" w:ascii="宋体" w:hAnsi="宋体" w:eastAsia="宋体" w:cs="宋体"/>
                <w:color w:val="auto"/>
                <w:kern w:val="0"/>
                <w:sz w:val="21"/>
                <w:szCs w:val="21"/>
                <w:highlight w:val="none"/>
                <w:lang w:bidi="ar"/>
              </w:rPr>
              <w:t>施“三线一单”生</w:t>
            </w:r>
            <w:r>
              <w:rPr>
                <w:rFonts w:hint="default" w:ascii="Times New Roman" w:hAnsi="Times New Roman" w:cs="Times New Roman"/>
                <w:color w:val="auto"/>
                <w:kern w:val="0"/>
                <w:sz w:val="21"/>
                <w:szCs w:val="21"/>
                <w:highlight w:val="none"/>
                <w:lang w:bidi="ar"/>
              </w:rPr>
              <w:t>态环境分区管控的意见》（</w:t>
            </w:r>
            <w:r>
              <w:rPr>
                <w:rFonts w:hint="default" w:ascii="Times New Roman" w:hAnsi="Times New Roman"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default" w:ascii="Times New Roman" w:hAnsi="Times New Roman"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eastAsia" w:ascii="Times New Roman" w:hAnsi="Times New Roman" w:cs="Times New Roman"/>
                <w:color w:val="auto"/>
                <w:kern w:val="0"/>
                <w:sz w:val="21"/>
                <w:szCs w:val="21"/>
                <w:highlight w:val="none"/>
                <w:lang w:eastAsia="zh-CN" w:bidi="ar"/>
              </w:rPr>
              <w:t>、</w:t>
            </w:r>
            <w:r>
              <w:rPr>
                <w:rFonts w:hint="default"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东山煤矿洗煤一厂锅炉改造项目</w:t>
            </w:r>
            <w:r>
              <w:rPr>
                <w:rFonts w:hint="default" w:ascii="Times New Roman" w:hAnsi="Times New Roman" w:cs="Times New Roman"/>
                <w:color w:val="auto"/>
                <w:kern w:val="0"/>
                <w:sz w:val="21"/>
                <w:szCs w:val="21"/>
                <w:highlight w:val="none"/>
                <w:lang w:eastAsia="zh-CN" w:bidi="ar"/>
              </w:rPr>
              <w:t>生态环境</w:t>
            </w:r>
            <w:r>
              <w:rPr>
                <w:rFonts w:hint="eastAsia" w:cs="Times New Roman"/>
                <w:color w:val="auto"/>
                <w:kern w:val="0"/>
                <w:sz w:val="21"/>
                <w:szCs w:val="21"/>
                <w:highlight w:val="none"/>
                <w:lang w:eastAsia="zh-CN" w:bidi="ar"/>
              </w:rPr>
              <w:t>分区管控分析报告》</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eastAsia="zh-CN" w:bidi="ar"/>
              </w:rPr>
              <w:t>本项目与“生态环境分区管控”符合性如下：</w:t>
            </w:r>
          </w:p>
          <w:p w14:paraId="45BA23DF">
            <w:pPr>
              <w:pStyle w:val="27"/>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20" w:firstLineChars="200"/>
              <w:textAlignment w:val="auto"/>
              <w:rPr>
                <w:rFonts w:hint="eastAsia"/>
                <w:color w:val="auto"/>
                <w:sz w:val="21"/>
                <w:szCs w:val="21"/>
                <w:highlight w:val="none"/>
                <w:lang w:eastAsia="zh-CN"/>
              </w:rPr>
            </w:pPr>
            <w:r>
              <w:rPr>
                <w:rFonts w:hint="eastAsia" w:ascii="Calibri" w:hAnsi="Calibri"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1</w:t>
            </w:r>
            <w:r>
              <w:rPr>
                <w:rFonts w:hint="eastAsia" w:ascii="Calibri" w:hAnsi="Calibri" w:eastAsia="宋体" w:cs="Times New Roman"/>
                <w:color w:val="auto"/>
                <w:kern w:val="2"/>
                <w:sz w:val="21"/>
                <w:szCs w:val="21"/>
                <w:highlight w:val="none"/>
                <w:lang w:val="en-US" w:eastAsia="zh-CN" w:bidi="ar-SA"/>
              </w:rPr>
              <w:t>）</w:t>
            </w:r>
            <w:r>
              <w:rPr>
                <w:rFonts w:hint="eastAsia"/>
                <w:color w:val="auto"/>
                <w:sz w:val="21"/>
                <w:szCs w:val="21"/>
                <w:highlight w:val="none"/>
                <w:lang w:eastAsia="zh-CN"/>
              </w:rPr>
              <w:t>“一图”</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bidi="ar"/>
              </w:rPr>
            </w:pPr>
            <w:r>
              <w:rPr>
                <w:rFonts w:hint="eastAsia"/>
                <w:color w:val="auto"/>
                <w:sz w:val="21"/>
                <w:szCs w:val="21"/>
                <w:highlight w:val="none"/>
                <w:lang w:eastAsia="zh-CN"/>
              </w:rPr>
              <w:t>根据</w:t>
            </w:r>
            <w:r>
              <w:rPr>
                <w:rFonts w:hint="default"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东山煤矿洗煤一厂锅炉改造项目</w:t>
            </w:r>
            <w:r>
              <w:rPr>
                <w:rFonts w:hint="default" w:ascii="Times New Roman" w:hAnsi="Times New Roman" w:cs="Times New Roman"/>
                <w:color w:val="auto"/>
                <w:kern w:val="0"/>
                <w:sz w:val="21"/>
                <w:szCs w:val="21"/>
                <w:highlight w:val="none"/>
                <w:lang w:eastAsia="zh-CN" w:bidi="ar"/>
              </w:rPr>
              <w:t>生态环境</w:t>
            </w:r>
            <w:r>
              <w:rPr>
                <w:rFonts w:hint="eastAsia" w:cs="Times New Roman"/>
                <w:color w:val="auto"/>
                <w:kern w:val="0"/>
                <w:sz w:val="21"/>
                <w:szCs w:val="21"/>
                <w:highlight w:val="none"/>
                <w:lang w:eastAsia="zh-CN" w:bidi="ar"/>
              </w:rPr>
              <w:t>分区管控分析报告》，</w:t>
            </w:r>
            <w:r>
              <w:rPr>
                <w:rFonts w:hint="eastAsia" w:cs="Times New Roman"/>
                <w:color w:val="auto"/>
                <w:kern w:val="0"/>
                <w:sz w:val="21"/>
                <w:szCs w:val="21"/>
                <w:highlight w:val="none"/>
                <w:lang w:val="en-US" w:eastAsia="zh-CN" w:bidi="ar"/>
              </w:rPr>
              <w:t>本</w:t>
            </w:r>
            <w:r>
              <w:rPr>
                <w:rFonts w:hint="eastAsia" w:cs="Times New Roman"/>
                <w:color w:val="auto"/>
                <w:kern w:val="0"/>
                <w:sz w:val="21"/>
                <w:szCs w:val="21"/>
                <w:highlight w:val="none"/>
                <w:lang w:eastAsia="zh-CN" w:bidi="ar"/>
              </w:rPr>
              <w:t>项目与环境管控单元叠加图见图</w:t>
            </w:r>
            <w:r>
              <w:rPr>
                <w:rFonts w:hint="default" w:ascii="Times New Roman" w:hAnsi="Times New Roman" w:cs="Times New Roman"/>
                <w:color w:val="auto"/>
                <w:kern w:val="0"/>
                <w:sz w:val="21"/>
                <w:szCs w:val="21"/>
                <w:highlight w:val="none"/>
                <w:lang w:val="en-US" w:eastAsia="zh-CN" w:bidi="ar"/>
              </w:rPr>
              <w:t>1-1～</w:t>
            </w:r>
            <w:r>
              <w:rPr>
                <w:rFonts w:hint="default" w:ascii="Times New Roman" w:hAnsi="Times New Roman" w:cs="Times New Roman"/>
                <w:color w:val="auto"/>
                <w:kern w:val="0"/>
                <w:sz w:val="21"/>
                <w:szCs w:val="21"/>
                <w:highlight w:val="none"/>
                <w:lang w:eastAsia="zh-CN" w:bidi="ar"/>
              </w:rPr>
              <w:t>图</w:t>
            </w:r>
            <w:r>
              <w:rPr>
                <w:rFonts w:hint="default" w:ascii="Times New Roman" w:hAnsi="Times New Roman" w:cs="Times New Roman"/>
                <w:color w:val="auto"/>
                <w:kern w:val="0"/>
                <w:sz w:val="21"/>
                <w:szCs w:val="21"/>
                <w:highlight w:val="none"/>
                <w:lang w:val="en-US" w:eastAsia="zh-CN" w:bidi="ar"/>
              </w:rPr>
              <w:t>1-6</w:t>
            </w:r>
            <w:r>
              <w:rPr>
                <w:rFonts w:hint="eastAsia" w:cs="Times New Roman"/>
                <w:color w:val="auto"/>
                <w:kern w:val="0"/>
                <w:sz w:val="21"/>
                <w:szCs w:val="21"/>
                <w:highlight w:val="none"/>
                <w:lang w:val="en-US" w:eastAsia="zh-CN" w:bidi="ar"/>
              </w:rPr>
              <w:t>。</w:t>
            </w:r>
          </w:p>
          <w:p w14:paraId="56914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drawing>
                <wp:inline distT="0" distB="0" distL="114300" distR="114300">
                  <wp:extent cx="4707890" cy="2380615"/>
                  <wp:effectExtent l="0" t="0" r="16510" b="635"/>
                  <wp:docPr id="22" name="图片 22" descr="ebf7cf4f3010d0d3e425aa81be959a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ebf7cf4f3010d0d3e425aa81be959ae9"/>
                          <pic:cNvPicPr>
                            <a:picLocks noChangeAspect="1"/>
                          </pic:cNvPicPr>
                        </pic:nvPicPr>
                        <pic:blipFill>
                          <a:blip r:embed="rId9"/>
                          <a:stretch>
                            <a:fillRect/>
                          </a:stretch>
                        </pic:blipFill>
                        <pic:spPr>
                          <a:xfrm>
                            <a:off x="0" y="0"/>
                            <a:ext cx="4707890" cy="2380615"/>
                          </a:xfrm>
                          <a:prstGeom prst="rect">
                            <a:avLst/>
                          </a:prstGeom>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2" w:firstLineChars="200"/>
              <w:jc w:val="center"/>
              <w:textAlignment w:val="auto"/>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eastAsia="zh-CN"/>
              </w:rPr>
              <w:t>图</w:t>
            </w:r>
            <w:r>
              <w:rPr>
                <w:rFonts w:hint="default" w:ascii="Times New Roman" w:hAnsi="Times New Roman" w:eastAsia="宋体" w:cs="Times New Roman"/>
                <w:b/>
                <w:bCs/>
                <w:color w:val="auto"/>
                <w:kern w:val="0"/>
                <w:sz w:val="21"/>
                <w:szCs w:val="21"/>
                <w:highlight w:val="none"/>
                <w:lang w:val="en-US" w:eastAsia="zh-CN"/>
              </w:rPr>
              <w:t>1-1</w:t>
            </w:r>
            <w:r>
              <w:rPr>
                <w:rFonts w:hint="eastAsia" w:cs="Times New Roman"/>
                <w:b/>
                <w:bCs/>
                <w:color w:val="auto"/>
                <w:kern w:val="0"/>
                <w:sz w:val="21"/>
                <w:szCs w:val="21"/>
                <w:highlight w:val="none"/>
                <w:lang w:val="en-US" w:eastAsia="zh-CN" w:bidi="ar"/>
              </w:rPr>
              <w:t>东山煤矿洗煤一厂锅炉房</w:t>
            </w:r>
            <w:r>
              <w:rPr>
                <w:rFonts w:hint="eastAsia" w:ascii="宋体" w:hAnsi="宋体" w:eastAsia="宋体" w:cs="宋体"/>
                <w:b/>
                <w:bCs/>
                <w:color w:val="auto"/>
                <w:kern w:val="0"/>
                <w:sz w:val="21"/>
                <w:szCs w:val="21"/>
                <w:highlight w:val="none"/>
                <w:lang w:val="en-US" w:eastAsia="zh-CN"/>
              </w:rPr>
              <w:t>与生态环境分区管控叠加图</w:t>
            </w:r>
          </w:p>
          <w:p w14:paraId="7A9369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val="en-US" w:eastAsia="zh-CN"/>
              </w:rPr>
              <w:drawing>
                <wp:inline distT="0" distB="0" distL="114300" distR="114300">
                  <wp:extent cx="4708525" cy="2360930"/>
                  <wp:effectExtent l="0" t="0" r="15875" b="1270"/>
                  <wp:docPr id="23" name="图片 23" descr="a2a79b68e9f9c0e346f7f9ef036ae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a2a79b68e9f9c0e346f7f9ef036ae43d"/>
                          <pic:cNvPicPr>
                            <a:picLocks noChangeAspect="1"/>
                          </pic:cNvPicPr>
                        </pic:nvPicPr>
                        <pic:blipFill>
                          <a:blip r:embed="rId10"/>
                          <a:stretch>
                            <a:fillRect/>
                          </a:stretch>
                        </pic:blipFill>
                        <pic:spPr>
                          <a:xfrm>
                            <a:off x="0" y="0"/>
                            <a:ext cx="4708525" cy="2360930"/>
                          </a:xfrm>
                          <a:prstGeom prst="rect">
                            <a:avLst/>
                          </a:prstGeom>
                        </pic:spPr>
                      </pic:pic>
                    </a:graphicData>
                  </a:graphic>
                </wp:inline>
              </w:drawing>
            </w:r>
          </w:p>
          <w:p w14:paraId="1F733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eastAsia="zh-CN"/>
              </w:rPr>
              <w:t>图</w:t>
            </w:r>
            <w:r>
              <w:rPr>
                <w:rFonts w:hint="default" w:ascii="Times New Roman" w:hAnsi="Times New Roman" w:eastAsia="宋体" w:cs="Times New Roman"/>
                <w:b/>
                <w:bCs/>
                <w:color w:val="auto"/>
                <w:kern w:val="0"/>
                <w:sz w:val="21"/>
                <w:szCs w:val="21"/>
                <w:highlight w:val="none"/>
                <w:lang w:val="en-US" w:eastAsia="zh-CN"/>
              </w:rPr>
              <w:t>1-</w:t>
            </w:r>
            <w:r>
              <w:rPr>
                <w:rFonts w:hint="eastAsia" w:cs="Times New Roman"/>
                <w:b/>
                <w:bCs/>
                <w:color w:val="auto"/>
                <w:kern w:val="0"/>
                <w:sz w:val="21"/>
                <w:szCs w:val="21"/>
                <w:highlight w:val="none"/>
                <w:lang w:val="en-US" w:eastAsia="zh-CN"/>
              </w:rPr>
              <w:t>2</w:t>
            </w:r>
            <w:r>
              <w:rPr>
                <w:rFonts w:hint="eastAsia" w:cs="Times New Roman"/>
                <w:b/>
                <w:bCs/>
                <w:color w:val="auto"/>
                <w:kern w:val="0"/>
                <w:sz w:val="21"/>
                <w:szCs w:val="21"/>
                <w:highlight w:val="none"/>
                <w:lang w:val="en-US" w:eastAsia="zh-CN" w:bidi="ar"/>
              </w:rPr>
              <w:t>东山煤矿洗煤一厂锅炉房</w:t>
            </w:r>
            <w:r>
              <w:rPr>
                <w:rFonts w:hint="default" w:ascii="Times New Roman" w:hAnsi="Times New Roman" w:eastAsia="宋体" w:cs="Times New Roman"/>
                <w:b/>
                <w:bCs/>
                <w:color w:val="auto"/>
                <w:kern w:val="0"/>
                <w:sz w:val="21"/>
                <w:szCs w:val="21"/>
                <w:highlight w:val="none"/>
                <w:lang w:val="en-US" w:eastAsia="zh-CN"/>
              </w:rPr>
              <w:t>与</w:t>
            </w:r>
            <w:r>
              <w:rPr>
                <w:rFonts w:hint="default" w:ascii="Times New Roman" w:hAnsi="Times New Roman" w:eastAsia="宋体" w:cs="Times New Roman"/>
                <w:b/>
                <w:bCs/>
                <w:color w:val="auto"/>
                <w:kern w:val="0"/>
                <w:sz w:val="21"/>
                <w:szCs w:val="21"/>
                <w:highlight w:val="none"/>
                <w:lang w:val="en-US" w:eastAsia="zh-CN" w:bidi="ar"/>
              </w:rPr>
              <w:t>地下水环境管控区叠加图</w:t>
            </w:r>
          </w:p>
          <w:p w14:paraId="07F4930B">
            <w:pPr>
              <w:pStyle w:val="1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一表”</w:t>
            </w:r>
          </w:p>
          <w:p w14:paraId="346552CF">
            <w:pPr>
              <w:pStyle w:val="1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本项目与生态环境准入清单符合性情况见表1-2。</w:t>
            </w:r>
          </w:p>
          <w:p w14:paraId="30B4B2A4">
            <w:pPr>
              <w:keepNext w:val="0"/>
              <w:keepLines w:val="0"/>
              <w:suppressLineNumbers w:val="0"/>
              <w:bidi w:val="0"/>
              <w:spacing w:before="0" w:beforeAutospacing="0" w:after="0" w:afterAutospacing="0"/>
              <w:ind w:left="0" w:right="0"/>
              <w:jc w:val="center"/>
              <w:rPr>
                <w:rFonts w:hint="default"/>
                <w:b/>
                <w:bCs/>
                <w:color w:val="auto"/>
                <w:sz w:val="21"/>
                <w:szCs w:val="21"/>
                <w:highlight w:val="none"/>
              </w:rPr>
            </w:pPr>
            <w:r>
              <w:rPr>
                <w:rFonts w:hint="default"/>
                <w:b/>
                <w:bCs/>
                <w:color w:val="auto"/>
                <w:sz w:val="21"/>
                <w:szCs w:val="21"/>
                <w:highlight w:val="none"/>
              </w:rPr>
              <w:t>表1-</w:t>
            </w:r>
            <w:r>
              <w:rPr>
                <w:rFonts w:hint="eastAsia"/>
                <w:b/>
                <w:bCs/>
                <w:color w:val="auto"/>
                <w:sz w:val="21"/>
                <w:szCs w:val="21"/>
                <w:highlight w:val="none"/>
                <w:lang w:val="en-US" w:eastAsia="zh-CN"/>
              </w:rPr>
              <w:t>2</w:t>
            </w:r>
            <w:r>
              <w:rPr>
                <w:rFonts w:hint="default"/>
                <w:b/>
                <w:bCs/>
                <w:color w:val="auto"/>
                <w:sz w:val="21"/>
                <w:szCs w:val="21"/>
                <w:highlight w:val="none"/>
              </w:rPr>
              <w:t>生态环境准入清单符合性分析</w:t>
            </w:r>
          </w:p>
          <w:tbl>
            <w:tblPr>
              <w:tblStyle w:val="37"/>
              <w:tblW w:w="5000" w:type="pct"/>
              <w:jc w:val="center"/>
              <w:tblBorders>
                <w:top w:val="single" w:color="auto" w:sz="4"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4341"/>
              <w:gridCol w:w="1632"/>
            </w:tblGrid>
            <w:tr w14:paraId="1D97EED9">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bottom w:val="single" w:color="auto" w:sz="4" w:space="0"/>
                  </w:tcBorders>
                  <w:noWrap w:val="0"/>
                  <w:vAlign w:val="center"/>
                </w:tcPr>
                <w:p w14:paraId="00BD18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b/>
                      <w:bCs/>
                      <w:color w:val="auto"/>
                      <w:sz w:val="18"/>
                      <w:szCs w:val="18"/>
                      <w:highlight w:val="none"/>
                    </w:rPr>
                  </w:pPr>
                  <w:r>
                    <w:rPr>
                      <w:rFonts w:hint="default"/>
                      <w:b/>
                      <w:bCs/>
                      <w:color w:val="auto"/>
                      <w:sz w:val="18"/>
                      <w:szCs w:val="18"/>
                      <w:highlight w:val="none"/>
                    </w:rPr>
                    <w:t>一、生态保护红线</w:t>
                  </w:r>
                </w:p>
              </w:tc>
            </w:tr>
            <w:tr w14:paraId="1CAD59BA">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132C3D2D">
                  <w:pPr>
                    <w:pStyle w:val="16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rPr>
                      <w:rFonts w:hint="default"/>
                      <w:color w:val="auto"/>
                      <w:sz w:val="18"/>
                      <w:szCs w:val="18"/>
                      <w:highlight w:val="none"/>
                    </w:rPr>
                  </w:pPr>
                  <w:r>
                    <w:rPr>
                      <w:rFonts w:hint="eastAsia"/>
                      <w:color w:val="auto"/>
                      <w:sz w:val="18"/>
                      <w:szCs w:val="18"/>
                      <w:highlight w:val="none"/>
                      <w:lang w:val="en-US" w:eastAsia="zh-CN"/>
                    </w:rPr>
                    <w:t>根据</w:t>
                  </w:r>
                  <w:r>
                    <w:rPr>
                      <w:rFonts w:hint="default" w:ascii="Times New Roman" w:hAnsi="Times New Roman" w:cs="Times New Roman"/>
                      <w:color w:val="auto"/>
                      <w:kern w:val="0"/>
                      <w:sz w:val="18"/>
                      <w:szCs w:val="18"/>
                      <w:highlight w:val="none"/>
                      <w:lang w:eastAsia="zh-CN" w:bidi="ar"/>
                    </w:rPr>
                    <w:t>《</w:t>
                  </w:r>
                  <w:r>
                    <w:rPr>
                      <w:rFonts w:hint="eastAsia" w:cs="Times New Roman"/>
                      <w:color w:val="auto"/>
                      <w:kern w:val="0"/>
                      <w:sz w:val="18"/>
                      <w:szCs w:val="18"/>
                      <w:highlight w:val="none"/>
                      <w:lang w:val="en-US" w:eastAsia="zh-CN" w:bidi="ar"/>
                    </w:rPr>
                    <w:t>东山煤矿洗煤一厂锅炉改造项目</w:t>
                  </w:r>
                  <w:r>
                    <w:rPr>
                      <w:rFonts w:hint="default" w:ascii="Times New Roman" w:hAnsi="Times New Roman" w:cs="Times New Roman"/>
                      <w:color w:val="auto"/>
                      <w:kern w:val="0"/>
                      <w:sz w:val="18"/>
                      <w:szCs w:val="18"/>
                      <w:highlight w:val="none"/>
                      <w:lang w:eastAsia="zh-CN" w:bidi="ar"/>
                    </w:rPr>
                    <w:t>生态环境</w:t>
                  </w:r>
                  <w:r>
                    <w:rPr>
                      <w:rFonts w:hint="eastAsia" w:cs="Times New Roman"/>
                      <w:color w:val="auto"/>
                      <w:kern w:val="0"/>
                      <w:sz w:val="18"/>
                      <w:szCs w:val="18"/>
                      <w:highlight w:val="none"/>
                      <w:lang w:eastAsia="zh-CN" w:bidi="ar"/>
                    </w:rPr>
                    <w:t>分区管控分析报告》</w:t>
                  </w:r>
                  <w:r>
                    <w:rPr>
                      <w:rFonts w:hint="eastAsia" w:ascii="Times New Roman" w:hAnsi="Times New Roman" w:cs="Times New Roman"/>
                      <w:color w:val="auto"/>
                      <w:sz w:val="18"/>
                      <w:szCs w:val="18"/>
                      <w:highlight w:val="none"/>
                      <w:lang w:val="en-US" w:eastAsia="zh-CN"/>
                    </w:rPr>
                    <w:t>，本项目不涉及生态保护红线。</w:t>
                  </w:r>
                </w:p>
              </w:tc>
            </w:tr>
            <w:tr w14:paraId="095A44D9">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6F5BC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olor w:val="auto"/>
                      <w:sz w:val="18"/>
                      <w:szCs w:val="18"/>
                      <w:highlight w:val="none"/>
                    </w:rPr>
                  </w:pPr>
                  <w:r>
                    <w:rPr>
                      <w:rFonts w:hint="default"/>
                      <w:b/>
                      <w:bCs/>
                      <w:color w:val="auto"/>
                      <w:sz w:val="18"/>
                      <w:szCs w:val="18"/>
                      <w:highlight w:val="none"/>
                    </w:rPr>
                    <w:t>二、环境质量底线</w:t>
                  </w:r>
                </w:p>
              </w:tc>
            </w:tr>
            <w:tr w14:paraId="09AF04A5">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30A370CA">
                  <w:pPr>
                    <w:pStyle w:val="16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80"/>
                    <w:rPr>
                      <w:rFonts w:hint="default" w:ascii="Times New Roman" w:hAnsi="Times New Roman" w:eastAsia="宋体" w:cs="Times New Roman"/>
                      <w:color w:val="auto"/>
                      <w:kern w:val="0"/>
                      <w:sz w:val="18"/>
                      <w:szCs w:val="18"/>
                      <w:highlight w:val="none"/>
                      <w:lang w:val="en-US" w:eastAsia="zh-CN" w:bidi="ar-SA"/>
                    </w:rPr>
                  </w:pPr>
                  <w:r>
                    <w:rPr>
                      <w:rFonts w:hint="eastAsia" w:ascii="宋体" w:hAnsi="宋体" w:eastAsia="宋体" w:cs="宋体"/>
                      <w:color w:val="auto"/>
                      <w:kern w:val="0"/>
                      <w:sz w:val="18"/>
                      <w:szCs w:val="18"/>
                      <w:highlight w:val="none"/>
                      <w:lang w:val="en-US" w:eastAsia="zh-CN" w:bidi="ar-SA"/>
                    </w:rPr>
                    <w:t>环境质量底线是国家和地方设置的大气、水和土壤环境质量目标，也是改</w:t>
                  </w:r>
                  <w:r>
                    <w:rPr>
                      <w:rFonts w:hint="default" w:ascii="Times New Roman" w:hAnsi="Times New Roman" w:eastAsia="宋体" w:cs="Times New Roman"/>
                      <w:color w:val="auto"/>
                      <w:kern w:val="0"/>
                      <w:sz w:val="18"/>
                      <w:szCs w:val="18"/>
                      <w:highlight w:val="none"/>
                      <w:lang w:val="en-US" w:eastAsia="zh-CN" w:bidi="ar-SA"/>
                    </w:rPr>
                    <w:t>善环境质量的基准线。项目环境影响评价应对照区域环境质量目标，深入分析预测项目建设对环境质量的影响，强化污染防治措施和污染物排放控制要求。</w:t>
                  </w:r>
                </w:p>
                <w:p w14:paraId="5F59A4C8">
                  <w:pPr>
                    <w:pStyle w:val="16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82"/>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1、大气环境</w:t>
                  </w:r>
                </w:p>
                <w:p w14:paraId="624DF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360" w:firstLineChars="200"/>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rPr>
                    <w:t>根据</w:t>
                  </w: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年</w:t>
                  </w:r>
                  <w:r>
                    <w:rPr>
                      <w:rFonts w:hint="default" w:ascii="Times New Roman" w:hAnsi="Times New Roman" w:cs="Times New Roman"/>
                      <w:color w:val="auto"/>
                      <w:sz w:val="18"/>
                      <w:szCs w:val="18"/>
                      <w:highlight w:val="none"/>
                      <w:lang w:val="en-US" w:eastAsia="zh-CN"/>
                    </w:rPr>
                    <w:t>黑龙江省生态环境质量状况</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2024年鸡西市空气基本污染物中</w:t>
                  </w: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2.5</w:t>
                  </w:r>
                  <w:r>
                    <w:rPr>
                      <w:rFonts w:hint="default" w:ascii="Times New Roman" w:hAnsi="Times New Roman" w:cs="Times New Roman"/>
                      <w:color w:val="auto"/>
                      <w:sz w:val="18"/>
                      <w:szCs w:val="18"/>
                      <w:highlight w:val="none"/>
                      <w:vertAlign w:val="baseline"/>
                      <w:lang w:eastAsia="zh-CN"/>
                    </w:rPr>
                    <w:t>、</w:t>
                  </w: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10</w:t>
                  </w:r>
                  <w:r>
                    <w:rPr>
                      <w:rFonts w:hint="default" w:ascii="Times New Roman" w:hAnsi="Times New Roman" w:eastAsia="宋体" w:cs="Times New Roman"/>
                      <w:color w:val="auto"/>
                      <w:sz w:val="18"/>
                      <w:szCs w:val="18"/>
                      <w:highlight w:val="none"/>
                      <w:vertAlign w:val="baseline"/>
                      <w:lang w:eastAsia="zh-CN"/>
                    </w:rPr>
                    <w:t>、</w:t>
                  </w: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r>
                    <w:rPr>
                      <w:rFonts w:hint="default" w:ascii="Times New Roman" w:hAnsi="Times New Roman" w:eastAsia="宋体" w:cs="Times New Roman"/>
                      <w:color w:val="auto"/>
                      <w:sz w:val="18"/>
                      <w:szCs w:val="18"/>
                      <w:highlight w:val="none"/>
                      <w:vertAlign w:val="baseline"/>
                      <w:lang w:eastAsia="zh-CN"/>
                    </w:rPr>
                    <w:t>、</w:t>
                  </w: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color w:val="auto"/>
                      <w:sz w:val="18"/>
                      <w:szCs w:val="18"/>
                      <w:highlight w:val="none"/>
                      <w:vertAlign w:val="subscript"/>
                    </w:rPr>
                    <w:t>2</w:t>
                  </w:r>
                  <w:r>
                    <w:rPr>
                      <w:rFonts w:hint="default" w:ascii="Times New Roman" w:hAnsi="Times New Roman" w:eastAsia="宋体" w:cs="Times New Roman"/>
                      <w:color w:val="auto"/>
                      <w:sz w:val="18"/>
                      <w:szCs w:val="18"/>
                      <w:highlight w:val="none"/>
                      <w:vertAlign w:val="baseline"/>
                      <w:lang w:val="en-US" w:eastAsia="zh-CN"/>
                    </w:rPr>
                    <w:t>年平均质量浓度</w:t>
                  </w:r>
                  <w:r>
                    <w:rPr>
                      <w:rFonts w:hint="default" w:ascii="Times New Roman" w:hAnsi="Times New Roman" w:cs="Times New Roman"/>
                      <w:color w:val="auto"/>
                      <w:sz w:val="18"/>
                      <w:szCs w:val="18"/>
                      <w:highlight w:val="none"/>
                      <w:vertAlign w:val="baseline"/>
                      <w:lang w:val="en-US" w:eastAsia="zh-CN"/>
                    </w:rPr>
                    <w:t>及</w:t>
                  </w:r>
                  <w:r>
                    <w:rPr>
                      <w:rFonts w:hint="default" w:ascii="Times New Roman" w:hAnsi="Times New Roman" w:eastAsia="宋体" w:cs="Times New Roman"/>
                      <w:color w:val="auto"/>
                      <w:sz w:val="18"/>
                      <w:szCs w:val="18"/>
                      <w:highlight w:val="none"/>
                    </w:rPr>
                    <w:t>CO</w:t>
                  </w:r>
                  <w:r>
                    <w:rPr>
                      <w:rFonts w:hint="default" w:ascii="Times New Roman" w:hAnsi="Times New Roman" w:cs="Times New Roman"/>
                      <w:color w:val="auto"/>
                      <w:sz w:val="18"/>
                      <w:szCs w:val="18"/>
                      <w:highlight w:val="none"/>
                      <w:lang w:val="en-US" w:eastAsia="zh-CN"/>
                    </w:rPr>
                    <w:t>第95百分位数日平均浓度、O</w:t>
                  </w:r>
                  <w:r>
                    <w:rPr>
                      <w:rFonts w:hint="default" w:ascii="Times New Roman" w:hAnsi="Times New Roman" w:cs="Times New Roman"/>
                      <w:color w:val="auto"/>
                      <w:sz w:val="18"/>
                      <w:szCs w:val="18"/>
                      <w:highlight w:val="none"/>
                      <w:vertAlign w:val="subscript"/>
                      <w:lang w:val="en-US" w:eastAsia="zh-CN"/>
                    </w:rPr>
                    <w:t>3</w:t>
                  </w:r>
                  <w:r>
                    <w:rPr>
                      <w:rFonts w:hint="default" w:ascii="Times New Roman" w:hAnsi="Times New Roman" w:cs="Times New Roman"/>
                      <w:color w:val="auto"/>
                      <w:sz w:val="18"/>
                      <w:szCs w:val="18"/>
                      <w:highlight w:val="none"/>
                      <w:lang w:val="en-US" w:eastAsia="zh-CN"/>
                    </w:rPr>
                    <w:t>第90</w:t>
                  </w:r>
                  <w:r>
                    <w:rPr>
                      <w:rFonts w:hint="default" w:ascii="Times New Roman" w:hAnsi="Times New Roman" w:eastAsia="宋体" w:cs="Times New Roman"/>
                      <w:color w:val="auto"/>
                      <w:sz w:val="18"/>
                      <w:szCs w:val="18"/>
                      <w:highlight w:val="none"/>
                    </w:rPr>
                    <w:t>百分位数8h平均</w:t>
                  </w:r>
                  <w:r>
                    <w:rPr>
                      <w:rFonts w:hint="default" w:ascii="Times New Roman" w:hAnsi="Times New Roman" w:cs="Times New Roman"/>
                      <w:color w:val="auto"/>
                      <w:sz w:val="18"/>
                      <w:szCs w:val="18"/>
                      <w:highlight w:val="none"/>
                      <w:lang w:val="en-US" w:eastAsia="zh-CN"/>
                    </w:rPr>
                    <w:t>质量</w:t>
                  </w:r>
                  <w:r>
                    <w:rPr>
                      <w:rFonts w:hint="default" w:ascii="Times New Roman" w:hAnsi="Times New Roman" w:eastAsia="宋体" w:cs="Times New Roman"/>
                      <w:color w:val="auto"/>
                      <w:sz w:val="18"/>
                      <w:szCs w:val="18"/>
                      <w:highlight w:val="none"/>
                    </w:rPr>
                    <w:t>浓度</w:t>
                  </w:r>
                  <w:r>
                    <w:rPr>
                      <w:rFonts w:hint="default" w:ascii="Times New Roman" w:hAnsi="Times New Roman" w:eastAsia="宋体" w:cs="Times New Roman"/>
                      <w:color w:val="auto"/>
                      <w:sz w:val="18"/>
                      <w:szCs w:val="18"/>
                      <w:highlight w:val="none"/>
                      <w:lang w:val="en-US" w:eastAsia="zh-CN"/>
                    </w:rPr>
                    <w:t>均</w:t>
                  </w:r>
                  <w:r>
                    <w:rPr>
                      <w:rFonts w:hint="default" w:ascii="Times New Roman" w:hAnsi="Times New Roman" w:eastAsia="宋体" w:cs="Times New Roman"/>
                      <w:color w:val="auto"/>
                      <w:sz w:val="18"/>
                      <w:szCs w:val="18"/>
                      <w:highlight w:val="none"/>
                      <w:vertAlign w:val="baseline"/>
                      <w:lang w:val="en-US" w:eastAsia="zh-CN"/>
                    </w:rPr>
                    <w:t>满足</w:t>
                  </w:r>
                  <w:r>
                    <w:rPr>
                      <w:rFonts w:hint="default" w:ascii="Times New Roman" w:hAnsi="Times New Roman" w:cs="Times New Roman"/>
                      <w:color w:val="auto"/>
                      <w:kern w:val="0"/>
                      <w:sz w:val="18"/>
                      <w:szCs w:val="18"/>
                      <w:highlight w:val="none"/>
                    </w:rPr>
                    <w:t>《环境空气质量标准》（GB3095-2012）中的二级标准</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lang w:val="en-US" w:eastAsia="zh-CN"/>
                    </w:rPr>
                    <w:t>因此判定本项目区域环境空气质量为达标区</w:t>
                  </w:r>
                  <w:r>
                    <w:rPr>
                      <w:rFonts w:hint="default" w:ascii="Times New Roman" w:hAnsi="Times New Roman" w:cs="Times New Roman"/>
                      <w:color w:val="auto"/>
                      <w:kern w:val="2"/>
                      <w:sz w:val="18"/>
                      <w:szCs w:val="18"/>
                      <w:highlight w:val="none"/>
                      <w:lang w:val="en-US" w:eastAsia="zh-CN"/>
                    </w:rPr>
                    <w:t>。</w:t>
                  </w:r>
                </w:p>
                <w:p w14:paraId="198A2ED0">
                  <w:pPr>
                    <w:pStyle w:val="16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82"/>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本项目</w:t>
                  </w:r>
                  <w:r>
                    <w:rPr>
                      <w:rFonts w:hint="default" w:ascii="Times New Roman" w:hAnsi="Times New Roman" w:cs="Times New Roman"/>
                      <w:color w:val="auto"/>
                      <w:kern w:val="21"/>
                      <w:sz w:val="18"/>
                      <w:szCs w:val="18"/>
                      <w:highlight w:val="none"/>
                      <w:vertAlign w:val="baseline"/>
                      <w:lang w:val="en-US" w:eastAsia="zh-CN"/>
                    </w:rPr>
                    <w:t>淘汰现有</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kern w:val="21"/>
                      <w:sz w:val="18"/>
                      <w:szCs w:val="18"/>
                      <w:highlight w:val="none"/>
                      <w:lang w:val="en-US" w:eastAsia="zh-CN"/>
                    </w:rPr>
                    <w:t>台10t/h燃煤锅炉</w:t>
                  </w:r>
                  <w:r>
                    <w:rPr>
                      <w:rFonts w:hint="default" w:ascii="Times New Roman" w:hAnsi="Times New Roman" w:eastAsia="宋体" w:cs="Times New Roman"/>
                      <w:color w:val="auto"/>
                      <w:kern w:val="21"/>
                      <w:sz w:val="18"/>
                      <w:szCs w:val="18"/>
                      <w:highlight w:val="none"/>
                      <w:vertAlign w:val="baseline"/>
                      <w:lang w:val="en-US" w:eastAsia="zh-CN"/>
                    </w:rPr>
                    <w:t>，</w:t>
                  </w:r>
                  <w:r>
                    <w:rPr>
                      <w:rFonts w:hint="default" w:ascii="Times New Roman" w:hAnsi="Times New Roman" w:cs="Times New Roman"/>
                      <w:color w:val="auto"/>
                      <w:kern w:val="21"/>
                      <w:sz w:val="18"/>
                      <w:szCs w:val="18"/>
                      <w:highlight w:val="none"/>
                      <w:vertAlign w:val="baseline"/>
                      <w:lang w:val="en-US" w:eastAsia="zh-CN"/>
                    </w:rPr>
                    <w:t>新建</w:t>
                  </w:r>
                  <w:r>
                    <w:rPr>
                      <w:rFonts w:hint="default" w:ascii="Times New Roman" w:hAnsi="Times New Roman" w:cs="Times New Roman"/>
                      <w:color w:val="auto"/>
                      <w:sz w:val="18"/>
                      <w:szCs w:val="18"/>
                      <w:highlight w:val="none"/>
                      <w:lang w:val="en-US" w:eastAsia="zh-CN"/>
                    </w:rPr>
                    <w:t>3台10t/h生物质蒸汽锅炉，</w:t>
                  </w:r>
                  <w:r>
                    <w:rPr>
                      <w:rFonts w:hint="eastAsia"/>
                      <w:color w:val="auto"/>
                      <w:sz w:val="18"/>
                      <w:szCs w:val="18"/>
                      <w:highlight w:val="none"/>
                      <w:lang w:val="en-US" w:eastAsia="zh-CN"/>
                    </w:rPr>
                    <w:t>锅炉</w:t>
                  </w:r>
                  <w:r>
                    <w:rPr>
                      <w:rFonts w:hint="default" w:ascii="Times New Roman" w:hAnsi="Times New Roman" w:eastAsia="宋体" w:cs="Times New Roman"/>
                      <w:color w:val="auto"/>
                      <w:sz w:val="18"/>
                      <w:szCs w:val="18"/>
                      <w:highlight w:val="none"/>
                    </w:rPr>
                    <w:t>烟气</w:t>
                  </w:r>
                  <w:r>
                    <w:rPr>
                      <w:rFonts w:hint="eastAsia" w:cs="Times New Roman"/>
                      <w:color w:val="auto"/>
                      <w:sz w:val="18"/>
                      <w:szCs w:val="18"/>
                      <w:highlight w:val="none"/>
                      <w:lang w:val="en-US" w:eastAsia="zh-CN"/>
                    </w:rPr>
                    <w:t>分别</w:t>
                  </w:r>
                  <w:r>
                    <w:rPr>
                      <w:rFonts w:hint="default" w:ascii="Times New Roman" w:hAnsi="Times New Roman" w:eastAsia="宋体" w:cs="Times New Roman"/>
                      <w:color w:val="auto"/>
                      <w:sz w:val="18"/>
                      <w:szCs w:val="18"/>
                      <w:highlight w:val="none"/>
                    </w:rPr>
                    <w:t>经</w:t>
                  </w:r>
                  <w:r>
                    <w:rPr>
                      <w:rFonts w:hint="eastAsia" w:cs="Times New Roman"/>
                      <w:color w:val="auto"/>
                      <w:sz w:val="18"/>
                      <w:szCs w:val="18"/>
                      <w:highlight w:val="none"/>
                      <w:lang w:val="en-US" w:eastAsia="zh-CN"/>
                    </w:rPr>
                    <w:t>各自配备的多管陶瓷</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布袋除尘器（除尘效率为99.</w:t>
                  </w:r>
                  <w:r>
                    <w:rPr>
                      <w:rFonts w:hint="default" w:ascii="Times New Roman" w:hAnsi="Times New Roman" w:eastAsia="宋体"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rPr>
                    <w:t>）处理后，由</w:t>
                  </w:r>
                  <w:r>
                    <w:rPr>
                      <w:rFonts w:hint="eastAsia" w:cs="Times New Roman"/>
                      <w:color w:val="auto"/>
                      <w:sz w:val="18"/>
                      <w:szCs w:val="18"/>
                      <w:highlight w:val="none"/>
                      <w:lang w:val="en-US" w:eastAsia="zh-CN"/>
                    </w:rPr>
                    <w:t>1根</w:t>
                  </w:r>
                  <w:r>
                    <w:rPr>
                      <w:rFonts w:hint="eastAsia"/>
                      <w:color w:val="auto"/>
                      <w:sz w:val="18"/>
                      <w:szCs w:val="18"/>
                      <w:highlight w:val="none"/>
                      <w:lang w:val="en-US" w:eastAsia="zh-CN"/>
                    </w:rPr>
                    <w:t>60m烟囱（DA001）排放</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bCs/>
                      <w:color w:val="auto"/>
                      <w:sz w:val="18"/>
                      <w:szCs w:val="18"/>
                      <w:highlight w:val="none"/>
                      <w:lang w:val="en-US" w:eastAsia="zh-CN"/>
                    </w:rPr>
                    <w:t>锅炉除渣过程在密闭锅炉房内完成，并配合洒水降尘，生物质燃料存储于封闭燃料库内，并燃料苫盖，灰渣（炉渣及多管陶瓷+布袋除尘器收尘）存储于密闭灰渣库，配合洒水降尘措施，不会形成动力起尘的粉尘影响</w:t>
                  </w:r>
                  <w:r>
                    <w:rPr>
                      <w:rFonts w:hint="default" w:ascii="Times New Roman" w:hAnsi="Times New Roman" w:cs="Times New Roman"/>
                      <w:bCs/>
                      <w:color w:val="auto"/>
                      <w:sz w:val="18"/>
                      <w:szCs w:val="18"/>
                      <w:highlight w:val="none"/>
                    </w:rPr>
                    <w:t>。</w:t>
                  </w:r>
                  <w:r>
                    <w:rPr>
                      <w:rFonts w:hint="default" w:ascii="Times New Roman" w:hAnsi="Times New Roman" w:eastAsia="宋体" w:cs="Times New Roman"/>
                      <w:color w:val="auto"/>
                      <w:kern w:val="0"/>
                      <w:sz w:val="18"/>
                      <w:szCs w:val="18"/>
                      <w:highlight w:val="none"/>
                      <w:lang w:val="en-US" w:eastAsia="zh-CN"/>
                    </w:rPr>
                    <w:t>对周围环境影响较小，</w:t>
                  </w:r>
                  <w:r>
                    <w:rPr>
                      <w:rFonts w:hint="default" w:ascii="Times New Roman" w:hAnsi="Times New Roman" w:cs="Times New Roman"/>
                      <w:color w:val="auto"/>
                      <w:sz w:val="18"/>
                      <w:szCs w:val="18"/>
                      <w:highlight w:val="none"/>
                    </w:rPr>
                    <w:t>不会改变区域大气环境质量现状，因此，符合大气环境质量底线要求。</w:t>
                  </w:r>
                </w:p>
                <w:p w14:paraId="41732AC3">
                  <w:pPr>
                    <w:pStyle w:val="16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82"/>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2、水环境</w:t>
                  </w:r>
                </w:p>
                <w:p w14:paraId="6A5BE51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360" w:firstLineChars="200"/>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z w:val="18"/>
                      <w:szCs w:val="18"/>
                      <w:highlight w:val="none"/>
                      <w:lang w:val="en-US" w:eastAsia="zh-CN"/>
                    </w:rPr>
                    <w:t>本项目区域地表水体为穆棱河。</w:t>
                  </w:r>
                  <w:r>
                    <w:rPr>
                      <w:rFonts w:hint="default" w:ascii="Times New Roman" w:hAnsi="Times New Roman" w:cs="Times New Roman"/>
                      <w:color w:val="auto"/>
                      <w:sz w:val="18"/>
                      <w:szCs w:val="18"/>
                      <w:highlight w:val="none"/>
                    </w:rPr>
                    <w:t>根据</w:t>
                  </w:r>
                  <w:r>
                    <w:rPr>
                      <w:rFonts w:hint="default" w:ascii="Times New Roman" w:hAnsi="Times New Roman" w:cs="Times New Roman"/>
                      <w:bCs/>
                      <w:color w:val="auto"/>
                      <w:sz w:val="18"/>
                      <w:szCs w:val="18"/>
                      <w:highlight w:val="none"/>
                    </w:rPr>
                    <w:t>鸡西市生态环境局网站公布的202</w:t>
                  </w:r>
                  <w:r>
                    <w:rPr>
                      <w:rFonts w:hint="default" w:ascii="Times New Roman" w:hAnsi="Times New Roman" w:cs="Times New Roman"/>
                      <w:bCs/>
                      <w:color w:val="auto"/>
                      <w:sz w:val="18"/>
                      <w:szCs w:val="18"/>
                      <w:highlight w:val="none"/>
                      <w:lang w:val="en-US" w:eastAsia="zh-CN"/>
                    </w:rPr>
                    <w:t>4</w:t>
                  </w:r>
                  <w:r>
                    <w:rPr>
                      <w:rFonts w:hint="default" w:ascii="Times New Roman" w:hAnsi="Times New Roman" w:cs="Times New Roman"/>
                      <w:bCs/>
                      <w:color w:val="auto"/>
                      <w:sz w:val="18"/>
                      <w:szCs w:val="18"/>
                      <w:highlight w:val="none"/>
                    </w:rPr>
                    <w:t>年1月</w:t>
                  </w:r>
                  <w:r>
                    <w:rPr>
                      <w:rFonts w:hint="default" w:ascii="Times New Roman" w:hAnsi="Times New Roman" w:cs="Times New Roman"/>
                      <w:bCs/>
                      <w:color w:val="auto"/>
                      <w:sz w:val="18"/>
                      <w:szCs w:val="18"/>
                      <w:highlight w:val="none"/>
                      <w:lang w:eastAsia="zh-CN"/>
                    </w:rPr>
                    <w:t>—</w:t>
                  </w:r>
                  <w:r>
                    <w:rPr>
                      <w:rFonts w:hint="default" w:ascii="Times New Roman" w:hAnsi="Times New Roman" w:cs="Times New Roman"/>
                      <w:bCs/>
                      <w:color w:val="auto"/>
                      <w:sz w:val="18"/>
                      <w:szCs w:val="18"/>
                      <w:highlight w:val="none"/>
                    </w:rPr>
                    <w:t>12月《鸡西市地表水国控考核断面水质信息公开》，穆棱河知一桥、穆棱河河口内断面全年达到Ⅲ类水质类别标准</w:t>
                  </w:r>
                  <w:r>
                    <w:rPr>
                      <w:rFonts w:hint="default" w:ascii="Times New Roman" w:hAnsi="Times New Roman" w:eastAsia="宋体" w:cs="Times New Roman"/>
                      <w:color w:val="auto"/>
                      <w:kern w:val="0"/>
                      <w:sz w:val="18"/>
                      <w:szCs w:val="18"/>
                      <w:highlight w:val="none"/>
                      <w:lang w:val="en-US" w:eastAsia="zh-CN" w:bidi="ar"/>
                    </w:rPr>
                    <w:t>。</w:t>
                  </w:r>
                </w:p>
                <w:p w14:paraId="316F070D">
                  <w:pPr>
                    <w:pStyle w:val="34"/>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360" w:firstLineChars="200"/>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pacing w:val="0"/>
                      <w:sz w:val="18"/>
                      <w:szCs w:val="18"/>
                      <w:highlight w:val="none"/>
                    </w:rPr>
                    <w:t>本项目</w:t>
                  </w:r>
                  <w:r>
                    <w:rPr>
                      <w:rFonts w:hint="eastAsia" w:cs="Times New Roman"/>
                      <w:color w:val="auto"/>
                      <w:kern w:val="0"/>
                      <w:sz w:val="18"/>
                      <w:szCs w:val="18"/>
                      <w:highlight w:val="none"/>
                      <w:lang w:val="en-US" w:eastAsia="zh-CN"/>
                    </w:rPr>
                    <w:t>无新增员工，故无新</w:t>
                  </w:r>
                  <w:r>
                    <w:rPr>
                      <w:rFonts w:hint="eastAsia" w:cs="Times New Roman"/>
                      <w:color w:val="auto"/>
                      <w:kern w:val="0"/>
                      <w:sz w:val="18"/>
                      <w:szCs w:val="18"/>
                      <w:highlight w:val="none"/>
                      <w:lang w:val="en-US" w:eastAsia="zh-CN"/>
                    </w:rPr>
                    <w:t>增生活污水</w:t>
                  </w:r>
                  <w:r>
                    <w:rPr>
                      <w:rFonts w:hint="default" w:ascii="Times New Roman" w:hAnsi="Times New Roman" w:eastAsia="宋体" w:cs="Times New Roman"/>
                      <w:color w:val="auto"/>
                      <w:spacing w:val="0"/>
                      <w:sz w:val="18"/>
                      <w:szCs w:val="18"/>
                      <w:highlight w:val="none"/>
                    </w:rPr>
                    <w:t>。</w:t>
                  </w:r>
                  <w:r>
                    <w:rPr>
                      <w:rFonts w:hint="eastAsia"/>
                      <w:color w:val="FF0000"/>
                      <w:sz w:val="18"/>
                      <w:szCs w:val="18"/>
                      <w:highlight w:val="none"/>
                      <w:lang w:val="en-US" w:eastAsia="zh-CN"/>
                    </w:rPr>
                    <w:t>初期雨水依托东山煤矿洗煤一厂现有初期雨水收集池，初期雨水集中收集后回用洒水降尘，不外排，</w:t>
                  </w:r>
                  <w:r>
                    <w:rPr>
                      <w:rFonts w:hint="default" w:ascii="Times New Roman" w:hAnsi="Times New Roman" w:cs="Times New Roman"/>
                      <w:color w:val="auto"/>
                      <w:kern w:val="0"/>
                      <w:sz w:val="18"/>
                      <w:szCs w:val="18"/>
                      <w:highlight w:val="none"/>
                    </w:rPr>
                    <w:t>锅炉排污</w:t>
                  </w:r>
                  <w:r>
                    <w:rPr>
                      <w:rFonts w:hint="default" w:ascii="Times New Roman" w:hAnsi="Times New Roman" w:cs="Times New Roman"/>
                      <w:color w:val="auto"/>
                      <w:kern w:val="0"/>
                      <w:sz w:val="18"/>
                      <w:szCs w:val="18"/>
                      <w:highlight w:val="none"/>
                    </w:rPr>
                    <w:t>水</w:t>
                  </w:r>
                  <w:r>
                    <w:rPr>
                      <w:rFonts w:hint="eastAsia" w:cs="Times New Roman"/>
                      <w:color w:val="auto"/>
                      <w:kern w:val="0"/>
                      <w:sz w:val="18"/>
                      <w:szCs w:val="18"/>
                      <w:highlight w:val="none"/>
                      <w:lang w:val="en-US" w:eastAsia="zh-CN"/>
                    </w:rPr>
                    <w:t>及软化处理废水</w:t>
                  </w:r>
                  <w:r>
                    <w:rPr>
                      <w:rFonts w:hint="eastAsia" w:ascii="Times New Roman" w:hAnsi="Times New Roman" w:cs="Times New Roman"/>
                      <w:color w:val="auto"/>
                      <w:kern w:val="0"/>
                      <w:sz w:val="18"/>
                      <w:szCs w:val="18"/>
                      <w:highlight w:val="none"/>
                      <w:lang w:eastAsia="zh-CN"/>
                    </w:rPr>
                    <w:t>，</w:t>
                  </w:r>
                  <w:r>
                    <w:rPr>
                      <w:rFonts w:hint="default" w:ascii="Times New Roman" w:hAnsi="Times New Roman" w:cs="Times New Roman"/>
                      <w:color w:val="auto"/>
                      <w:sz w:val="18"/>
                      <w:szCs w:val="18"/>
                      <w:highlight w:val="none"/>
                    </w:rPr>
                    <w:t>暂存厂区</w:t>
                  </w:r>
                  <w:r>
                    <w:rPr>
                      <w:rFonts w:hint="eastAsia" w:cs="Times New Roman"/>
                      <w:color w:val="auto"/>
                      <w:sz w:val="18"/>
                      <w:szCs w:val="18"/>
                      <w:highlight w:val="none"/>
                      <w:lang w:val="en-US" w:eastAsia="zh-CN"/>
                    </w:rPr>
                    <w:t>70</w:t>
                  </w:r>
                  <w:r>
                    <w:rPr>
                      <w:rFonts w:hint="default" w:ascii="Times New Roman" w:hAnsi="Times New Roman" w:cs="Times New Roman"/>
                      <w:b w:val="0"/>
                      <w:bCs w:val="0"/>
                      <w:color w:val="auto"/>
                      <w:sz w:val="18"/>
                      <w:szCs w:val="18"/>
                      <w:highlight w:val="none"/>
                    </w:rPr>
                    <w:t>m³</w:t>
                  </w:r>
                  <w:r>
                    <w:rPr>
                      <w:rFonts w:hint="default" w:ascii="Times New Roman" w:hAnsi="Times New Roman" w:cs="Times New Roman"/>
                      <w:color w:val="auto"/>
                      <w:sz w:val="18"/>
                      <w:szCs w:val="18"/>
                      <w:highlight w:val="none"/>
                    </w:rPr>
                    <w:t>防渗</w:t>
                  </w:r>
                  <w:r>
                    <w:rPr>
                      <w:rFonts w:hint="eastAsia" w:cs="Times New Roman"/>
                      <w:color w:val="auto"/>
                      <w:sz w:val="18"/>
                      <w:szCs w:val="18"/>
                      <w:highlight w:val="none"/>
                      <w:lang w:val="en-US" w:eastAsia="zh-CN"/>
                    </w:rPr>
                    <w:t>储水罐</w:t>
                  </w:r>
                  <w:r>
                    <w:rPr>
                      <w:rFonts w:hint="default" w:ascii="Times New Roman" w:hAnsi="Times New Roman" w:cs="Times New Roman"/>
                      <w:color w:val="auto"/>
                      <w:sz w:val="18"/>
                      <w:szCs w:val="18"/>
                      <w:highlight w:val="none"/>
                    </w:rPr>
                    <w:t>内，</w:t>
                  </w:r>
                  <w:r>
                    <w:rPr>
                      <w:rFonts w:hint="eastAsia" w:cs="Times New Roman"/>
                      <w:color w:val="auto"/>
                      <w:sz w:val="18"/>
                      <w:szCs w:val="18"/>
                      <w:highlight w:val="none"/>
                      <w:lang w:val="en-US" w:eastAsia="zh-CN"/>
                    </w:rPr>
                    <w:t>定期拉</w:t>
                  </w:r>
                  <w:r>
                    <w:rPr>
                      <w:rFonts w:hint="default" w:ascii="Times New Roman" w:hAnsi="Times New Roman" w:cs="Times New Roman"/>
                      <w:color w:val="auto"/>
                      <w:sz w:val="18"/>
                      <w:szCs w:val="18"/>
                      <w:highlight w:val="none"/>
                    </w:rPr>
                    <w:t>运至</w:t>
                  </w:r>
                  <w:r>
                    <w:rPr>
                      <w:rFonts w:hint="eastAsia" w:ascii="Times New Roman" w:hAnsi="Times New Roman" w:cs="Times New Roman"/>
                      <w:color w:val="auto"/>
                      <w:kern w:val="0"/>
                      <w:sz w:val="18"/>
                      <w:szCs w:val="18"/>
                      <w:highlight w:val="none"/>
                      <w:lang w:val="en-US" w:eastAsia="zh-CN" w:bidi="ar"/>
                    </w:rPr>
                    <w:t>恒山区污水处理厂</w:t>
                  </w:r>
                  <w:r>
                    <w:rPr>
                      <w:rFonts w:hint="eastAsia" w:ascii="宋体" w:hAnsi="宋体" w:eastAsia="宋体" w:cs="宋体"/>
                      <w:color w:val="auto"/>
                      <w:sz w:val="18"/>
                      <w:szCs w:val="18"/>
                      <w:highlight w:val="none"/>
                      <w:lang w:eastAsia="zh-CN"/>
                    </w:rPr>
                    <w:t>，</w:t>
                  </w:r>
                  <w:r>
                    <w:rPr>
                      <w:rFonts w:hint="default" w:ascii="Times New Roman" w:hAnsi="Times New Roman" w:cs="Times New Roman"/>
                      <w:color w:val="auto"/>
                      <w:sz w:val="18"/>
                      <w:szCs w:val="18"/>
                      <w:highlight w:val="none"/>
                    </w:rPr>
                    <w:t>经</w:t>
                  </w:r>
                  <w:r>
                    <w:rPr>
                      <w:rFonts w:hint="eastAsia" w:ascii="Times New Roman" w:hAnsi="Times New Roman" w:cs="Times New Roman"/>
                      <w:color w:val="auto"/>
                      <w:kern w:val="0"/>
                      <w:sz w:val="18"/>
                      <w:szCs w:val="18"/>
                      <w:highlight w:val="none"/>
                      <w:lang w:val="en-US" w:eastAsia="zh-CN" w:bidi="ar"/>
                    </w:rPr>
                    <w:t>恒山区污水处理厂</w:t>
                  </w:r>
                  <w:r>
                    <w:rPr>
                      <w:rFonts w:hint="default" w:ascii="Times New Roman" w:hAnsi="Times New Roman" w:cs="Times New Roman"/>
                      <w:color w:val="auto"/>
                      <w:sz w:val="18"/>
                      <w:szCs w:val="18"/>
                      <w:highlight w:val="none"/>
                    </w:rPr>
                    <w:t>处理达标后</w:t>
                  </w:r>
                  <w:r>
                    <w:rPr>
                      <w:rFonts w:hint="default" w:ascii="Times New Roman" w:hAnsi="Times New Roman" w:eastAsia="宋体" w:cs="Times New Roman"/>
                      <w:color w:val="auto"/>
                      <w:sz w:val="18"/>
                      <w:szCs w:val="18"/>
                      <w:highlight w:val="none"/>
                    </w:rPr>
                    <w:t>排入小黄泥河，最终汇入穆棱河</w:t>
                  </w:r>
                  <w:r>
                    <w:rPr>
                      <w:rFonts w:hint="default" w:ascii="Times New Roman" w:hAnsi="Times New Roman" w:eastAsia="宋体" w:cs="Times New Roman"/>
                      <w:color w:val="auto"/>
                      <w:spacing w:val="0"/>
                      <w:sz w:val="18"/>
                      <w:szCs w:val="18"/>
                      <w:highlight w:val="none"/>
                    </w:rPr>
                    <w:t>。</w:t>
                  </w:r>
                  <w:r>
                    <w:rPr>
                      <w:rFonts w:hint="default" w:ascii="Times New Roman" w:hAnsi="Times New Roman" w:cs="Times New Roman"/>
                      <w:color w:val="auto"/>
                      <w:sz w:val="18"/>
                      <w:szCs w:val="18"/>
                      <w:highlight w:val="none"/>
                    </w:rPr>
                    <w:t>不会对地表水和地下水环境造成影响，符合水环境质量底线要求。</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360" w:firstLineChars="200"/>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3、声环境</w:t>
                  </w:r>
                </w:p>
                <w:p w14:paraId="43A144A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360" w:firstLineChars="200"/>
                    <w:textAlignment w:val="auto"/>
                    <w:rPr>
                      <w:rFonts w:hint="default" w:ascii="Times New Roman" w:hAnsi="Times New Roman" w:cs="Times New Roman" w:eastAsiaTheme="minorEastAsia"/>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rPr>
                    <w:t>根据</w:t>
                  </w:r>
                  <w:r>
                    <w:rPr>
                      <w:rFonts w:hint="default" w:ascii="Times New Roman" w:hAnsi="Times New Roman" w:eastAsia="宋体"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eastAsia="宋体" w:cs="Times New Roman"/>
                      <w:color w:val="auto"/>
                      <w:sz w:val="18"/>
                      <w:szCs w:val="18"/>
                      <w:highlight w:val="none"/>
                    </w:rPr>
                    <w:t>年</w:t>
                  </w:r>
                  <w:r>
                    <w:rPr>
                      <w:rFonts w:hint="default" w:ascii="Times New Roman" w:hAnsi="Times New Roman" w:eastAsia="宋体" w:cs="Times New Roman"/>
                      <w:color w:val="auto"/>
                      <w:sz w:val="18"/>
                      <w:szCs w:val="18"/>
                      <w:highlight w:val="none"/>
                      <w:lang w:val="en-US" w:eastAsia="zh-CN"/>
                    </w:rPr>
                    <w:t>黑龙江省生态环境质量状况</w:t>
                  </w:r>
                  <w:r>
                    <w:rPr>
                      <w:rFonts w:hint="default" w:ascii="Times New Roman" w:hAnsi="Times New Roman" w:eastAsia="宋体" w:cs="Times New Roman"/>
                      <w:color w:val="auto"/>
                      <w:sz w:val="18"/>
                      <w:szCs w:val="18"/>
                      <w:highlight w:val="none"/>
                    </w:rPr>
                    <w:t>》数据可知，202</w:t>
                  </w:r>
                  <w:r>
                    <w:rPr>
                      <w:rFonts w:hint="default" w:ascii="Times New Roman" w:hAnsi="Times New Roman" w:cs="Times New Roman"/>
                      <w:color w:val="auto"/>
                      <w:sz w:val="18"/>
                      <w:szCs w:val="18"/>
                      <w:highlight w:val="none"/>
                      <w:lang w:val="en-US" w:eastAsia="zh-CN"/>
                    </w:rPr>
                    <w:t>4</w:t>
                  </w:r>
                  <w:r>
                    <w:rPr>
                      <w:rFonts w:hint="default" w:ascii="Times New Roman" w:hAnsi="Times New Roman" w:eastAsia="宋体" w:cs="Times New Roman"/>
                      <w:color w:val="auto"/>
                      <w:sz w:val="18"/>
                      <w:szCs w:val="18"/>
                      <w:highlight w:val="none"/>
                    </w:rPr>
                    <w:t>年</w:t>
                  </w:r>
                  <w:r>
                    <w:rPr>
                      <w:rFonts w:hint="default" w:ascii="Times New Roman" w:hAnsi="Times New Roman" w:eastAsia="宋体" w:cs="Times New Roman"/>
                      <w:color w:val="auto"/>
                      <w:kern w:val="0"/>
                      <w:sz w:val="18"/>
                      <w:szCs w:val="18"/>
                      <w:highlight w:val="none"/>
                      <w:lang w:val="en-US" w:eastAsia="zh-CN" w:bidi="ar"/>
                    </w:rPr>
                    <w:t>鸡西市区域昼间声环境质量为二级，等效声级为5</w:t>
                  </w:r>
                  <w:r>
                    <w:rPr>
                      <w:rFonts w:hint="default" w:ascii="Times New Roman" w:hAnsi="Times New Roman" w:cs="Times New Roman"/>
                      <w:color w:val="auto"/>
                      <w:kern w:val="0"/>
                      <w:sz w:val="18"/>
                      <w:szCs w:val="18"/>
                      <w:highlight w:val="none"/>
                      <w:lang w:val="en-US" w:eastAsia="zh-CN" w:bidi="ar"/>
                    </w:rPr>
                    <w:t>3.6</w:t>
                  </w:r>
                  <w:r>
                    <w:rPr>
                      <w:rFonts w:hint="default" w:ascii="Times New Roman" w:hAnsi="Times New Roman" w:eastAsia="宋体" w:cs="Times New Roman"/>
                      <w:color w:val="auto"/>
                      <w:kern w:val="0"/>
                      <w:sz w:val="18"/>
                      <w:szCs w:val="18"/>
                      <w:highlight w:val="none"/>
                      <w:lang w:val="en-US" w:eastAsia="zh-CN" w:bidi="ar"/>
                    </w:rPr>
                    <w:t>dB(A)</w:t>
                  </w:r>
                  <w:r>
                    <w:rPr>
                      <w:rFonts w:hint="default" w:ascii="Times New Roman" w:hAnsi="Times New Roman"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道路交通昼间声环境质量为一级，等效声级为6</w:t>
                  </w:r>
                  <w:r>
                    <w:rPr>
                      <w:rFonts w:hint="default" w:ascii="Times New Roman" w:hAnsi="Times New Roman" w:cs="Times New Roman"/>
                      <w:color w:val="auto"/>
                      <w:kern w:val="0"/>
                      <w:sz w:val="18"/>
                      <w:szCs w:val="18"/>
                      <w:highlight w:val="none"/>
                      <w:lang w:val="en-US" w:eastAsia="zh-CN" w:bidi="ar"/>
                    </w:rPr>
                    <w:t>5.8</w:t>
                  </w:r>
                  <w:r>
                    <w:rPr>
                      <w:rFonts w:hint="default" w:ascii="Times New Roman" w:hAnsi="Times New Roman" w:eastAsia="宋体" w:cs="Times New Roman"/>
                      <w:color w:val="auto"/>
                      <w:kern w:val="0"/>
                      <w:sz w:val="18"/>
                      <w:szCs w:val="18"/>
                      <w:highlight w:val="none"/>
                      <w:lang w:val="en-US" w:eastAsia="zh-CN" w:bidi="ar"/>
                    </w:rPr>
                    <w:t>dB(A)。</w:t>
                  </w:r>
                </w:p>
                <w:p w14:paraId="14328A2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360" w:firstLineChars="200"/>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z w:val="18"/>
                      <w:szCs w:val="18"/>
                      <w:highlight w:val="none"/>
                    </w:rPr>
                    <w:t>本项目采用低噪声设备、厂房隔声、基础减振等措施。不会对周边声环境造成影响，因此符合声环境质量底线要求</w:t>
                  </w:r>
                  <w:r>
                    <w:rPr>
                      <w:rFonts w:hint="default" w:ascii="Times New Roman" w:hAnsi="Times New Roman" w:cs="Times New Roman"/>
                      <w:color w:val="auto"/>
                      <w:sz w:val="18"/>
                      <w:szCs w:val="18"/>
                      <w:highlight w:val="none"/>
                      <w:lang w:val="en-US" w:eastAsia="zh-CN"/>
                    </w:rPr>
                    <w:t>。</w:t>
                  </w:r>
                </w:p>
                <w:p w14:paraId="121E2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360" w:firstLineChars="200"/>
                    <w:textAlignment w:val="auto"/>
                    <w:rPr>
                      <w:rFonts w:hint="default"/>
                      <w:color w:val="auto"/>
                      <w:sz w:val="18"/>
                      <w:szCs w:val="18"/>
                      <w:highlight w:val="none"/>
                    </w:rPr>
                  </w:pPr>
                  <w:r>
                    <w:rPr>
                      <w:rFonts w:hint="default"/>
                      <w:color w:val="auto"/>
                      <w:kern w:val="0"/>
                      <w:sz w:val="18"/>
                      <w:szCs w:val="18"/>
                      <w:highlight w:val="none"/>
                    </w:rPr>
                    <w:t>本项目运营期各类污染物经环境保护措施治理后均可达标排放，对区域环境造成的不利影响较小，不会改变区域环境质量现状，因此，</w:t>
                  </w:r>
                  <w:r>
                    <w:rPr>
                      <w:rFonts w:hint="eastAsia"/>
                      <w:color w:val="auto"/>
                      <w:kern w:val="0"/>
                      <w:sz w:val="18"/>
                      <w:szCs w:val="18"/>
                      <w:highlight w:val="none"/>
                      <w:lang w:val="en-US" w:eastAsia="zh-CN"/>
                    </w:rPr>
                    <w:t>本项目</w:t>
                  </w:r>
                  <w:r>
                    <w:rPr>
                      <w:rFonts w:hint="default"/>
                      <w:color w:val="auto"/>
                      <w:kern w:val="0"/>
                      <w:sz w:val="18"/>
                      <w:szCs w:val="18"/>
                      <w:highlight w:val="none"/>
                    </w:rPr>
                    <w:t>符合环境质量底线要求。</w:t>
                  </w:r>
                </w:p>
              </w:tc>
            </w:tr>
            <w:tr w14:paraId="203BF5DC">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09074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olor w:val="auto"/>
                      <w:sz w:val="18"/>
                      <w:szCs w:val="18"/>
                      <w:highlight w:val="none"/>
                    </w:rPr>
                  </w:pPr>
                  <w:r>
                    <w:rPr>
                      <w:rFonts w:hint="default"/>
                      <w:b/>
                      <w:bCs/>
                      <w:color w:val="auto"/>
                      <w:sz w:val="18"/>
                      <w:szCs w:val="18"/>
                      <w:highlight w:val="none"/>
                    </w:rPr>
                    <w:t>三、资源利用上线</w:t>
                  </w:r>
                </w:p>
              </w:tc>
            </w:tr>
            <w:tr w14:paraId="358043B8">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536FAF4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360" w:firstLineChars="200"/>
                    <w:textAlignment w:val="auto"/>
                    <w:rPr>
                      <w:rFonts w:hint="default"/>
                      <w:color w:val="auto"/>
                      <w:sz w:val="18"/>
                      <w:szCs w:val="18"/>
                      <w:highlight w:val="none"/>
                    </w:rPr>
                  </w:pPr>
                  <w:r>
                    <w:rPr>
                      <w:rFonts w:hint="default"/>
                      <w:color w:val="auto"/>
                      <w:kern w:val="0"/>
                      <w:sz w:val="18"/>
                      <w:szCs w:val="18"/>
                      <w:highlight w:val="none"/>
                    </w:rPr>
                    <w:t>本项目供水为</w:t>
                  </w:r>
                  <w:r>
                    <w:rPr>
                      <w:rFonts w:hint="eastAsia"/>
                      <w:color w:val="auto"/>
                      <w:kern w:val="0"/>
                      <w:sz w:val="18"/>
                      <w:szCs w:val="18"/>
                      <w:highlight w:val="none"/>
                      <w:lang w:val="en-US" w:eastAsia="zh-CN"/>
                    </w:rPr>
                    <w:t>市政自来水</w:t>
                  </w:r>
                  <w:r>
                    <w:rPr>
                      <w:rFonts w:hint="eastAsia" w:ascii="Times New Roman" w:hAnsi="Times New Roman"/>
                      <w:color w:val="auto"/>
                      <w:sz w:val="18"/>
                      <w:szCs w:val="18"/>
                      <w:highlight w:val="none"/>
                      <w:lang w:val="en-US" w:eastAsia="zh-CN"/>
                    </w:rPr>
                    <w:t>，</w:t>
                  </w:r>
                  <w:r>
                    <w:rPr>
                      <w:rFonts w:hint="default"/>
                      <w:color w:val="auto"/>
                      <w:kern w:val="0"/>
                      <w:sz w:val="18"/>
                      <w:szCs w:val="18"/>
                      <w:highlight w:val="none"/>
                    </w:rPr>
                    <w:t>供电电源为当地供电电网，用水水源及供电电源可靠，资源消耗量相对于区域资源利用总量较小，</w:t>
                  </w:r>
                  <w:r>
                    <w:rPr>
                      <w:rFonts w:hint="eastAsia"/>
                      <w:color w:val="auto"/>
                      <w:kern w:val="0"/>
                      <w:sz w:val="18"/>
                      <w:szCs w:val="18"/>
                      <w:highlight w:val="none"/>
                      <w:lang w:val="en-US" w:eastAsia="zh-CN"/>
                    </w:rPr>
                    <w:t>本项目</w:t>
                  </w:r>
                  <w:r>
                    <w:rPr>
                      <w:rFonts w:hint="default"/>
                      <w:color w:val="auto"/>
                      <w:kern w:val="0"/>
                      <w:sz w:val="18"/>
                      <w:szCs w:val="18"/>
                      <w:highlight w:val="none"/>
                    </w:rPr>
                    <w:t>符合资源利用上线要求。</w:t>
                  </w:r>
                </w:p>
              </w:tc>
            </w:tr>
            <w:tr w14:paraId="71B057FE">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D732A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olor w:val="auto"/>
                      <w:sz w:val="18"/>
                      <w:szCs w:val="18"/>
                      <w:highlight w:val="none"/>
                    </w:rPr>
                  </w:pPr>
                  <w:r>
                    <w:rPr>
                      <w:rFonts w:hint="default"/>
                      <w:b/>
                      <w:bCs/>
                      <w:color w:val="auto"/>
                      <w:sz w:val="18"/>
                      <w:szCs w:val="18"/>
                      <w:highlight w:val="none"/>
                    </w:rPr>
                    <w:t>四、</w:t>
                  </w:r>
                  <w:r>
                    <w:rPr>
                      <w:rFonts w:hint="default"/>
                      <w:b/>
                      <w:bCs/>
                      <w:color w:val="auto"/>
                      <w:kern w:val="0"/>
                      <w:sz w:val="18"/>
                      <w:szCs w:val="18"/>
                      <w:highlight w:val="none"/>
                    </w:rPr>
                    <w:t>环境准入清单</w:t>
                  </w:r>
                </w:p>
              </w:tc>
            </w:tr>
            <w:tr w14:paraId="2AD1EFC2">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tcBorders>
                    <w:top w:val="single" w:color="auto" w:sz="4" w:space="0"/>
                    <w:bottom w:val="single" w:color="auto" w:sz="4" w:space="0"/>
                    <w:right w:val="single" w:color="auto" w:sz="4" w:space="0"/>
                  </w:tcBorders>
                  <w:noWrap w:val="0"/>
                  <w:vAlign w:val="center"/>
                </w:tcPr>
                <w:p w14:paraId="42D578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default"/>
                      <w:b w:val="0"/>
                      <w:bCs w:val="0"/>
                      <w:color w:val="auto"/>
                      <w:sz w:val="18"/>
                      <w:szCs w:val="18"/>
                      <w:highlight w:val="none"/>
                    </w:rPr>
                    <w:t>环境管控单元名称</w:t>
                  </w:r>
                </w:p>
              </w:tc>
              <w:tc>
                <w:tcPr>
                  <w:tcW w:w="4024" w:type="pct"/>
                  <w:gridSpan w:val="2"/>
                  <w:tcBorders>
                    <w:top w:val="single" w:color="auto" w:sz="4" w:space="0"/>
                    <w:left w:val="single" w:color="auto" w:sz="4" w:space="0"/>
                    <w:bottom w:val="single" w:color="auto" w:sz="4" w:space="0"/>
                  </w:tcBorders>
                  <w:noWrap w:val="0"/>
                  <w:vAlign w:val="center"/>
                </w:tcPr>
                <w:p w14:paraId="453B0D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恒山区大气环境布局敏感重点管控区</w:t>
                  </w:r>
                </w:p>
              </w:tc>
            </w:tr>
            <w:tr w14:paraId="5CC80B40">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tcBorders>
                    <w:top w:val="single" w:color="auto" w:sz="4" w:space="0"/>
                    <w:bottom w:val="single" w:color="auto" w:sz="4" w:space="0"/>
                    <w:right w:val="single" w:color="auto" w:sz="4" w:space="0"/>
                  </w:tcBorders>
                  <w:noWrap w:val="0"/>
                  <w:vAlign w:val="center"/>
                </w:tcPr>
                <w:p w14:paraId="3F1AA6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default"/>
                      <w:b w:val="0"/>
                      <w:bCs w:val="0"/>
                      <w:color w:val="auto"/>
                      <w:sz w:val="18"/>
                      <w:szCs w:val="18"/>
                      <w:highlight w:val="none"/>
                    </w:rPr>
                    <w:t>环境管控单元编码</w:t>
                  </w:r>
                </w:p>
              </w:tc>
              <w:tc>
                <w:tcPr>
                  <w:tcW w:w="4024" w:type="pct"/>
                  <w:gridSpan w:val="2"/>
                  <w:tcBorders>
                    <w:top w:val="single" w:color="auto" w:sz="4" w:space="0"/>
                    <w:left w:val="single" w:color="auto" w:sz="4" w:space="0"/>
                    <w:bottom w:val="single" w:color="auto" w:sz="4" w:space="0"/>
                  </w:tcBorders>
                  <w:noWrap w:val="0"/>
                  <w:vAlign w:val="center"/>
                </w:tcPr>
                <w:p w14:paraId="59DB8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ZH23030320004</w:t>
                  </w:r>
                </w:p>
              </w:tc>
            </w:tr>
            <w:tr w14:paraId="39D42935">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tcBorders>
                    <w:top w:val="single" w:color="auto" w:sz="4" w:space="0"/>
                    <w:bottom w:val="single" w:color="auto" w:sz="4" w:space="0"/>
                    <w:right w:val="single" w:color="auto" w:sz="4" w:space="0"/>
                  </w:tcBorders>
                  <w:noWrap w:val="0"/>
                  <w:vAlign w:val="center"/>
                </w:tcPr>
                <w:p w14:paraId="0CCF9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default"/>
                      <w:b w:val="0"/>
                      <w:bCs w:val="0"/>
                      <w:color w:val="auto"/>
                      <w:sz w:val="18"/>
                      <w:szCs w:val="18"/>
                      <w:highlight w:val="none"/>
                    </w:rPr>
                    <w:t>管控单元类别</w:t>
                  </w:r>
                </w:p>
              </w:tc>
              <w:tc>
                <w:tcPr>
                  <w:tcW w:w="4024" w:type="pct"/>
                  <w:gridSpan w:val="2"/>
                  <w:tcBorders>
                    <w:top w:val="single" w:color="auto" w:sz="4" w:space="0"/>
                    <w:left w:val="single" w:color="auto" w:sz="4" w:space="0"/>
                    <w:bottom w:val="single" w:color="auto" w:sz="4" w:space="0"/>
                  </w:tcBorders>
                  <w:noWrap w:val="0"/>
                  <w:vAlign w:val="center"/>
                </w:tcPr>
                <w:p w14:paraId="17AB86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重点管控</w:t>
                  </w:r>
                  <w:r>
                    <w:rPr>
                      <w:rFonts w:hint="default" w:ascii="Times New Roman" w:hAnsi="Times New Roman" w:eastAsia="宋体" w:cs="Times New Roman"/>
                      <w:color w:val="auto"/>
                      <w:sz w:val="18"/>
                      <w:szCs w:val="18"/>
                      <w:highlight w:val="none"/>
                    </w:rPr>
                    <w:t>单元</w:t>
                  </w:r>
                </w:p>
              </w:tc>
            </w:tr>
            <w:tr w14:paraId="215305EF">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noWrap w:val="0"/>
                  <w:vAlign w:val="center"/>
                </w:tcPr>
                <w:p w14:paraId="4822E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4F240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项目符合性分析</w:t>
                  </w:r>
                </w:p>
              </w:tc>
            </w:tr>
            <w:tr w14:paraId="16E9F6AD">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tcBorders>
                    <w:top w:val="single" w:color="auto" w:sz="4" w:space="0"/>
                    <w:bottom w:val="single" w:color="auto" w:sz="4" w:space="0"/>
                    <w:right w:val="single" w:color="auto" w:sz="4" w:space="0"/>
                  </w:tcBorders>
                  <w:noWrap w:val="0"/>
                  <w:vAlign w:val="center"/>
                </w:tcPr>
                <w:p w14:paraId="396E3E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空间布局约束</w:t>
                  </w:r>
                </w:p>
              </w:tc>
              <w:tc>
                <w:tcPr>
                  <w:tcW w:w="434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75F0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1.严控“两高”行业产能。严格执行钢铁、水泥、平板玻璃等行业产能置换实施办法。</w:t>
                  </w:r>
                </w:p>
                <w:p w14:paraId="603482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2.利用水泥窑协同处置城市生活垃圾、危险废弃物、电石渣等固废伴生水泥项目，必须依托现有新型干法水泥熟料生产线进行不扩产能改造。</w:t>
                  </w:r>
                </w:p>
              </w:tc>
              <w:tc>
                <w:tcPr>
                  <w:tcW w:w="1632" w:type="dxa"/>
                  <w:tcBorders>
                    <w:top w:val="single" w:color="auto" w:sz="4" w:space="0"/>
                    <w:left w:val="single" w:color="auto" w:sz="4" w:space="0"/>
                    <w:bottom w:val="single" w:color="auto" w:sz="4" w:space="0"/>
                  </w:tcBorders>
                  <w:noWrap w:val="0"/>
                  <w:vAlign w:val="center"/>
                </w:tcPr>
                <w:p w14:paraId="277E6663">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color w:val="auto"/>
                      <w:spacing w:val="0"/>
                      <w:sz w:val="18"/>
                      <w:szCs w:val="18"/>
                      <w:highlight w:val="none"/>
                    </w:rPr>
                    <w:t>本项目为</w:t>
                  </w:r>
                  <w:r>
                    <w:rPr>
                      <w:rFonts w:hint="default" w:ascii="Times New Roman" w:hAnsi="Times New Roman" w:eastAsia="宋体" w:cs="Times New Roman"/>
                      <w:color w:val="auto"/>
                      <w:spacing w:val="0"/>
                      <w:sz w:val="18"/>
                      <w:szCs w:val="18"/>
                      <w:highlight w:val="none"/>
                      <w:lang w:val="en-US" w:eastAsia="zh-CN"/>
                    </w:rPr>
                    <w:t>东山煤矿洗煤一厂锅炉改造项目</w:t>
                  </w:r>
                  <w:r>
                    <w:rPr>
                      <w:rFonts w:hint="default" w:ascii="Times New Roman" w:hAnsi="Times New Roman" w:eastAsia="宋体" w:cs="Times New Roman"/>
                      <w:color w:val="auto"/>
                      <w:spacing w:val="0"/>
                      <w:sz w:val="18"/>
                      <w:szCs w:val="18"/>
                      <w:highlight w:val="none"/>
                    </w:rPr>
                    <w:t>，不属于空间布局约束的行业，项目建设符合空间布局约束要求。</w:t>
                  </w:r>
                </w:p>
              </w:tc>
            </w:tr>
            <w:tr w14:paraId="4E87312E">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tcBorders>
                    <w:top w:val="single" w:color="auto" w:sz="4" w:space="0"/>
                    <w:bottom w:val="single" w:color="auto" w:sz="4" w:space="0"/>
                    <w:right w:val="single" w:color="auto" w:sz="4" w:space="0"/>
                  </w:tcBorders>
                  <w:noWrap w:val="0"/>
                  <w:vAlign w:val="center"/>
                </w:tcPr>
                <w:p w14:paraId="529A4D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污染物排放管控</w:t>
                  </w:r>
                </w:p>
              </w:tc>
              <w:tc>
                <w:tcPr>
                  <w:tcW w:w="4341" w:type="dxa"/>
                  <w:tcBorders>
                    <w:top w:val="single" w:color="auto" w:sz="4" w:space="0"/>
                    <w:left w:val="single" w:color="auto" w:sz="4" w:space="0"/>
                    <w:bottom w:val="single" w:color="auto" w:sz="4" w:space="0"/>
                    <w:right w:val="single" w:color="auto" w:sz="4" w:space="0"/>
                  </w:tcBorders>
                  <w:noWrap w:val="0"/>
                  <w:vAlign w:val="center"/>
                </w:tcPr>
                <w:p w14:paraId="7C5B3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1.对以煤、石焦油、渣油、重油等为燃料的锅炉和工业炉窑，加快使用清洁低碳能源以及工厂余热、电力热力等进行替代。</w:t>
                  </w:r>
                </w:p>
                <w:p w14:paraId="6C576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2.到2025年，在用65蒸吨/小时以上的燃煤锅炉（含电力）实现超低排放，钢铁企业基本实现超低排放。</w:t>
                  </w:r>
                </w:p>
              </w:tc>
              <w:tc>
                <w:tcPr>
                  <w:tcW w:w="1632" w:type="dxa"/>
                  <w:tcBorders>
                    <w:top w:val="single" w:color="auto" w:sz="4" w:space="0"/>
                    <w:left w:val="single" w:color="auto" w:sz="4" w:space="0"/>
                    <w:bottom w:val="single" w:color="auto" w:sz="4" w:space="0"/>
                  </w:tcBorders>
                  <w:noWrap w:val="0"/>
                  <w:vAlign w:val="center"/>
                </w:tcPr>
                <w:p w14:paraId="4109BDE5">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本项目</w:t>
                  </w:r>
                  <w:r>
                    <w:rPr>
                      <w:rFonts w:hint="default" w:ascii="Times New Roman" w:hAnsi="Times New Roman" w:eastAsia="宋体" w:cs="Times New Roman"/>
                      <w:color w:val="auto"/>
                      <w:kern w:val="21"/>
                      <w:sz w:val="18"/>
                      <w:szCs w:val="18"/>
                      <w:highlight w:val="none"/>
                      <w:vertAlign w:val="baseline"/>
                      <w:lang w:val="en-US" w:eastAsia="zh-CN"/>
                    </w:rPr>
                    <w:t>淘汰现有</w:t>
                  </w:r>
                  <w:r>
                    <w:rPr>
                      <w:rFonts w:hint="default" w:ascii="Times New Roman" w:hAnsi="Times New Roman" w:eastAsia="宋体" w:cs="Times New Roman"/>
                      <w:color w:val="auto"/>
                      <w:sz w:val="18"/>
                      <w:szCs w:val="18"/>
                      <w:highlight w:val="none"/>
                      <w:lang w:val="en-US" w:eastAsia="zh-CN"/>
                    </w:rPr>
                    <w:t>4</w:t>
                  </w:r>
                  <w:r>
                    <w:rPr>
                      <w:rFonts w:hint="default" w:ascii="Times New Roman" w:hAnsi="Times New Roman" w:eastAsia="宋体" w:cs="Times New Roman"/>
                      <w:color w:val="auto"/>
                      <w:kern w:val="21"/>
                      <w:sz w:val="18"/>
                      <w:szCs w:val="18"/>
                      <w:highlight w:val="none"/>
                      <w:lang w:val="en-US" w:eastAsia="zh-CN"/>
                    </w:rPr>
                    <w:t>台10t/h燃煤锅炉</w:t>
                  </w:r>
                  <w:r>
                    <w:rPr>
                      <w:rFonts w:hint="default" w:ascii="Times New Roman" w:hAnsi="Times New Roman" w:eastAsia="宋体" w:cs="Times New Roman"/>
                      <w:color w:val="auto"/>
                      <w:kern w:val="21"/>
                      <w:sz w:val="18"/>
                      <w:szCs w:val="18"/>
                      <w:highlight w:val="none"/>
                      <w:vertAlign w:val="baseline"/>
                      <w:lang w:val="en-US" w:eastAsia="zh-CN"/>
                    </w:rPr>
                    <w:t>，新建</w:t>
                  </w:r>
                  <w:r>
                    <w:rPr>
                      <w:rFonts w:hint="default" w:ascii="Times New Roman" w:hAnsi="Times New Roman" w:eastAsia="宋体" w:cs="Times New Roman"/>
                      <w:color w:val="auto"/>
                      <w:sz w:val="18"/>
                      <w:szCs w:val="18"/>
                      <w:highlight w:val="none"/>
                      <w:lang w:val="en-US" w:eastAsia="zh-CN"/>
                    </w:rPr>
                    <w:t>3台10t/h生物质蒸汽锅炉，燃料为生物质成型燃料，不涉及燃煤</w:t>
                  </w:r>
                  <w:r>
                    <w:rPr>
                      <w:rFonts w:hint="default" w:ascii="Times New Roman" w:hAnsi="Times New Roman" w:eastAsia="宋体" w:cs="Times New Roman"/>
                      <w:color w:val="auto"/>
                      <w:kern w:val="0"/>
                      <w:sz w:val="18"/>
                      <w:szCs w:val="18"/>
                      <w:highlight w:val="none"/>
                      <w:lang w:val="en-US" w:eastAsia="zh-CN" w:bidi="ar"/>
                    </w:rPr>
                    <w:t>、石焦油、渣油、重油等燃料。</w:t>
                  </w:r>
                </w:p>
              </w:tc>
            </w:tr>
            <w:tr w14:paraId="64BEACD1">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tcBorders>
                    <w:top w:val="single" w:color="auto" w:sz="4" w:space="0"/>
                    <w:bottom w:val="single" w:color="auto" w:sz="4" w:space="0"/>
                    <w:right w:val="single" w:color="auto" w:sz="4" w:space="0"/>
                  </w:tcBorders>
                  <w:noWrap w:val="0"/>
                  <w:vAlign w:val="center"/>
                </w:tcPr>
                <w:p w14:paraId="0E741C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kern w:val="0"/>
                      <w:sz w:val="18"/>
                      <w:szCs w:val="18"/>
                      <w:highlight w:val="none"/>
                      <w:lang w:val="en-US" w:eastAsia="zh-CN" w:bidi="ar"/>
                    </w:rPr>
                    <w:t>环境风险防控</w:t>
                  </w:r>
                </w:p>
              </w:tc>
              <w:tc>
                <w:tcPr>
                  <w:tcW w:w="434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0F25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禁止在居民区、学校、医疗和养老机构等周边新建有色金属冶炼、焦化等行业企业。</w:t>
                  </w:r>
                </w:p>
              </w:tc>
              <w:tc>
                <w:tcPr>
                  <w:tcW w:w="1632" w:type="dxa"/>
                  <w:tcBorders>
                    <w:top w:val="single" w:color="auto" w:sz="4" w:space="0"/>
                    <w:left w:val="single" w:color="auto" w:sz="4" w:space="0"/>
                    <w:bottom w:val="single" w:color="auto" w:sz="4" w:space="0"/>
                  </w:tcBorders>
                  <w:noWrap w:val="0"/>
                  <w:vAlign w:val="center"/>
                </w:tcPr>
                <w:p w14:paraId="5E9D48C6">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color w:val="auto"/>
                      <w:spacing w:val="0"/>
                      <w:sz w:val="18"/>
                      <w:szCs w:val="18"/>
                      <w:highlight w:val="none"/>
                      <w:lang w:val="en-US" w:eastAsia="zh-CN"/>
                    </w:rPr>
                    <w:t>本项目不属于</w:t>
                  </w:r>
                  <w:r>
                    <w:rPr>
                      <w:rFonts w:hint="default" w:ascii="Times New Roman" w:hAnsi="Times New Roman" w:eastAsia="宋体" w:cs="Times New Roman"/>
                      <w:color w:val="auto"/>
                      <w:kern w:val="0"/>
                      <w:sz w:val="18"/>
                      <w:szCs w:val="18"/>
                      <w:highlight w:val="none"/>
                      <w:lang w:val="en-US" w:eastAsia="zh-CN" w:bidi="ar"/>
                    </w:rPr>
                    <w:t>有色金属冶炼、焦化等行业企业。</w:t>
                  </w:r>
                </w:p>
              </w:tc>
            </w:tr>
            <w:tr w14:paraId="56429467">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1A81D8ED">
                  <w:pPr>
                    <w:pStyle w:val="150"/>
                    <w:keepNext w:val="0"/>
                    <w:keepLines w:val="0"/>
                    <w:suppressLineNumbers w:val="0"/>
                    <w:spacing w:before="0" w:beforeAutospacing="0" w:after="0" w:afterAutospacing="0"/>
                    <w:ind w:left="0" w:right="0"/>
                    <w:rPr>
                      <w:rFonts w:hint="default"/>
                      <w:b/>
                      <w:bCs/>
                      <w:color w:val="auto"/>
                      <w:sz w:val="18"/>
                      <w:szCs w:val="18"/>
                      <w:highlight w:val="none"/>
                    </w:rPr>
                  </w:pPr>
                  <w:r>
                    <w:rPr>
                      <w:rFonts w:hint="eastAsia"/>
                      <w:b/>
                      <w:bCs/>
                      <w:color w:val="auto"/>
                      <w:sz w:val="18"/>
                      <w:szCs w:val="18"/>
                      <w:highlight w:val="none"/>
                      <w:lang w:val="en-US" w:eastAsia="zh-CN"/>
                    </w:rPr>
                    <w:t>本项目锅炉房与</w:t>
                  </w:r>
                  <w:r>
                    <w:rPr>
                      <w:rFonts w:hint="eastAsia"/>
                      <w:b/>
                      <w:bCs/>
                      <w:color w:val="auto"/>
                      <w:spacing w:val="-3"/>
                      <w:kern w:val="0"/>
                      <w:sz w:val="18"/>
                      <w:szCs w:val="18"/>
                      <w:highlight w:val="none"/>
                      <w:lang w:val="en-US" w:eastAsia="zh-CN"/>
                    </w:rPr>
                    <w:t>地下水环境管控区符合性分析</w:t>
                  </w:r>
                </w:p>
              </w:tc>
            </w:tr>
            <w:tr w14:paraId="4090EABF">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tcBorders>
                    <w:top w:val="single" w:color="auto" w:sz="4" w:space="0"/>
                    <w:bottom w:val="single" w:color="auto" w:sz="4" w:space="0"/>
                    <w:right w:val="single" w:color="auto" w:sz="4" w:space="0"/>
                  </w:tcBorders>
                  <w:noWrap w:val="0"/>
                  <w:vAlign w:val="center"/>
                </w:tcPr>
                <w:p w14:paraId="7131A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ascii="Times New Roman" w:hAnsi="Times New Roman" w:eastAsia="宋体" w:cs="Times New Roman"/>
                      <w:b w:val="0"/>
                      <w:bCs w:val="0"/>
                      <w:color w:val="auto"/>
                      <w:kern w:val="0"/>
                      <w:sz w:val="18"/>
                      <w:szCs w:val="18"/>
                      <w:highlight w:val="none"/>
                      <w:lang w:val="en-US" w:eastAsia="zh-CN" w:bidi="ar"/>
                    </w:rPr>
                    <w:t>管控维度</w:t>
                  </w:r>
                </w:p>
              </w:tc>
              <w:tc>
                <w:tcPr>
                  <w:tcW w:w="4024" w:type="pct"/>
                  <w:gridSpan w:val="2"/>
                  <w:tcBorders>
                    <w:top w:val="single" w:color="auto" w:sz="4" w:space="0"/>
                    <w:left w:val="single" w:color="auto" w:sz="4" w:space="0"/>
                    <w:bottom w:val="single" w:color="auto" w:sz="4" w:space="0"/>
                  </w:tcBorders>
                  <w:shd w:val="clear" w:color="auto" w:fill="auto"/>
                  <w:noWrap w:val="0"/>
                  <w:vAlign w:val="center"/>
                </w:tcPr>
                <w:p w14:paraId="385EFB1A">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地下水环境一般管控区</w:t>
                  </w:r>
                </w:p>
              </w:tc>
            </w:tr>
            <w:tr w14:paraId="61F42CE7">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noWrap w:val="0"/>
                  <w:vAlign w:val="center"/>
                </w:tcPr>
                <w:p w14:paraId="7F96D33A">
                  <w:pPr>
                    <w:keepNext w:val="0"/>
                    <w:keepLines w:val="0"/>
                    <w:suppressLineNumbers w:val="0"/>
                    <w:spacing w:before="0" w:beforeAutospacing="0" w:after="0" w:afterAutospacing="0"/>
                    <w:ind w:left="0" w:right="0"/>
                    <w:jc w:val="center"/>
                    <w:rPr>
                      <w:rFonts w:hint="eastAsia" w:eastAsia="宋体"/>
                      <w:color w:val="auto"/>
                      <w:spacing w:val="-3"/>
                      <w:kern w:val="0"/>
                      <w:sz w:val="18"/>
                      <w:szCs w:val="18"/>
                      <w:highlight w:val="none"/>
                      <w:lang w:val="en-US" w:eastAsia="zh-CN"/>
                    </w:rPr>
                  </w:pPr>
                  <w:r>
                    <w:rPr>
                      <w:rFonts w:hint="eastAsia"/>
                      <w:color w:val="auto"/>
                      <w:spacing w:val="-3"/>
                      <w:kern w:val="0"/>
                      <w:sz w:val="18"/>
                      <w:szCs w:val="18"/>
                      <w:highlight w:val="none"/>
                      <w:lang w:val="en-US" w:eastAsia="zh-CN"/>
                    </w:rPr>
                    <w:t>管控要求</w:t>
                  </w:r>
                </w:p>
              </w:tc>
              <w:tc>
                <w:tcPr>
                  <w:tcW w:w="1099" w:type="pct"/>
                  <w:tcBorders>
                    <w:top w:val="single" w:color="auto" w:sz="4" w:space="0"/>
                    <w:left w:val="single" w:color="auto" w:sz="4" w:space="0"/>
                    <w:bottom w:val="single" w:color="auto" w:sz="4" w:space="0"/>
                  </w:tcBorders>
                  <w:noWrap w:val="0"/>
                  <w:vAlign w:val="center"/>
                </w:tcPr>
                <w:p w14:paraId="796CDFA2">
                  <w:pPr>
                    <w:pStyle w:val="150"/>
                    <w:keepNext w:val="0"/>
                    <w:keepLines w:val="0"/>
                    <w:suppressLineNumbers w:val="0"/>
                    <w:spacing w:before="0" w:beforeAutospacing="0" w:after="0" w:afterAutospacing="0"/>
                    <w:ind w:left="0" w:right="0"/>
                    <w:rPr>
                      <w:rFonts w:hint="default" w:eastAsia="宋体"/>
                      <w:color w:val="auto"/>
                      <w:sz w:val="18"/>
                      <w:szCs w:val="18"/>
                      <w:highlight w:val="none"/>
                      <w:lang w:val="en-US" w:eastAsia="zh-CN"/>
                    </w:rPr>
                  </w:pPr>
                  <w:r>
                    <w:rPr>
                      <w:rFonts w:hint="eastAsia"/>
                      <w:color w:val="auto"/>
                      <w:sz w:val="18"/>
                      <w:szCs w:val="18"/>
                      <w:highlight w:val="none"/>
                      <w:lang w:val="en-US" w:eastAsia="zh-CN"/>
                    </w:rPr>
                    <w:t>项目符合性分析</w:t>
                  </w:r>
                </w:p>
              </w:tc>
            </w:tr>
            <w:tr w14:paraId="61464995">
              <w:tblPrEx>
                <w:tblBorders>
                  <w:top w:val="single" w:color="auto" w:sz="4"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tcBorders>
                    <w:top w:val="single" w:color="auto" w:sz="4" w:space="0"/>
                    <w:bottom w:val="single" w:color="auto" w:sz="4" w:space="0"/>
                    <w:right w:val="single" w:color="auto" w:sz="4" w:space="0"/>
                  </w:tcBorders>
                  <w:noWrap w:val="0"/>
                  <w:vAlign w:val="center"/>
                </w:tcPr>
                <w:p w14:paraId="49E6920B">
                  <w:pPr>
                    <w:pStyle w:val="16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center"/>
                    <w:rPr>
                      <w:rFonts w:hint="default" w:ascii="Times New Roman" w:hAnsi="Times New Roman" w:eastAsia="宋体" w:cs="Times New Roman"/>
                      <w:bCs/>
                      <w:iCs/>
                      <w:color w:val="auto"/>
                      <w:spacing w:val="0"/>
                      <w:kern w:val="0"/>
                      <w:sz w:val="18"/>
                      <w:szCs w:val="18"/>
                      <w:highlight w:val="none"/>
                      <w:lang w:val="en-US" w:eastAsia="zh-CN"/>
                    </w:rPr>
                  </w:pPr>
                  <w:r>
                    <w:rPr>
                      <w:rFonts w:hint="default" w:ascii="Times New Roman" w:hAnsi="Times New Roman" w:eastAsia="宋体" w:cs="Times New Roman"/>
                      <w:bCs/>
                      <w:iCs/>
                      <w:color w:val="auto"/>
                      <w:spacing w:val="0"/>
                      <w:sz w:val="18"/>
                      <w:szCs w:val="18"/>
                      <w:highlight w:val="none"/>
                      <w:lang w:val="zh-CN"/>
                    </w:rPr>
                    <w:t>环境风险防控</w:t>
                  </w:r>
                </w:p>
              </w:tc>
              <w:tc>
                <w:tcPr>
                  <w:tcW w:w="2925" w:type="pct"/>
                  <w:tcBorders>
                    <w:top w:val="single" w:color="auto" w:sz="4" w:space="0"/>
                    <w:bottom w:val="single" w:color="auto" w:sz="4" w:space="0"/>
                    <w:right w:val="single" w:color="auto" w:sz="4" w:space="0"/>
                  </w:tcBorders>
                  <w:noWrap w:val="0"/>
                  <w:vAlign w:val="center"/>
                </w:tcPr>
                <w:p w14:paraId="6A3013A6">
                  <w:pPr>
                    <w:pStyle w:val="16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bCs/>
                      <w:iCs/>
                      <w:color w:val="auto"/>
                      <w:spacing w:val="0"/>
                      <w:sz w:val="18"/>
                      <w:szCs w:val="18"/>
                      <w:highlight w:val="none"/>
                      <w:lang w:val="zh-CN"/>
                    </w:rPr>
                  </w:pPr>
                  <w:r>
                    <w:rPr>
                      <w:rFonts w:hint="eastAsia" w:ascii="Times New Roman" w:hAnsi="Times New Roman" w:eastAsia="宋体" w:cs="Times New Roman"/>
                      <w:bCs/>
                      <w:iCs/>
                      <w:color w:val="auto"/>
                      <w:spacing w:val="0"/>
                      <w:sz w:val="18"/>
                      <w:szCs w:val="18"/>
                      <w:highlight w:val="none"/>
                      <w:lang w:val="en-US" w:eastAsia="zh-CN"/>
                    </w:rPr>
                    <w:t>1.</w:t>
                  </w:r>
                  <w:r>
                    <w:rPr>
                      <w:rFonts w:hint="default" w:ascii="Times New Roman" w:hAnsi="Times New Roman" w:eastAsia="宋体" w:cs="Times New Roman"/>
                      <w:bCs/>
                      <w:iCs/>
                      <w:color w:val="auto"/>
                      <w:spacing w:val="0"/>
                      <w:sz w:val="18"/>
                      <w:szCs w:val="18"/>
                      <w:highlight w:val="none"/>
                    </w:rPr>
                    <w:t>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14:paraId="11FC30B9">
                  <w:pPr>
                    <w:pStyle w:val="16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both"/>
                    <w:textAlignment w:val="center"/>
                    <w:rPr>
                      <w:rFonts w:hint="default" w:ascii="Times New Roman" w:hAnsi="Times New Roman" w:eastAsia="宋体" w:cs="Times New Roman"/>
                      <w:bCs/>
                      <w:iCs/>
                      <w:color w:val="auto"/>
                      <w:spacing w:val="0"/>
                      <w:sz w:val="18"/>
                      <w:szCs w:val="18"/>
                      <w:highlight w:val="none"/>
                      <w:lang w:val="zh-CN"/>
                    </w:rPr>
                  </w:pPr>
                  <w:r>
                    <w:rPr>
                      <w:rFonts w:hint="eastAsia" w:ascii="Times New Roman" w:hAnsi="Times New Roman" w:eastAsia="宋体" w:cs="Times New Roman"/>
                      <w:bCs/>
                      <w:iCs/>
                      <w:color w:val="auto"/>
                      <w:spacing w:val="0"/>
                      <w:sz w:val="18"/>
                      <w:szCs w:val="18"/>
                      <w:highlight w:val="none"/>
                      <w:lang w:val="en-US" w:eastAsia="zh-CN"/>
                    </w:rPr>
                    <w:t>2.</w:t>
                  </w:r>
                  <w:r>
                    <w:rPr>
                      <w:rFonts w:hint="default" w:ascii="Times New Roman" w:hAnsi="Times New Roman" w:eastAsia="宋体" w:cs="Times New Roman"/>
                      <w:bCs/>
                      <w:iCs/>
                      <w:color w:val="auto"/>
                      <w:spacing w:val="0"/>
                      <w:sz w:val="18"/>
                      <w:szCs w:val="18"/>
                      <w:highlight w:val="none"/>
                    </w:rPr>
                    <w:t>重点单位新、改、扩建项目地下储罐储存有毒有害物质的，应当在项目投入生产或者使用之前，将地下储罐的信息报所在地设区的市级生态环境主管部门备案。</w:t>
                  </w:r>
                </w:p>
                <w:p w14:paraId="35A4262D">
                  <w:pPr>
                    <w:pStyle w:val="16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both"/>
                    <w:textAlignment w:val="center"/>
                    <w:rPr>
                      <w:rFonts w:hint="default" w:ascii="Times New Roman" w:hAnsi="Times New Roman" w:eastAsia="宋体" w:cs="Times New Roman"/>
                      <w:bCs/>
                      <w:iCs/>
                      <w:color w:val="auto"/>
                      <w:spacing w:val="0"/>
                      <w:sz w:val="18"/>
                      <w:szCs w:val="18"/>
                      <w:highlight w:val="none"/>
                    </w:rPr>
                  </w:pPr>
                  <w:r>
                    <w:rPr>
                      <w:rFonts w:hint="eastAsia" w:ascii="Times New Roman" w:hAnsi="Times New Roman" w:eastAsia="宋体" w:cs="Times New Roman"/>
                      <w:bCs/>
                      <w:iCs/>
                      <w:color w:val="auto"/>
                      <w:spacing w:val="0"/>
                      <w:sz w:val="18"/>
                      <w:szCs w:val="18"/>
                      <w:highlight w:val="none"/>
                      <w:lang w:val="en-US" w:eastAsia="zh-CN"/>
                    </w:rPr>
                    <w:t>3.</w:t>
                  </w:r>
                  <w:r>
                    <w:rPr>
                      <w:rFonts w:hint="default" w:ascii="Times New Roman" w:hAnsi="Times New Roman" w:eastAsia="宋体" w:cs="Times New Roman"/>
                      <w:bCs/>
                      <w:iCs/>
                      <w:color w:val="auto"/>
                      <w:spacing w:val="0"/>
                      <w:sz w:val="18"/>
                      <w:szCs w:val="18"/>
                      <w:highlight w:val="none"/>
                    </w:rPr>
                    <w:t>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w:t>
                  </w:r>
                </w:p>
                <w:p w14:paraId="01CAAC1B">
                  <w:pPr>
                    <w:pStyle w:val="16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both"/>
                    <w:textAlignment w:val="center"/>
                    <w:rPr>
                      <w:rFonts w:hint="default" w:ascii="Times New Roman" w:hAnsi="Times New Roman" w:eastAsia="宋体" w:cs="Times New Roman"/>
                      <w:bCs/>
                      <w:iCs/>
                      <w:color w:val="auto"/>
                      <w:spacing w:val="0"/>
                      <w:sz w:val="18"/>
                      <w:szCs w:val="18"/>
                      <w:highlight w:val="none"/>
                    </w:rPr>
                  </w:pPr>
                  <w:r>
                    <w:rPr>
                      <w:rFonts w:hint="eastAsia" w:ascii="Times New Roman" w:hAnsi="Times New Roman" w:eastAsia="宋体" w:cs="Times New Roman"/>
                      <w:bCs/>
                      <w:iCs/>
                      <w:color w:val="auto"/>
                      <w:spacing w:val="0"/>
                      <w:sz w:val="18"/>
                      <w:szCs w:val="18"/>
                      <w:highlight w:val="none"/>
                      <w:lang w:val="en-US" w:eastAsia="zh-CN"/>
                    </w:rPr>
                    <w:t>4.</w:t>
                  </w:r>
                  <w:r>
                    <w:rPr>
                      <w:rFonts w:hint="default" w:ascii="Times New Roman" w:hAnsi="Times New Roman" w:eastAsia="宋体" w:cs="Times New Roman"/>
                      <w:bCs/>
                      <w:iCs/>
                      <w:color w:val="auto"/>
                      <w:spacing w:val="0"/>
                      <w:sz w:val="18"/>
                      <w:szCs w:val="18"/>
                      <w:highlight w:val="none"/>
                    </w:rPr>
                    <w:t>化学品生产企业以及工业集聚区、矿山开采区、尾矿库、危险废物处置场、垃圾填埋场等的运营、管理单位，应当采取防渗漏等措施，并建设地下水水质监测井进行监测，防止地下水污染。</w:t>
                  </w:r>
                </w:p>
                <w:p w14:paraId="134A547B">
                  <w:pPr>
                    <w:pStyle w:val="16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center"/>
                    <w:rPr>
                      <w:rFonts w:hint="default" w:ascii="Times New Roman" w:hAnsi="Times New Roman" w:eastAsia="宋体" w:cs="Times New Roman"/>
                      <w:bCs/>
                      <w:iCs/>
                      <w:color w:val="auto"/>
                      <w:spacing w:val="0"/>
                      <w:kern w:val="0"/>
                      <w:sz w:val="18"/>
                      <w:szCs w:val="18"/>
                      <w:highlight w:val="none"/>
                      <w:lang w:val="en-US" w:eastAsia="zh-CN"/>
                    </w:rPr>
                  </w:pPr>
                  <w:r>
                    <w:rPr>
                      <w:rFonts w:hint="default" w:ascii="Times New Roman" w:hAnsi="Times New Roman" w:eastAsia="宋体" w:cs="Times New Roman"/>
                      <w:bCs/>
                      <w:iCs/>
                      <w:color w:val="auto"/>
                      <w:spacing w:val="0"/>
                      <w:sz w:val="18"/>
                      <w:szCs w:val="18"/>
                      <w:highlight w:val="none"/>
                    </w:rPr>
                    <w:t>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noWrap w:val="0"/>
                  <w:vAlign w:val="center"/>
                </w:tcPr>
                <w:p w14:paraId="0D6CED3D">
                  <w:pPr>
                    <w:pStyle w:val="150"/>
                    <w:keepNext w:val="0"/>
                    <w:keepLines w:val="0"/>
                    <w:suppressLineNumbers w:val="0"/>
                    <w:spacing w:before="0" w:beforeAutospacing="0" w:after="0" w:afterAutospacing="0"/>
                    <w:ind w:left="0" w:right="0"/>
                    <w:rPr>
                      <w:rFonts w:hint="eastAsia"/>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本项目不属于土壤污染重点监管单位。</w:t>
                  </w:r>
                </w:p>
              </w:tc>
            </w:tr>
          </w:tbl>
          <w:p w14:paraId="4F7FF270">
            <w:pPr>
              <w:pStyle w:val="1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w:t>
            </w:r>
            <w:r>
              <w:rPr>
                <w:rFonts w:hint="eastAsia" w:ascii="宋体" w:hAnsi="宋体" w:eastAsia="宋体" w:cs="宋体"/>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一说明</w:t>
            </w:r>
            <w:r>
              <w:rPr>
                <w:rFonts w:hint="eastAsia" w:ascii="宋体" w:hAnsi="宋体" w:eastAsia="宋体" w:cs="宋体"/>
                <w:color w:val="auto"/>
                <w:kern w:val="0"/>
                <w:sz w:val="21"/>
                <w:szCs w:val="21"/>
                <w:highlight w:val="none"/>
                <w:lang w:val="en-US" w:eastAsia="zh-CN" w:bidi="ar-SA"/>
              </w:rPr>
              <w:t>”</w:t>
            </w:r>
          </w:p>
          <w:p w14:paraId="15E403DE">
            <w:pPr>
              <w:pStyle w:val="16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由上述分析可知，本项目的建设符合</w:t>
            </w:r>
            <w:r>
              <w:rPr>
                <w:rFonts w:hint="default" w:ascii="Times New Roman" w:hAnsi="Times New Roman" w:eastAsia="宋体"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东山煤矿洗煤一厂锅炉改造项目</w:t>
            </w:r>
            <w:r>
              <w:rPr>
                <w:rFonts w:hint="default" w:ascii="Times New Roman" w:hAnsi="Times New Roman" w:cs="Times New Roman"/>
                <w:color w:val="auto"/>
                <w:kern w:val="0"/>
                <w:sz w:val="21"/>
                <w:szCs w:val="21"/>
                <w:highlight w:val="none"/>
                <w:lang w:eastAsia="zh-CN" w:bidi="ar"/>
              </w:rPr>
              <w:t>生态环境</w:t>
            </w:r>
            <w:r>
              <w:rPr>
                <w:rFonts w:hint="eastAsia" w:cs="Times New Roman"/>
                <w:color w:val="auto"/>
                <w:kern w:val="0"/>
                <w:sz w:val="21"/>
                <w:szCs w:val="21"/>
                <w:highlight w:val="none"/>
                <w:lang w:eastAsia="zh-CN" w:bidi="ar"/>
              </w:rPr>
              <w:t>分区管控分析报告</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SA"/>
              </w:rPr>
              <w:t>。</w:t>
            </w:r>
          </w:p>
          <w:p w14:paraId="7921DFF0">
            <w:pPr>
              <w:pStyle w:val="16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根据</w:t>
            </w:r>
            <w:r>
              <w:rPr>
                <w:rFonts w:hint="eastAsia" w:ascii="宋体" w:hAnsi="宋体" w:eastAsia="宋体" w:cs="宋体"/>
                <w:b w:val="0"/>
                <w:bCs w:val="0"/>
                <w:color w:val="auto"/>
                <w:kern w:val="0"/>
                <w:sz w:val="21"/>
                <w:szCs w:val="21"/>
                <w:highlight w:val="none"/>
                <w:lang w:val="en-US" w:eastAsia="zh-CN" w:bidi="ar"/>
              </w:rPr>
              <w:t>“黑龙江省生态环境分区管控数据应用平台”生</w:t>
            </w:r>
            <w:r>
              <w:rPr>
                <w:rFonts w:hint="default" w:ascii="Times New Roman" w:hAnsi="Times New Roman" w:eastAsia="宋体" w:cs="Times New Roman"/>
                <w:b w:val="0"/>
                <w:bCs w:val="0"/>
                <w:color w:val="auto"/>
                <w:kern w:val="0"/>
                <w:sz w:val="21"/>
                <w:szCs w:val="21"/>
                <w:highlight w:val="none"/>
                <w:lang w:val="en-US" w:eastAsia="zh-CN" w:bidi="ar"/>
              </w:rPr>
              <w:t>成</w:t>
            </w:r>
            <w:r>
              <w:rPr>
                <w:rFonts w:hint="default" w:ascii="Times New Roman" w:hAnsi="Times New Roman" w:eastAsia="宋体" w:cs="Times New Roman"/>
                <w:color w:val="auto"/>
                <w:kern w:val="0"/>
                <w:sz w:val="21"/>
                <w:szCs w:val="21"/>
                <w:highlight w:val="none"/>
                <w:lang w:val="en-US" w:eastAsia="zh-CN" w:bidi="ar-SA"/>
              </w:rPr>
              <w:t>的</w:t>
            </w:r>
            <w:r>
              <w:rPr>
                <w:rFonts w:hint="default" w:ascii="Times New Roman" w:hAnsi="Times New Roman" w:eastAsia="宋体"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东山煤矿洗煤一厂锅炉改造项目</w:t>
            </w:r>
            <w:r>
              <w:rPr>
                <w:rFonts w:hint="default" w:ascii="Times New Roman" w:hAnsi="Times New Roman" w:cs="Times New Roman"/>
                <w:color w:val="auto"/>
                <w:kern w:val="0"/>
                <w:sz w:val="21"/>
                <w:szCs w:val="21"/>
                <w:highlight w:val="none"/>
                <w:lang w:eastAsia="zh-CN" w:bidi="ar"/>
              </w:rPr>
              <w:t>生态环境</w:t>
            </w:r>
            <w:r>
              <w:rPr>
                <w:rFonts w:hint="eastAsia" w:cs="Times New Roman"/>
                <w:color w:val="auto"/>
                <w:kern w:val="0"/>
                <w:sz w:val="21"/>
                <w:szCs w:val="21"/>
                <w:highlight w:val="none"/>
                <w:lang w:eastAsia="zh-CN" w:bidi="ar"/>
              </w:rPr>
              <w:t>分区管控分析报告</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SA"/>
              </w:rPr>
              <w:t>：</w:t>
            </w:r>
          </w:p>
          <w:p w14:paraId="669055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与生态保护红线交集面积为0.00平方公里，占项目占地面积的0.00%。 </w:t>
            </w:r>
          </w:p>
          <w:p w14:paraId="5809C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与自然保护地整合优化方案数据交集面积为0.00平方公里，占项目占地面积的0.00%。保护地涉及等类型。与自然保护地（现状管理数据）交集面积为0.00平方公里，占项目占地面积的0.00%。保护地涉及等类型。 </w:t>
            </w:r>
          </w:p>
          <w:p w14:paraId="4930E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与饮用水水源保护区交集面积为0.00平方公里，占项目占地面积的0.00%。与国家级水产种质资源保护区交集面积为0.00平方公里，占项目占地面积的0.00%。 </w:t>
            </w:r>
          </w:p>
          <w:p w14:paraId="428304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与环境管控单元优先保护单元交集面积为0.00平方公里，占项目占地面积的 0.00%；与重点管控单元交集面积为小于0.01平方公里，占项目占地面积的100.00%；一般管控单元交集面积为0.00 平方公里，占项目占地面积的0.00%。 </w:t>
            </w:r>
          </w:p>
          <w:p w14:paraId="30BB1D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bidi="ar"/>
              </w:rPr>
              <w:t>与地下水环境优先保护区交集面积为0.00平方公里，占项目占地面积的0.00%；与地下水环境重点管控区交集面积为0.00平方公里，占项目占地面积的 0.00%，与地下水环境一般管控区交集面积为小于0.01平方公里，占项目占地面积的100.00%。</w:t>
            </w:r>
          </w:p>
          <w:p w14:paraId="1B308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
                <w:bCs/>
                <w:color w:val="auto"/>
                <w:kern w:val="0"/>
                <w:sz w:val="21"/>
                <w:szCs w:val="21"/>
                <w:highlight w:val="none"/>
                <w:lang w:val="en-US" w:eastAsia="zh-CN"/>
              </w:rPr>
            </w:pPr>
            <w:r>
              <w:rPr>
                <w:rFonts w:hint="default" w:ascii="Times New Roman" w:hAnsi="Times New Roman" w:cs="Times New Roman"/>
                <w:color w:val="auto"/>
                <w:sz w:val="21"/>
                <w:highlight w:val="none"/>
              </w:rPr>
              <w:t>本项目</w:t>
            </w:r>
            <w:r>
              <w:rPr>
                <w:rFonts w:hint="default" w:ascii="Times New Roman" w:hAnsi="Times New Roman" w:cs="Times New Roman"/>
                <w:color w:val="auto"/>
                <w:sz w:val="21"/>
                <w:highlight w:val="none"/>
                <w:shd w:val="clear"/>
              </w:rPr>
              <w:t>采取了有效、可行的污染治理措施，各项污染物均可达标排放，本项目建设对周围环境影响较小，因此本项目符合</w:t>
            </w:r>
            <w:r>
              <w:rPr>
                <w:rFonts w:hint="default" w:ascii="Times New Roman" w:hAnsi="Times New Roman" w:cs="Times New Roman"/>
                <w:color w:val="auto"/>
                <w:kern w:val="0"/>
                <w:sz w:val="21"/>
                <w:szCs w:val="21"/>
                <w:highlight w:val="none"/>
              </w:rPr>
              <w:t>《鸡西市人民政府关于实施</w:t>
            </w:r>
            <w:r>
              <w:rPr>
                <w:rFonts w:hint="eastAsia" w:ascii="宋体" w:hAnsi="宋体" w:eastAsia="宋体" w:cs="宋体"/>
                <w:color w:val="auto"/>
                <w:kern w:val="0"/>
                <w:sz w:val="21"/>
                <w:szCs w:val="21"/>
                <w:highlight w:val="none"/>
              </w:rPr>
              <w:t>“三线一单”</w:t>
            </w:r>
            <w:r>
              <w:rPr>
                <w:rFonts w:hint="default" w:ascii="Times New Roman" w:hAnsi="Times New Roman" w:cs="Times New Roman"/>
                <w:color w:val="auto"/>
                <w:kern w:val="0"/>
                <w:sz w:val="21"/>
                <w:szCs w:val="21"/>
                <w:highlight w:val="none"/>
              </w:rPr>
              <w:t>生态环境分区管控的意见》（鸡政发〔2021〕7号文件）</w:t>
            </w:r>
            <w:r>
              <w:rPr>
                <w:rFonts w:hint="default" w:ascii="Times New Roman" w:hAnsi="Times New Roman" w:cs="Times New Roman"/>
                <w:color w:val="auto"/>
                <w:sz w:val="21"/>
                <w:highlight w:val="none"/>
              </w:rPr>
              <w:t>中要求</w:t>
            </w:r>
            <w:r>
              <w:rPr>
                <w:rFonts w:hint="default"/>
                <w:color w:val="auto"/>
                <w:sz w:val="21"/>
                <w:highlight w:val="none"/>
              </w:rPr>
              <w:t>。</w:t>
            </w:r>
          </w:p>
          <w:p w14:paraId="37BB807F">
            <w:pPr>
              <w:keepNext w:val="0"/>
              <w:keepLines w:val="0"/>
              <w:widowControl/>
              <w:suppressLineNumbers w:val="0"/>
              <w:autoSpaceDE/>
              <w:autoSpaceDN/>
              <w:adjustRightInd/>
              <w:snapToGrid/>
              <w:spacing w:before="0" w:beforeAutospacing="0" w:after="0" w:afterAutospacing="0" w:line="360" w:lineRule="auto"/>
              <w:ind w:left="0" w:right="0" w:firstLine="422" w:firstLineChars="200"/>
              <w:rPr>
                <w:rFonts w:hint="eastAsia"/>
                <w:b/>
                <w:bCs/>
                <w:color w:val="auto"/>
                <w:kern w:val="0"/>
                <w:szCs w:val="21"/>
                <w:highlight w:val="none"/>
              </w:rPr>
            </w:pPr>
            <w:r>
              <w:rPr>
                <w:rFonts w:hint="eastAsia"/>
                <w:b/>
                <w:bCs/>
                <w:color w:val="auto"/>
                <w:kern w:val="0"/>
                <w:szCs w:val="21"/>
                <w:highlight w:val="none"/>
                <w:lang w:val="en-US" w:eastAsia="zh-CN"/>
              </w:rPr>
              <w:t>2</w:t>
            </w:r>
            <w:r>
              <w:rPr>
                <w:rFonts w:hint="eastAsia"/>
                <w:b/>
                <w:bCs/>
                <w:color w:val="auto"/>
                <w:kern w:val="0"/>
                <w:szCs w:val="21"/>
                <w:highlight w:val="none"/>
              </w:rPr>
              <w:t>、选址合理性分析</w:t>
            </w:r>
          </w:p>
          <w:p w14:paraId="1BCD9B83">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eastAsia"/>
                <w:color w:val="auto"/>
                <w:kern w:val="0"/>
                <w:szCs w:val="21"/>
                <w:highlight w:val="none"/>
              </w:rPr>
            </w:pPr>
            <w:r>
              <w:rPr>
                <w:rFonts w:hint="eastAsia"/>
                <w:color w:val="auto"/>
                <w:kern w:val="0"/>
                <w:szCs w:val="21"/>
                <w:highlight w:val="none"/>
                <w:lang w:val="en-US" w:eastAsia="zh-CN"/>
              </w:rPr>
              <w:t>本</w:t>
            </w:r>
            <w:r>
              <w:rPr>
                <w:rFonts w:hint="eastAsia"/>
                <w:color w:val="auto"/>
                <w:kern w:val="0"/>
                <w:szCs w:val="21"/>
                <w:highlight w:val="none"/>
              </w:rPr>
              <w:t>项目</w:t>
            </w:r>
            <w:r>
              <w:rPr>
                <w:rFonts w:hint="default"/>
                <w:color w:val="auto"/>
                <w:kern w:val="0"/>
                <w:szCs w:val="21"/>
                <w:highlight w:val="none"/>
              </w:rPr>
              <w:t>位于</w:t>
            </w:r>
            <w:r>
              <w:rPr>
                <w:rFonts w:hint="eastAsia"/>
                <w:color w:val="auto"/>
                <w:highlight w:val="none"/>
                <w:lang w:val="en-US" w:eastAsia="zh-CN"/>
              </w:rPr>
              <w:t>鸡西市恒山区小恒山东山煤矿</w:t>
            </w:r>
            <w:r>
              <w:rPr>
                <w:rFonts w:hint="default"/>
                <w:color w:val="auto"/>
                <w:kern w:val="0"/>
                <w:szCs w:val="21"/>
                <w:highlight w:val="none"/>
              </w:rPr>
              <w:t>，</w:t>
            </w:r>
            <w:r>
              <w:rPr>
                <w:rFonts w:hint="eastAsia"/>
                <w:color w:val="auto"/>
                <w:kern w:val="0"/>
                <w:szCs w:val="21"/>
                <w:highlight w:val="none"/>
                <w:lang w:val="en-US" w:eastAsia="zh-CN"/>
              </w:rPr>
              <w:t>本项目锅炉房南侧、西侧及北侧为洗煤厂，东侧为洗煤厂及煤矿堆场</w:t>
            </w:r>
            <w:r>
              <w:rPr>
                <w:rFonts w:hint="eastAsia"/>
                <w:color w:val="auto"/>
                <w:highlight w:val="none"/>
                <w:lang w:val="en-US" w:eastAsia="zh-CN"/>
              </w:rPr>
              <w:t>。</w:t>
            </w:r>
            <w:r>
              <w:rPr>
                <w:rFonts w:hint="eastAsia" w:cs="Times New Roman" w:eastAsiaTheme="minorEastAsia"/>
                <w:color w:val="auto"/>
                <w:szCs w:val="21"/>
                <w:highlight w:val="none"/>
                <w:lang w:val="en-US" w:eastAsia="zh-CN"/>
              </w:rPr>
              <w:t>用地性质为工业用地，不新增占地。</w:t>
            </w:r>
            <w:r>
              <w:rPr>
                <w:rFonts w:hint="eastAsia"/>
                <w:color w:val="auto"/>
                <w:kern w:val="0"/>
                <w:szCs w:val="21"/>
                <w:highlight w:val="none"/>
              </w:rPr>
              <w:t>本项目所在地地势平坦，厂区地理位置交通便利，基础设施齐全，与周边环境协调。项目不在风景名胜区、自然保护区、水源保护区及其他需要特别保护的区域内，没有明显的环境制约因素，项目选址合理。</w:t>
            </w:r>
          </w:p>
          <w:p w14:paraId="65AD6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lang w:val="en-US" w:eastAsia="zh-CN"/>
              </w:rPr>
            </w:pPr>
            <w:r>
              <w:rPr>
                <w:rFonts w:hint="default" w:ascii="Times New Roman" w:hAnsi="Times New Roman" w:cs="Times New Roman"/>
                <w:color w:val="auto"/>
                <w:sz w:val="21"/>
                <w:szCs w:val="21"/>
                <w:highlight w:val="none"/>
              </w:rPr>
              <w:t>本项目</w:t>
            </w:r>
            <w:r>
              <w:rPr>
                <w:rFonts w:hint="eastAsia" w:cs="Times New Roman"/>
                <w:color w:val="auto"/>
                <w:kern w:val="21"/>
                <w:sz w:val="21"/>
                <w:szCs w:val="21"/>
                <w:highlight w:val="none"/>
                <w:vertAlign w:val="baseline"/>
                <w:lang w:val="en-US" w:eastAsia="zh-CN"/>
              </w:rPr>
              <w:t>淘汰现有</w:t>
            </w:r>
            <w:r>
              <w:rPr>
                <w:rFonts w:hint="eastAsia" w:cs="Times New Roman"/>
                <w:color w:val="auto"/>
                <w:sz w:val="21"/>
                <w:szCs w:val="21"/>
                <w:highlight w:val="none"/>
                <w:lang w:val="en-US" w:eastAsia="zh-CN"/>
              </w:rPr>
              <w:t>4</w:t>
            </w:r>
            <w:r>
              <w:rPr>
                <w:rFonts w:hint="default" w:ascii="Times New Roman" w:hAnsi="Times New Roman" w:cs="Times New Roman"/>
                <w:color w:val="auto"/>
                <w:kern w:val="21"/>
                <w:sz w:val="21"/>
                <w:szCs w:val="21"/>
                <w:highlight w:val="none"/>
                <w:lang w:val="en-US" w:eastAsia="zh-CN"/>
              </w:rPr>
              <w:t>台</w:t>
            </w:r>
            <w:r>
              <w:rPr>
                <w:rFonts w:hint="eastAsia" w:cs="Times New Roman"/>
                <w:color w:val="auto"/>
                <w:kern w:val="21"/>
                <w:sz w:val="21"/>
                <w:szCs w:val="21"/>
                <w:highlight w:val="none"/>
                <w:lang w:val="en-US" w:eastAsia="zh-CN"/>
              </w:rPr>
              <w:t>10</w:t>
            </w:r>
            <w:r>
              <w:rPr>
                <w:rFonts w:hint="default" w:ascii="Times New Roman" w:hAnsi="Times New Roman" w:cs="Times New Roman"/>
                <w:color w:val="auto"/>
                <w:kern w:val="21"/>
                <w:sz w:val="21"/>
                <w:szCs w:val="21"/>
                <w:highlight w:val="none"/>
                <w:lang w:val="en-US" w:eastAsia="zh-CN"/>
              </w:rPr>
              <w:t>t/h燃煤锅炉</w:t>
            </w:r>
            <w:r>
              <w:rPr>
                <w:rFonts w:hint="eastAsia" w:ascii="Times New Roman" w:hAnsi="Times New Roman" w:eastAsia="宋体" w:cs="Times New Roman"/>
                <w:color w:val="auto"/>
                <w:kern w:val="21"/>
                <w:sz w:val="21"/>
                <w:szCs w:val="21"/>
                <w:highlight w:val="none"/>
                <w:vertAlign w:val="baseline"/>
                <w:lang w:val="en-US" w:eastAsia="zh-CN"/>
              </w:rPr>
              <w:t>，</w:t>
            </w:r>
            <w:r>
              <w:rPr>
                <w:rFonts w:hint="eastAsia" w:cs="Times New Roman"/>
                <w:color w:val="auto"/>
                <w:kern w:val="21"/>
                <w:sz w:val="21"/>
                <w:szCs w:val="21"/>
                <w:highlight w:val="none"/>
                <w:vertAlign w:val="baseline"/>
                <w:lang w:val="en-US" w:eastAsia="zh-CN"/>
              </w:rPr>
              <w:t>新建</w:t>
            </w:r>
            <w:r>
              <w:rPr>
                <w:rFonts w:hint="eastAsia"/>
                <w:color w:val="auto"/>
                <w:sz w:val="21"/>
                <w:highlight w:val="none"/>
                <w:lang w:val="en-US" w:eastAsia="zh-CN"/>
              </w:rPr>
              <w:t>3台10t/h生物质蒸汽锅炉</w:t>
            </w:r>
            <w:r>
              <w:rPr>
                <w:rFonts w:hint="eastAsia"/>
                <w:color w:val="auto"/>
                <w:highlight w:val="none"/>
                <w:lang w:val="en-US" w:eastAsia="zh-CN"/>
              </w:rPr>
              <w:t>，锅炉</w:t>
            </w:r>
            <w:r>
              <w:rPr>
                <w:rFonts w:hint="default" w:ascii="Times New Roman" w:hAnsi="Times New Roman" w:eastAsia="宋体" w:cs="Times New Roman"/>
                <w:color w:val="auto"/>
                <w:szCs w:val="21"/>
                <w:highlight w:val="none"/>
              </w:rPr>
              <w:t>烟气</w:t>
            </w:r>
            <w:r>
              <w:rPr>
                <w:rFonts w:hint="eastAsia" w:cs="Times New Roman"/>
                <w:color w:val="auto"/>
                <w:szCs w:val="21"/>
                <w:highlight w:val="none"/>
                <w:lang w:val="en-US" w:eastAsia="zh-CN"/>
              </w:rPr>
              <w:t>分别</w:t>
            </w:r>
            <w:r>
              <w:rPr>
                <w:rFonts w:hint="default" w:ascii="Times New Roman" w:hAnsi="Times New Roman" w:eastAsia="宋体" w:cs="Times New Roman"/>
                <w:color w:val="auto"/>
                <w:szCs w:val="21"/>
                <w:highlight w:val="none"/>
              </w:rPr>
              <w:t>经</w:t>
            </w:r>
            <w:r>
              <w:rPr>
                <w:rFonts w:hint="eastAsia" w:cs="Times New Roman"/>
                <w:color w:val="auto"/>
                <w:szCs w:val="21"/>
                <w:highlight w:val="none"/>
                <w:lang w:val="en-US" w:eastAsia="zh-CN"/>
              </w:rPr>
              <w:t>各自配备的多管陶瓷</w:t>
            </w:r>
            <w:r>
              <w:rPr>
                <w:rFonts w:hint="default"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rPr>
              <w:t>布袋除尘器（除尘效率为99.</w:t>
            </w:r>
            <w:r>
              <w:rPr>
                <w:rFonts w:hint="default" w:ascii="Times New Roman" w:hAnsi="Times New Roman" w:eastAsia="宋体" w:cs="Times New Roman"/>
                <w:color w:val="auto"/>
                <w:szCs w:val="21"/>
                <w:highlight w:val="none"/>
                <w:lang w:val="en-US" w:eastAsia="zh-CN"/>
              </w:rPr>
              <w:t>7%</w:t>
            </w:r>
            <w:r>
              <w:rPr>
                <w:rFonts w:hint="default" w:ascii="Times New Roman" w:hAnsi="Times New Roman" w:eastAsia="宋体" w:cs="Times New Roman"/>
                <w:color w:val="auto"/>
                <w:szCs w:val="21"/>
                <w:highlight w:val="none"/>
              </w:rPr>
              <w:t>）处理后，由</w:t>
            </w:r>
            <w:r>
              <w:rPr>
                <w:rFonts w:hint="eastAsia" w:cs="Times New Roman"/>
                <w:color w:val="auto"/>
                <w:szCs w:val="21"/>
                <w:highlight w:val="none"/>
                <w:lang w:val="en-US" w:eastAsia="zh-CN"/>
              </w:rPr>
              <w:t>1根</w:t>
            </w:r>
            <w:r>
              <w:rPr>
                <w:rFonts w:hint="eastAsia"/>
                <w:color w:val="auto"/>
                <w:sz w:val="21"/>
                <w:highlight w:val="none"/>
                <w:lang w:val="en-US" w:eastAsia="zh-CN"/>
              </w:rPr>
              <w:t>60m烟囱（</w:t>
            </w:r>
            <w:r>
              <w:rPr>
                <w:rFonts w:hint="eastAsia"/>
                <w:color w:val="auto"/>
                <w:highlight w:val="none"/>
                <w:lang w:val="en-US" w:eastAsia="zh-CN"/>
              </w:rPr>
              <w:t>DA001</w:t>
            </w:r>
            <w:r>
              <w:rPr>
                <w:rFonts w:hint="eastAsia"/>
                <w:color w:val="auto"/>
                <w:sz w:val="21"/>
                <w:highlight w:val="none"/>
                <w:lang w:val="en-US" w:eastAsia="zh-CN"/>
              </w:rPr>
              <w:t>）</w:t>
            </w:r>
            <w:r>
              <w:rPr>
                <w:rFonts w:hint="eastAsia"/>
                <w:color w:val="auto"/>
                <w:highlight w:val="none"/>
                <w:lang w:val="en-US" w:eastAsia="zh-CN"/>
              </w:rPr>
              <w:t>排放，</w:t>
            </w:r>
            <w:r>
              <w:rPr>
                <w:rFonts w:hint="default" w:ascii="Times New Roman" w:hAnsi="Times New Roman" w:cs="Times New Roman"/>
                <w:bCs/>
                <w:color w:val="auto"/>
                <w:sz w:val="21"/>
                <w:szCs w:val="21"/>
                <w:highlight w:val="none"/>
              </w:rPr>
              <w:t>锅炉烟气中颗粒物、SO</w:t>
            </w:r>
            <w:r>
              <w:rPr>
                <w:rFonts w:hint="default" w:ascii="Times New Roman" w:hAnsi="Times New Roman" w:cs="Times New Roman"/>
                <w:bCs/>
                <w:color w:val="auto"/>
                <w:sz w:val="21"/>
                <w:szCs w:val="21"/>
                <w:highlight w:val="none"/>
                <w:vertAlign w:val="subscript"/>
              </w:rPr>
              <w:t>2</w:t>
            </w:r>
            <w:r>
              <w:rPr>
                <w:rFonts w:hint="default" w:ascii="Times New Roman" w:hAnsi="Times New Roman" w:cs="Times New Roman"/>
                <w:bCs/>
                <w:color w:val="auto"/>
                <w:sz w:val="21"/>
                <w:szCs w:val="21"/>
                <w:highlight w:val="none"/>
              </w:rPr>
              <w:t>、NO</w:t>
            </w:r>
            <w:r>
              <w:rPr>
                <w:rFonts w:hint="default" w:ascii="Times New Roman" w:hAnsi="Times New Roman" w:cs="Times New Roman"/>
                <w:bCs/>
                <w:color w:val="auto"/>
                <w:sz w:val="21"/>
                <w:szCs w:val="21"/>
                <w:highlight w:val="none"/>
                <w:vertAlign w:val="subscript"/>
              </w:rPr>
              <w:t>X</w:t>
            </w:r>
            <w:r>
              <w:rPr>
                <w:rFonts w:hint="default" w:ascii="Times New Roman" w:hAnsi="Times New Roman" w:cs="Times New Roman"/>
                <w:bCs/>
                <w:color w:val="auto"/>
                <w:sz w:val="21"/>
                <w:szCs w:val="21"/>
                <w:highlight w:val="none"/>
              </w:rPr>
              <w:t>及烟气黑度排放浓度均满足《锅炉大气污染物排放标准》（GB13271-2014）表2</w:t>
            </w:r>
            <w:r>
              <w:rPr>
                <w:rFonts w:hint="default" w:ascii="Times New Roman" w:hAnsi="Times New Roman" w:cs="Times New Roman"/>
                <w:color w:val="auto"/>
                <w:kern w:val="0"/>
                <w:sz w:val="21"/>
                <w:szCs w:val="21"/>
                <w:highlight w:val="none"/>
              </w:rPr>
              <w:t>燃煤锅炉限值</w:t>
            </w:r>
            <w:r>
              <w:rPr>
                <w:rFonts w:hint="default" w:ascii="Times New Roman" w:hAnsi="Times New Roman" w:eastAsia="宋体" w:cs="Times New Roman"/>
                <w:bCs/>
                <w:color w:val="auto"/>
                <w:sz w:val="21"/>
                <w:szCs w:val="21"/>
                <w:highlight w:val="none"/>
              </w:rPr>
              <w:t>要求</w:t>
            </w:r>
            <w:r>
              <w:rPr>
                <w:rFonts w:hint="eastAsia" w:ascii="Times New Roman" w:hAnsi="Times New Roman"/>
                <w:color w:val="auto"/>
                <w:sz w:val="21"/>
                <w:szCs w:val="21"/>
                <w:highlight w:val="none"/>
                <w:lang w:eastAsia="zh-CN"/>
              </w:rPr>
              <w:t>；</w:t>
            </w:r>
            <w:r>
              <w:rPr>
                <w:rFonts w:hint="eastAsia" w:ascii="Times New Roman" w:hAnsi="Times New Roman" w:cs="Times New Roman"/>
                <w:bCs/>
                <w:color w:val="auto"/>
                <w:sz w:val="21"/>
                <w:szCs w:val="21"/>
                <w:highlight w:val="none"/>
                <w:lang w:val="en-US" w:eastAsia="zh-CN"/>
              </w:rPr>
              <w:t>锅炉除渣过程在</w:t>
            </w:r>
            <w:r>
              <w:rPr>
                <w:rFonts w:hint="eastAsia" w:cs="Times New Roman"/>
                <w:bCs/>
                <w:color w:val="auto"/>
                <w:sz w:val="21"/>
                <w:szCs w:val="21"/>
                <w:highlight w:val="none"/>
                <w:lang w:val="en-US" w:eastAsia="zh-CN"/>
              </w:rPr>
              <w:t>密闭</w:t>
            </w:r>
            <w:r>
              <w:rPr>
                <w:rFonts w:hint="eastAsia" w:ascii="Times New Roman" w:hAnsi="Times New Roman" w:cs="Times New Roman"/>
                <w:bCs/>
                <w:color w:val="auto"/>
                <w:sz w:val="21"/>
                <w:szCs w:val="21"/>
                <w:highlight w:val="none"/>
                <w:lang w:val="en-US" w:eastAsia="zh-CN"/>
              </w:rPr>
              <w:t>锅炉房内完成，并配合洒水降尘，生物质燃料存储于</w:t>
            </w:r>
            <w:r>
              <w:rPr>
                <w:rFonts w:hint="eastAsia" w:cs="Times New Roman"/>
                <w:bCs/>
                <w:color w:val="auto"/>
                <w:sz w:val="21"/>
                <w:szCs w:val="21"/>
                <w:highlight w:val="none"/>
                <w:lang w:val="en-US" w:eastAsia="zh-CN"/>
              </w:rPr>
              <w:t>封闭燃料库</w:t>
            </w:r>
            <w:r>
              <w:rPr>
                <w:rFonts w:hint="eastAsia" w:ascii="Times New Roman" w:hAnsi="Times New Roman" w:cs="Times New Roman"/>
                <w:bCs/>
                <w:color w:val="auto"/>
                <w:sz w:val="21"/>
                <w:szCs w:val="21"/>
                <w:highlight w:val="none"/>
                <w:lang w:val="en-US" w:eastAsia="zh-CN"/>
              </w:rPr>
              <w:t>内，并燃料苫盖，灰渣（炉渣及</w:t>
            </w:r>
            <w:r>
              <w:rPr>
                <w:rFonts w:hint="eastAsia" w:cs="Times New Roman"/>
                <w:bCs/>
                <w:color w:val="auto"/>
                <w:sz w:val="21"/>
                <w:szCs w:val="21"/>
                <w:highlight w:val="none"/>
                <w:lang w:val="en-US" w:eastAsia="zh-CN"/>
              </w:rPr>
              <w:t>多管陶瓷+布袋除尘器收尘</w:t>
            </w:r>
            <w:r>
              <w:rPr>
                <w:rFonts w:hint="eastAsia" w:ascii="Times New Roman" w:hAnsi="Times New Roman" w:cs="Times New Roman"/>
                <w:bCs/>
                <w:color w:val="auto"/>
                <w:sz w:val="21"/>
                <w:szCs w:val="21"/>
                <w:highlight w:val="none"/>
                <w:lang w:val="en-US" w:eastAsia="zh-CN"/>
              </w:rPr>
              <w:t>）存储于密闭灰渣库，配合洒水降尘措施</w:t>
            </w:r>
            <w:r>
              <w:rPr>
                <w:rFonts w:hint="eastAsia" w:cs="Times New Roman"/>
                <w:bCs/>
                <w:color w:val="auto"/>
                <w:sz w:val="21"/>
                <w:szCs w:val="21"/>
                <w:highlight w:val="none"/>
                <w:lang w:val="en-US" w:eastAsia="zh-CN"/>
              </w:rPr>
              <w:t>，</w:t>
            </w:r>
            <w:r>
              <w:rPr>
                <w:rFonts w:hint="eastAsia" w:ascii="Times New Roman" w:hAnsi="Times New Roman" w:cs="Times New Roman"/>
                <w:bCs/>
                <w:color w:val="auto"/>
                <w:sz w:val="21"/>
                <w:szCs w:val="21"/>
                <w:highlight w:val="none"/>
                <w:lang w:val="en-US" w:eastAsia="zh-CN"/>
              </w:rPr>
              <w:t>不会形成动力起尘的粉尘影响，厂界颗粒物满足《大气污染物综合排放标准》（GB16297-1996）表2中无组织排放限值</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spacing w:val="0"/>
                <w:sz w:val="21"/>
                <w:szCs w:val="21"/>
                <w:highlight w:val="none"/>
              </w:rPr>
              <w:t>本项目</w:t>
            </w:r>
            <w:r>
              <w:rPr>
                <w:rFonts w:hint="eastAsia" w:cs="Times New Roman"/>
                <w:color w:val="auto"/>
                <w:kern w:val="0"/>
                <w:szCs w:val="21"/>
                <w:highlight w:val="none"/>
                <w:lang w:val="en-US" w:eastAsia="zh-CN"/>
              </w:rPr>
              <w:t>无新增员工，故无新增生</w:t>
            </w:r>
            <w:r>
              <w:rPr>
                <w:rFonts w:hint="eastAsia" w:cs="Times New Roman"/>
                <w:color w:val="auto"/>
                <w:kern w:val="0"/>
                <w:sz w:val="21"/>
                <w:szCs w:val="21"/>
                <w:highlight w:val="none"/>
                <w:lang w:val="en-US" w:eastAsia="zh-CN"/>
              </w:rPr>
              <w:t>活污水</w:t>
            </w:r>
            <w:r>
              <w:rPr>
                <w:rFonts w:hint="default" w:ascii="Times New Roman" w:hAnsi="Times New Roman" w:eastAsia="宋体" w:cs="Times New Roman"/>
                <w:color w:val="auto"/>
                <w:spacing w:val="0"/>
                <w:sz w:val="21"/>
                <w:szCs w:val="21"/>
                <w:highlight w:val="none"/>
              </w:rPr>
              <w:t>。</w:t>
            </w:r>
            <w:r>
              <w:rPr>
                <w:rFonts w:hint="eastAsia"/>
                <w:color w:val="FF0000"/>
                <w:sz w:val="21"/>
                <w:szCs w:val="21"/>
                <w:highlight w:val="none"/>
                <w:lang w:val="en-US" w:eastAsia="zh-CN"/>
              </w:rPr>
              <w:t>初期雨水依托东山煤矿洗煤一厂现有初期雨水收集池，初期雨水集中收集后回用洒水降尘，不外排，</w:t>
            </w:r>
            <w:r>
              <w:rPr>
                <w:rFonts w:hint="default" w:ascii="Times New Roman" w:hAnsi="Times New Roman" w:cs="Times New Roman"/>
                <w:color w:val="auto"/>
                <w:kern w:val="0"/>
                <w:sz w:val="21"/>
                <w:szCs w:val="21"/>
                <w:highlight w:val="none"/>
              </w:rPr>
              <w:t>锅炉排污水</w:t>
            </w:r>
            <w:r>
              <w:rPr>
                <w:rFonts w:hint="eastAsia" w:cs="Times New Roman"/>
                <w:color w:val="auto"/>
                <w:kern w:val="0"/>
                <w:sz w:val="21"/>
                <w:szCs w:val="21"/>
                <w:highlight w:val="none"/>
                <w:lang w:val="en-US" w:eastAsia="zh-CN"/>
              </w:rPr>
              <w:t>及软化</w:t>
            </w:r>
            <w:r>
              <w:rPr>
                <w:rFonts w:hint="eastAsia" w:cs="Times New Roman"/>
                <w:color w:val="auto"/>
                <w:kern w:val="0"/>
                <w:szCs w:val="21"/>
                <w:highlight w:val="none"/>
                <w:lang w:val="en-US" w:eastAsia="zh-CN"/>
              </w:rPr>
              <w:t>处理废水</w:t>
            </w:r>
            <w:r>
              <w:rPr>
                <w:rFonts w:hint="eastAsia" w:ascii="Times New Roman" w:hAnsi="Times New Roman" w:cs="Times New Roman"/>
                <w:color w:val="auto"/>
                <w:kern w:val="0"/>
                <w:szCs w:val="21"/>
                <w:highlight w:val="none"/>
                <w:lang w:eastAsia="zh-CN"/>
              </w:rPr>
              <w:t>，</w:t>
            </w:r>
            <w:r>
              <w:rPr>
                <w:rFonts w:hint="default" w:ascii="Times New Roman" w:hAnsi="Times New Roman" w:cs="Times New Roman"/>
                <w:color w:val="auto"/>
                <w:sz w:val="21"/>
                <w:szCs w:val="21"/>
                <w:highlight w:val="none"/>
              </w:rPr>
              <w:t>暂存厂区</w:t>
            </w:r>
            <w:r>
              <w:rPr>
                <w:rFonts w:hint="eastAsia" w:cs="Times New Roman"/>
                <w:color w:val="auto"/>
                <w:sz w:val="21"/>
                <w:szCs w:val="21"/>
                <w:highlight w:val="none"/>
                <w:lang w:val="en-US" w:eastAsia="zh-CN"/>
              </w:rPr>
              <w:t>70</w:t>
            </w:r>
            <w:r>
              <w:rPr>
                <w:rFonts w:hint="default" w:ascii="Times New Roman" w:hAnsi="Times New Roman" w:cs="Times New Roman"/>
                <w:b w:val="0"/>
                <w:bCs w:val="0"/>
                <w:color w:val="auto"/>
                <w:sz w:val="21"/>
                <w:szCs w:val="21"/>
                <w:highlight w:val="none"/>
              </w:rPr>
              <w:t>m³</w:t>
            </w:r>
            <w:r>
              <w:rPr>
                <w:rFonts w:hint="default" w:ascii="Times New Roman" w:hAnsi="Times New Roman" w:cs="Times New Roman"/>
                <w:color w:val="auto"/>
                <w:sz w:val="21"/>
                <w:szCs w:val="21"/>
                <w:highlight w:val="none"/>
              </w:rPr>
              <w:t>防渗</w:t>
            </w:r>
            <w:r>
              <w:rPr>
                <w:rFonts w:hint="eastAsia" w:cs="Times New Roman"/>
                <w:color w:val="auto"/>
                <w:sz w:val="21"/>
                <w:szCs w:val="21"/>
                <w:highlight w:val="none"/>
                <w:lang w:val="en-US" w:eastAsia="zh-CN"/>
              </w:rPr>
              <w:t>储水罐</w:t>
            </w:r>
            <w:r>
              <w:rPr>
                <w:rFonts w:hint="default" w:ascii="Times New Roman" w:hAnsi="Times New Roman" w:cs="Times New Roman"/>
                <w:color w:val="auto"/>
                <w:sz w:val="21"/>
                <w:szCs w:val="21"/>
                <w:highlight w:val="none"/>
              </w:rPr>
              <w:t>内，</w:t>
            </w:r>
            <w:r>
              <w:rPr>
                <w:rFonts w:hint="eastAsia" w:cs="Times New Roman"/>
                <w:color w:val="auto"/>
                <w:sz w:val="21"/>
                <w:szCs w:val="21"/>
                <w:highlight w:val="none"/>
                <w:lang w:val="en-US" w:eastAsia="zh-CN"/>
              </w:rPr>
              <w:t>定期拉</w:t>
            </w:r>
            <w:r>
              <w:rPr>
                <w:rFonts w:hint="default" w:ascii="Times New Roman" w:hAnsi="Times New Roman" w:cs="Times New Roman"/>
                <w:color w:val="auto"/>
                <w:sz w:val="21"/>
                <w:szCs w:val="21"/>
                <w:highlight w:val="none"/>
              </w:rPr>
              <w:t>运至</w:t>
            </w:r>
            <w:r>
              <w:rPr>
                <w:rFonts w:hint="eastAsia" w:ascii="Times New Roman" w:hAnsi="Times New Roman" w:cs="Times New Roman"/>
                <w:color w:val="auto"/>
                <w:kern w:val="0"/>
                <w:sz w:val="21"/>
                <w:szCs w:val="21"/>
                <w:highlight w:val="none"/>
                <w:lang w:val="en-US" w:eastAsia="zh-CN" w:bidi="ar"/>
              </w:rPr>
              <w:t>恒山区污水处理厂</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rPr>
              <w:t>经</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rPr>
              <w:t>处理达标后</w:t>
            </w:r>
            <w:r>
              <w:rPr>
                <w:rFonts w:hint="default" w:ascii="Times New Roman" w:hAnsi="Times New Roman" w:eastAsia="宋体" w:cs="Times New Roman"/>
                <w:color w:val="auto"/>
                <w:sz w:val="21"/>
                <w:szCs w:val="21"/>
                <w:highlight w:val="none"/>
              </w:rPr>
              <w:t>排入小黄泥河，最终汇入穆棱河</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cs="Times New Roman"/>
                <w:color w:val="auto"/>
                <w:sz w:val="21"/>
                <w:szCs w:val="21"/>
                <w:highlight w:val="none"/>
              </w:rPr>
              <w:t>生产设备选用低噪声设备，采取隔声、降噪</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安装消声器</w:t>
            </w:r>
            <w:r>
              <w:rPr>
                <w:rFonts w:hint="default" w:ascii="Times New Roman" w:hAnsi="Times New Roman" w:cs="Times New Roman"/>
                <w:color w:val="auto"/>
                <w:sz w:val="21"/>
                <w:szCs w:val="21"/>
                <w:highlight w:val="none"/>
              </w:rPr>
              <w:t>等措施，厂界噪声满足《工业企业厂界环境噪声排放标准》（GB12348-2008）表1中2类标准要求；</w:t>
            </w:r>
            <w:r>
              <w:rPr>
                <w:rFonts w:hint="eastAsia" w:ascii="宋体" w:hAnsi="宋体" w:cs="宋体"/>
                <w:bCs/>
                <w:color w:val="auto"/>
                <w:sz w:val="21"/>
                <w:szCs w:val="21"/>
                <w:highlight w:val="none"/>
              </w:rPr>
              <w:t>本项目</w:t>
            </w:r>
            <w:r>
              <w:rPr>
                <w:rFonts w:hint="eastAsia" w:cs="Times New Roman"/>
                <w:color w:val="auto"/>
                <w:sz w:val="21"/>
                <w:szCs w:val="21"/>
                <w:highlight w:val="none"/>
                <w:lang w:val="en-US" w:eastAsia="zh-CN"/>
              </w:rPr>
              <w:t>无新增生活垃圾；锅炉多管陶瓷+</w:t>
            </w:r>
            <w:r>
              <w:rPr>
                <w:rFonts w:hint="eastAsia"/>
                <w:color w:val="auto"/>
                <w:sz w:val="21"/>
                <w:szCs w:val="21"/>
                <w:highlight w:val="none"/>
                <w:lang w:eastAsia="zh-CN"/>
              </w:rPr>
              <w:t>布袋除尘器收尘</w:t>
            </w:r>
            <w:r>
              <w:rPr>
                <w:rFonts w:hint="eastAsia"/>
                <w:color w:val="auto"/>
                <w:sz w:val="21"/>
                <w:szCs w:val="21"/>
                <w:highlight w:val="none"/>
                <w:lang w:val="en-US" w:eastAsia="zh-CN"/>
              </w:rPr>
              <w:t>及锅炉炉渣</w:t>
            </w:r>
            <w:r>
              <w:rPr>
                <w:rFonts w:hint="eastAsia"/>
                <w:color w:val="auto"/>
                <w:sz w:val="21"/>
                <w:szCs w:val="21"/>
                <w:highlight w:val="none"/>
                <w:lang w:eastAsia="zh-CN"/>
              </w:rPr>
              <w:t>，</w:t>
            </w:r>
            <w:r>
              <w:rPr>
                <w:rFonts w:hint="eastAsia" w:cs="Times New Roman"/>
                <w:color w:val="auto"/>
                <w:sz w:val="21"/>
                <w:szCs w:val="21"/>
                <w:highlight w:val="none"/>
                <w:lang w:val="en-US" w:eastAsia="zh-CN"/>
              </w:rPr>
              <w:t>袋装收集存储于密闭灰渣库内，定期外售综合利用；</w:t>
            </w:r>
            <w:r>
              <w:rPr>
                <w:rFonts w:hint="eastAsia"/>
                <w:color w:val="auto"/>
                <w:sz w:val="21"/>
                <w:szCs w:val="21"/>
                <w:highlight w:val="none"/>
                <w:lang w:val="en-US" w:eastAsia="zh-CN"/>
              </w:rPr>
              <w:t>废离子交换树脂</w:t>
            </w:r>
            <w:r>
              <w:rPr>
                <w:rFonts w:hint="eastAsia" w:cs="Times New Roman"/>
                <w:color w:val="auto"/>
                <w:sz w:val="21"/>
                <w:szCs w:val="21"/>
                <w:highlight w:val="none"/>
                <w:lang w:val="en-US" w:eastAsia="zh-CN"/>
              </w:rPr>
              <w:t>，</w:t>
            </w:r>
            <w:r>
              <w:rPr>
                <w:rFonts w:hint="eastAsia" w:ascii="宋体" w:hAnsi="宋体" w:cs="宋体"/>
                <w:color w:val="auto"/>
                <w:sz w:val="21"/>
                <w:szCs w:val="21"/>
                <w:highlight w:val="none"/>
              </w:rPr>
              <w:t>更换后由厂家回收处置</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废布袋，</w:t>
            </w:r>
            <w:r>
              <w:rPr>
                <w:rFonts w:hint="eastAsia" w:ascii="宋体" w:hAnsi="宋体" w:cs="宋体"/>
                <w:color w:val="auto"/>
                <w:sz w:val="21"/>
                <w:szCs w:val="21"/>
                <w:highlight w:val="none"/>
              </w:rPr>
              <w:t>由除尘器厂家更换后直接带走</w:t>
            </w:r>
            <w:r>
              <w:rPr>
                <w:rFonts w:hint="eastAsia" w:ascii="宋体" w:hAnsi="宋体" w:cs="宋体"/>
                <w:color w:val="auto"/>
                <w:sz w:val="21"/>
                <w:szCs w:val="21"/>
                <w:highlight w:val="none"/>
                <w:lang w:eastAsia="zh-CN"/>
              </w:rPr>
              <w:t>。</w:t>
            </w:r>
            <w:r>
              <w:rPr>
                <w:rFonts w:hint="eastAsia" w:ascii="宋体" w:hAnsi="宋体" w:cs="宋体"/>
                <w:color w:val="FF0000"/>
                <w:sz w:val="21"/>
                <w:szCs w:val="21"/>
                <w:highlight w:val="none"/>
                <w:lang w:val="en-US" w:eastAsia="zh-CN"/>
              </w:rPr>
              <w:t>废机油</w:t>
            </w:r>
            <w:r>
              <w:rPr>
                <w:rFonts w:hint="default"/>
                <w:color w:val="FF0000"/>
                <w:szCs w:val="21"/>
                <w:highlight w:val="none"/>
              </w:rPr>
              <w:t>密封桶装</w:t>
            </w:r>
            <w:r>
              <w:rPr>
                <w:rFonts w:hint="eastAsia"/>
                <w:color w:val="FF0000"/>
                <w:szCs w:val="21"/>
                <w:highlight w:val="none"/>
                <w:lang w:eastAsia="zh-CN"/>
              </w:rPr>
              <w:t>，</w:t>
            </w:r>
            <w:r>
              <w:rPr>
                <w:rFonts w:hint="eastAsia" w:ascii="Times New Roman" w:hAnsi="Times New Roman" w:eastAsia="宋体" w:cs="Times New Roman"/>
                <w:color w:val="FF0000"/>
                <w:kern w:val="2"/>
                <w:sz w:val="21"/>
                <w:szCs w:val="21"/>
                <w:highlight w:val="none"/>
                <w:lang w:val="en-US" w:eastAsia="zh-CN" w:bidi="ar-SA"/>
              </w:rPr>
              <w:t>废弃含油抹布、手套集中收集</w:t>
            </w:r>
            <w:r>
              <w:rPr>
                <w:rFonts w:hint="default"/>
                <w:color w:val="FF0000"/>
                <w:szCs w:val="21"/>
                <w:highlight w:val="none"/>
              </w:rPr>
              <w:t>，暂存于</w:t>
            </w:r>
            <w:r>
              <w:rPr>
                <w:rFonts w:hint="eastAsia"/>
                <w:color w:val="FF0000"/>
                <w:szCs w:val="21"/>
                <w:highlight w:val="none"/>
                <w:lang w:val="en-US" w:eastAsia="zh-CN"/>
              </w:rPr>
              <w:t>东山煤矿材料科</w:t>
            </w:r>
            <w:r>
              <w:rPr>
                <w:rFonts w:hint="default"/>
                <w:color w:val="FF0000"/>
                <w:szCs w:val="21"/>
                <w:highlight w:val="none"/>
              </w:rPr>
              <w:t>危险废物贮存</w:t>
            </w:r>
            <w:r>
              <w:rPr>
                <w:rFonts w:hint="eastAsia"/>
                <w:color w:val="FF0000"/>
                <w:szCs w:val="21"/>
                <w:highlight w:val="none"/>
                <w:lang w:val="en-US" w:eastAsia="zh-CN"/>
              </w:rPr>
              <w:t>库</w:t>
            </w:r>
            <w:r>
              <w:rPr>
                <w:rFonts w:hint="default"/>
                <w:color w:val="FF0000"/>
                <w:szCs w:val="21"/>
                <w:highlight w:val="none"/>
              </w:rPr>
              <w:t>内，</w:t>
            </w:r>
            <w:r>
              <w:rPr>
                <w:rFonts w:hint="default"/>
                <w:color w:val="FF0000"/>
                <w:kern w:val="21"/>
                <w:szCs w:val="21"/>
                <w:highlight w:val="none"/>
              </w:rPr>
              <w:t>定期由有资质单位拉运处理</w:t>
            </w:r>
            <w:r>
              <w:rPr>
                <w:rFonts w:hint="eastAsia" w:ascii="宋体" w:hAnsi="宋体" w:cs="宋体"/>
                <w:color w:val="FF0000"/>
                <w:sz w:val="21"/>
                <w:szCs w:val="21"/>
                <w:highlight w:val="none"/>
                <w:lang w:eastAsia="zh-CN"/>
              </w:rPr>
              <w:t>。</w:t>
            </w:r>
            <w:r>
              <w:rPr>
                <w:rFonts w:hint="default" w:ascii="Times New Roman" w:hAnsi="Times New Roman" w:cs="Times New Roman"/>
                <w:color w:val="FF0000"/>
                <w:sz w:val="21"/>
                <w:szCs w:val="21"/>
                <w:highlight w:val="none"/>
              </w:rPr>
              <w:t>固体废物</w:t>
            </w:r>
            <w:r>
              <w:rPr>
                <w:rFonts w:hint="eastAsia" w:cs="Times New Roman"/>
                <w:color w:val="FF0000"/>
                <w:sz w:val="21"/>
                <w:szCs w:val="21"/>
                <w:highlight w:val="none"/>
                <w:lang w:eastAsia="zh-CN"/>
              </w:rPr>
              <w:t>、</w:t>
            </w:r>
            <w:r>
              <w:rPr>
                <w:rFonts w:hint="eastAsia" w:cs="Times New Roman"/>
                <w:color w:val="FF0000"/>
                <w:sz w:val="21"/>
                <w:szCs w:val="21"/>
                <w:highlight w:val="none"/>
                <w:lang w:val="en-US" w:eastAsia="zh-CN"/>
              </w:rPr>
              <w:t>危险废物</w:t>
            </w:r>
            <w:r>
              <w:rPr>
                <w:rFonts w:hint="default" w:ascii="Times New Roman" w:hAnsi="Times New Roman" w:cs="Times New Roman"/>
                <w:color w:val="FF0000"/>
                <w:sz w:val="21"/>
                <w:szCs w:val="21"/>
                <w:highlight w:val="none"/>
              </w:rPr>
              <w:t>贮存、处置符合</w:t>
            </w:r>
            <w:r>
              <w:rPr>
                <w:rFonts w:hint="default" w:ascii="Times New Roman" w:hAnsi="Times New Roman" w:cs="Times New Roman"/>
                <w:color w:val="FF0000"/>
                <w:kern w:val="21"/>
                <w:szCs w:val="21"/>
                <w:highlight w:val="none"/>
              </w:rPr>
              <w:t>《一般工业固体废物贮存和填埋污染控制标准》（GB18599-2020）</w:t>
            </w:r>
            <w:r>
              <w:rPr>
                <w:rFonts w:hint="eastAsia" w:cs="Times New Roman"/>
                <w:color w:val="FF0000"/>
                <w:kern w:val="21"/>
                <w:szCs w:val="21"/>
                <w:highlight w:val="none"/>
                <w:lang w:eastAsia="zh-CN"/>
              </w:rPr>
              <w:t>、</w:t>
            </w:r>
            <w:r>
              <w:rPr>
                <w:rFonts w:hint="eastAsia" w:ascii="宋体" w:hAnsi="宋体" w:cs="宋体"/>
                <w:color w:val="FF0000"/>
                <w:kern w:val="0"/>
                <w:szCs w:val="21"/>
                <w:highlight w:val="none"/>
                <w:lang w:bidi="ar"/>
              </w:rPr>
              <w:t>《危险废物贮存污染控制标准》（</w:t>
            </w:r>
            <w:r>
              <w:rPr>
                <w:rFonts w:hint="default"/>
                <w:color w:val="FF0000"/>
                <w:kern w:val="0"/>
                <w:szCs w:val="21"/>
                <w:highlight w:val="none"/>
                <w:lang w:bidi="ar"/>
              </w:rPr>
              <w:t>GB18597-2023</w:t>
            </w:r>
            <w:r>
              <w:rPr>
                <w:rFonts w:hint="eastAsia" w:ascii="宋体" w:hAnsi="宋体" w:cs="宋体"/>
                <w:color w:val="FF0000"/>
                <w:kern w:val="0"/>
                <w:szCs w:val="21"/>
                <w:highlight w:val="none"/>
                <w:lang w:bidi="ar"/>
              </w:rPr>
              <w:t>）</w:t>
            </w:r>
            <w:r>
              <w:rPr>
                <w:rFonts w:hint="default" w:ascii="Times New Roman" w:hAnsi="Times New Roman" w:cs="Times New Roman"/>
                <w:color w:val="FF0000"/>
                <w:sz w:val="21"/>
                <w:szCs w:val="21"/>
                <w:highlight w:val="none"/>
              </w:rPr>
              <w:t>。本项目各项污染物经过有效的污染治理措施后对环境影响较小</w:t>
            </w:r>
            <w:r>
              <w:rPr>
                <w:rFonts w:hint="default" w:ascii="Times New Roman" w:hAnsi="Times New Roman" w:cs="Times New Roman"/>
                <w:color w:val="FF0000"/>
                <w:sz w:val="21"/>
                <w:szCs w:val="21"/>
                <w:highlight w:val="none"/>
                <w:lang w:eastAsia="zh-CN"/>
              </w:rPr>
              <w:t>，</w:t>
            </w:r>
            <w:r>
              <w:rPr>
                <w:rFonts w:hint="default" w:ascii="Times New Roman" w:hAnsi="Times New Roman" w:cs="Times New Roman"/>
                <w:color w:val="FF0000"/>
                <w:sz w:val="21"/>
                <w:szCs w:val="21"/>
                <w:highlight w:val="none"/>
              </w:rPr>
              <w:t>从环保的角度分析本项目的选址是合理的</w:t>
            </w:r>
            <w:r>
              <w:rPr>
                <w:rFonts w:hint="default" w:ascii="Times New Roman" w:hAnsi="Times New Roman" w:cs="Times New Roman"/>
                <w:color w:val="FF0000"/>
                <w:kern w:val="0"/>
                <w:sz w:val="21"/>
                <w:szCs w:val="21"/>
                <w:highlight w:val="none"/>
              </w:rPr>
              <w:t>。</w:t>
            </w:r>
          </w:p>
          <w:p w14:paraId="674F4379">
            <w:pPr>
              <w:keepNext w:val="0"/>
              <w:keepLines w:val="0"/>
              <w:widowControl/>
              <w:suppressLineNumbers w:val="0"/>
              <w:autoSpaceDE/>
              <w:autoSpaceDN/>
              <w:adjustRightInd/>
              <w:snapToGrid/>
              <w:spacing w:before="0" w:beforeAutospacing="0" w:after="0" w:afterAutospacing="0" w:line="360" w:lineRule="auto"/>
              <w:ind w:left="0" w:right="0" w:firstLine="422" w:firstLineChars="200"/>
              <w:rPr>
                <w:rFonts w:hint="default"/>
                <w:color w:val="auto"/>
                <w:highlight w:val="none"/>
              </w:rPr>
            </w:pPr>
            <w:r>
              <w:rPr>
                <w:rFonts w:hint="eastAsia"/>
                <w:b/>
                <w:bCs/>
                <w:color w:val="auto"/>
                <w:kern w:val="0"/>
                <w:szCs w:val="21"/>
                <w:highlight w:val="none"/>
                <w:lang w:val="en-US" w:eastAsia="zh-CN"/>
              </w:rPr>
              <w:t>3</w:t>
            </w:r>
            <w:r>
              <w:rPr>
                <w:rFonts w:hint="eastAsia"/>
                <w:b/>
                <w:bCs/>
                <w:color w:val="auto"/>
                <w:kern w:val="0"/>
                <w:szCs w:val="21"/>
                <w:highlight w:val="none"/>
              </w:rPr>
              <w:t>、产业政策符合性</w:t>
            </w:r>
          </w:p>
          <w:p w14:paraId="7F07DF5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cs="Times New Roman"/>
                <w:b w:val="0"/>
                <w:bCs w:val="0"/>
                <w:color w:val="auto"/>
                <w:szCs w:val="21"/>
                <w:highlight w:val="none"/>
              </w:rPr>
              <w:t>根据《产业结构调整指导目录（2024年本）》，</w:t>
            </w:r>
            <w:r>
              <w:rPr>
                <w:rFonts w:hint="eastAsia" w:ascii="宋体" w:hAnsi="宋体" w:eastAsia="宋体" w:cs="宋体"/>
                <w:color w:val="auto"/>
                <w:highlight w:val="none"/>
                <w:lang w:val="en-US" w:eastAsia="zh-CN"/>
              </w:rPr>
              <w:t>本项目生物质锅炉为链条炉，</w:t>
            </w:r>
            <w:r>
              <w:rPr>
                <w:rFonts w:hint="default" w:ascii="Times New Roman" w:hAnsi="Times New Roman" w:eastAsia="宋体" w:cs="Times New Roman"/>
                <w:color w:val="auto"/>
                <w:highlight w:val="none"/>
                <w:lang w:val="en-US" w:eastAsia="zh-CN"/>
              </w:rPr>
              <w:t>不属于限制类</w:t>
            </w:r>
            <w:r>
              <w:rPr>
                <w:rFonts w:hint="eastAsia" w:ascii="宋体" w:hAnsi="宋体" w:eastAsia="宋体" w:cs="宋体"/>
                <w:color w:val="auto"/>
                <w:highlight w:val="none"/>
                <w:lang w:val="en-US" w:eastAsia="zh-CN"/>
              </w:rPr>
              <w:t>第“</w:t>
            </w:r>
            <w:r>
              <w:rPr>
                <w:rFonts w:hint="default" w:ascii="Times New Roman" w:hAnsi="Times New Roman" w:eastAsia="宋体" w:cs="Times New Roman"/>
                <w:color w:val="auto"/>
                <w:highlight w:val="none"/>
              </w:rPr>
              <w:t>57．每小时35蒸吨及以下固定炉排式生物质锅</w:t>
            </w:r>
            <w:r>
              <w:rPr>
                <w:rFonts w:hint="eastAsia" w:ascii="宋体" w:hAnsi="宋体" w:eastAsia="宋体" w:cs="宋体"/>
                <w:color w:val="auto"/>
                <w:highlight w:val="none"/>
              </w:rPr>
              <w:t>炉</w:t>
            </w:r>
            <w:r>
              <w:rPr>
                <w:rFonts w:hint="eastAsia" w:ascii="宋体" w:hAnsi="宋体" w:eastAsia="宋体" w:cs="宋体"/>
                <w:color w:val="auto"/>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不属于</w:t>
            </w:r>
            <w:r>
              <w:rPr>
                <w:rFonts w:hint="eastAsia" w:ascii="宋体" w:hAnsi="宋体" w:eastAsia="宋体" w:cs="宋体"/>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淘汰类落后产品—</w:t>
            </w:r>
            <w:r>
              <w:rPr>
                <w:rFonts w:hint="default" w:ascii="Times New Roman" w:hAnsi="Times New Roman" w:eastAsia="宋体" w:cs="Times New Roman"/>
                <w:color w:val="auto"/>
                <w:kern w:val="0"/>
                <w:sz w:val="21"/>
                <w:szCs w:val="21"/>
                <w:highlight w:val="none"/>
                <w:lang w:val="en-US" w:eastAsia="zh-CN" w:bidi="ar"/>
              </w:rPr>
              <w:t>每小时2蒸吨及以下生物质锅炉</w:t>
            </w:r>
            <w:r>
              <w:rPr>
                <w:rFonts w:hint="eastAsia" w:ascii="宋体" w:hAnsi="宋体" w:eastAsia="宋体" w:cs="宋体"/>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w:t>
            </w:r>
            <w:r>
              <w:rPr>
                <w:rFonts w:hint="eastAsia" w:ascii="宋体" w:hAnsi="宋体" w:cs="宋体"/>
                <w:color w:val="auto"/>
                <w:szCs w:val="21"/>
                <w:highlight w:val="none"/>
              </w:rPr>
              <w:t>依据</w:t>
            </w:r>
            <w:r>
              <w:rPr>
                <w:rFonts w:hint="default"/>
                <w:color w:val="auto"/>
                <w:szCs w:val="21"/>
                <w:highlight w:val="none"/>
              </w:rPr>
              <w:t>《产业结构调整指导目录（2024年本）》</w:t>
            </w:r>
            <w:r>
              <w:rPr>
                <w:rFonts w:hint="default"/>
                <w:color w:val="auto"/>
                <w:kern w:val="0"/>
                <w:szCs w:val="21"/>
                <w:highlight w:val="none"/>
                <w:lang w:bidi="ar"/>
              </w:rPr>
              <w:t>中</w:t>
            </w:r>
            <w:r>
              <w:rPr>
                <w:rFonts w:hint="eastAsia" w:ascii="宋体" w:hAnsi="宋体" w:cs="宋体"/>
                <w:color w:val="auto"/>
                <w:kern w:val="0"/>
                <w:szCs w:val="21"/>
                <w:highlight w:val="none"/>
                <w:lang w:bidi="ar"/>
              </w:rPr>
              <w:t>“鼓励类、限制类和淘汰类之外的，且符合国家有关法律、法规和政策规定的属于允许类。”</w:t>
            </w:r>
            <w:r>
              <w:rPr>
                <w:rFonts w:hint="eastAsia"/>
                <w:color w:val="auto"/>
                <w:kern w:val="0"/>
                <w:szCs w:val="21"/>
                <w:highlight w:val="none"/>
                <w:lang w:bidi="ar"/>
              </w:rPr>
              <w:t>，</w:t>
            </w:r>
            <w:r>
              <w:rPr>
                <w:rFonts w:hint="eastAsia" w:ascii="宋体" w:hAnsi="宋体" w:cs="宋体"/>
                <w:color w:val="auto"/>
                <w:szCs w:val="21"/>
                <w:highlight w:val="none"/>
              </w:rPr>
              <w:t>本项目属于“允许类”</w:t>
            </w:r>
            <w:r>
              <w:rPr>
                <w:rFonts w:hint="eastAsia" w:ascii="宋体" w:hAnsi="宋体" w:cs="宋体"/>
                <w:color w:val="auto"/>
                <w:szCs w:val="21"/>
                <w:highlight w:val="none"/>
                <w:lang w:eastAsia="zh-CN"/>
              </w:rPr>
              <w:t>。</w:t>
            </w:r>
            <w:r>
              <w:rPr>
                <w:rFonts w:hint="default" w:ascii="Times New Roman" w:hAnsi="Times New Roman" w:cs="Times New Roman"/>
                <w:b w:val="0"/>
                <w:bCs w:val="0"/>
                <w:color w:val="auto"/>
                <w:szCs w:val="21"/>
                <w:highlight w:val="none"/>
              </w:rPr>
              <w:t>因此</w:t>
            </w:r>
            <w:r>
              <w:rPr>
                <w:rFonts w:hint="default" w:ascii="Times New Roman" w:hAnsi="Times New Roman" w:cs="Times New Roman"/>
                <w:b w:val="0"/>
                <w:bCs w:val="0"/>
                <w:color w:val="auto"/>
                <w:szCs w:val="21"/>
                <w:highlight w:val="none"/>
                <w:lang w:eastAsia="zh-CN"/>
              </w:rPr>
              <w:t>，</w:t>
            </w:r>
            <w:r>
              <w:rPr>
                <w:rFonts w:hint="default" w:ascii="Times New Roman" w:hAnsi="Times New Roman" w:cs="Times New Roman"/>
                <w:b w:val="0"/>
                <w:bCs w:val="0"/>
                <w:color w:val="auto"/>
                <w:szCs w:val="21"/>
                <w:highlight w:val="none"/>
              </w:rPr>
              <w:t>本项目建设符合产业政策要求</w:t>
            </w:r>
            <w:r>
              <w:rPr>
                <w:rFonts w:hint="default" w:ascii="Times New Roman" w:hAnsi="Times New Roman" w:cs="Times New Roman"/>
                <w:color w:val="auto"/>
                <w:kern w:val="0"/>
                <w:sz w:val="21"/>
                <w:szCs w:val="21"/>
                <w:highlight w:val="none"/>
                <w:lang w:eastAsia="zh-CN"/>
              </w:rPr>
              <w:t>。</w:t>
            </w:r>
          </w:p>
          <w:p w14:paraId="6456E9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left"/>
              <w:textAlignment w:val="auto"/>
              <w:rPr>
                <w:rFonts w:hint="default" w:ascii="宋体" w:hAnsi="宋体" w:cs="宋体"/>
                <w:color w:val="auto"/>
                <w:sz w:val="21"/>
                <w:szCs w:val="21"/>
                <w:highlight w:val="none"/>
              </w:rPr>
            </w:pPr>
            <w:r>
              <w:rPr>
                <w:rFonts w:hint="eastAsia"/>
                <w:b/>
                <w:color w:val="auto"/>
                <w:kern w:val="0"/>
                <w:sz w:val="21"/>
                <w:szCs w:val="21"/>
                <w:highlight w:val="none"/>
                <w:lang w:val="en-US" w:eastAsia="zh-CN"/>
              </w:rPr>
              <w:t>4</w:t>
            </w:r>
            <w:r>
              <w:rPr>
                <w:rFonts w:hint="eastAsia"/>
                <w:b/>
                <w:color w:val="auto"/>
                <w:kern w:val="0"/>
                <w:sz w:val="21"/>
                <w:szCs w:val="21"/>
                <w:highlight w:val="none"/>
              </w:rPr>
              <w:t>、</w:t>
            </w:r>
            <w:r>
              <w:rPr>
                <w:rFonts w:hint="default" w:ascii="Times New Roman" w:hAnsi="Times New Roman" w:cs="Times New Roman"/>
                <w:b/>
                <w:bCs/>
                <w:color w:val="auto"/>
                <w:sz w:val="21"/>
                <w:szCs w:val="21"/>
                <w:highlight w:val="none"/>
              </w:rPr>
              <w:t>与《黑龙江省大气污染防治条例》（2018年修订）符合性分析</w:t>
            </w:r>
          </w:p>
          <w:p w14:paraId="50AADEAE">
            <w:pPr>
              <w:pStyle w:val="1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《黑龙江省大气污染防治条例（2018年修正）》于2018年12月27日黑龙江省第十三届人民代表大会常务委员会第八次会议修正</w:t>
            </w:r>
            <w:r>
              <w:rPr>
                <w:rFonts w:hint="eastAsia" w:ascii="宋体" w:hAnsi="宋体" w:eastAsia="宋体" w:cs="宋体"/>
                <w:color w:val="auto"/>
                <w:sz w:val="21"/>
                <w:szCs w:val="21"/>
                <w:highlight w:val="none"/>
                <w:lang w:val="en-US" w:eastAsia="zh-CN"/>
              </w:rPr>
              <w:t>中</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aps w:val="0"/>
                <w:color w:val="auto"/>
                <w:spacing w:val="0"/>
                <w:sz w:val="21"/>
                <w:szCs w:val="21"/>
                <w:highlight w:val="none"/>
                <w:shd w:val="clear" w:fill="auto"/>
              </w:rPr>
              <w:t>第</w:t>
            </w:r>
            <w:r>
              <w:rPr>
                <w:rFonts w:hint="default" w:ascii="Times New Roman" w:hAnsi="Times New Roman" w:eastAsia="宋体" w:cs="Times New Roman"/>
                <w:i w:val="0"/>
                <w:iCs w:val="0"/>
                <w:caps w:val="0"/>
                <w:color w:val="auto"/>
                <w:spacing w:val="0"/>
                <w:sz w:val="21"/>
                <w:szCs w:val="21"/>
                <w:highlight w:val="none"/>
                <w:shd w:val="clear" w:fill="auto"/>
              </w:rPr>
              <w:t>十一条</w:t>
            </w:r>
            <w:r>
              <w:rPr>
                <w:rFonts w:hint="default" w:ascii="Times New Roman" w:hAnsi="Times New Roman" w:eastAsia="宋体" w:cs="Times New Roman"/>
                <w:i w:val="0"/>
                <w:iCs w:val="0"/>
                <w:caps w:val="0"/>
                <w:color w:val="auto"/>
                <w:spacing w:val="0"/>
                <w:sz w:val="21"/>
                <w:szCs w:val="21"/>
                <w:highlight w:val="none"/>
                <w:shd w:val="clear"/>
                <w:lang w:val="en-US" w:eastAsia="zh-CN"/>
              </w:rPr>
              <w:t xml:space="preserve"> </w:t>
            </w:r>
            <w:r>
              <w:rPr>
                <w:rFonts w:hint="default" w:ascii="Times New Roman" w:hAnsi="Times New Roman" w:eastAsia="宋体" w:cs="Times New Roman"/>
                <w:i w:val="0"/>
                <w:iCs w:val="0"/>
                <w:caps w:val="0"/>
                <w:color w:val="auto"/>
                <w:spacing w:val="0"/>
                <w:sz w:val="21"/>
                <w:szCs w:val="21"/>
                <w:highlight w:val="none"/>
                <w:shd w:val="clear" w:fill="auto"/>
              </w:rPr>
              <w:t>向大气排放污染物的企业事业单位和其他生产经营者，应当配套建设大气污染防治设施</w:t>
            </w:r>
            <w:r>
              <w:rPr>
                <w:rFonts w:hint="eastAsia" w:ascii="宋体" w:hAnsi="宋体" w:eastAsia="宋体" w:cs="宋体"/>
                <w:i w:val="0"/>
                <w:iCs w:val="0"/>
                <w:caps w:val="0"/>
                <w:color w:val="auto"/>
                <w:spacing w:val="0"/>
                <w:sz w:val="21"/>
                <w:szCs w:val="21"/>
                <w:highlight w:val="none"/>
                <w:shd w:val="clear" w:fill="auto"/>
              </w:rPr>
              <w:t>。</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“第</w:t>
            </w:r>
            <w:r>
              <w:rPr>
                <w:rFonts w:hint="default" w:ascii="Times New Roman" w:hAnsi="Times New Roman" w:eastAsia="宋体" w:cs="Times New Roman"/>
                <w:color w:val="auto"/>
                <w:sz w:val="21"/>
                <w:szCs w:val="21"/>
                <w:highlight w:val="none"/>
              </w:rPr>
              <w:t>三十二条</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要求燃煤供热锅炉以及其他燃煤单位，应当采用清洁生产工艺，配套建设除尘、脱硫、脱硝等装置或者采用技术改造等措施，减少大气污染物的产生和排放，排放的大气污染物应当达到规定标准</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eastAsia="zh-CN"/>
              </w:rPr>
              <w:t>”“</w:t>
            </w:r>
            <w:r>
              <w:rPr>
                <w:rFonts w:hint="default" w:ascii="Times New Roman" w:hAnsi="Times New Roman" w:eastAsia="宋体" w:cs="Times New Roman"/>
                <w:color w:val="auto"/>
                <w:sz w:val="21"/>
                <w:szCs w:val="21"/>
                <w:highlight w:val="none"/>
              </w:rPr>
              <w:t>第三十三条要求设区的市级城市建成区内，禁止新建额定蒸发量低于每小时二十吨或者额定功率低于十四兆瓦的燃煤锅</w:t>
            </w:r>
            <w:r>
              <w:rPr>
                <w:rFonts w:hint="eastAsia" w:ascii="宋体" w:hAnsi="宋体" w:eastAsia="宋体" w:cs="宋体"/>
                <w:color w:val="auto"/>
                <w:sz w:val="21"/>
                <w:szCs w:val="21"/>
                <w:highlight w:val="none"/>
              </w:rPr>
              <w:t>炉”，“第三</w:t>
            </w:r>
            <w:r>
              <w:rPr>
                <w:rFonts w:hint="default" w:ascii="Times New Roman" w:hAnsi="Times New Roman" w:eastAsia="宋体" w:cs="Times New Roman"/>
                <w:color w:val="auto"/>
                <w:sz w:val="21"/>
                <w:szCs w:val="21"/>
                <w:highlight w:val="none"/>
              </w:rPr>
              <w:t>十五条要求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r>
              <w:rPr>
                <w:rFonts w:hint="eastAsia" w:ascii="宋体" w:hAnsi="宋体" w:eastAsia="宋体" w:cs="宋体"/>
                <w:color w:val="auto"/>
                <w:sz w:val="21"/>
                <w:szCs w:val="21"/>
                <w:highlight w:val="none"/>
              </w:rPr>
              <w:t>。”</w:t>
            </w:r>
          </w:p>
          <w:p w14:paraId="145C5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eastAsia="宋体"/>
                <w:color w:val="auto"/>
                <w:sz w:val="21"/>
                <w:szCs w:val="21"/>
                <w:highlight w:val="none"/>
                <w:lang w:eastAsia="zh-CN"/>
              </w:rPr>
            </w:pPr>
            <w:r>
              <w:rPr>
                <w:rFonts w:hint="default" w:ascii="Times New Roman" w:hAnsi="Times New Roman" w:cs="Times New Roman"/>
                <w:color w:val="auto"/>
                <w:sz w:val="21"/>
                <w:szCs w:val="21"/>
                <w:highlight w:val="none"/>
              </w:rPr>
              <w:t>本项目</w:t>
            </w:r>
            <w:r>
              <w:rPr>
                <w:rFonts w:hint="eastAsia" w:cs="Times New Roman"/>
                <w:color w:val="auto"/>
                <w:kern w:val="21"/>
                <w:sz w:val="21"/>
                <w:szCs w:val="21"/>
                <w:highlight w:val="none"/>
                <w:vertAlign w:val="baseline"/>
                <w:lang w:val="en-US" w:eastAsia="zh-CN"/>
              </w:rPr>
              <w:t>淘汰现有</w:t>
            </w:r>
            <w:r>
              <w:rPr>
                <w:rFonts w:hint="eastAsia" w:cs="Times New Roman"/>
                <w:color w:val="auto"/>
                <w:sz w:val="21"/>
                <w:szCs w:val="21"/>
                <w:highlight w:val="none"/>
                <w:lang w:val="en-US" w:eastAsia="zh-CN"/>
              </w:rPr>
              <w:t>4</w:t>
            </w:r>
            <w:r>
              <w:rPr>
                <w:rFonts w:hint="default" w:ascii="Times New Roman" w:hAnsi="Times New Roman" w:cs="Times New Roman"/>
                <w:color w:val="auto"/>
                <w:kern w:val="21"/>
                <w:sz w:val="21"/>
                <w:szCs w:val="21"/>
                <w:highlight w:val="none"/>
                <w:lang w:val="en-US" w:eastAsia="zh-CN"/>
              </w:rPr>
              <w:t>台</w:t>
            </w:r>
            <w:r>
              <w:rPr>
                <w:rFonts w:hint="eastAsia" w:cs="Times New Roman"/>
                <w:color w:val="auto"/>
                <w:kern w:val="21"/>
                <w:sz w:val="21"/>
                <w:szCs w:val="21"/>
                <w:highlight w:val="none"/>
                <w:lang w:val="en-US" w:eastAsia="zh-CN"/>
              </w:rPr>
              <w:t>10</w:t>
            </w:r>
            <w:r>
              <w:rPr>
                <w:rFonts w:hint="default" w:ascii="Times New Roman" w:hAnsi="Times New Roman" w:cs="Times New Roman"/>
                <w:color w:val="auto"/>
                <w:kern w:val="21"/>
                <w:sz w:val="21"/>
                <w:szCs w:val="21"/>
                <w:highlight w:val="none"/>
                <w:lang w:val="en-US" w:eastAsia="zh-CN"/>
              </w:rPr>
              <w:t>t/h燃煤锅炉</w:t>
            </w:r>
            <w:r>
              <w:rPr>
                <w:rFonts w:hint="eastAsia" w:ascii="Times New Roman" w:hAnsi="Times New Roman" w:eastAsia="宋体" w:cs="Times New Roman"/>
                <w:color w:val="auto"/>
                <w:kern w:val="21"/>
                <w:sz w:val="21"/>
                <w:szCs w:val="21"/>
                <w:highlight w:val="none"/>
                <w:vertAlign w:val="baseline"/>
                <w:lang w:val="en-US" w:eastAsia="zh-CN"/>
              </w:rPr>
              <w:t>，</w:t>
            </w:r>
            <w:r>
              <w:rPr>
                <w:rFonts w:hint="eastAsia" w:cs="Times New Roman"/>
                <w:color w:val="auto"/>
                <w:kern w:val="21"/>
                <w:sz w:val="21"/>
                <w:szCs w:val="21"/>
                <w:highlight w:val="none"/>
                <w:vertAlign w:val="baseline"/>
                <w:lang w:val="en-US" w:eastAsia="zh-CN"/>
              </w:rPr>
              <w:t>新建</w:t>
            </w:r>
            <w:r>
              <w:rPr>
                <w:rFonts w:hint="eastAsia"/>
                <w:color w:val="auto"/>
                <w:sz w:val="21"/>
                <w:highlight w:val="none"/>
                <w:lang w:val="en-US" w:eastAsia="zh-CN"/>
              </w:rPr>
              <w:t>3台10t/h生物质蒸汽锅炉</w:t>
            </w:r>
            <w:r>
              <w:rPr>
                <w:rFonts w:hint="eastAsia"/>
                <w:color w:val="auto"/>
                <w:highlight w:val="none"/>
                <w:lang w:val="en-US" w:eastAsia="zh-CN"/>
              </w:rPr>
              <w:t>，</w:t>
            </w:r>
            <w:r>
              <w:rPr>
                <w:rFonts w:hint="default" w:ascii="Times New Roman" w:hAnsi="Times New Roman" w:eastAsia="宋体" w:cs="Times New Roman"/>
                <w:color w:val="auto"/>
                <w:sz w:val="21"/>
                <w:szCs w:val="21"/>
                <w:highlight w:val="none"/>
              </w:rPr>
              <w:t>采用生物质成型燃料，</w:t>
            </w:r>
            <w:r>
              <w:rPr>
                <w:rFonts w:hint="eastAsia"/>
                <w:color w:val="auto"/>
                <w:highlight w:val="none"/>
                <w:lang w:val="en-US" w:eastAsia="zh-CN"/>
              </w:rPr>
              <w:t>锅炉</w:t>
            </w:r>
            <w:r>
              <w:rPr>
                <w:rFonts w:hint="default" w:ascii="Times New Roman" w:hAnsi="Times New Roman" w:eastAsia="宋体" w:cs="Times New Roman"/>
                <w:color w:val="auto"/>
                <w:szCs w:val="21"/>
                <w:highlight w:val="none"/>
              </w:rPr>
              <w:t>烟气</w:t>
            </w:r>
            <w:r>
              <w:rPr>
                <w:rFonts w:hint="eastAsia" w:cs="Times New Roman"/>
                <w:color w:val="auto"/>
                <w:szCs w:val="21"/>
                <w:highlight w:val="none"/>
                <w:lang w:val="en-US" w:eastAsia="zh-CN"/>
              </w:rPr>
              <w:t>分别</w:t>
            </w:r>
            <w:r>
              <w:rPr>
                <w:rFonts w:hint="default" w:ascii="Times New Roman" w:hAnsi="Times New Roman" w:eastAsia="宋体" w:cs="Times New Roman"/>
                <w:color w:val="auto"/>
                <w:szCs w:val="21"/>
                <w:highlight w:val="none"/>
              </w:rPr>
              <w:t>经</w:t>
            </w:r>
            <w:r>
              <w:rPr>
                <w:rFonts w:hint="eastAsia" w:cs="Times New Roman"/>
                <w:color w:val="auto"/>
                <w:szCs w:val="21"/>
                <w:highlight w:val="none"/>
                <w:lang w:val="en-US" w:eastAsia="zh-CN"/>
              </w:rPr>
              <w:t>各自配备的多管陶瓷</w:t>
            </w:r>
            <w:r>
              <w:rPr>
                <w:rFonts w:hint="default"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rPr>
              <w:t>布袋除尘器（除尘效率为99.</w:t>
            </w:r>
            <w:r>
              <w:rPr>
                <w:rFonts w:hint="default" w:ascii="Times New Roman" w:hAnsi="Times New Roman" w:eastAsia="宋体" w:cs="Times New Roman"/>
                <w:color w:val="auto"/>
                <w:szCs w:val="21"/>
                <w:highlight w:val="none"/>
                <w:lang w:val="en-US" w:eastAsia="zh-CN"/>
              </w:rPr>
              <w:t>7%</w:t>
            </w:r>
            <w:r>
              <w:rPr>
                <w:rFonts w:hint="default" w:ascii="Times New Roman" w:hAnsi="Times New Roman" w:eastAsia="宋体" w:cs="Times New Roman"/>
                <w:color w:val="auto"/>
                <w:szCs w:val="21"/>
                <w:highlight w:val="none"/>
              </w:rPr>
              <w:t>）处理后，由</w:t>
            </w:r>
            <w:r>
              <w:rPr>
                <w:rFonts w:hint="eastAsia" w:cs="Times New Roman"/>
                <w:color w:val="auto"/>
                <w:szCs w:val="21"/>
                <w:highlight w:val="none"/>
                <w:lang w:val="en-US" w:eastAsia="zh-CN"/>
              </w:rPr>
              <w:t>1根</w:t>
            </w:r>
            <w:r>
              <w:rPr>
                <w:rFonts w:hint="eastAsia"/>
                <w:color w:val="auto"/>
                <w:sz w:val="21"/>
                <w:highlight w:val="none"/>
                <w:lang w:val="en-US" w:eastAsia="zh-CN"/>
              </w:rPr>
              <w:t>60m烟囱（</w:t>
            </w:r>
            <w:r>
              <w:rPr>
                <w:rFonts w:hint="eastAsia"/>
                <w:color w:val="auto"/>
                <w:highlight w:val="none"/>
                <w:lang w:val="en-US" w:eastAsia="zh-CN"/>
              </w:rPr>
              <w:t>DA001</w:t>
            </w:r>
            <w:r>
              <w:rPr>
                <w:rFonts w:hint="eastAsia"/>
                <w:color w:val="auto"/>
                <w:sz w:val="21"/>
                <w:highlight w:val="none"/>
                <w:lang w:val="en-US" w:eastAsia="zh-CN"/>
              </w:rPr>
              <w:t>）</w:t>
            </w:r>
            <w:r>
              <w:rPr>
                <w:rFonts w:hint="eastAsia"/>
                <w:color w:val="auto"/>
                <w:highlight w:val="none"/>
                <w:lang w:val="en-US" w:eastAsia="zh-CN"/>
              </w:rPr>
              <w:t>排放</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本项目的建设符合《黑龙江省大气污染防治条例（2018年修正）》的要求</w:t>
            </w:r>
            <w:r>
              <w:rPr>
                <w:rFonts w:hint="default" w:ascii="Times New Roman" w:hAnsi="Times New Roman" w:eastAsia="宋体" w:cs="Times New Roman"/>
                <w:color w:val="auto"/>
                <w:sz w:val="21"/>
                <w:szCs w:val="21"/>
                <w:highlight w:val="none"/>
                <w:lang w:eastAsia="zh-CN"/>
              </w:rPr>
              <w:t>。</w:t>
            </w:r>
          </w:p>
          <w:p w14:paraId="0A96FC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lang w:val="en-US" w:eastAsia="zh-CN"/>
              </w:rPr>
              <w:t>、与《黑龙江省空气质量持续改善行动计划实施方案》</w:t>
            </w:r>
            <w:r>
              <w:rPr>
                <w:rFonts w:hint="default" w:ascii="Times New Roman" w:hAnsi="Times New Roman" w:eastAsia="宋体" w:cs="Times New Roman"/>
                <w:b/>
                <w:bCs/>
                <w:color w:val="auto"/>
                <w:kern w:val="0"/>
                <w:sz w:val="21"/>
                <w:szCs w:val="21"/>
                <w:highlight w:val="none"/>
                <w:u w:val="none"/>
              </w:rPr>
              <w:t>符合性分析</w:t>
            </w:r>
          </w:p>
          <w:p w14:paraId="5009F175">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eastAsia="宋体" w:cs="宋体"/>
                <w:b w:val="0"/>
                <w:bCs w:val="0"/>
                <w:i w:val="0"/>
                <w:iCs w:val="0"/>
                <w:caps w:val="0"/>
                <w:color w:val="auto"/>
                <w:spacing w:val="0"/>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《黑龙江省空气质量持续改善行动计划实施方案》中指出</w:t>
            </w:r>
            <w:r>
              <w:rPr>
                <w:rFonts w:hint="eastAsia" w:ascii="宋体" w:hAnsi="宋体" w:eastAsia="宋体" w:cs="宋体"/>
                <w:b w:val="0"/>
                <w:bCs w:val="0"/>
                <w:color w:val="auto"/>
                <w:sz w:val="21"/>
                <w:szCs w:val="21"/>
                <w:highlight w:val="none"/>
                <w:lang w:val="en-US" w:eastAsia="zh-CN"/>
              </w:rPr>
              <w:t>“</w:t>
            </w:r>
            <w:r>
              <w:rPr>
                <w:rFonts w:hint="default" w:ascii="Times New Roman" w:hAnsi="Times New Roman" w:eastAsia="宋体" w:cs="Times New Roman"/>
                <w:b w:val="0"/>
                <w:bCs w:val="0"/>
                <w:i w:val="0"/>
                <w:iCs w:val="0"/>
                <w:caps w:val="0"/>
                <w:color w:val="auto"/>
                <w:spacing w:val="0"/>
                <w:sz w:val="21"/>
                <w:szCs w:val="21"/>
                <w:highlight w:val="none"/>
              </w:rPr>
              <w:t>在持续优化改善能源结构方面，加快推进能源结构优化，严格控制煤炭消费总量，积极推进燃煤锅炉淘汰改造，加快工业炉窑燃料清洁替代，以试点城市为引领持续推进清洁取暖，积极推进散煤污染治理</w:t>
            </w:r>
            <w:r>
              <w:rPr>
                <w:rFonts w:hint="default" w:ascii="Times New Roman" w:hAnsi="Times New Roman" w:eastAsia="宋体" w:cs="Times New Roman"/>
                <w:b w:val="0"/>
                <w:bCs w:val="0"/>
                <w:i w:val="0"/>
                <w:iCs w:val="0"/>
                <w:caps w:val="0"/>
                <w:color w:val="auto"/>
                <w:spacing w:val="0"/>
                <w:sz w:val="21"/>
                <w:szCs w:val="21"/>
                <w:highlight w:val="none"/>
                <w:lang w:eastAsia="zh-CN"/>
              </w:rPr>
              <w:t>。</w:t>
            </w:r>
            <w:r>
              <w:rPr>
                <w:rFonts w:hint="eastAsia" w:ascii="宋体" w:hAnsi="宋体" w:eastAsia="宋体" w:cs="宋体"/>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在持续加强面源污染治理方面，深化扬尘污染综合治理，推进矿山生态环境综合整治，加强秸秆综合利用和禁烧管控，加强秸秆综合利用和禁烧管控。</w:t>
            </w:r>
            <w:r>
              <w:rPr>
                <w:rFonts w:hint="eastAsia" w:ascii="宋体" w:hAnsi="宋体" w:eastAsia="宋体" w:cs="宋体"/>
                <w:b w:val="0"/>
                <w:bCs w:val="0"/>
                <w:i w:val="0"/>
                <w:iCs w:val="0"/>
                <w:caps w:val="0"/>
                <w:color w:val="auto"/>
                <w:spacing w:val="0"/>
                <w:sz w:val="21"/>
                <w:szCs w:val="21"/>
                <w:highlight w:val="none"/>
                <w:lang w:eastAsia="zh-CN"/>
              </w:rPr>
              <w:t>”</w:t>
            </w:r>
          </w:p>
          <w:p w14:paraId="3951A26F">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i w:val="0"/>
                <w:iCs w:val="0"/>
                <w:caps w:val="0"/>
                <w:color w:val="auto"/>
                <w:spacing w:val="0"/>
                <w:sz w:val="21"/>
                <w:szCs w:val="21"/>
                <w:highlight w:val="none"/>
                <w:lang w:eastAsia="zh-CN"/>
              </w:rPr>
            </w:pPr>
            <w:r>
              <w:rPr>
                <w:rFonts w:hint="eastAsia" w:ascii="宋体" w:hAnsi="宋体" w:eastAsia="宋体" w:cs="宋体"/>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lang w:val="en-US" w:eastAsia="zh-CN"/>
              </w:rPr>
              <w:t>二十三</w:t>
            </w:r>
            <w:r>
              <w:rPr>
                <w:rFonts w:hint="default" w:ascii="Times New Roman" w:hAnsi="Times New Roman" w:eastAsia="宋体" w:cs="Times New Roman"/>
                <w:b w:val="0"/>
                <w:bCs w:val="0"/>
                <w:i w:val="0"/>
                <w:iCs w:val="0"/>
                <w:caps w:val="0"/>
                <w:color w:val="auto"/>
                <w:spacing w:val="0"/>
                <w:sz w:val="21"/>
                <w:szCs w:val="21"/>
                <w:highlight w:val="none"/>
                <w:lang w:eastAsia="zh-CN"/>
              </w:rPr>
              <w:t>），推进重点行业污染深度治理。高质量推动钢铁、水泥、焦化等重点行业及锅炉超低排放改造。推进鸡西市、双鸭山市、七台河市等煤炭类城市焦化企业超低排放改造，在全流程超低排放改造过程中，改造周期较长的，优先推动氮氧化物超低排放改造。到2025年，哈尔滨市、齐齐哈尔市、双鸭山市、伊春市4家长流程钢铁企业基本完成超低排放改造；在用65蒸吨/小时以上燃煤锅炉（含电力）基本实现超低排放。</w:t>
            </w:r>
          </w:p>
          <w:p w14:paraId="24F8C360">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i w:val="0"/>
                <w:iCs w:val="0"/>
                <w:caps w:val="0"/>
                <w:color w:val="auto"/>
                <w:spacing w:val="0"/>
                <w:sz w:val="21"/>
                <w:szCs w:val="21"/>
                <w:highlight w:val="none"/>
                <w:lang w:eastAsia="zh-CN"/>
              </w:rPr>
            </w:pPr>
            <w:r>
              <w:rPr>
                <w:rFonts w:hint="default" w:ascii="Times New Roman" w:hAnsi="Times New Roman" w:eastAsia="宋体" w:cs="Times New Roman"/>
                <w:b w:val="0"/>
                <w:bCs w:val="0"/>
                <w:i w:val="0"/>
                <w:iCs w:val="0"/>
                <w:caps w:val="0"/>
                <w:color w:val="auto"/>
                <w:spacing w:val="0"/>
                <w:sz w:val="21"/>
                <w:szCs w:val="21"/>
                <w:highlight w:val="none"/>
                <w:lang w:eastAsia="zh-CN"/>
              </w:rPr>
              <w:t>加强工业企业监管，确保全面稳定达标排放。结合新制（修）订的排放标准，推进玻璃、石灰、矿棉、有色等行业实施深度治理。全面排查锅炉、炉窑、VOCs等低效失效大气污染治理设施，对采用脱硫脱硝一体化、湿法脱硝、微生物法脱硝、单一低温等离子、光氧化、光催化以及非水溶性VOCs废气采用单一喷淋吸收等治理工艺实施整治。燃气锅炉实施低氮燃烧改造，对低氮燃烧器、烟气再循环系统、分级燃烧系统、燃料及风量调配系统等关键部件要严把质量关，确保低氮燃烧系统稳定运行。生物质锅炉采用专用锅炉，配套布袋等高效除尘设施，禁止掺烧煤炭、生活垃圾等其他物料。推进整合小型生物质锅炉，积极引导城市建成区内生物质锅炉（含电力）超低排放改造。强化治污设施运行维护，减少非正常工况排放。严格旁路监管，重点涉气企业逐步取消烟气和含VOCs废气旁路，因安全生产需要无法取消的，需向当地生态环境部门报备，安装在线监控系统及备用处置设施，在非紧急情况下保持关闭并加强监管。”</w:t>
            </w:r>
          </w:p>
          <w:p w14:paraId="7788F6DC">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21"/>
                <w:sz w:val="21"/>
                <w:szCs w:val="21"/>
                <w:highlight w:val="none"/>
                <w:vertAlign w:val="baseline"/>
                <w:lang w:val="en-US" w:eastAsia="zh-CN"/>
              </w:rPr>
              <w:t>本项目不属于</w:t>
            </w:r>
            <w:r>
              <w:rPr>
                <w:rFonts w:hint="default" w:ascii="Times New Roman" w:hAnsi="Times New Roman" w:eastAsia="宋体" w:cs="Times New Roman"/>
                <w:b w:val="0"/>
                <w:bCs w:val="0"/>
                <w:i w:val="0"/>
                <w:iCs w:val="0"/>
                <w:caps w:val="0"/>
                <w:color w:val="auto"/>
                <w:spacing w:val="0"/>
                <w:sz w:val="21"/>
                <w:szCs w:val="21"/>
                <w:highlight w:val="none"/>
                <w:lang w:eastAsia="zh-CN"/>
              </w:rPr>
              <w:t>钢铁、水泥、焦化等重点行业</w:t>
            </w:r>
            <w:r>
              <w:rPr>
                <w:rFonts w:hint="eastAsia" w:ascii="Times New Roman" w:hAnsi="Times New Roman" w:eastAsia="宋体" w:cs="Times New Roman"/>
                <w:b w:val="0"/>
                <w:bCs w:val="0"/>
                <w:i w:val="0"/>
                <w:iCs w:val="0"/>
                <w:caps w:val="0"/>
                <w:color w:val="auto"/>
                <w:spacing w:val="0"/>
                <w:sz w:val="21"/>
                <w:szCs w:val="21"/>
                <w:highlight w:val="none"/>
                <w:lang w:val="en-US" w:eastAsia="zh-CN"/>
              </w:rPr>
              <w:t>及</w:t>
            </w:r>
            <w:r>
              <w:rPr>
                <w:rFonts w:hint="default" w:ascii="Times New Roman" w:hAnsi="Times New Roman" w:eastAsia="宋体" w:cs="Times New Roman"/>
                <w:b w:val="0"/>
                <w:bCs w:val="0"/>
                <w:i w:val="0"/>
                <w:iCs w:val="0"/>
                <w:caps w:val="0"/>
                <w:color w:val="auto"/>
                <w:spacing w:val="0"/>
                <w:sz w:val="21"/>
                <w:szCs w:val="21"/>
                <w:highlight w:val="none"/>
                <w:lang w:eastAsia="zh-CN"/>
              </w:rPr>
              <w:t>玻璃、石灰、矿棉、有色等行业</w:t>
            </w:r>
            <w:r>
              <w:rPr>
                <w:rFonts w:hint="eastAsia"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kern w:val="21"/>
                <w:sz w:val="21"/>
                <w:szCs w:val="21"/>
                <w:highlight w:val="none"/>
                <w:vertAlign w:val="baseline"/>
                <w:lang w:val="en-US" w:eastAsia="zh-CN"/>
              </w:rPr>
              <w:t>淘汰现有</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default" w:ascii="Times New Roman" w:hAnsi="Times New Roman" w:eastAsia="宋体" w:cs="Times New Roman"/>
                <w:color w:val="auto"/>
                <w:kern w:val="21"/>
                <w:sz w:val="21"/>
                <w:szCs w:val="21"/>
                <w:highlight w:val="none"/>
                <w:vertAlign w:val="baseline"/>
                <w:lang w:val="en-US" w:eastAsia="zh-CN"/>
              </w:rPr>
              <w:t>，新建</w:t>
            </w:r>
            <w:r>
              <w:rPr>
                <w:rFonts w:hint="eastAsia" w:ascii="Times New Roman" w:hAnsi="Times New Roman" w:eastAsia="宋体" w:cs="Times New Roman"/>
                <w:color w:val="auto"/>
                <w:sz w:val="21"/>
                <w:szCs w:val="21"/>
                <w:highlight w:val="none"/>
                <w:lang w:val="en-US" w:eastAsia="zh-CN"/>
              </w:rPr>
              <w:t>3台10t/h生物质蒸汽锅炉</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采用生物质成型燃料</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无</w:t>
            </w:r>
            <w:r>
              <w:rPr>
                <w:rFonts w:hint="default" w:ascii="Times New Roman" w:hAnsi="Times New Roman" w:eastAsia="宋体" w:cs="Times New Roman"/>
                <w:b w:val="0"/>
                <w:bCs w:val="0"/>
                <w:i w:val="0"/>
                <w:iCs w:val="0"/>
                <w:caps w:val="0"/>
                <w:color w:val="auto"/>
                <w:spacing w:val="0"/>
                <w:sz w:val="21"/>
                <w:szCs w:val="21"/>
                <w:highlight w:val="none"/>
                <w:lang w:eastAsia="zh-CN"/>
              </w:rPr>
              <w:t>掺烧煤炭、生活垃圾等其他物料，</w:t>
            </w:r>
            <w:r>
              <w:rPr>
                <w:rFonts w:hint="default" w:ascii="Times New Roman" w:hAnsi="Times New Roman" w:eastAsia="宋体" w:cs="Times New Roman"/>
                <w:color w:val="auto"/>
                <w:sz w:val="21"/>
                <w:szCs w:val="21"/>
                <w:highlight w:val="none"/>
                <w:lang w:val="en-US" w:eastAsia="zh-CN"/>
              </w:rPr>
              <w:t>锅炉</w:t>
            </w:r>
            <w:r>
              <w:rPr>
                <w:rFonts w:hint="default" w:ascii="Times New Roman" w:hAnsi="Times New Roman" w:eastAsia="宋体" w:cs="Times New Roman"/>
                <w:color w:val="auto"/>
                <w:sz w:val="21"/>
                <w:szCs w:val="21"/>
                <w:highlight w:val="none"/>
              </w:rPr>
              <w:t>烟气</w:t>
            </w:r>
            <w:r>
              <w:rPr>
                <w:rFonts w:hint="default" w:ascii="Times New Roman" w:hAnsi="Times New Roman" w:eastAsia="宋体" w:cs="Times New Roman"/>
                <w:color w:val="auto"/>
                <w:sz w:val="21"/>
                <w:szCs w:val="21"/>
                <w:highlight w:val="none"/>
                <w:lang w:val="en-US" w:eastAsia="zh-CN"/>
              </w:rPr>
              <w:t>分别</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val="en-US" w:eastAsia="zh-CN"/>
              </w:rPr>
              <w:t>各自配备的多管陶瓷+</w:t>
            </w:r>
            <w:r>
              <w:rPr>
                <w:rFonts w:hint="default" w:ascii="Times New Roman" w:hAnsi="Times New Roman" w:eastAsia="宋体" w:cs="Times New Roman"/>
                <w:color w:val="auto"/>
                <w:sz w:val="21"/>
                <w:szCs w:val="21"/>
                <w:highlight w:val="none"/>
              </w:rPr>
              <w:t>布袋除尘器（除尘效率为99.</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）处理后，由</w:t>
            </w:r>
            <w:r>
              <w:rPr>
                <w:rFonts w:hint="default" w:ascii="Times New Roman" w:hAnsi="Times New Roman" w:eastAsia="宋体" w:cs="Times New Roman"/>
                <w:color w:val="auto"/>
                <w:sz w:val="21"/>
                <w:szCs w:val="21"/>
                <w:highlight w:val="none"/>
                <w:lang w:val="en-US" w:eastAsia="zh-CN"/>
              </w:rPr>
              <w:t>1根60m烟囱（DA001）排放，</w:t>
            </w:r>
            <w:r>
              <w:rPr>
                <w:rFonts w:hint="default" w:ascii="Times New Roman" w:hAnsi="Times New Roman" w:eastAsia="宋体" w:cs="Times New Roman"/>
                <w:bCs/>
                <w:color w:val="auto"/>
                <w:sz w:val="21"/>
                <w:szCs w:val="21"/>
                <w:highlight w:val="none"/>
              </w:rPr>
              <w:t>锅炉烟气中颗粒物、SO</w:t>
            </w:r>
            <w:r>
              <w:rPr>
                <w:rFonts w:hint="default" w:ascii="Times New Roman" w:hAnsi="Times New Roman" w:eastAsia="宋体" w:cs="Times New Roman"/>
                <w:bCs/>
                <w:color w:val="auto"/>
                <w:sz w:val="21"/>
                <w:szCs w:val="21"/>
                <w:highlight w:val="none"/>
                <w:vertAlign w:val="subscript"/>
              </w:rPr>
              <w:t>2</w:t>
            </w:r>
            <w:r>
              <w:rPr>
                <w:rFonts w:hint="default" w:ascii="Times New Roman" w:hAnsi="Times New Roman" w:eastAsia="宋体" w:cs="Times New Roman"/>
                <w:bCs/>
                <w:color w:val="auto"/>
                <w:sz w:val="21"/>
                <w:szCs w:val="21"/>
                <w:highlight w:val="none"/>
              </w:rPr>
              <w:t>、NO</w:t>
            </w:r>
            <w:r>
              <w:rPr>
                <w:rFonts w:hint="default" w:ascii="Times New Roman" w:hAnsi="Times New Roman" w:eastAsia="宋体" w:cs="Times New Roman"/>
                <w:bCs/>
                <w:color w:val="auto"/>
                <w:sz w:val="21"/>
                <w:szCs w:val="21"/>
                <w:highlight w:val="none"/>
                <w:vertAlign w:val="subscript"/>
              </w:rPr>
              <w:t>X</w:t>
            </w:r>
            <w:r>
              <w:rPr>
                <w:rFonts w:hint="default" w:ascii="Times New Roman" w:hAnsi="Times New Roman" w:eastAsia="宋体" w:cs="Times New Roman"/>
                <w:bCs/>
                <w:color w:val="auto"/>
                <w:sz w:val="21"/>
                <w:szCs w:val="21"/>
                <w:highlight w:val="none"/>
              </w:rPr>
              <w:t>及烟气黑度排放浓度均满足《锅炉大气污染物排放标准》（GB13271-2014）表2</w:t>
            </w:r>
            <w:r>
              <w:rPr>
                <w:rFonts w:hint="default" w:ascii="Times New Roman" w:hAnsi="Times New Roman" w:eastAsia="宋体" w:cs="Times New Roman"/>
                <w:color w:val="auto"/>
                <w:kern w:val="0"/>
                <w:sz w:val="21"/>
                <w:szCs w:val="21"/>
                <w:highlight w:val="none"/>
              </w:rPr>
              <w:t>燃煤锅炉限值</w:t>
            </w:r>
            <w:r>
              <w:rPr>
                <w:rFonts w:hint="default" w:ascii="Times New Roman" w:hAnsi="Times New Roman" w:eastAsia="宋体" w:cs="Times New Roman"/>
                <w:bCs/>
                <w:color w:val="auto"/>
                <w:sz w:val="21"/>
                <w:szCs w:val="21"/>
                <w:highlight w:val="none"/>
              </w:rPr>
              <w:t>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锅炉除渣过程在密闭锅炉房内完成，并配合洒水降尘，生物质燃料存储于封闭燃料库内，并燃料苫盖，灰渣（炉渣及多管陶瓷+布袋除尘器收尘）存储于密闭灰渣库，配合洒水降尘措施，不会形成动力起尘的粉尘影响，厂界颗粒物满足《大气污染物综合排放标准》（GB16297-1996）表2中无组织排放限值</w:t>
            </w:r>
            <w:r>
              <w:rPr>
                <w:rFonts w:hint="default" w:ascii="Times New Roman" w:hAnsi="Times New Roman" w:eastAsia="宋体" w:cs="Times New Roman"/>
                <w:color w:val="auto"/>
                <w:sz w:val="21"/>
                <w:szCs w:val="21"/>
                <w:highlight w:val="none"/>
                <w:lang w:val="en-US" w:eastAsia="zh-CN"/>
              </w:rPr>
              <w:t>。本项目不涉及</w:t>
            </w:r>
            <w:r>
              <w:rPr>
                <w:rFonts w:hint="default" w:ascii="Times New Roman" w:hAnsi="Times New Roman" w:eastAsia="宋体" w:cs="Times New Roman"/>
                <w:b w:val="0"/>
                <w:bCs w:val="0"/>
                <w:i w:val="0"/>
                <w:iCs w:val="0"/>
                <w:caps w:val="0"/>
                <w:color w:val="auto"/>
                <w:spacing w:val="0"/>
                <w:sz w:val="21"/>
                <w:szCs w:val="21"/>
                <w:highlight w:val="none"/>
              </w:rPr>
              <w:t>秸秆</w:t>
            </w:r>
            <w:r>
              <w:rPr>
                <w:rFonts w:hint="default" w:ascii="Times New Roman" w:hAnsi="Times New Roman" w:eastAsia="宋体" w:cs="Times New Roman"/>
                <w:b w:val="0"/>
                <w:bCs w:val="0"/>
                <w:i w:val="0"/>
                <w:iCs w:val="0"/>
                <w:caps w:val="0"/>
                <w:color w:val="auto"/>
                <w:spacing w:val="0"/>
                <w:sz w:val="21"/>
                <w:szCs w:val="21"/>
                <w:highlight w:val="none"/>
                <w:lang w:val="en-US" w:eastAsia="zh-CN"/>
              </w:rPr>
              <w:t>利用及燃烧。</w:t>
            </w:r>
            <w:r>
              <w:rPr>
                <w:rFonts w:hint="default" w:ascii="Times New Roman" w:hAnsi="Times New Roman" w:eastAsia="宋体" w:cs="Times New Roman"/>
                <w:b w:val="0"/>
                <w:bCs w:val="0"/>
                <w:i w:val="0"/>
                <w:iCs w:val="0"/>
                <w:caps w:val="0"/>
                <w:color w:val="auto"/>
                <w:spacing w:val="0"/>
                <w:w w:val="100"/>
                <w:sz w:val="21"/>
                <w:szCs w:val="21"/>
                <w:highlight w:val="none"/>
                <w:lang w:val="en-US" w:eastAsia="zh-CN"/>
              </w:rPr>
              <w:t>综上所述，本项目</w:t>
            </w:r>
            <w:r>
              <w:rPr>
                <w:rFonts w:hint="default" w:ascii="Times New Roman" w:hAnsi="Times New Roman" w:eastAsia="宋体" w:cs="Times New Roman"/>
                <w:b w:val="0"/>
                <w:bCs w:val="0"/>
                <w:color w:val="auto"/>
                <w:w w:val="100"/>
                <w:sz w:val="21"/>
                <w:szCs w:val="21"/>
                <w:highlight w:val="none"/>
                <w:lang w:val="en-US" w:eastAsia="zh-CN"/>
              </w:rPr>
              <w:t>符合《黑龙江省空气质量持续改善行动计划实施方案</w:t>
            </w:r>
            <w:r>
              <w:rPr>
                <w:rFonts w:hint="eastAsia" w:ascii="Times New Roman" w:hAnsi="Times New Roman" w:eastAsia="宋体" w:cs="Times New Roman"/>
                <w:b w:val="0"/>
                <w:bCs w:val="0"/>
                <w:color w:val="auto"/>
                <w:w w:val="100"/>
                <w:sz w:val="21"/>
                <w:szCs w:val="21"/>
                <w:highlight w:val="none"/>
                <w:lang w:val="en-US" w:eastAsia="zh-CN"/>
              </w:rPr>
              <w:t>》</w:t>
            </w:r>
            <w:r>
              <w:rPr>
                <w:rFonts w:hint="default" w:ascii="Times New Roman" w:hAnsi="Times New Roman" w:eastAsia="宋体" w:cs="Times New Roman"/>
                <w:b w:val="0"/>
                <w:bCs w:val="0"/>
                <w:color w:val="auto"/>
                <w:w w:val="100"/>
                <w:sz w:val="21"/>
                <w:szCs w:val="21"/>
                <w:highlight w:val="none"/>
                <w:lang w:val="en-US" w:eastAsia="zh-CN"/>
              </w:rPr>
              <w:t>要求</w:t>
            </w:r>
            <w:r>
              <w:rPr>
                <w:rFonts w:hint="default" w:ascii="Times New Roman" w:hAnsi="Times New Roman" w:eastAsia="宋体" w:cs="Times New Roman"/>
                <w:b w:val="0"/>
                <w:bCs w:val="0"/>
                <w:color w:val="auto"/>
                <w:sz w:val="21"/>
                <w:szCs w:val="21"/>
                <w:highlight w:val="none"/>
                <w:lang w:val="en-US" w:eastAsia="zh-CN"/>
              </w:rPr>
              <w:t>。</w:t>
            </w:r>
          </w:p>
          <w:p w14:paraId="46DFD563">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color w:val="auto"/>
                <w:sz w:val="21"/>
                <w:szCs w:val="21"/>
                <w:highlight w:val="none"/>
              </w:rPr>
            </w:pPr>
            <w:r>
              <w:rPr>
                <w:rFonts w:hint="eastAsia"/>
                <w:b/>
                <w:bCs/>
                <w:color w:val="auto"/>
                <w:sz w:val="21"/>
                <w:szCs w:val="21"/>
                <w:highlight w:val="none"/>
                <w:lang w:val="en-US" w:eastAsia="zh-CN"/>
              </w:rPr>
              <w:t>6、</w:t>
            </w:r>
            <w:r>
              <w:rPr>
                <w:rFonts w:hint="eastAsia" w:ascii="宋体" w:hAnsi="宋体" w:eastAsia="宋体" w:cs="宋体"/>
                <w:b/>
                <w:bCs/>
                <w:color w:val="auto"/>
                <w:sz w:val="21"/>
                <w:szCs w:val="21"/>
                <w:highlight w:val="none"/>
              </w:rPr>
              <w:t>与《黑龙江省“十四五”生态环境保护规划》符合性分析</w:t>
            </w:r>
          </w:p>
          <w:p w14:paraId="38E1EE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olor w:val="auto"/>
                <w:sz w:val="21"/>
                <w:szCs w:val="21"/>
                <w:highlight w:val="none"/>
              </w:rPr>
            </w:pPr>
            <w:r>
              <w:rPr>
                <w:rFonts w:hint="eastAsia"/>
                <w:color w:val="auto"/>
                <w:sz w:val="21"/>
                <w:szCs w:val="21"/>
                <w:highlight w:val="none"/>
              </w:rPr>
              <w:t>本项目为</w:t>
            </w:r>
            <w:r>
              <w:rPr>
                <w:rFonts w:hint="eastAsia"/>
                <w:color w:val="auto"/>
                <w:sz w:val="21"/>
                <w:szCs w:val="21"/>
                <w:highlight w:val="none"/>
                <w:lang w:val="en-US" w:eastAsia="zh-CN"/>
              </w:rPr>
              <w:t>改建</w:t>
            </w:r>
            <w:r>
              <w:rPr>
                <w:rFonts w:hint="eastAsia"/>
                <w:color w:val="auto"/>
                <w:sz w:val="21"/>
                <w:szCs w:val="21"/>
                <w:highlight w:val="none"/>
              </w:rPr>
              <w:t>项目，</w:t>
            </w:r>
            <w:r>
              <w:rPr>
                <w:rFonts w:hint="default" w:ascii="Times New Roman" w:hAnsi="Times New Roman" w:cs="Times New Roman"/>
                <w:color w:val="auto"/>
                <w:sz w:val="21"/>
                <w:szCs w:val="21"/>
                <w:highlight w:val="none"/>
              </w:rPr>
              <w:t>本项目</w:t>
            </w:r>
            <w:r>
              <w:rPr>
                <w:rFonts w:hint="eastAsia" w:cs="Times New Roman"/>
                <w:color w:val="auto"/>
                <w:kern w:val="21"/>
                <w:sz w:val="21"/>
                <w:szCs w:val="21"/>
                <w:highlight w:val="none"/>
                <w:vertAlign w:val="baseline"/>
                <w:lang w:val="en-US" w:eastAsia="zh-CN"/>
              </w:rPr>
              <w:t>淘汰现有</w:t>
            </w:r>
            <w:r>
              <w:rPr>
                <w:rFonts w:hint="eastAsia" w:cs="Times New Roman"/>
                <w:color w:val="auto"/>
                <w:sz w:val="21"/>
                <w:szCs w:val="21"/>
                <w:highlight w:val="none"/>
                <w:lang w:val="en-US" w:eastAsia="zh-CN"/>
              </w:rPr>
              <w:t>4</w:t>
            </w:r>
            <w:r>
              <w:rPr>
                <w:rFonts w:hint="default" w:ascii="Times New Roman" w:hAnsi="Times New Roman" w:cs="Times New Roman"/>
                <w:color w:val="auto"/>
                <w:kern w:val="21"/>
                <w:sz w:val="21"/>
                <w:szCs w:val="21"/>
                <w:highlight w:val="none"/>
                <w:lang w:val="en-US" w:eastAsia="zh-CN"/>
              </w:rPr>
              <w:t>台</w:t>
            </w:r>
            <w:r>
              <w:rPr>
                <w:rFonts w:hint="eastAsia" w:cs="Times New Roman"/>
                <w:color w:val="auto"/>
                <w:kern w:val="21"/>
                <w:sz w:val="21"/>
                <w:szCs w:val="21"/>
                <w:highlight w:val="none"/>
                <w:lang w:val="en-US" w:eastAsia="zh-CN"/>
              </w:rPr>
              <w:t>10</w:t>
            </w:r>
            <w:r>
              <w:rPr>
                <w:rFonts w:hint="default" w:ascii="Times New Roman" w:hAnsi="Times New Roman" w:cs="Times New Roman"/>
                <w:color w:val="auto"/>
                <w:kern w:val="21"/>
                <w:sz w:val="21"/>
                <w:szCs w:val="21"/>
                <w:highlight w:val="none"/>
                <w:lang w:val="en-US" w:eastAsia="zh-CN"/>
              </w:rPr>
              <w:t>t/h燃煤锅炉</w:t>
            </w:r>
            <w:r>
              <w:rPr>
                <w:rFonts w:hint="eastAsia" w:ascii="Times New Roman" w:hAnsi="Times New Roman" w:eastAsia="宋体" w:cs="Times New Roman"/>
                <w:color w:val="auto"/>
                <w:kern w:val="21"/>
                <w:sz w:val="21"/>
                <w:szCs w:val="21"/>
                <w:highlight w:val="none"/>
                <w:vertAlign w:val="baseline"/>
                <w:lang w:val="en-US" w:eastAsia="zh-CN"/>
              </w:rPr>
              <w:t>，</w:t>
            </w:r>
            <w:r>
              <w:rPr>
                <w:rFonts w:hint="eastAsia" w:cs="Times New Roman"/>
                <w:color w:val="auto"/>
                <w:kern w:val="21"/>
                <w:sz w:val="21"/>
                <w:szCs w:val="21"/>
                <w:highlight w:val="none"/>
                <w:vertAlign w:val="baseline"/>
                <w:lang w:val="en-US" w:eastAsia="zh-CN"/>
              </w:rPr>
              <w:t>新建</w:t>
            </w:r>
            <w:r>
              <w:rPr>
                <w:rFonts w:hint="eastAsia"/>
                <w:color w:val="auto"/>
                <w:sz w:val="21"/>
                <w:highlight w:val="none"/>
                <w:lang w:val="en-US" w:eastAsia="zh-CN"/>
              </w:rPr>
              <w:t>3台10t/h生物质蒸汽锅炉</w:t>
            </w:r>
            <w:r>
              <w:rPr>
                <w:rFonts w:hint="eastAsia"/>
                <w:color w:val="auto"/>
                <w:highlight w:val="none"/>
                <w:lang w:val="en-US" w:eastAsia="zh-CN"/>
              </w:rPr>
              <w:t>，</w:t>
            </w:r>
            <w:r>
              <w:rPr>
                <w:rFonts w:hint="default" w:ascii="Times New Roman" w:hAnsi="Times New Roman" w:eastAsia="宋体" w:cs="Times New Roman"/>
                <w:color w:val="auto"/>
                <w:sz w:val="21"/>
                <w:szCs w:val="21"/>
                <w:highlight w:val="none"/>
              </w:rPr>
              <w:t>采用生物质成型燃料</w:t>
            </w:r>
            <w:r>
              <w:rPr>
                <w:rFonts w:hint="eastAsia"/>
                <w:color w:val="auto"/>
                <w:sz w:val="21"/>
                <w:szCs w:val="21"/>
                <w:highlight w:val="none"/>
              </w:rPr>
              <w:t>，不涉及燃煤燃料使用，可以达标排放，属于可行技术，确保污染物稳定达标排放；运营期</w:t>
            </w:r>
            <w:r>
              <w:rPr>
                <w:rFonts w:hint="eastAsia" w:cs="Times New Roman"/>
                <w:color w:val="auto"/>
                <w:kern w:val="0"/>
                <w:sz w:val="21"/>
                <w:szCs w:val="21"/>
                <w:highlight w:val="none"/>
                <w:lang w:val="en-US" w:eastAsia="zh-CN"/>
              </w:rPr>
              <w:t>无新增员工，故无新增生活污水</w:t>
            </w:r>
            <w:r>
              <w:rPr>
                <w:rFonts w:hint="default" w:ascii="Times New Roman" w:hAnsi="Times New Roman" w:eastAsia="宋体" w:cs="Times New Roman"/>
                <w:color w:val="auto"/>
                <w:spacing w:val="0"/>
                <w:sz w:val="21"/>
                <w:szCs w:val="21"/>
                <w:highlight w:val="none"/>
              </w:rPr>
              <w:t>。</w:t>
            </w:r>
            <w:r>
              <w:rPr>
                <w:rFonts w:hint="eastAsia" w:cs="Times New Roman"/>
                <w:color w:val="auto"/>
                <w:kern w:val="0"/>
                <w:szCs w:val="21"/>
                <w:highlight w:val="none"/>
                <w:lang w:val="en-US" w:eastAsia="zh-CN"/>
              </w:rPr>
              <w:t>本项目</w:t>
            </w:r>
            <w:r>
              <w:rPr>
                <w:rFonts w:hint="default" w:ascii="Times New Roman" w:hAnsi="Times New Roman" w:cs="Times New Roman"/>
                <w:color w:val="auto"/>
                <w:kern w:val="0"/>
                <w:szCs w:val="21"/>
                <w:highlight w:val="none"/>
              </w:rPr>
              <w:t>锅炉排污水</w:t>
            </w:r>
            <w:r>
              <w:rPr>
                <w:rFonts w:hint="eastAsia" w:cs="Times New Roman"/>
                <w:color w:val="auto"/>
                <w:kern w:val="0"/>
                <w:szCs w:val="21"/>
                <w:highlight w:val="none"/>
                <w:lang w:val="en-US" w:eastAsia="zh-CN"/>
              </w:rPr>
              <w:t>及软化处理废水</w:t>
            </w:r>
            <w:r>
              <w:rPr>
                <w:rFonts w:hint="eastAsia" w:ascii="Times New Roman" w:hAnsi="Times New Roman" w:cs="Times New Roman"/>
                <w:color w:val="auto"/>
                <w:kern w:val="0"/>
                <w:szCs w:val="21"/>
                <w:highlight w:val="none"/>
                <w:lang w:eastAsia="zh-CN"/>
              </w:rPr>
              <w:t>，</w:t>
            </w:r>
            <w:r>
              <w:rPr>
                <w:rFonts w:hint="default" w:ascii="Times New Roman" w:hAnsi="Times New Roman" w:cs="Times New Roman"/>
                <w:color w:val="auto"/>
                <w:sz w:val="21"/>
                <w:szCs w:val="21"/>
                <w:highlight w:val="none"/>
              </w:rPr>
              <w:t>暂存厂区</w:t>
            </w:r>
            <w:r>
              <w:rPr>
                <w:rFonts w:hint="eastAsia" w:cs="Times New Roman"/>
                <w:color w:val="auto"/>
                <w:sz w:val="21"/>
                <w:szCs w:val="21"/>
                <w:highlight w:val="none"/>
                <w:lang w:val="en-US" w:eastAsia="zh-CN"/>
              </w:rPr>
              <w:t>70</w:t>
            </w:r>
            <w:r>
              <w:rPr>
                <w:rFonts w:hint="default" w:ascii="Times New Roman" w:hAnsi="Times New Roman" w:cs="Times New Roman"/>
                <w:b w:val="0"/>
                <w:bCs w:val="0"/>
                <w:color w:val="auto"/>
                <w:sz w:val="21"/>
                <w:szCs w:val="21"/>
                <w:highlight w:val="none"/>
              </w:rPr>
              <w:t>m³</w:t>
            </w:r>
            <w:r>
              <w:rPr>
                <w:rFonts w:hint="default" w:ascii="Times New Roman" w:hAnsi="Times New Roman" w:cs="Times New Roman"/>
                <w:color w:val="auto"/>
                <w:sz w:val="21"/>
                <w:szCs w:val="21"/>
                <w:highlight w:val="none"/>
              </w:rPr>
              <w:t>防渗</w:t>
            </w:r>
            <w:r>
              <w:rPr>
                <w:rFonts w:hint="eastAsia" w:cs="Times New Roman"/>
                <w:color w:val="auto"/>
                <w:sz w:val="21"/>
                <w:szCs w:val="21"/>
                <w:highlight w:val="none"/>
                <w:lang w:val="en-US" w:eastAsia="zh-CN"/>
              </w:rPr>
              <w:t>储水罐</w:t>
            </w:r>
            <w:r>
              <w:rPr>
                <w:rFonts w:hint="default" w:ascii="Times New Roman" w:hAnsi="Times New Roman" w:cs="Times New Roman"/>
                <w:color w:val="auto"/>
                <w:sz w:val="21"/>
                <w:szCs w:val="21"/>
                <w:highlight w:val="none"/>
              </w:rPr>
              <w:t>内，</w:t>
            </w:r>
            <w:r>
              <w:rPr>
                <w:rFonts w:hint="eastAsia" w:cs="Times New Roman"/>
                <w:color w:val="auto"/>
                <w:sz w:val="21"/>
                <w:szCs w:val="21"/>
                <w:highlight w:val="none"/>
                <w:lang w:val="en-US" w:eastAsia="zh-CN"/>
              </w:rPr>
              <w:t>定期拉</w:t>
            </w:r>
            <w:r>
              <w:rPr>
                <w:rFonts w:hint="default" w:ascii="Times New Roman" w:hAnsi="Times New Roman" w:cs="Times New Roman"/>
                <w:color w:val="auto"/>
                <w:sz w:val="21"/>
                <w:szCs w:val="21"/>
                <w:highlight w:val="none"/>
              </w:rPr>
              <w:t>运至</w:t>
            </w:r>
            <w:r>
              <w:rPr>
                <w:rFonts w:hint="eastAsia" w:ascii="Times New Roman" w:hAnsi="Times New Roman" w:cs="Times New Roman"/>
                <w:color w:val="auto"/>
                <w:kern w:val="0"/>
                <w:sz w:val="21"/>
                <w:szCs w:val="21"/>
                <w:highlight w:val="none"/>
                <w:lang w:val="en-US" w:eastAsia="zh-CN" w:bidi="ar"/>
              </w:rPr>
              <w:t>恒山区污水处理厂</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rPr>
              <w:t>经</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rPr>
              <w:t>处理达标后</w:t>
            </w:r>
            <w:r>
              <w:rPr>
                <w:rFonts w:hint="default" w:ascii="Times New Roman" w:hAnsi="Times New Roman" w:eastAsia="宋体" w:cs="Times New Roman"/>
                <w:color w:val="auto"/>
                <w:sz w:val="21"/>
                <w:szCs w:val="21"/>
                <w:highlight w:val="none"/>
              </w:rPr>
              <w:t>排入小黄泥河，最终汇入穆棱河</w:t>
            </w:r>
            <w:r>
              <w:rPr>
                <w:rFonts w:hint="default" w:ascii="Times New Roman" w:hAnsi="Times New Roman" w:eastAsia="宋体" w:cs="Times New Roman"/>
                <w:color w:val="auto"/>
                <w:sz w:val="21"/>
                <w:szCs w:val="21"/>
                <w:highlight w:val="none"/>
                <w:lang w:val="en-US" w:eastAsia="zh-CN"/>
              </w:rPr>
              <w:t>。</w:t>
            </w:r>
            <w:r>
              <w:rPr>
                <w:rFonts w:hint="eastAsia"/>
                <w:color w:val="auto"/>
                <w:sz w:val="21"/>
                <w:szCs w:val="21"/>
                <w:highlight w:val="none"/>
              </w:rPr>
              <w:t>不属于《黑龙江省“十四五”生态环境保护规划》中“重点行业大气污染治理工程、水生态环境提升重大工程、土壤和地下水污染治理重大工程”中要求内容，项目建设符合《黑龙江省“十四五”生态环境保护规划》要求。</w:t>
            </w:r>
          </w:p>
          <w:p w14:paraId="1CE91851">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2" w:firstLineChars="200"/>
              <w:textAlignment w:val="auto"/>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7、</w:t>
            </w:r>
            <w:r>
              <w:rPr>
                <w:rFonts w:hint="default"/>
                <w:b/>
                <w:bCs/>
                <w:color w:val="auto"/>
                <w:sz w:val="21"/>
                <w:szCs w:val="21"/>
                <w:highlight w:val="none"/>
              </w:rPr>
              <w:t>与《</w:t>
            </w:r>
            <w:r>
              <w:rPr>
                <w:rFonts w:hint="eastAsia"/>
                <w:b/>
                <w:bCs/>
                <w:color w:val="auto"/>
                <w:sz w:val="21"/>
                <w:szCs w:val="21"/>
                <w:highlight w:val="none"/>
              </w:rPr>
              <w:t>鸡西市“十四五”生态环境保护规划</w:t>
            </w:r>
            <w:r>
              <w:rPr>
                <w:rFonts w:hint="default"/>
                <w:b/>
                <w:bCs/>
                <w:color w:val="auto"/>
                <w:sz w:val="21"/>
                <w:szCs w:val="21"/>
                <w:highlight w:val="none"/>
              </w:rPr>
              <w:t>》符合性分析</w:t>
            </w:r>
          </w:p>
          <w:p w14:paraId="62A62678">
            <w:pPr>
              <w:pStyle w:val="10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cs="Times New Roman"/>
                <w:color w:val="auto"/>
                <w:sz w:val="21"/>
                <w:szCs w:val="21"/>
                <w:highlight w:val="none"/>
              </w:rPr>
            </w:pPr>
            <w:r>
              <w:rPr>
                <w:rFonts w:hint="eastAsia"/>
                <w:color w:val="auto"/>
                <w:sz w:val="21"/>
                <w:szCs w:val="21"/>
                <w:highlight w:val="none"/>
              </w:rPr>
              <w:t>《鸡西市“十四五”生态环境保护规划》提出：推进扬尘精细化管控。全面推行绿色施工，严格落实施工工地扬尘管控责任，加强施工扬尘监管执法。推进低尘机械化湿式清扫作业，加大城市出入口、</w:t>
            </w:r>
            <w:r>
              <w:rPr>
                <w:rFonts w:hint="eastAsia"/>
                <w:color w:val="auto"/>
                <w:sz w:val="21"/>
                <w:szCs w:val="21"/>
                <w:highlight w:val="none"/>
                <w:lang w:eastAsia="zh-CN"/>
              </w:rPr>
              <w:t>城乡接合部</w:t>
            </w:r>
            <w:r>
              <w:rPr>
                <w:rFonts w:hint="eastAsia"/>
                <w:color w:val="auto"/>
                <w:sz w:val="21"/>
                <w:szCs w:val="21"/>
                <w:highlight w:val="none"/>
              </w:rPr>
              <w:t>等重要路段冲洗保洁力度，渣土车实施全密闭运输，强化绿化用地扬尘治理。城市裸露地面、粉粒类物料堆放以及大</w:t>
            </w:r>
            <w:r>
              <w:rPr>
                <w:rFonts w:hint="eastAsia" w:cs="Times New Roman"/>
                <w:color w:val="auto"/>
                <w:sz w:val="21"/>
                <w:szCs w:val="21"/>
                <w:highlight w:val="none"/>
              </w:rPr>
              <w:t>型煤炭物料堆场，全面完成抑尘设施建设和物料输送系统封闭改造，鼓励有条件的堆场实施全封闭改造。</w:t>
            </w:r>
          </w:p>
          <w:p w14:paraId="1445D6BB">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kern w:val="21"/>
                <w:sz w:val="21"/>
                <w:szCs w:val="21"/>
                <w:highlight w:val="none"/>
                <w:vertAlign w:val="baseline"/>
                <w:lang w:val="en-US" w:eastAsia="zh-CN"/>
              </w:rPr>
              <w:t>淘汰现有</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default" w:ascii="Times New Roman" w:hAnsi="Times New Roman" w:eastAsia="宋体" w:cs="Times New Roman"/>
                <w:color w:val="auto"/>
                <w:kern w:val="21"/>
                <w:sz w:val="21"/>
                <w:szCs w:val="21"/>
                <w:highlight w:val="none"/>
                <w:vertAlign w:val="baseline"/>
                <w:lang w:val="en-US" w:eastAsia="zh-CN"/>
              </w:rPr>
              <w:t>，新建</w:t>
            </w:r>
            <w:r>
              <w:rPr>
                <w:rFonts w:hint="eastAsia" w:ascii="Times New Roman" w:hAnsi="Times New Roman" w:eastAsia="宋体" w:cs="Times New Roman"/>
                <w:color w:val="auto"/>
                <w:sz w:val="21"/>
                <w:szCs w:val="21"/>
                <w:highlight w:val="none"/>
                <w:lang w:val="en-US" w:eastAsia="zh-CN"/>
              </w:rPr>
              <w:t>3台10t/h生物质蒸汽锅炉</w:t>
            </w:r>
            <w:r>
              <w:rPr>
                <w:rFonts w:hint="default" w:ascii="Times New Roman" w:hAnsi="Times New Roman" w:eastAsia="宋体" w:cs="Times New Roman"/>
                <w:color w:val="auto"/>
                <w:sz w:val="21"/>
                <w:szCs w:val="21"/>
                <w:highlight w:val="none"/>
                <w:lang w:val="en-US" w:eastAsia="zh-CN"/>
              </w:rPr>
              <w:t>，采用生物质成型燃料，锅炉</w:t>
            </w:r>
            <w:r>
              <w:rPr>
                <w:rFonts w:hint="default" w:ascii="Times New Roman" w:hAnsi="Times New Roman" w:eastAsia="宋体" w:cs="Times New Roman"/>
                <w:color w:val="auto"/>
                <w:sz w:val="21"/>
                <w:szCs w:val="21"/>
                <w:highlight w:val="none"/>
              </w:rPr>
              <w:t>烟气</w:t>
            </w:r>
            <w:r>
              <w:rPr>
                <w:rFonts w:hint="default" w:ascii="Times New Roman" w:hAnsi="Times New Roman" w:eastAsia="宋体" w:cs="Times New Roman"/>
                <w:color w:val="auto"/>
                <w:sz w:val="21"/>
                <w:szCs w:val="21"/>
                <w:highlight w:val="none"/>
                <w:lang w:val="en-US" w:eastAsia="zh-CN"/>
              </w:rPr>
              <w:t>分别</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val="en-US" w:eastAsia="zh-CN"/>
              </w:rPr>
              <w:t>各自配备的多管陶瓷+</w:t>
            </w:r>
            <w:r>
              <w:rPr>
                <w:rFonts w:hint="default" w:ascii="Times New Roman" w:hAnsi="Times New Roman" w:eastAsia="宋体" w:cs="Times New Roman"/>
                <w:color w:val="auto"/>
                <w:sz w:val="21"/>
                <w:szCs w:val="21"/>
                <w:highlight w:val="none"/>
              </w:rPr>
              <w:t>布袋除尘器（除尘效率为99.</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）处理后，由</w:t>
            </w:r>
            <w:r>
              <w:rPr>
                <w:rFonts w:hint="default" w:ascii="Times New Roman" w:hAnsi="Times New Roman" w:eastAsia="宋体" w:cs="Times New Roman"/>
                <w:color w:val="auto"/>
                <w:sz w:val="21"/>
                <w:szCs w:val="21"/>
                <w:highlight w:val="none"/>
                <w:lang w:val="en-US" w:eastAsia="zh-CN"/>
              </w:rPr>
              <w:t>1根60m烟囱（DA001）排放，</w:t>
            </w:r>
            <w:r>
              <w:rPr>
                <w:rFonts w:hint="default" w:ascii="Times New Roman" w:hAnsi="Times New Roman" w:eastAsia="宋体" w:cs="Times New Roman"/>
                <w:bCs/>
                <w:color w:val="auto"/>
                <w:sz w:val="21"/>
                <w:szCs w:val="21"/>
                <w:highlight w:val="none"/>
              </w:rPr>
              <w:t>锅炉烟气中颗粒物、SO</w:t>
            </w:r>
            <w:r>
              <w:rPr>
                <w:rFonts w:hint="default" w:ascii="Times New Roman" w:hAnsi="Times New Roman" w:eastAsia="宋体" w:cs="Times New Roman"/>
                <w:bCs/>
                <w:color w:val="auto"/>
                <w:sz w:val="21"/>
                <w:szCs w:val="21"/>
                <w:highlight w:val="none"/>
                <w:vertAlign w:val="subscript"/>
              </w:rPr>
              <w:t>2</w:t>
            </w:r>
            <w:r>
              <w:rPr>
                <w:rFonts w:hint="default" w:ascii="Times New Roman" w:hAnsi="Times New Roman" w:eastAsia="宋体" w:cs="Times New Roman"/>
                <w:bCs/>
                <w:color w:val="auto"/>
                <w:sz w:val="21"/>
                <w:szCs w:val="21"/>
                <w:highlight w:val="none"/>
              </w:rPr>
              <w:t>、NO</w:t>
            </w:r>
            <w:r>
              <w:rPr>
                <w:rFonts w:hint="default" w:ascii="Times New Roman" w:hAnsi="Times New Roman" w:eastAsia="宋体" w:cs="Times New Roman"/>
                <w:bCs/>
                <w:color w:val="auto"/>
                <w:sz w:val="21"/>
                <w:szCs w:val="21"/>
                <w:highlight w:val="none"/>
                <w:vertAlign w:val="subscript"/>
              </w:rPr>
              <w:t>X</w:t>
            </w:r>
            <w:r>
              <w:rPr>
                <w:rFonts w:hint="default" w:ascii="Times New Roman" w:hAnsi="Times New Roman" w:eastAsia="宋体" w:cs="Times New Roman"/>
                <w:bCs/>
                <w:color w:val="auto"/>
                <w:sz w:val="21"/>
                <w:szCs w:val="21"/>
                <w:highlight w:val="none"/>
              </w:rPr>
              <w:t>及烟气黑度排放浓度均满足《锅炉大气污染物排放标准》（GB13271-2014）表2</w:t>
            </w:r>
            <w:r>
              <w:rPr>
                <w:rFonts w:hint="default" w:ascii="Times New Roman" w:hAnsi="Times New Roman" w:eastAsia="宋体" w:cs="Times New Roman"/>
                <w:color w:val="auto"/>
                <w:kern w:val="0"/>
                <w:sz w:val="21"/>
                <w:szCs w:val="21"/>
                <w:highlight w:val="none"/>
              </w:rPr>
              <w:t>燃煤锅炉限值</w:t>
            </w:r>
            <w:r>
              <w:rPr>
                <w:rFonts w:hint="default" w:ascii="Times New Roman" w:hAnsi="Times New Roman" w:eastAsia="宋体" w:cs="Times New Roman"/>
                <w:bCs/>
                <w:color w:val="auto"/>
                <w:sz w:val="21"/>
                <w:szCs w:val="21"/>
                <w:highlight w:val="none"/>
              </w:rPr>
              <w:t>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锅炉除渣过程在密闭锅炉房内完成，并配合洒水降尘，生物质燃料存储于封闭燃料库内，并燃料苫盖，灰渣（炉渣及多管陶瓷+布袋除尘器收尘）存储于密闭灰渣库，配合洒水降尘措施，不会形成动力起尘的粉尘影响，厂界颗粒物满足《大气污染物综合排放标准》（GB16297-1996）表2中无组织排放限值</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项目</w:t>
            </w:r>
            <w:r>
              <w:rPr>
                <w:rFonts w:hint="eastAsia" w:cs="Times New Roman"/>
                <w:color w:val="auto"/>
                <w:sz w:val="21"/>
                <w:szCs w:val="21"/>
                <w:highlight w:val="none"/>
              </w:rPr>
              <w:t>符合《鸡西市“十四五”生态环境保护规划》相关要求</w:t>
            </w:r>
            <w:r>
              <w:rPr>
                <w:rFonts w:hint="eastAsia" w:cs="Times New Roman"/>
                <w:color w:val="auto"/>
                <w:sz w:val="21"/>
                <w:szCs w:val="21"/>
                <w:highlight w:val="none"/>
                <w:lang w:eastAsia="zh-CN"/>
              </w:rPr>
              <w:t>。</w:t>
            </w:r>
          </w:p>
          <w:p w14:paraId="3290B913">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eastAsia="宋体" w:cs="Times New Roman"/>
                <w:b/>
                <w:bCs/>
                <w:color w:val="auto"/>
                <w:kern w:val="0"/>
                <w:sz w:val="21"/>
                <w:szCs w:val="21"/>
                <w:highlight w:val="none"/>
                <w:u w:val="none"/>
              </w:rPr>
            </w:pPr>
            <w:r>
              <w:rPr>
                <w:rFonts w:hint="eastAsia"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lang w:val="en-US" w:eastAsia="zh-CN"/>
              </w:rPr>
              <w:t>、与《鸡西市空气质量持续改善行动计划贯彻落实方案》</w:t>
            </w:r>
            <w:r>
              <w:rPr>
                <w:rFonts w:hint="default" w:ascii="Times New Roman" w:hAnsi="Times New Roman" w:eastAsia="宋体" w:cs="Times New Roman"/>
                <w:b/>
                <w:bCs/>
                <w:color w:val="auto"/>
                <w:kern w:val="0"/>
                <w:sz w:val="21"/>
                <w:szCs w:val="21"/>
                <w:highlight w:val="none"/>
                <w:u w:val="none"/>
              </w:rPr>
              <w:t>符合性分析</w:t>
            </w:r>
          </w:p>
          <w:p w14:paraId="6B2D1BDF">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eastAsia="宋体" w:cs="宋体"/>
                <w:b w:val="0"/>
                <w:bCs w:val="0"/>
                <w:i w:val="0"/>
                <w:iCs w:val="0"/>
                <w:caps w:val="0"/>
                <w:color w:val="auto"/>
                <w:spacing w:val="0"/>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《鸡西市空气质量持续改善行动计划贯彻落实方案》中指出</w:t>
            </w:r>
            <w:r>
              <w:rPr>
                <w:rFonts w:hint="eastAsia" w:ascii="宋体" w:hAnsi="宋体" w:eastAsia="宋体" w:cs="宋体"/>
                <w:b w:val="0"/>
                <w:bCs w:val="0"/>
                <w:color w:val="auto"/>
                <w:sz w:val="21"/>
                <w:szCs w:val="21"/>
                <w:highlight w:val="none"/>
                <w:lang w:val="en-US" w:eastAsia="zh-CN"/>
              </w:rPr>
              <w:t>“</w:t>
            </w:r>
            <w:r>
              <w:rPr>
                <w:rFonts w:hint="eastAsia" w:ascii="宋体" w:hAnsi="宋体" w:eastAsia="宋体" w:cs="宋体"/>
                <w:b w:val="0"/>
                <w:bCs w:val="0"/>
                <w:i w:val="0"/>
                <w:iCs w:val="0"/>
                <w:caps w:val="0"/>
                <w:color w:val="auto"/>
                <w:spacing w:val="0"/>
                <w:sz w:val="21"/>
                <w:szCs w:val="21"/>
                <w:highlight w:val="none"/>
              </w:rPr>
              <w:t>在持续优化改善能源结构方面，推进能源结构优化</w:t>
            </w:r>
            <w:r>
              <w:rPr>
                <w:rFonts w:hint="eastAsia" w:ascii="宋体" w:hAnsi="宋体" w:eastAsia="宋体" w:cs="宋体"/>
                <w:b w:val="0"/>
                <w:bCs w:val="0"/>
                <w:i w:val="0"/>
                <w:iCs w:val="0"/>
                <w:caps w:val="0"/>
                <w:color w:val="auto"/>
                <w:spacing w:val="0"/>
                <w:sz w:val="21"/>
                <w:szCs w:val="21"/>
                <w:highlight w:val="none"/>
                <w:lang w:val="en-US" w:eastAsia="zh-CN"/>
              </w:rPr>
              <w:t>调整</w:t>
            </w:r>
            <w:r>
              <w:rPr>
                <w:rFonts w:hint="eastAsia" w:ascii="宋体" w:hAnsi="宋体" w:eastAsia="宋体" w:cs="宋体"/>
                <w:b w:val="0"/>
                <w:bCs w:val="0"/>
                <w:i w:val="0"/>
                <w:iCs w:val="0"/>
                <w:caps w:val="0"/>
                <w:color w:val="auto"/>
                <w:spacing w:val="0"/>
                <w:sz w:val="21"/>
                <w:szCs w:val="21"/>
                <w:highlight w:val="none"/>
              </w:rPr>
              <w:t>，严格</w:t>
            </w:r>
            <w:r>
              <w:rPr>
                <w:rFonts w:hint="eastAsia" w:ascii="宋体" w:hAnsi="宋体" w:eastAsia="宋体" w:cs="宋体"/>
                <w:b w:val="0"/>
                <w:bCs w:val="0"/>
                <w:i w:val="0"/>
                <w:iCs w:val="0"/>
                <w:caps w:val="0"/>
                <w:color w:val="auto"/>
                <w:spacing w:val="0"/>
                <w:sz w:val="21"/>
                <w:szCs w:val="21"/>
                <w:highlight w:val="none"/>
                <w:lang w:val="en-US" w:eastAsia="zh-CN"/>
              </w:rPr>
              <w:t>合理</w:t>
            </w:r>
            <w:r>
              <w:rPr>
                <w:rFonts w:hint="eastAsia" w:ascii="宋体" w:hAnsi="宋体" w:eastAsia="宋体" w:cs="宋体"/>
                <w:b w:val="0"/>
                <w:bCs w:val="0"/>
                <w:i w:val="0"/>
                <w:iCs w:val="0"/>
                <w:caps w:val="0"/>
                <w:color w:val="auto"/>
                <w:spacing w:val="0"/>
                <w:sz w:val="21"/>
                <w:szCs w:val="21"/>
                <w:highlight w:val="none"/>
              </w:rPr>
              <w:t>控制煤炭消费总量，</w:t>
            </w:r>
            <w:r>
              <w:rPr>
                <w:rFonts w:hint="eastAsia" w:ascii="宋体" w:hAnsi="宋体" w:eastAsia="宋体" w:cs="宋体"/>
                <w:b w:val="0"/>
                <w:bCs w:val="0"/>
                <w:i w:val="0"/>
                <w:iCs w:val="0"/>
                <w:caps w:val="0"/>
                <w:color w:val="auto"/>
                <w:spacing w:val="0"/>
                <w:sz w:val="21"/>
                <w:szCs w:val="21"/>
                <w:highlight w:val="none"/>
                <w:lang w:val="en-US" w:eastAsia="zh-CN"/>
              </w:rPr>
              <w:t>持续开展</w:t>
            </w:r>
            <w:r>
              <w:rPr>
                <w:rFonts w:hint="eastAsia" w:ascii="宋体" w:hAnsi="宋体" w:eastAsia="宋体" w:cs="宋体"/>
                <w:b w:val="0"/>
                <w:bCs w:val="0"/>
                <w:i w:val="0"/>
                <w:iCs w:val="0"/>
                <w:caps w:val="0"/>
                <w:color w:val="auto"/>
                <w:spacing w:val="0"/>
                <w:sz w:val="21"/>
                <w:szCs w:val="21"/>
                <w:highlight w:val="none"/>
              </w:rPr>
              <w:t>燃煤锅炉淘汰改造，</w:t>
            </w:r>
            <w:r>
              <w:rPr>
                <w:rFonts w:hint="eastAsia" w:ascii="宋体" w:hAnsi="宋体" w:eastAsia="宋体" w:cs="宋体"/>
                <w:b w:val="0"/>
                <w:bCs w:val="0"/>
                <w:i w:val="0"/>
                <w:iCs w:val="0"/>
                <w:caps w:val="0"/>
                <w:color w:val="auto"/>
                <w:spacing w:val="0"/>
                <w:sz w:val="21"/>
                <w:szCs w:val="21"/>
                <w:highlight w:val="none"/>
                <w:lang w:val="en-US" w:eastAsia="zh-CN"/>
              </w:rPr>
              <w:t>实施</w:t>
            </w:r>
            <w:r>
              <w:rPr>
                <w:rFonts w:hint="eastAsia" w:ascii="宋体" w:hAnsi="宋体" w:eastAsia="宋体" w:cs="宋体"/>
                <w:b w:val="0"/>
                <w:bCs w:val="0"/>
                <w:i w:val="0"/>
                <w:iCs w:val="0"/>
                <w:caps w:val="0"/>
                <w:color w:val="auto"/>
                <w:spacing w:val="0"/>
                <w:sz w:val="21"/>
                <w:szCs w:val="21"/>
                <w:highlight w:val="none"/>
              </w:rPr>
              <w:t>工业炉窑清洁</w:t>
            </w:r>
            <w:r>
              <w:rPr>
                <w:rFonts w:hint="eastAsia" w:ascii="宋体" w:hAnsi="宋体" w:eastAsia="宋体" w:cs="宋体"/>
                <w:b w:val="0"/>
                <w:bCs w:val="0"/>
                <w:i w:val="0"/>
                <w:iCs w:val="0"/>
                <w:caps w:val="0"/>
                <w:color w:val="auto"/>
                <w:spacing w:val="0"/>
                <w:sz w:val="21"/>
                <w:szCs w:val="21"/>
                <w:highlight w:val="none"/>
                <w:lang w:val="en-US" w:eastAsia="zh-CN"/>
              </w:rPr>
              <w:t>能源</w:t>
            </w:r>
            <w:r>
              <w:rPr>
                <w:rFonts w:hint="eastAsia" w:ascii="宋体" w:hAnsi="宋体" w:eastAsia="宋体" w:cs="宋体"/>
                <w:b w:val="0"/>
                <w:bCs w:val="0"/>
                <w:i w:val="0"/>
                <w:iCs w:val="0"/>
                <w:caps w:val="0"/>
                <w:color w:val="auto"/>
                <w:spacing w:val="0"/>
                <w:sz w:val="21"/>
                <w:szCs w:val="21"/>
                <w:highlight w:val="none"/>
              </w:rPr>
              <w:t>替代，持续推进清洁取暖，积极推进散煤污染治理</w:t>
            </w:r>
            <w:r>
              <w:rPr>
                <w:rFonts w:hint="eastAsia" w:ascii="宋体" w:hAnsi="宋体" w:eastAsia="宋体" w:cs="宋体"/>
                <w:b w:val="0"/>
                <w:bCs w:val="0"/>
                <w:i w:val="0"/>
                <w:iCs w:val="0"/>
                <w:caps w:val="0"/>
                <w:color w:val="auto"/>
                <w:spacing w:val="0"/>
                <w:sz w:val="21"/>
                <w:szCs w:val="21"/>
                <w:highlight w:val="none"/>
                <w:lang w:eastAsia="zh-CN"/>
              </w:rPr>
              <w:t>。”“</w:t>
            </w:r>
            <w:r>
              <w:rPr>
                <w:rFonts w:hint="eastAsia" w:ascii="宋体" w:hAnsi="宋体" w:eastAsia="宋体" w:cs="宋体"/>
                <w:b w:val="0"/>
                <w:bCs w:val="0"/>
                <w:i w:val="0"/>
                <w:iCs w:val="0"/>
                <w:caps w:val="0"/>
                <w:color w:val="auto"/>
                <w:spacing w:val="0"/>
                <w:sz w:val="21"/>
                <w:szCs w:val="21"/>
                <w:highlight w:val="none"/>
              </w:rPr>
              <w:t>在持续加强面源污染治理方面，深化扬尘污染综合治理，推进矿山生态环境综合整治，加强秸秆综合利用和禁烧管控。</w:t>
            </w:r>
            <w:r>
              <w:rPr>
                <w:rFonts w:hint="eastAsia" w:ascii="宋体" w:hAnsi="宋体" w:eastAsia="宋体" w:cs="宋体"/>
                <w:b w:val="0"/>
                <w:bCs w:val="0"/>
                <w:i w:val="0"/>
                <w:iCs w:val="0"/>
                <w:caps w:val="0"/>
                <w:color w:val="auto"/>
                <w:spacing w:val="0"/>
                <w:sz w:val="21"/>
                <w:szCs w:val="21"/>
                <w:highlight w:val="none"/>
                <w:lang w:eastAsia="zh-CN"/>
              </w:rPr>
              <w:t>”</w:t>
            </w:r>
          </w:p>
          <w:p w14:paraId="543797E3">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kern w:val="21"/>
                <w:sz w:val="21"/>
                <w:szCs w:val="21"/>
                <w:highlight w:val="none"/>
                <w:vertAlign w:val="baseline"/>
                <w:lang w:val="en-US" w:eastAsia="zh-CN"/>
              </w:rPr>
              <w:t>淘汰现有</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default" w:ascii="Times New Roman" w:hAnsi="Times New Roman" w:eastAsia="宋体" w:cs="Times New Roman"/>
                <w:color w:val="auto"/>
                <w:kern w:val="21"/>
                <w:sz w:val="21"/>
                <w:szCs w:val="21"/>
                <w:highlight w:val="none"/>
                <w:vertAlign w:val="baseline"/>
                <w:lang w:val="en-US" w:eastAsia="zh-CN"/>
              </w:rPr>
              <w:t>，新建</w:t>
            </w:r>
            <w:r>
              <w:rPr>
                <w:rFonts w:hint="eastAsia" w:ascii="Times New Roman" w:hAnsi="Times New Roman" w:eastAsia="宋体" w:cs="Times New Roman"/>
                <w:color w:val="auto"/>
                <w:sz w:val="21"/>
                <w:szCs w:val="21"/>
                <w:highlight w:val="none"/>
                <w:lang w:val="en-US" w:eastAsia="zh-CN"/>
              </w:rPr>
              <w:t>3台10t/h生物质蒸汽锅炉</w:t>
            </w:r>
            <w:r>
              <w:rPr>
                <w:rFonts w:hint="default" w:ascii="Times New Roman" w:hAnsi="Times New Roman" w:eastAsia="宋体" w:cs="Times New Roman"/>
                <w:color w:val="auto"/>
                <w:sz w:val="21"/>
                <w:szCs w:val="21"/>
                <w:highlight w:val="none"/>
                <w:lang w:val="en-US" w:eastAsia="zh-CN"/>
              </w:rPr>
              <w:t>，采用生物质成型燃料，锅炉</w:t>
            </w:r>
            <w:r>
              <w:rPr>
                <w:rFonts w:hint="default" w:ascii="Times New Roman" w:hAnsi="Times New Roman" w:eastAsia="宋体" w:cs="Times New Roman"/>
                <w:color w:val="auto"/>
                <w:sz w:val="21"/>
                <w:szCs w:val="21"/>
                <w:highlight w:val="none"/>
              </w:rPr>
              <w:t>烟气</w:t>
            </w:r>
            <w:r>
              <w:rPr>
                <w:rFonts w:hint="default" w:ascii="Times New Roman" w:hAnsi="Times New Roman" w:eastAsia="宋体" w:cs="Times New Roman"/>
                <w:color w:val="auto"/>
                <w:sz w:val="21"/>
                <w:szCs w:val="21"/>
                <w:highlight w:val="none"/>
                <w:lang w:val="en-US" w:eastAsia="zh-CN"/>
              </w:rPr>
              <w:t>分别</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val="en-US" w:eastAsia="zh-CN"/>
              </w:rPr>
              <w:t>各自配备的多管陶瓷+</w:t>
            </w:r>
            <w:r>
              <w:rPr>
                <w:rFonts w:hint="default" w:ascii="Times New Roman" w:hAnsi="Times New Roman" w:eastAsia="宋体" w:cs="Times New Roman"/>
                <w:color w:val="auto"/>
                <w:sz w:val="21"/>
                <w:szCs w:val="21"/>
                <w:highlight w:val="none"/>
              </w:rPr>
              <w:t>布袋除尘器（除尘效率为99.</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）处理后，由</w:t>
            </w:r>
            <w:r>
              <w:rPr>
                <w:rFonts w:hint="default" w:ascii="Times New Roman" w:hAnsi="Times New Roman" w:eastAsia="宋体" w:cs="Times New Roman"/>
                <w:color w:val="auto"/>
                <w:sz w:val="21"/>
                <w:szCs w:val="21"/>
                <w:highlight w:val="none"/>
                <w:lang w:val="en-US" w:eastAsia="zh-CN"/>
              </w:rPr>
              <w:t>1根60m烟囱（DA001）排放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rPr>
              <w:t>锅炉烟气中颗粒物、SO</w:t>
            </w:r>
            <w:r>
              <w:rPr>
                <w:rFonts w:hint="default" w:ascii="Times New Roman" w:hAnsi="Times New Roman" w:eastAsia="宋体" w:cs="Times New Roman"/>
                <w:bCs/>
                <w:color w:val="auto"/>
                <w:sz w:val="21"/>
                <w:szCs w:val="21"/>
                <w:highlight w:val="none"/>
                <w:vertAlign w:val="subscript"/>
              </w:rPr>
              <w:t>2</w:t>
            </w:r>
            <w:r>
              <w:rPr>
                <w:rFonts w:hint="default" w:ascii="Times New Roman" w:hAnsi="Times New Roman" w:eastAsia="宋体" w:cs="Times New Roman"/>
                <w:bCs/>
                <w:color w:val="auto"/>
                <w:sz w:val="21"/>
                <w:szCs w:val="21"/>
                <w:highlight w:val="none"/>
              </w:rPr>
              <w:t>、NO</w:t>
            </w:r>
            <w:r>
              <w:rPr>
                <w:rFonts w:hint="default" w:ascii="Times New Roman" w:hAnsi="Times New Roman" w:eastAsia="宋体" w:cs="Times New Roman"/>
                <w:bCs/>
                <w:color w:val="auto"/>
                <w:sz w:val="21"/>
                <w:szCs w:val="21"/>
                <w:highlight w:val="none"/>
                <w:vertAlign w:val="subscript"/>
              </w:rPr>
              <w:t>X</w:t>
            </w:r>
            <w:r>
              <w:rPr>
                <w:rFonts w:hint="default" w:ascii="Times New Roman" w:hAnsi="Times New Roman" w:eastAsia="宋体" w:cs="Times New Roman"/>
                <w:bCs/>
                <w:color w:val="auto"/>
                <w:sz w:val="21"/>
                <w:szCs w:val="21"/>
                <w:highlight w:val="none"/>
              </w:rPr>
              <w:t>及烟气黑度排放浓度均满足《锅炉大气污染物排放标准》（GB13271-2014）表2</w:t>
            </w:r>
            <w:r>
              <w:rPr>
                <w:rFonts w:hint="default" w:ascii="Times New Roman" w:hAnsi="Times New Roman" w:eastAsia="宋体" w:cs="Times New Roman"/>
                <w:color w:val="auto"/>
                <w:kern w:val="0"/>
                <w:sz w:val="21"/>
                <w:szCs w:val="21"/>
                <w:highlight w:val="none"/>
              </w:rPr>
              <w:t>燃煤锅炉限值</w:t>
            </w:r>
            <w:r>
              <w:rPr>
                <w:rFonts w:hint="default" w:ascii="Times New Roman" w:hAnsi="Times New Roman" w:eastAsia="宋体" w:cs="Times New Roman"/>
                <w:bCs/>
                <w:color w:val="auto"/>
                <w:sz w:val="21"/>
                <w:szCs w:val="21"/>
                <w:highlight w:val="none"/>
              </w:rPr>
              <w:t>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锅炉除渣过程在密闭锅炉房内完成，并配合洒水降尘，生物质燃料存储于封闭燃料库内，并燃料苫盖，灰渣（炉渣及多管陶瓷+布袋除尘器收尘）存储于密闭灰渣库，配合洒水降尘措施，不会形成动力起尘的粉尘影响，厂界颗粒物满足《大气污染物综合排放标准》（GB16297-1996）表2中无组织排放限值</w:t>
            </w:r>
            <w:r>
              <w:rPr>
                <w:rFonts w:hint="default" w:ascii="Times New Roman" w:hAnsi="Times New Roman" w:eastAsia="宋体" w:cs="Times New Roman"/>
                <w:color w:val="auto"/>
                <w:sz w:val="21"/>
                <w:szCs w:val="21"/>
                <w:highlight w:val="none"/>
                <w:lang w:val="en-US" w:eastAsia="zh-CN"/>
              </w:rPr>
              <w:t>。本项目不涉及</w:t>
            </w:r>
            <w:r>
              <w:rPr>
                <w:rFonts w:hint="default" w:ascii="Times New Roman" w:hAnsi="Times New Roman" w:eastAsia="宋体" w:cs="Times New Roman"/>
                <w:b w:val="0"/>
                <w:bCs w:val="0"/>
                <w:i w:val="0"/>
                <w:iCs w:val="0"/>
                <w:caps w:val="0"/>
                <w:color w:val="auto"/>
                <w:spacing w:val="0"/>
                <w:sz w:val="21"/>
                <w:szCs w:val="21"/>
                <w:highlight w:val="none"/>
              </w:rPr>
              <w:t>秸秆</w:t>
            </w:r>
            <w:r>
              <w:rPr>
                <w:rFonts w:hint="default" w:ascii="Times New Roman" w:hAnsi="Times New Roman" w:eastAsia="宋体" w:cs="Times New Roman"/>
                <w:b w:val="0"/>
                <w:bCs w:val="0"/>
                <w:i w:val="0"/>
                <w:iCs w:val="0"/>
                <w:caps w:val="0"/>
                <w:color w:val="auto"/>
                <w:spacing w:val="0"/>
                <w:sz w:val="21"/>
                <w:szCs w:val="21"/>
                <w:highlight w:val="none"/>
                <w:lang w:val="en-US" w:eastAsia="zh-CN"/>
              </w:rPr>
              <w:t>利用及燃烧。</w:t>
            </w:r>
            <w:r>
              <w:rPr>
                <w:rFonts w:hint="default" w:ascii="Times New Roman" w:hAnsi="Times New Roman" w:eastAsia="宋体" w:cs="Times New Roman"/>
                <w:b w:val="0"/>
                <w:bCs w:val="0"/>
                <w:color w:val="auto"/>
                <w:sz w:val="21"/>
                <w:szCs w:val="21"/>
                <w:highlight w:val="none"/>
                <w:lang w:eastAsia="zh-CN"/>
              </w:rPr>
              <w:t>因此，本项目符合</w:t>
            </w:r>
            <w:r>
              <w:rPr>
                <w:rFonts w:hint="default" w:ascii="Times New Roman" w:hAnsi="Times New Roman" w:eastAsia="宋体" w:cs="Times New Roman"/>
                <w:b w:val="0"/>
                <w:bCs w:val="0"/>
                <w:color w:val="auto"/>
                <w:sz w:val="21"/>
                <w:szCs w:val="21"/>
                <w:highlight w:val="none"/>
                <w:lang w:val="en-US" w:eastAsia="zh-CN"/>
              </w:rPr>
              <w:t>《鸡西市空气质量持续改善行动计划贯彻落实方案</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eastAsia="zh-CN"/>
              </w:rPr>
              <w:t>要求。</w:t>
            </w:r>
          </w:p>
          <w:p w14:paraId="687A4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宋体" w:hAnsi="宋体" w:eastAsia="宋体" w:cs="宋体"/>
                <w:b w:val="0"/>
                <w:bCs w:val="0"/>
                <w:color w:val="auto"/>
                <w:sz w:val="21"/>
                <w:szCs w:val="21"/>
                <w:highlight w:val="none"/>
                <w:lang w:val="en-US" w:eastAsia="zh-CN"/>
              </w:rPr>
            </w:pPr>
          </w:p>
        </w:tc>
      </w:tr>
      <w:bookmarkEnd w:id="3"/>
    </w:tbl>
    <w:p w14:paraId="67B8A035">
      <w:pPr>
        <w:spacing w:line="360" w:lineRule="auto"/>
        <w:outlineLvl w:val="0"/>
        <w:rPr>
          <w:rFonts w:hint="default" w:ascii="Times New Roman" w:hAnsi="Times New Roman" w:eastAsia="黑体" w:cs="Times New Roman"/>
          <w:color w:val="auto"/>
          <w:sz w:val="30"/>
          <w:highlight w:val="none"/>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numberInDash" w:start="1"/>
          <w:cols w:space="0" w:num="1"/>
          <w:docGrid w:type="lines" w:linePitch="312" w:charSpace="0"/>
        </w:sectPr>
      </w:pPr>
    </w:p>
    <w:p w14:paraId="2FB7CB76">
      <w:pPr>
        <w:pStyle w:val="31"/>
        <w:spacing w:before="0" w:beforeAutospacing="0" w:after="0" w:afterAutospacing="0"/>
        <w:jc w:val="center"/>
        <w:outlineLvl w:val="0"/>
        <w:rPr>
          <w:rFonts w:hint="default" w:ascii="Times New Roman" w:hAnsi="Times New Roman" w:eastAsia="黑体" w:cs="Times New Roman"/>
          <w:snapToGrid w:val="0"/>
          <w:color w:val="auto"/>
          <w:kern w:val="21"/>
          <w:sz w:val="30"/>
          <w:szCs w:val="30"/>
          <w:highlight w:val="none"/>
        </w:rPr>
      </w:pPr>
      <w:bookmarkStart w:id="4" w:name="_Toc20676"/>
      <w:r>
        <w:rPr>
          <w:rFonts w:hint="default" w:ascii="Times New Roman" w:hAnsi="Times New Roman" w:eastAsia="黑体" w:cs="Times New Roman"/>
          <w:snapToGrid w:val="0"/>
          <w:color w:val="auto"/>
          <w:kern w:val="21"/>
          <w:sz w:val="30"/>
          <w:szCs w:val="30"/>
          <w:highlight w:val="none"/>
        </w:rPr>
        <w:t>二、建设项目工程分析</w:t>
      </w:r>
      <w:bookmarkEnd w:id="4"/>
    </w:p>
    <w:tbl>
      <w:tblPr>
        <w:tblStyle w:val="37"/>
        <w:tblW w:w="51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8"/>
        <w:gridCol w:w="8473"/>
      </w:tblGrid>
      <w:tr w14:paraId="00F4A3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748" w:type="dxa"/>
            <w:vAlign w:val="center"/>
          </w:tcPr>
          <w:p w14:paraId="2B69F31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 w:val="24"/>
                <w:szCs w:val="21"/>
                <w:highlight w:val="none"/>
              </w:rPr>
            </w:pPr>
            <w:r>
              <w:rPr>
                <w:rFonts w:hint="default" w:ascii="Times New Roman" w:hAnsi="Times New Roman" w:cs="Times New Roman"/>
                <w:color w:val="auto"/>
                <w:kern w:val="21"/>
                <w:szCs w:val="21"/>
                <w:highlight w:val="none"/>
              </w:rPr>
              <w:t>建设内容</w:t>
            </w:r>
          </w:p>
        </w:tc>
        <w:tc>
          <w:tcPr>
            <w:tcW w:w="8473" w:type="dxa"/>
            <w:vAlign w:val="center"/>
          </w:tcPr>
          <w:p w14:paraId="1438C5E8">
            <w:pPr>
              <w:pStyle w:val="9"/>
              <w:keepNext w:val="0"/>
              <w:keepLines w:val="0"/>
              <w:widowControl/>
              <w:suppressLineNumbers w:val="0"/>
              <w:snapToGrid/>
              <w:spacing w:before="0" w:beforeAutospacing="0" w:after="0" w:afterAutospacing="0" w:line="360" w:lineRule="auto"/>
              <w:ind w:left="0" w:right="0" w:firstLine="422" w:firstLineChars="200"/>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rPr>
              <w:t>1、建设内容及规模</w:t>
            </w:r>
          </w:p>
          <w:p w14:paraId="1FDD30B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21"/>
                <w:sz w:val="21"/>
                <w:szCs w:val="21"/>
                <w:highlight w:val="none"/>
                <w:vertAlign w:val="baseline"/>
                <w:lang w:val="en-US" w:eastAsia="zh-CN"/>
              </w:rPr>
            </w:pPr>
            <w:r>
              <w:rPr>
                <w:rFonts w:hint="eastAsia" w:cs="Times New Roman"/>
                <w:color w:val="auto"/>
                <w:kern w:val="21"/>
                <w:sz w:val="21"/>
                <w:szCs w:val="21"/>
                <w:highlight w:val="none"/>
                <w:lang w:val="en-US" w:eastAsia="zh-CN"/>
              </w:rPr>
              <w:t>鸡西市恒山区小恒山东山煤矿工业广场总占地面积387726.14m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，洗煤一厂锅炉房位于工业广场内，</w:t>
            </w:r>
            <w:r>
              <w:rPr>
                <w:rFonts w:hint="eastAsia" w:cs="Times New Roman"/>
                <w:color w:val="auto"/>
                <w:kern w:val="21"/>
                <w:sz w:val="21"/>
                <w:szCs w:val="21"/>
                <w:highlight w:val="none"/>
                <w:lang w:val="en-US" w:eastAsia="zh-CN"/>
              </w:rPr>
              <w:t>现有工程洗煤一厂锅炉房占地面积560m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，锅炉房为地上4层，地下1层建筑，高约15米，</w:t>
            </w:r>
            <w:r>
              <w:rPr>
                <w:rFonts w:hint="eastAsia" w:cs="Times New Roman"/>
                <w:color w:val="FF0000"/>
                <w:kern w:val="21"/>
                <w:sz w:val="21"/>
                <w:szCs w:val="21"/>
                <w:highlight w:val="none"/>
                <w:vertAlign w:val="baseline"/>
                <w:lang w:val="en-US" w:eastAsia="zh-CN"/>
              </w:rPr>
              <w:t>锅炉房内一层东侧为灰渣库，占地面积300m</w:t>
            </w:r>
            <w:r>
              <w:rPr>
                <w:rFonts w:hint="eastAsia" w:cs="Times New Roman"/>
                <w:color w:val="FF0000"/>
                <w:kern w:val="21"/>
                <w:sz w:val="21"/>
                <w:szCs w:val="21"/>
                <w:highlight w:val="none"/>
                <w:vertAlign w:val="superscript"/>
                <w:lang w:val="en-US" w:eastAsia="zh-CN"/>
              </w:rPr>
              <w:t>2</w:t>
            </w:r>
            <w:r>
              <w:rPr>
                <w:rFonts w:hint="eastAsia" w:cs="Times New Roman"/>
                <w:color w:val="FF0000"/>
                <w:kern w:val="21"/>
                <w:sz w:val="21"/>
                <w:szCs w:val="21"/>
                <w:highlight w:val="none"/>
                <w:vertAlign w:val="baseline"/>
                <w:lang w:val="en-US" w:eastAsia="zh-CN"/>
              </w:rPr>
              <w:t>，内置1套除渣机。西侧为风机房建筑面积为160</w:t>
            </w:r>
            <w:r>
              <w:rPr>
                <w:rFonts w:hint="eastAsia" w:cs="Times New Roman"/>
                <w:color w:val="FF0000"/>
                <w:kern w:val="21"/>
                <w:sz w:val="21"/>
                <w:szCs w:val="21"/>
                <w:highlight w:val="none"/>
                <w:lang w:val="en-US" w:eastAsia="zh-CN"/>
              </w:rPr>
              <w:t>m</w:t>
            </w:r>
            <w:r>
              <w:rPr>
                <w:rFonts w:hint="eastAsia" w:cs="Times New Roman"/>
                <w:color w:val="FF0000"/>
                <w:kern w:val="21"/>
                <w:sz w:val="21"/>
                <w:szCs w:val="21"/>
                <w:highlight w:val="none"/>
                <w:vertAlign w:val="superscript"/>
                <w:lang w:val="en-US" w:eastAsia="zh-CN"/>
              </w:rPr>
              <w:t>2</w:t>
            </w:r>
            <w:r>
              <w:rPr>
                <w:rFonts w:hint="eastAsia" w:cs="Times New Roman"/>
                <w:color w:val="FF0000"/>
                <w:kern w:val="21"/>
                <w:sz w:val="21"/>
                <w:szCs w:val="21"/>
                <w:highlight w:val="none"/>
                <w:vertAlign w:val="baseline"/>
                <w:lang w:val="en-US" w:eastAsia="zh-CN"/>
              </w:rPr>
              <w:t>，内置3套引风机。北侧为库房60</w:t>
            </w:r>
            <w:r>
              <w:rPr>
                <w:rFonts w:hint="eastAsia" w:cs="Times New Roman"/>
                <w:color w:val="FF0000"/>
                <w:kern w:val="21"/>
                <w:sz w:val="21"/>
                <w:szCs w:val="21"/>
                <w:highlight w:val="none"/>
                <w:lang w:val="en-US" w:eastAsia="zh-CN"/>
              </w:rPr>
              <w:t>m</w:t>
            </w:r>
            <w:r>
              <w:rPr>
                <w:rFonts w:hint="eastAsia" w:cs="Times New Roman"/>
                <w:color w:val="FF0000"/>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；锅炉房内二层南侧为锅炉间，建筑面积460</w:t>
            </w:r>
            <w:r>
              <w:rPr>
                <w:rFonts w:hint="eastAsia" w:cs="Times New Roman"/>
                <w:color w:val="auto"/>
                <w:kern w:val="21"/>
                <w:sz w:val="21"/>
                <w:szCs w:val="21"/>
                <w:highlight w:val="none"/>
                <w:lang w:val="en-US" w:eastAsia="zh-CN"/>
              </w:rPr>
              <w:t>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，内置</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eastAsia" w:cs="Times New Roman"/>
                <w:color w:val="auto"/>
                <w:kern w:val="21"/>
                <w:sz w:val="21"/>
                <w:szCs w:val="21"/>
                <w:highlight w:val="none"/>
                <w:lang w:val="en-US" w:eastAsia="zh-CN"/>
              </w:rPr>
              <w:t>。北侧为配电室、休息室，建筑面积100m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；锅炉房内北侧三层为闲置房间100</w:t>
            </w:r>
            <w:r>
              <w:rPr>
                <w:rFonts w:hint="eastAsia" w:cs="Times New Roman"/>
                <w:color w:val="auto"/>
                <w:kern w:val="21"/>
                <w:sz w:val="21"/>
                <w:szCs w:val="21"/>
                <w:highlight w:val="none"/>
                <w:lang w:val="en-US" w:eastAsia="zh-CN"/>
              </w:rPr>
              <w:t>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；锅炉房内北侧四层为上料皮带间，建筑面积</w:t>
            </w:r>
            <w:r>
              <w:rPr>
                <w:rFonts w:hint="eastAsia" w:cs="Times New Roman"/>
                <w:color w:val="auto"/>
                <w:kern w:val="21"/>
                <w:sz w:val="21"/>
                <w:szCs w:val="21"/>
                <w:highlight w:val="none"/>
                <w:lang w:val="en-US" w:eastAsia="zh-CN"/>
              </w:rPr>
              <w:t>160m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；锅炉房内北侧负一层为水泵房，建筑面积</w:t>
            </w:r>
            <w:r>
              <w:rPr>
                <w:rFonts w:hint="eastAsia" w:cs="Times New Roman"/>
                <w:color w:val="auto"/>
                <w:kern w:val="21"/>
                <w:sz w:val="21"/>
                <w:szCs w:val="21"/>
                <w:highlight w:val="none"/>
                <w:lang w:val="en-US" w:eastAsia="zh-CN"/>
              </w:rPr>
              <w:t>60m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w:t>
            </w:r>
            <w:r>
              <w:rPr>
                <w:rFonts w:hint="eastAsia"/>
                <w:color w:val="auto"/>
                <w:highlight w:val="none"/>
                <w:lang w:val="en-US" w:eastAsia="zh-CN"/>
              </w:rPr>
              <w:t>内置1个70t水箱，3台补水泵，1套软化水制备系统。现</w:t>
            </w:r>
            <w:r>
              <w:rPr>
                <w:rFonts w:hint="eastAsia" w:cs="Times New Roman"/>
                <w:color w:val="auto"/>
                <w:kern w:val="21"/>
                <w:sz w:val="21"/>
                <w:szCs w:val="21"/>
                <w:highlight w:val="none"/>
                <w:lang w:val="en-US" w:eastAsia="zh-CN"/>
              </w:rPr>
              <w:t>有工程洗煤一厂锅炉房</w:t>
            </w:r>
            <w:r>
              <w:rPr>
                <w:rFonts w:hint="eastAsia"/>
                <w:color w:val="auto"/>
                <w:highlight w:val="none"/>
                <w:lang w:val="en-US" w:eastAsia="zh-CN"/>
              </w:rPr>
              <w:t>内设</w:t>
            </w:r>
            <w:r>
              <w:rPr>
                <w:rFonts w:hint="eastAsia" w:cs="Times New Roman"/>
                <w:color w:val="auto"/>
                <w:kern w:val="21"/>
                <w:sz w:val="21"/>
                <w:szCs w:val="21"/>
                <w:highlight w:val="none"/>
                <w:lang w:val="en-US" w:eastAsia="zh-CN"/>
              </w:rPr>
              <w:t>4台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w:t>
            </w:r>
            <w:r>
              <w:rPr>
                <w:rFonts w:hint="eastAsia"/>
                <w:color w:val="auto"/>
                <w:highlight w:val="none"/>
                <w:lang w:val="en-US" w:eastAsia="zh-CN"/>
              </w:rPr>
              <w:t>用于</w:t>
            </w:r>
            <w:r>
              <w:rPr>
                <w:rFonts w:hint="default"/>
                <w:color w:val="auto"/>
                <w:highlight w:val="none"/>
                <w:lang w:val="en-US" w:eastAsia="zh-CN"/>
              </w:rPr>
              <w:t>山下工业广场供热及机电科副井热风</w:t>
            </w:r>
            <w:r>
              <w:rPr>
                <w:rFonts w:hint="eastAsia"/>
                <w:color w:val="auto"/>
                <w:highlight w:val="none"/>
                <w:lang w:val="en-US" w:eastAsia="zh-CN"/>
              </w:rPr>
              <w:t>，其中3台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w:t>
            </w:r>
            <w:r>
              <w:rPr>
                <w:rFonts w:hint="eastAsia"/>
                <w:color w:val="auto"/>
                <w:highlight w:val="none"/>
                <w:lang w:val="en-US" w:eastAsia="zh-CN"/>
              </w:rPr>
              <w:t>废气分别通过各自配备的布袋除尘器处理后，共同经60m烟囱排放（DA001），另外1台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w:t>
            </w:r>
            <w:r>
              <w:rPr>
                <w:rFonts w:hint="eastAsia"/>
                <w:color w:val="auto"/>
                <w:highlight w:val="none"/>
                <w:lang w:val="en-US" w:eastAsia="zh-CN"/>
              </w:rPr>
              <w:t>废气通过布袋除尘器处理后，经45m烟囱排放（DA002）。</w:t>
            </w:r>
            <w:r>
              <w:rPr>
                <w:rFonts w:hint="eastAsia"/>
                <w:color w:val="auto"/>
                <w:sz w:val="21"/>
                <w:highlight w:val="none"/>
                <w:lang w:val="en-US" w:eastAsia="zh-CN"/>
              </w:rPr>
              <w:t>锅炉燃料煤矿自产，随时供应。</w:t>
            </w:r>
          </w:p>
          <w:p w14:paraId="7C156F1A">
            <w:pPr>
              <w:keepNext w:val="0"/>
              <w:keepLines w:val="0"/>
              <w:widowControl/>
              <w:suppressLineNumbers w:val="0"/>
              <w:spacing w:before="0" w:beforeAutospacing="0" w:after="0" w:afterAutospacing="0" w:line="360" w:lineRule="auto"/>
              <w:ind w:left="0" w:right="0" w:firstLine="420" w:firstLineChars="200"/>
              <w:jc w:val="left"/>
              <w:rPr>
                <w:rFonts w:hint="eastAsia" w:cs="Times New Roman"/>
                <w:color w:val="auto"/>
                <w:kern w:val="21"/>
                <w:sz w:val="21"/>
                <w:szCs w:val="21"/>
                <w:highlight w:val="none"/>
                <w:vertAlign w:val="baseline"/>
                <w:lang w:val="en-US" w:eastAsia="zh-CN"/>
              </w:rPr>
            </w:pPr>
            <w:r>
              <w:rPr>
                <w:rFonts w:hint="eastAsia" w:cs="Times New Roman"/>
                <w:b w:val="0"/>
                <w:bCs w:val="0"/>
                <w:color w:val="auto"/>
                <w:szCs w:val="21"/>
                <w:highlight w:val="none"/>
                <w:lang w:val="en-US" w:eastAsia="zh-CN"/>
              </w:rPr>
              <w:t>根据</w:t>
            </w:r>
            <w:r>
              <w:rPr>
                <w:rFonts w:hint="default" w:ascii="Times New Roman" w:hAnsi="Times New Roman" w:cs="Times New Roman"/>
                <w:b w:val="0"/>
                <w:bCs w:val="0"/>
                <w:color w:val="auto"/>
                <w:szCs w:val="21"/>
                <w:highlight w:val="none"/>
              </w:rPr>
              <w:t>《产业结构调整指导目录（2024年本）》</w:t>
            </w:r>
            <w:r>
              <w:rPr>
                <w:rFonts w:hint="eastAsia" w:cs="Times New Roman"/>
                <w:b w:val="0"/>
                <w:bCs w:val="0"/>
                <w:color w:val="auto"/>
                <w:szCs w:val="21"/>
                <w:highlight w:val="none"/>
                <w:lang w:val="en-US" w:eastAsia="zh-CN"/>
              </w:rPr>
              <w:t>中“淘汰类”—落后产品64.每小时10蒸吨及以下燃煤锅炉。现有工程锅炉属于上述淘汰类产品。故本项目将现有工程锅炉进行改造</w:t>
            </w:r>
            <w:r>
              <w:rPr>
                <w:rFonts w:hint="eastAsia" w:cs="Times New Roman"/>
                <w:color w:val="auto"/>
                <w:kern w:val="21"/>
                <w:sz w:val="21"/>
                <w:szCs w:val="21"/>
                <w:highlight w:val="none"/>
                <w:vertAlign w:val="baseline"/>
                <w:lang w:val="en-US" w:eastAsia="zh-CN"/>
              </w:rPr>
              <w:t>。</w:t>
            </w:r>
          </w:p>
          <w:p w14:paraId="4C0E0045">
            <w:pPr>
              <w:keepNext w:val="0"/>
              <w:keepLines w:val="0"/>
              <w:widowControl/>
              <w:suppressLineNumbers w:val="0"/>
              <w:spacing w:before="0" w:beforeAutospacing="0" w:after="0" w:afterAutospacing="0" w:line="360" w:lineRule="auto"/>
              <w:ind w:left="0" w:right="0" w:firstLine="420" w:firstLineChars="200"/>
              <w:jc w:val="left"/>
              <w:rPr>
                <w:rFonts w:hint="default" w:ascii="宋体" w:hAnsi="宋体" w:cs="宋体"/>
                <w:bCs/>
                <w:color w:val="auto"/>
                <w:szCs w:val="21"/>
                <w:highlight w:val="none"/>
              </w:rPr>
            </w:pPr>
            <w:r>
              <w:rPr>
                <w:rFonts w:hint="eastAsia" w:cs="Times New Roman"/>
                <w:color w:val="auto"/>
                <w:kern w:val="21"/>
                <w:sz w:val="21"/>
                <w:szCs w:val="21"/>
                <w:highlight w:val="none"/>
                <w:vertAlign w:val="baseline"/>
                <w:lang w:val="en-US" w:eastAsia="zh-CN"/>
              </w:rPr>
              <w:t>本项目不新增占地面积，在原有锅炉房内建设。本项目将洗煤一厂锅炉房</w:t>
            </w:r>
            <w:r>
              <w:rPr>
                <w:rFonts w:hint="eastAsia" w:cs="Times New Roman"/>
                <w:color w:val="auto"/>
                <w:kern w:val="21"/>
                <w:sz w:val="21"/>
                <w:szCs w:val="21"/>
                <w:highlight w:val="none"/>
                <w:lang w:val="en-US" w:eastAsia="zh-CN"/>
              </w:rPr>
              <w:t>内</w:t>
            </w:r>
            <w:r>
              <w:rPr>
                <w:rFonts w:hint="default" w:ascii="Times New Roman" w:hAnsi="Times New Roman" w:eastAsia="宋体" w:cs="Times New Roman"/>
                <w:color w:val="auto"/>
                <w:kern w:val="21"/>
                <w:sz w:val="21"/>
                <w:szCs w:val="21"/>
                <w:highlight w:val="none"/>
                <w:vertAlign w:val="baseline"/>
                <w:lang w:val="en-US" w:eastAsia="zh-CN"/>
              </w:rPr>
              <w:t>现有</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eastAsia" w:cs="Times New Roman"/>
                <w:color w:val="auto"/>
                <w:kern w:val="21"/>
                <w:sz w:val="21"/>
                <w:szCs w:val="21"/>
                <w:highlight w:val="none"/>
                <w:lang w:val="en-US" w:eastAsia="zh-CN"/>
              </w:rPr>
              <w:t>及1套布袋除尘器淘汰</w:t>
            </w:r>
            <w:r>
              <w:rPr>
                <w:rFonts w:hint="default" w:ascii="Times New Roman" w:hAnsi="Times New Roman" w:eastAsia="宋体" w:cs="Times New Roman"/>
                <w:color w:val="auto"/>
                <w:kern w:val="21"/>
                <w:sz w:val="21"/>
                <w:szCs w:val="21"/>
                <w:highlight w:val="none"/>
                <w:vertAlign w:val="baseline"/>
                <w:lang w:val="en-US" w:eastAsia="zh-CN"/>
              </w:rPr>
              <w:t>，新建</w:t>
            </w:r>
            <w:r>
              <w:rPr>
                <w:rFonts w:hint="eastAsia" w:cs="Times New Roman"/>
                <w:color w:val="auto"/>
                <w:sz w:val="21"/>
                <w:szCs w:val="21"/>
                <w:highlight w:val="none"/>
                <w:lang w:val="en-US" w:eastAsia="zh-CN"/>
              </w:rPr>
              <w:t>3台10t/h生物质蒸汽锅炉，</w:t>
            </w:r>
            <w:r>
              <w:rPr>
                <w:rFonts w:hint="eastAsia"/>
                <w:color w:val="auto"/>
                <w:highlight w:val="none"/>
                <w:lang w:val="en-US" w:eastAsia="zh-CN"/>
              </w:rPr>
              <w:t>用于</w:t>
            </w:r>
            <w:r>
              <w:rPr>
                <w:rFonts w:hint="default"/>
                <w:color w:val="auto"/>
                <w:highlight w:val="none"/>
                <w:lang w:val="en-US" w:eastAsia="zh-CN"/>
              </w:rPr>
              <w:t>山下工业广场供热及机电科副井热风</w:t>
            </w:r>
            <w:r>
              <w:rPr>
                <w:rFonts w:hint="eastAsia"/>
                <w:color w:val="auto"/>
                <w:highlight w:val="none"/>
                <w:lang w:val="en-US" w:eastAsia="zh-CN"/>
              </w:rPr>
              <w:t>。</w:t>
            </w:r>
            <w:r>
              <w:rPr>
                <w:rFonts w:hint="eastAsia"/>
                <w:color w:val="auto"/>
                <w:sz w:val="21"/>
                <w:highlight w:val="none"/>
                <w:lang w:val="en-US" w:eastAsia="zh-CN"/>
              </w:rPr>
              <w:t>每台锅炉各配备1套</w:t>
            </w:r>
            <w:r>
              <w:rPr>
                <w:rFonts w:hint="eastAsia"/>
                <w:color w:val="auto"/>
                <w:highlight w:val="none"/>
                <w:lang w:val="en-US" w:eastAsia="zh-CN"/>
              </w:rPr>
              <w:t>多管陶瓷</w:t>
            </w:r>
            <w:r>
              <w:rPr>
                <w:rFonts w:hint="eastAsia"/>
                <w:color w:val="auto"/>
                <w:sz w:val="21"/>
                <w:highlight w:val="none"/>
                <w:lang w:val="en-US" w:eastAsia="zh-CN"/>
              </w:rPr>
              <w:t>+布袋除尘器（共3套</w:t>
            </w:r>
            <w:r>
              <w:rPr>
                <w:rFonts w:hint="eastAsia"/>
                <w:color w:val="auto"/>
                <w:highlight w:val="none"/>
                <w:lang w:val="en-US" w:eastAsia="zh-CN"/>
              </w:rPr>
              <w:t>多管陶瓷除尘器，</w:t>
            </w:r>
            <w:r>
              <w:rPr>
                <w:rFonts w:hint="eastAsia"/>
                <w:color w:val="auto"/>
                <w:sz w:val="21"/>
                <w:highlight w:val="none"/>
                <w:lang w:val="en-US" w:eastAsia="zh-CN"/>
              </w:rPr>
              <w:t>新建；3套布袋除尘器，利旧），3台锅炉共用1根60m烟囱（</w:t>
            </w:r>
            <w:r>
              <w:rPr>
                <w:rFonts w:hint="eastAsia"/>
                <w:color w:val="auto"/>
                <w:highlight w:val="none"/>
                <w:lang w:val="en-US" w:eastAsia="zh-CN"/>
              </w:rPr>
              <w:t>DA001，利旧</w:t>
            </w:r>
            <w:r>
              <w:rPr>
                <w:rFonts w:hint="eastAsia"/>
                <w:color w:val="auto"/>
                <w:sz w:val="21"/>
                <w:highlight w:val="none"/>
                <w:lang w:val="en-US" w:eastAsia="zh-CN"/>
              </w:rPr>
              <w:t>），现有</w:t>
            </w:r>
            <w:r>
              <w:rPr>
                <w:rFonts w:hint="eastAsia"/>
                <w:color w:val="auto"/>
                <w:highlight w:val="none"/>
                <w:lang w:val="en-US" w:eastAsia="zh-CN"/>
              </w:rPr>
              <w:t>45m烟囱（DA002）停用。新建1间燃料库，建筑面积450m</w:t>
            </w:r>
            <w:r>
              <w:rPr>
                <w:rFonts w:hint="eastAsia"/>
                <w:color w:val="auto"/>
                <w:highlight w:val="none"/>
                <w:vertAlign w:val="superscript"/>
                <w:lang w:val="en-US" w:eastAsia="zh-CN"/>
              </w:rPr>
              <w:t>2</w:t>
            </w:r>
            <w:r>
              <w:rPr>
                <w:rFonts w:hint="eastAsia"/>
                <w:color w:val="auto"/>
                <w:highlight w:val="none"/>
                <w:lang w:val="en-US" w:eastAsia="zh-CN"/>
              </w:rPr>
              <w:t>，高6米，用于存储生物质成型燃料。灰渣库依托原有。</w:t>
            </w:r>
            <w:r>
              <w:rPr>
                <w:rFonts w:hint="eastAsia"/>
                <w:color w:val="auto"/>
                <w:highlight w:val="none"/>
                <w:lang w:val="en-US" w:eastAsia="zh-CN"/>
              </w:rPr>
              <w:t>新建1个70m</w:t>
            </w:r>
            <w:r>
              <w:rPr>
                <w:rFonts w:hint="eastAsia"/>
                <w:color w:val="auto"/>
                <w:highlight w:val="none"/>
                <w:vertAlign w:val="superscript"/>
                <w:lang w:val="en-US" w:eastAsia="zh-CN"/>
              </w:rPr>
              <w:t>3</w:t>
            </w:r>
            <w:r>
              <w:rPr>
                <w:rFonts w:hint="eastAsia"/>
                <w:color w:val="auto"/>
                <w:highlight w:val="none"/>
                <w:vertAlign w:val="baseline"/>
                <w:lang w:val="en-US" w:eastAsia="zh-CN"/>
              </w:rPr>
              <w:t>防渗储水罐，用于收集暂存锅炉排污水及软化处理废水。</w:t>
            </w:r>
            <w:r>
              <w:rPr>
                <w:rFonts w:hint="eastAsia" w:ascii="宋体" w:hAnsi="宋体" w:cs="宋体"/>
                <w:bCs/>
                <w:color w:val="auto"/>
                <w:szCs w:val="21"/>
                <w:highlight w:val="none"/>
              </w:rPr>
              <w:t>具体工程组成见下表。</w:t>
            </w:r>
          </w:p>
          <w:p w14:paraId="04FCB4CB">
            <w:pPr>
              <w:keepNext w:val="0"/>
              <w:keepLines w:val="0"/>
              <w:widowControl/>
              <w:suppressLineNumbers w:val="0"/>
              <w:spacing w:before="0" w:beforeAutospacing="0" w:after="0" w:afterAutospacing="0"/>
              <w:ind w:left="0" w:right="0" w:firstLine="422" w:firstLineChars="200"/>
              <w:jc w:val="center"/>
              <w:rPr>
                <w:rFonts w:hint="default"/>
                <w:bCs/>
                <w:color w:val="auto"/>
                <w:szCs w:val="21"/>
                <w:highlight w:val="none"/>
              </w:rPr>
            </w:pPr>
            <w:r>
              <w:rPr>
                <w:rFonts w:hint="default"/>
                <w:b/>
                <w:color w:val="auto"/>
                <w:szCs w:val="21"/>
                <w:highlight w:val="none"/>
              </w:rPr>
              <w:t>表2-1 项目工程组成一览表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564"/>
              <w:gridCol w:w="5030"/>
              <w:gridCol w:w="1017"/>
            </w:tblGrid>
            <w:tr w14:paraId="5639B0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8" w:type="pct"/>
                  <w:gridSpan w:val="2"/>
                  <w:tcBorders>
                    <w:tl2br w:val="nil"/>
                    <w:tr2bl w:val="nil"/>
                  </w:tcBorders>
                  <w:vAlign w:val="center"/>
                </w:tcPr>
                <w:p w14:paraId="3FF21A4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建设内容</w:t>
                  </w:r>
                </w:p>
              </w:tc>
              <w:tc>
                <w:tcPr>
                  <w:tcW w:w="3045" w:type="pct"/>
                  <w:tcBorders>
                    <w:tl2br w:val="nil"/>
                    <w:tr2bl w:val="nil"/>
                  </w:tcBorders>
                  <w:vAlign w:val="center"/>
                </w:tcPr>
                <w:p w14:paraId="78C978D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建设规模及内容</w:t>
                  </w:r>
                </w:p>
              </w:tc>
              <w:tc>
                <w:tcPr>
                  <w:tcW w:w="615" w:type="pct"/>
                  <w:tcBorders>
                    <w:tl2br w:val="nil"/>
                    <w:tr2bl w:val="nil"/>
                  </w:tcBorders>
                  <w:vAlign w:val="center"/>
                </w:tcPr>
                <w:p w14:paraId="0E9BBAC4">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备注</w:t>
                  </w:r>
                </w:p>
              </w:tc>
            </w:tr>
            <w:tr w14:paraId="7F96B4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91" w:type="pct"/>
                  <w:tcBorders>
                    <w:tl2br w:val="nil"/>
                    <w:tr2bl w:val="nil"/>
                  </w:tcBorders>
                  <w:shd w:val="clear" w:color="auto" w:fill="auto"/>
                  <w:vAlign w:val="center"/>
                </w:tcPr>
                <w:p w14:paraId="1281229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主体工程</w:t>
                  </w:r>
                </w:p>
              </w:tc>
              <w:tc>
                <w:tcPr>
                  <w:tcW w:w="947" w:type="pct"/>
                  <w:tcBorders>
                    <w:tl2br w:val="nil"/>
                    <w:tr2bl w:val="nil"/>
                  </w:tcBorders>
                  <w:shd w:val="clear" w:color="auto" w:fill="auto"/>
                  <w:vAlign w:val="center"/>
                </w:tcPr>
                <w:p w14:paraId="1F85ED5F">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bCs/>
                      <w:color w:val="auto"/>
                      <w:sz w:val="18"/>
                      <w:szCs w:val="18"/>
                      <w:highlight w:val="none"/>
                      <w:lang w:val="en-US" w:eastAsia="zh-CN"/>
                    </w:rPr>
                    <w:t>洗煤一厂锅炉房</w:t>
                  </w:r>
                </w:p>
              </w:tc>
              <w:tc>
                <w:tcPr>
                  <w:tcW w:w="3045" w:type="pct"/>
                  <w:tcBorders>
                    <w:tl2br w:val="nil"/>
                    <w:tr2bl w:val="nil"/>
                  </w:tcBorders>
                  <w:shd w:val="clear" w:color="auto" w:fill="auto"/>
                  <w:vAlign w:val="center"/>
                </w:tcPr>
                <w:p w14:paraId="6DFE38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cs="Times New Roman"/>
                      <w:color w:val="auto"/>
                      <w:sz w:val="18"/>
                      <w:szCs w:val="18"/>
                      <w:highlight w:val="none"/>
                    </w:rPr>
                  </w:pPr>
                  <w:r>
                    <w:rPr>
                      <w:rFonts w:hint="eastAsia" w:cs="Times New Roman"/>
                      <w:color w:val="auto"/>
                      <w:kern w:val="21"/>
                      <w:sz w:val="18"/>
                      <w:szCs w:val="18"/>
                      <w:highlight w:val="none"/>
                      <w:lang w:val="en-US" w:eastAsia="zh-CN"/>
                    </w:rPr>
                    <w:t>锅炉房占地面积560m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，锅炉房为地上4层，地下1层建筑，高约15米，</w:t>
                  </w:r>
                  <w:r>
                    <w:rPr>
                      <w:rFonts w:hint="eastAsia" w:cs="Times New Roman"/>
                      <w:color w:val="FF0000"/>
                      <w:kern w:val="21"/>
                      <w:sz w:val="18"/>
                      <w:szCs w:val="18"/>
                      <w:highlight w:val="none"/>
                      <w:vertAlign w:val="baseline"/>
                      <w:lang w:val="en-US" w:eastAsia="zh-CN"/>
                    </w:rPr>
                    <w:t>锅炉房内一层东侧为灰渣库，占地面积300m</w:t>
                  </w:r>
                  <w:r>
                    <w:rPr>
                      <w:rFonts w:hint="eastAsia" w:cs="Times New Roman"/>
                      <w:color w:val="FF0000"/>
                      <w:kern w:val="21"/>
                      <w:sz w:val="18"/>
                      <w:szCs w:val="18"/>
                      <w:highlight w:val="none"/>
                      <w:vertAlign w:val="superscript"/>
                      <w:lang w:val="en-US" w:eastAsia="zh-CN"/>
                    </w:rPr>
                    <w:t>2</w:t>
                  </w:r>
                  <w:r>
                    <w:rPr>
                      <w:rFonts w:hint="eastAsia" w:cs="Times New Roman"/>
                      <w:color w:val="FF0000"/>
                      <w:kern w:val="21"/>
                      <w:sz w:val="18"/>
                      <w:szCs w:val="18"/>
                      <w:highlight w:val="none"/>
                      <w:vertAlign w:val="baseline"/>
                      <w:lang w:val="en-US" w:eastAsia="zh-CN"/>
                    </w:rPr>
                    <w:t>，内置1套除渣机。西侧为风机房建筑面积为160</w:t>
                  </w:r>
                  <w:r>
                    <w:rPr>
                      <w:rFonts w:hint="eastAsia" w:cs="Times New Roman"/>
                      <w:color w:val="FF0000"/>
                      <w:kern w:val="21"/>
                      <w:sz w:val="18"/>
                      <w:szCs w:val="18"/>
                      <w:highlight w:val="none"/>
                      <w:lang w:val="en-US" w:eastAsia="zh-CN"/>
                    </w:rPr>
                    <w:t>m</w:t>
                  </w:r>
                  <w:r>
                    <w:rPr>
                      <w:rFonts w:hint="eastAsia" w:cs="Times New Roman"/>
                      <w:color w:val="FF0000"/>
                      <w:kern w:val="21"/>
                      <w:sz w:val="18"/>
                      <w:szCs w:val="18"/>
                      <w:highlight w:val="none"/>
                      <w:vertAlign w:val="superscript"/>
                      <w:lang w:val="en-US" w:eastAsia="zh-CN"/>
                    </w:rPr>
                    <w:t>2</w:t>
                  </w:r>
                  <w:r>
                    <w:rPr>
                      <w:rFonts w:hint="eastAsia" w:cs="Times New Roman"/>
                      <w:color w:val="FF0000"/>
                      <w:kern w:val="21"/>
                      <w:sz w:val="18"/>
                      <w:szCs w:val="18"/>
                      <w:highlight w:val="none"/>
                      <w:vertAlign w:val="baseline"/>
                      <w:lang w:val="en-US" w:eastAsia="zh-CN"/>
                    </w:rPr>
                    <w:t>，内置3套引风机。北侧为库房60</w:t>
                  </w:r>
                  <w:r>
                    <w:rPr>
                      <w:rFonts w:hint="eastAsia" w:cs="Times New Roman"/>
                      <w:color w:val="FF0000"/>
                      <w:kern w:val="21"/>
                      <w:sz w:val="18"/>
                      <w:szCs w:val="18"/>
                      <w:highlight w:val="none"/>
                      <w:lang w:val="en-US" w:eastAsia="zh-CN"/>
                    </w:rPr>
                    <w:t>m</w:t>
                  </w:r>
                  <w:r>
                    <w:rPr>
                      <w:rFonts w:hint="eastAsia" w:cs="Times New Roman"/>
                      <w:color w:val="FF0000"/>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；锅炉房内二层南侧为锅炉间，建筑面积460</w:t>
                  </w:r>
                  <w:r>
                    <w:rPr>
                      <w:rFonts w:hint="eastAsia" w:cs="Times New Roman"/>
                      <w:color w:val="auto"/>
                      <w:kern w:val="21"/>
                      <w:sz w:val="18"/>
                      <w:szCs w:val="18"/>
                      <w:highlight w:val="none"/>
                      <w:lang w:val="en-US" w:eastAsia="zh-CN"/>
                    </w:rPr>
                    <w:t>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，内置</w:t>
                  </w:r>
                  <w:r>
                    <w:rPr>
                      <w:rFonts w:hint="default" w:ascii="Times New Roman" w:hAnsi="Times New Roman" w:eastAsia="宋体" w:cs="Times New Roman"/>
                      <w:color w:val="auto"/>
                      <w:sz w:val="18"/>
                      <w:szCs w:val="18"/>
                      <w:highlight w:val="none"/>
                      <w:lang w:val="en-US" w:eastAsia="zh-CN"/>
                    </w:rPr>
                    <w:t>4</w:t>
                  </w:r>
                  <w:r>
                    <w:rPr>
                      <w:rFonts w:hint="default" w:ascii="Times New Roman" w:hAnsi="Times New Roman" w:eastAsia="宋体" w:cs="Times New Roman"/>
                      <w:color w:val="auto"/>
                      <w:kern w:val="21"/>
                      <w:sz w:val="18"/>
                      <w:szCs w:val="18"/>
                      <w:highlight w:val="none"/>
                      <w:lang w:val="en-US" w:eastAsia="zh-CN"/>
                    </w:rPr>
                    <w:t>台10t/h燃煤锅炉</w:t>
                  </w:r>
                  <w:r>
                    <w:rPr>
                      <w:rFonts w:hint="eastAsia" w:cs="Times New Roman"/>
                      <w:color w:val="auto"/>
                      <w:kern w:val="21"/>
                      <w:sz w:val="18"/>
                      <w:szCs w:val="18"/>
                      <w:highlight w:val="none"/>
                      <w:lang w:val="en-US" w:eastAsia="zh-CN"/>
                    </w:rPr>
                    <w:t>。北侧为配电室、休息室，建筑面积100m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；锅炉房内北侧三层为闲置房间100</w:t>
                  </w:r>
                  <w:r>
                    <w:rPr>
                      <w:rFonts w:hint="eastAsia" w:cs="Times New Roman"/>
                      <w:color w:val="auto"/>
                      <w:kern w:val="21"/>
                      <w:sz w:val="18"/>
                      <w:szCs w:val="18"/>
                      <w:highlight w:val="none"/>
                      <w:lang w:val="en-US" w:eastAsia="zh-CN"/>
                    </w:rPr>
                    <w:t>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；锅炉房内北侧四层为上料皮带间，建筑面积</w:t>
                  </w:r>
                  <w:r>
                    <w:rPr>
                      <w:rFonts w:hint="eastAsia" w:cs="Times New Roman"/>
                      <w:color w:val="auto"/>
                      <w:kern w:val="21"/>
                      <w:sz w:val="18"/>
                      <w:szCs w:val="18"/>
                      <w:highlight w:val="none"/>
                      <w:lang w:val="en-US" w:eastAsia="zh-CN"/>
                    </w:rPr>
                    <w:t>160m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；锅炉房内北侧负一层为水泵房，建筑面积</w:t>
                  </w:r>
                  <w:r>
                    <w:rPr>
                      <w:rFonts w:hint="eastAsia" w:cs="Times New Roman"/>
                      <w:color w:val="auto"/>
                      <w:kern w:val="21"/>
                      <w:sz w:val="18"/>
                      <w:szCs w:val="18"/>
                      <w:highlight w:val="none"/>
                      <w:lang w:val="en-US" w:eastAsia="zh-CN"/>
                    </w:rPr>
                    <w:t>60m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w:t>
                  </w:r>
                  <w:r>
                    <w:rPr>
                      <w:rFonts w:hint="eastAsia"/>
                      <w:color w:val="auto"/>
                      <w:sz w:val="18"/>
                      <w:szCs w:val="18"/>
                      <w:highlight w:val="none"/>
                      <w:lang w:val="en-US" w:eastAsia="zh-CN"/>
                    </w:rPr>
                    <w:t>内置1个70t水箱，3台补水泵，1套软化水制备系统</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kern w:val="21"/>
                      <w:sz w:val="18"/>
                      <w:szCs w:val="18"/>
                      <w:highlight w:val="none"/>
                      <w:vertAlign w:val="baseline"/>
                      <w:lang w:val="en-US" w:eastAsia="zh-CN"/>
                    </w:rPr>
                    <w:t>本项目将</w:t>
                  </w:r>
                  <w:r>
                    <w:rPr>
                      <w:rFonts w:hint="default" w:ascii="Times New Roman" w:hAnsi="Times New Roman" w:eastAsia="宋体" w:cs="Times New Roman"/>
                      <w:color w:val="auto"/>
                      <w:kern w:val="21"/>
                      <w:sz w:val="18"/>
                      <w:szCs w:val="18"/>
                      <w:highlight w:val="none"/>
                      <w:vertAlign w:val="baseline"/>
                      <w:lang w:val="en-US" w:eastAsia="zh-CN"/>
                    </w:rPr>
                    <w:t>现有</w:t>
                  </w:r>
                  <w:r>
                    <w:rPr>
                      <w:rFonts w:hint="default" w:ascii="Times New Roman" w:hAnsi="Times New Roman" w:eastAsia="宋体" w:cs="Times New Roman"/>
                      <w:color w:val="auto"/>
                      <w:sz w:val="18"/>
                      <w:szCs w:val="18"/>
                      <w:highlight w:val="none"/>
                      <w:lang w:val="en-US" w:eastAsia="zh-CN"/>
                    </w:rPr>
                    <w:t>4</w:t>
                  </w:r>
                  <w:r>
                    <w:rPr>
                      <w:rFonts w:hint="default" w:ascii="Times New Roman" w:hAnsi="Times New Roman" w:eastAsia="宋体" w:cs="Times New Roman"/>
                      <w:color w:val="auto"/>
                      <w:kern w:val="21"/>
                      <w:sz w:val="18"/>
                      <w:szCs w:val="18"/>
                      <w:highlight w:val="none"/>
                      <w:lang w:val="en-US" w:eastAsia="zh-CN"/>
                    </w:rPr>
                    <w:t>台10t/h燃煤锅炉</w:t>
                  </w:r>
                  <w:r>
                    <w:rPr>
                      <w:rFonts w:hint="eastAsia" w:cs="Times New Roman"/>
                      <w:color w:val="auto"/>
                      <w:kern w:val="21"/>
                      <w:sz w:val="18"/>
                      <w:szCs w:val="18"/>
                      <w:highlight w:val="none"/>
                      <w:lang w:val="en-US" w:eastAsia="zh-CN"/>
                    </w:rPr>
                    <w:t>及1套布袋除尘器淘汰</w:t>
                  </w:r>
                  <w:r>
                    <w:rPr>
                      <w:rFonts w:hint="default" w:ascii="Times New Roman" w:hAnsi="Times New Roman" w:eastAsia="宋体" w:cs="Times New Roman"/>
                      <w:color w:val="auto"/>
                      <w:kern w:val="21"/>
                      <w:sz w:val="18"/>
                      <w:szCs w:val="18"/>
                      <w:highlight w:val="none"/>
                      <w:vertAlign w:val="baseline"/>
                      <w:lang w:val="en-US" w:eastAsia="zh-CN"/>
                    </w:rPr>
                    <w:t>，新建</w:t>
                  </w:r>
                  <w:r>
                    <w:rPr>
                      <w:rFonts w:hint="eastAsia" w:cs="Times New Roman"/>
                      <w:color w:val="auto"/>
                      <w:sz w:val="18"/>
                      <w:szCs w:val="18"/>
                      <w:highlight w:val="none"/>
                      <w:lang w:val="en-US" w:eastAsia="zh-CN"/>
                    </w:rPr>
                    <w:t>3台10t/h生物质蒸汽锅炉</w:t>
                  </w:r>
                  <w:r>
                    <w:rPr>
                      <w:rFonts w:hint="default" w:ascii="Times New Roman" w:hAnsi="Times New Roman" w:cs="Times New Roman"/>
                      <w:color w:val="auto"/>
                      <w:kern w:val="21"/>
                      <w:sz w:val="18"/>
                      <w:szCs w:val="18"/>
                      <w:highlight w:val="none"/>
                      <w:vertAlign w:val="baseline"/>
                      <w:lang w:val="en-US" w:eastAsia="zh-CN"/>
                    </w:rPr>
                    <w:t>，</w:t>
                  </w:r>
                  <w:r>
                    <w:rPr>
                      <w:rFonts w:hint="default" w:ascii="Times New Roman" w:hAnsi="Times New Roman" w:cs="Times New Roman"/>
                      <w:color w:val="auto"/>
                      <w:sz w:val="18"/>
                      <w:szCs w:val="18"/>
                      <w:highlight w:val="none"/>
                      <w:lang w:val="en-US" w:eastAsia="zh-CN"/>
                    </w:rPr>
                    <w:t>燃料为生物质成型燃料，</w:t>
                  </w:r>
                  <w:r>
                    <w:rPr>
                      <w:rFonts w:hint="eastAsia"/>
                      <w:color w:val="auto"/>
                      <w:sz w:val="18"/>
                      <w:szCs w:val="18"/>
                      <w:highlight w:val="none"/>
                      <w:lang w:val="en-US" w:eastAsia="zh-CN"/>
                    </w:rPr>
                    <w:t>每台锅炉各配备1套多管陶瓷+布袋除尘器（共3套多管陶瓷除尘器，新建；3套布袋除尘器，利旧），3台锅炉共用1根60m烟囱（DA001，利旧），现有45m烟囱（DA002）停用。</w:t>
                  </w:r>
                </w:p>
              </w:tc>
              <w:tc>
                <w:tcPr>
                  <w:tcW w:w="615" w:type="pct"/>
                  <w:tcBorders>
                    <w:tl2br w:val="nil"/>
                    <w:tr2bl w:val="nil"/>
                  </w:tcBorders>
                  <w:vAlign w:val="center"/>
                </w:tcPr>
                <w:p w14:paraId="1C2FB4E2">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lang w:val="en-US" w:eastAsia="zh-CN"/>
                    </w:rPr>
                    <w:t>锅炉房依托锅炉改造</w:t>
                  </w:r>
                </w:p>
              </w:tc>
            </w:tr>
            <w:tr w14:paraId="48551E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91" w:type="pct"/>
                  <w:tcBorders>
                    <w:tl2br w:val="nil"/>
                    <w:tr2bl w:val="nil"/>
                  </w:tcBorders>
                  <w:shd w:val="clear" w:color="auto" w:fill="auto"/>
                  <w:vAlign w:val="center"/>
                </w:tcPr>
                <w:p w14:paraId="2987BCB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color w:val="auto"/>
                      <w:sz w:val="18"/>
                      <w:szCs w:val="18"/>
                      <w:highlight w:val="none"/>
                    </w:rPr>
                    <w:t>辅助工程</w:t>
                  </w:r>
                </w:p>
              </w:tc>
              <w:tc>
                <w:tcPr>
                  <w:tcW w:w="947" w:type="pct"/>
                  <w:tcBorders>
                    <w:tl2br w:val="nil"/>
                    <w:tr2bl w:val="nil"/>
                  </w:tcBorders>
                  <w:shd w:val="clear" w:color="auto" w:fill="auto"/>
                  <w:vAlign w:val="center"/>
                </w:tcPr>
                <w:p w14:paraId="02DD450D">
                  <w:pPr>
                    <w:keepNext w:val="0"/>
                    <w:keepLines w:val="0"/>
                    <w:suppressLineNumbers w:val="0"/>
                    <w:spacing w:before="0" w:beforeAutospacing="0" w:after="0" w:afterAutospacing="0"/>
                    <w:ind w:left="0" w:right="0"/>
                    <w:jc w:val="center"/>
                    <w:rPr>
                      <w:rFonts w:hint="eastAsia"/>
                      <w:color w:val="auto"/>
                      <w:sz w:val="18"/>
                      <w:szCs w:val="18"/>
                      <w:highlight w:val="none"/>
                      <w:lang w:val="en-US" w:eastAsia="zh-CN"/>
                    </w:rPr>
                  </w:pPr>
                  <w:r>
                    <w:rPr>
                      <w:rFonts w:hint="eastAsia"/>
                      <w:color w:val="auto"/>
                      <w:sz w:val="18"/>
                      <w:szCs w:val="18"/>
                      <w:highlight w:val="none"/>
                    </w:rPr>
                    <w:t>软水系统</w:t>
                  </w:r>
                </w:p>
              </w:tc>
              <w:tc>
                <w:tcPr>
                  <w:tcW w:w="3045" w:type="pct"/>
                  <w:tcBorders>
                    <w:tl2br w:val="nil"/>
                    <w:tr2bl w:val="nil"/>
                  </w:tcBorders>
                  <w:shd w:val="clear" w:color="auto" w:fill="auto"/>
                  <w:vAlign w:val="center"/>
                </w:tcPr>
                <w:p w14:paraId="66A462A3">
                  <w:pPr>
                    <w:keepNext w:val="0"/>
                    <w:keepLines w:val="0"/>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洗煤一厂锅炉房负一层水泵房，</w:t>
                  </w:r>
                  <w:r>
                    <w:rPr>
                      <w:rFonts w:hint="default" w:ascii="Times New Roman" w:hAnsi="Times New Roman" w:cs="Times New Roman"/>
                      <w:color w:val="auto"/>
                      <w:kern w:val="21"/>
                      <w:sz w:val="18"/>
                      <w:szCs w:val="18"/>
                      <w:highlight w:val="none"/>
                      <w:vertAlign w:val="baseline"/>
                      <w:lang w:val="en-US" w:eastAsia="zh-CN"/>
                    </w:rPr>
                    <w:t>建筑面积为</w:t>
                  </w:r>
                  <w:r>
                    <w:rPr>
                      <w:rFonts w:hint="eastAsia" w:ascii="Times New Roman" w:hAnsi="Times New Roman" w:cs="Times New Roman"/>
                      <w:color w:val="auto"/>
                      <w:kern w:val="21"/>
                      <w:sz w:val="18"/>
                      <w:szCs w:val="18"/>
                      <w:highlight w:val="none"/>
                      <w:vertAlign w:val="baseline"/>
                      <w:lang w:val="en-US" w:eastAsia="zh-CN"/>
                    </w:rPr>
                    <w:t>6</w:t>
                  </w:r>
                  <w:r>
                    <w:rPr>
                      <w:rFonts w:hint="default" w:ascii="Times New Roman" w:hAnsi="Times New Roman" w:cs="Times New Roman"/>
                      <w:color w:val="auto"/>
                      <w:kern w:val="21"/>
                      <w:sz w:val="18"/>
                      <w:szCs w:val="18"/>
                      <w:highlight w:val="none"/>
                      <w:vertAlign w:val="baseline"/>
                      <w:lang w:val="en-US" w:eastAsia="zh-CN"/>
                    </w:rPr>
                    <w:t>0</w:t>
                  </w:r>
                  <w:r>
                    <w:rPr>
                      <w:rFonts w:hint="default" w:ascii="Times New Roman" w:hAnsi="Times New Roman" w:cs="Times New Roman"/>
                      <w:color w:val="auto"/>
                      <w:kern w:val="21"/>
                      <w:sz w:val="18"/>
                      <w:szCs w:val="18"/>
                      <w:highlight w:val="none"/>
                      <w:lang w:val="en-US" w:eastAsia="zh-CN"/>
                    </w:rPr>
                    <w:t>m</w:t>
                  </w:r>
                  <w:r>
                    <w:rPr>
                      <w:rFonts w:hint="default" w:ascii="Times New Roman" w:hAnsi="Times New Roman" w:cs="Times New Roman"/>
                      <w:color w:val="auto"/>
                      <w:kern w:val="21"/>
                      <w:sz w:val="18"/>
                      <w:szCs w:val="18"/>
                      <w:highlight w:val="none"/>
                      <w:vertAlign w:val="superscript"/>
                      <w:lang w:val="en-US" w:eastAsia="zh-CN"/>
                    </w:rPr>
                    <w:t>2</w:t>
                  </w:r>
                  <w:r>
                    <w:rPr>
                      <w:rFonts w:hint="default" w:ascii="Times New Roman" w:hAnsi="Times New Roman" w:cs="Times New Roman"/>
                      <w:color w:val="auto"/>
                      <w:kern w:val="21"/>
                      <w:sz w:val="18"/>
                      <w:szCs w:val="18"/>
                      <w:highlight w:val="none"/>
                      <w:vertAlign w:val="baseline"/>
                      <w:lang w:val="en-US" w:eastAsia="zh-CN"/>
                    </w:rPr>
                    <w:t>，</w:t>
                  </w:r>
                  <w:r>
                    <w:rPr>
                      <w:rFonts w:hint="default" w:ascii="Times New Roman" w:hAnsi="Times New Roman" w:cs="Times New Roman"/>
                      <w:color w:val="auto"/>
                      <w:sz w:val="18"/>
                      <w:szCs w:val="18"/>
                      <w:highlight w:val="none"/>
                      <w:lang w:val="en-US" w:eastAsia="zh-CN"/>
                    </w:rPr>
                    <w:t>内置1套软化水制备系统</w:t>
                  </w:r>
                  <w:r>
                    <w:rPr>
                      <w:rFonts w:hint="eastAsia" w:eastAsia="宋体"/>
                      <w:color w:val="auto"/>
                      <w:sz w:val="18"/>
                      <w:szCs w:val="18"/>
                      <w:highlight w:val="none"/>
                      <w:lang w:eastAsia="zh-CN"/>
                    </w:rPr>
                    <w:t>，处理水量为</w:t>
                  </w:r>
                  <w:r>
                    <w:rPr>
                      <w:rFonts w:hint="eastAsia"/>
                      <w:color w:val="auto"/>
                      <w:sz w:val="18"/>
                      <w:szCs w:val="18"/>
                      <w:highlight w:val="none"/>
                      <w:lang w:val="en-US" w:eastAsia="zh-CN"/>
                    </w:rPr>
                    <w:t>35</w:t>
                  </w:r>
                  <w:r>
                    <w:rPr>
                      <w:rFonts w:hint="eastAsia" w:eastAsia="宋体"/>
                      <w:color w:val="auto"/>
                      <w:sz w:val="18"/>
                      <w:szCs w:val="18"/>
                      <w:highlight w:val="none"/>
                      <w:lang w:eastAsia="zh-CN"/>
                    </w:rPr>
                    <w:t>m</w:t>
                  </w:r>
                  <w:r>
                    <w:rPr>
                      <w:rFonts w:hint="eastAsia" w:eastAsia="宋体"/>
                      <w:color w:val="auto"/>
                      <w:sz w:val="18"/>
                      <w:szCs w:val="18"/>
                      <w:highlight w:val="none"/>
                      <w:vertAlign w:val="superscript"/>
                      <w:lang w:eastAsia="zh-CN"/>
                    </w:rPr>
                    <w:t>3</w:t>
                  </w:r>
                  <w:r>
                    <w:rPr>
                      <w:rFonts w:hint="eastAsia" w:eastAsia="宋体"/>
                      <w:color w:val="auto"/>
                      <w:sz w:val="18"/>
                      <w:szCs w:val="18"/>
                      <w:highlight w:val="none"/>
                      <w:lang w:eastAsia="zh-CN"/>
                    </w:rPr>
                    <w:t>/h。锅炉用水需经软化水处理系统处理，软化水处理采用离子交换树脂，不涉及酸碱试剂，离子交换树脂无需再生，处理后产生的废离子交换树脂集中收集，由厂家回收。</w:t>
                  </w:r>
                </w:p>
              </w:tc>
              <w:tc>
                <w:tcPr>
                  <w:tcW w:w="615" w:type="pct"/>
                  <w:tcBorders>
                    <w:tl2br w:val="nil"/>
                    <w:tr2bl w:val="nil"/>
                  </w:tcBorders>
                  <w:vAlign w:val="center"/>
                </w:tcPr>
                <w:p w14:paraId="07A7401C">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571A2E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restart"/>
                  <w:tcBorders>
                    <w:tl2br w:val="nil"/>
                    <w:tr2bl w:val="nil"/>
                  </w:tcBorders>
                  <w:shd w:val="clear" w:color="auto" w:fill="auto"/>
                  <w:vAlign w:val="center"/>
                </w:tcPr>
                <w:p w14:paraId="726C5FF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储运</w:t>
                  </w:r>
                </w:p>
                <w:p w14:paraId="2FA5D59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w:t>
                  </w:r>
                </w:p>
              </w:tc>
              <w:tc>
                <w:tcPr>
                  <w:tcW w:w="947" w:type="pct"/>
                  <w:tcBorders>
                    <w:tl2br w:val="nil"/>
                    <w:tr2bl w:val="nil"/>
                  </w:tcBorders>
                  <w:shd w:val="clear" w:color="auto" w:fill="auto"/>
                  <w:vAlign w:val="center"/>
                </w:tcPr>
                <w:p w14:paraId="09A2F9F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燃料库</w:t>
                  </w:r>
                </w:p>
              </w:tc>
              <w:tc>
                <w:tcPr>
                  <w:tcW w:w="3045" w:type="pct"/>
                  <w:tcBorders>
                    <w:tl2br w:val="nil"/>
                    <w:tr2bl w:val="nil"/>
                  </w:tcBorders>
                  <w:shd w:val="clear" w:color="auto" w:fill="auto"/>
                  <w:vAlign w:val="center"/>
                </w:tcPr>
                <w:p w14:paraId="282554A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bCs/>
                      <w:color w:val="auto"/>
                      <w:sz w:val="18"/>
                      <w:szCs w:val="18"/>
                      <w:highlight w:val="none"/>
                      <w:lang w:val="en-US" w:eastAsia="zh-CN"/>
                    </w:rPr>
                    <w:t>洗煤一厂锅炉房燃料库</w:t>
                  </w:r>
                  <w:r>
                    <w:rPr>
                      <w:rFonts w:hint="eastAsia"/>
                      <w:color w:val="auto"/>
                      <w:sz w:val="18"/>
                      <w:szCs w:val="18"/>
                      <w:highlight w:val="none"/>
                      <w:lang w:val="en-US" w:eastAsia="zh-CN"/>
                    </w:rPr>
                    <w:t>建筑面积450m</w:t>
                  </w:r>
                  <w:r>
                    <w:rPr>
                      <w:rFonts w:hint="eastAsia"/>
                      <w:color w:val="auto"/>
                      <w:sz w:val="18"/>
                      <w:szCs w:val="18"/>
                      <w:highlight w:val="none"/>
                      <w:vertAlign w:val="superscript"/>
                      <w:lang w:val="en-US" w:eastAsia="zh-CN"/>
                    </w:rPr>
                    <w:t>2</w:t>
                  </w:r>
                  <w:r>
                    <w:rPr>
                      <w:rFonts w:hint="eastAsia"/>
                      <w:color w:val="auto"/>
                      <w:sz w:val="18"/>
                      <w:szCs w:val="18"/>
                      <w:highlight w:val="none"/>
                      <w:lang w:val="en-US" w:eastAsia="zh-CN"/>
                    </w:rPr>
                    <w:t>，高6m，燃料库</w:t>
                  </w:r>
                  <w:r>
                    <w:rPr>
                      <w:rFonts w:hint="eastAsia" w:cs="Times New Roman"/>
                      <w:color w:val="auto"/>
                      <w:spacing w:val="9"/>
                      <w:sz w:val="18"/>
                      <w:szCs w:val="18"/>
                      <w:highlight w:val="none"/>
                      <w:lang w:val="en-US" w:eastAsia="zh-CN"/>
                    </w:rPr>
                    <w:t>用于储存生物质燃料，最大贮存量为3000t。本项目所用生物质燃料量共</w:t>
                  </w:r>
                  <w:r>
                    <w:rPr>
                      <w:rFonts w:hint="eastAsia" w:cs="Times New Roman"/>
                      <w:color w:val="auto"/>
                      <w:sz w:val="18"/>
                      <w:szCs w:val="18"/>
                      <w:highlight w:val="none"/>
                      <w:lang w:val="en-US" w:eastAsia="zh-CN"/>
                    </w:rPr>
                    <w:t>25137.15</w:t>
                  </w:r>
                  <w:r>
                    <w:rPr>
                      <w:rFonts w:hint="default" w:ascii="Times New Roman" w:hAnsi="Times New Roman" w:eastAsia="宋体" w:cs="Times New Roman"/>
                      <w:color w:val="auto"/>
                      <w:sz w:val="18"/>
                      <w:szCs w:val="18"/>
                      <w:highlight w:val="none"/>
                    </w:rPr>
                    <w:t>t</w:t>
                  </w:r>
                  <w:r>
                    <w:rPr>
                      <w:rFonts w:hint="eastAsia" w:cs="Times New Roman"/>
                      <w:color w:val="auto"/>
                      <w:spacing w:val="9"/>
                      <w:sz w:val="18"/>
                      <w:szCs w:val="18"/>
                      <w:highlight w:val="none"/>
                      <w:lang w:val="en-US" w:eastAsia="zh-CN"/>
                    </w:rPr>
                    <w:t>/a。每10天转运1次。</w:t>
                  </w:r>
                </w:p>
              </w:tc>
              <w:tc>
                <w:tcPr>
                  <w:tcW w:w="615" w:type="pct"/>
                  <w:tcBorders>
                    <w:tl2br w:val="nil"/>
                    <w:tr2bl w:val="nil"/>
                  </w:tcBorders>
                  <w:vAlign w:val="center"/>
                </w:tcPr>
                <w:p w14:paraId="396C557E">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r w14:paraId="1F79DF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shd w:val="clear" w:color="auto" w:fill="auto"/>
                  <w:vAlign w:val="center"/>
                </w:tcPr>
                <w:p w14:paraId="2100772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947" w:type="pct"/>
                  <w:tcBorders>
                    <w:tl2br w:val="nil"/>
                    <w:tr2bl w:val="nil"/>
                  </w:tcBorders>
                  <w:shd w:val="clear" w:color="auto" w:fill="auto"/>
                  <w:vAlign w:val="center"/>
                </w:tcPr>
                <w:p w14:paraId="0E0BE9DB">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灰渣库</w:t>
                  </w:r>
                </w:p>
              </w:tc>
              <w:tc>
                <w:tcPr>
                  <w:tcW w:w="3045" w:type="pct"/>
                  <w:tcBorders>
                    <w:tl2br w:val="nil"/>
                    <w:tr2bl w:val="nil"/>
                  </w:tcBorders>
                  <w:shd w:val="clear" w:color="auto" w:fill="auto"/>
                  <w:vAlign w:val="center"/>
                </w:tcPr>
                <w:p w14:paraId="7C2D30F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FF0000"/>
                      <w:kern w:val="0"/>
                      <w:sz w:val="18"/>
                      <w:szCs w:val="18"/>
                      <w:highlight w:val="none"/>
                      <w:lang w:val="en-US" w:eastAsia="zh-CN" w:bidi="ar"/>
                    </w:rPr>
                  </w:pPr>
                  <w:r>
                    <w:rPr>
                      <w:rFonts w:hint="eastAsia" w:cs="Times New Roman"/>
                      <w:bCs/>
                      <w:color w:val="FF0000"/>
                      <w:sz w:val="18"/>
                      <w:szCs w:val="18"/>
                      <w:highlight w:val="none"/>
                      <w:lang w:val="en-US" w:eastAsia="zh-CN"/>
                    </w:rPr>
                    <w:t>依托锅炉房1层南侧原有灰渣库，</w:t>
                  </w:r>
                  <w:r>
                    <w:rPr>
                      <w:rFonts w:hint="eastAsia"/>
                      <w:color w:val="FF0000"/>
                      <w:sz w:val="18"/>
                      <w:szCs w:val="18"/>
                      <w:highlight w:val="none"/>
                      <w:lang w:val="en-US" w:eastAsia="zh-CN"/>
                    </w:rPr>
                    <w:t>建筑面积300m</w:t>
                  </w:r>
                  <w:r>
                    <w:rPr>
                      <w:rFonts w:hint="eastAsia"/>
                      <w:color w:val="FF0000"/>
                      <w:sz w:val="18"/>
                      <w:szCs w:val="18"/>
                      <w:highlight w:val="none"/>
                      <w:vertAlign w:val="superscript"/>
                      <w:lang w:val="en-US" w:eastAsia="zh-CN"/>
                    </w:rPr>
                    <w:t>2</w:t>
                  </w:r>
                  <w:r>
                    <w:rPr>
                      <w:rFonts w:hint="eastAsia"/>
                      <w:color w:val="FF0000"/>
                      <w:sz w:val="18"/>
                      <w:szCs w:val="18"/>
                      <w:highlight w:val="none"/>
                      <w:lang w:val="en-US" w:eastAsia="zh-CN"/>
                    </w:rPr>
                    <w:t>，最大存储量700t，灰渣库</w:t>
                  </w:r>
                  <w:r>
                    <w:rPr>
                      <w:rFonts w:hint="eastAsia" w:cs="Times New Roman"/>
                      <w:color w:val="FF0000"/>
                      <w:kern w:val="21"/>
                      <w:sz w:val="18"/>
                      <w:szCs w:val="18"/>
                      <w:highlight w:val="none"/>
                      <w:vertAlign w:val="baseline"/>
                      <w:lang w:val="en-US" w:eastAsia="zh-CN"/>
                    </w:rPr>
                    <w:t>用于储存</w:t>
                  </w:r>
                  <w:r>
                    <w:rPr>
                      <w:rFonts w:hint="eastAsia"/>
                      <w:color w:val="FF0000"/>
                      <w:sz w:val="18"/>
                      <w:szCs w:val="18"/>
                      <w:highlight w:val="none"/>
                      <w:lang w:val="en-US" w:eastAsia="zh-CN"/>
                    </w:rPr>
                    <w:t>多管陶瓷+布袋除尘器收尘及炉渣</w:t>
                  </w:r>
                  <w:r>
                    <w:rPr>
                      <w:rFonts w:hint="eastAsia" w:cs="Times New Roman"/>
                      <w:color w:val="FF0000"/>
                      <w:kern w:val="21"/>
                      <w:sz w:val="18"/>
                      <w:szCs w:val="18"/>
                      <w:highlight w:val="none"/>
                      <w:vertAlign w:val="baseline"/>
                      <w:lang w:val="en-US" w:eastAsia="zh-CN"/>
                    </w:rPr>
                    <w:t>。每10天转运1次。</w:t>
                  </w:r>
                </w:p>
              </w:tc>
              <w:tc>
                <w:tcPr>
                  <w:tcW w:w="615" w:type="pct"/>
                  <w:tcBorders>
                    <w:tl2br w:val="nil"/>
                    <w:tr2bl w:val="nil"/>
                  </w:tcBorders>
                  <w:vAlign w:val="center"/>
                </w:tcPr>
                <w:p w14:paraId="31E31245">
                  <w:pPr>
                    <w:keepNext w:val="0"/>
                    <w:keepLines w:val="0"/>
                    <w:suppressLineNumbers w:val="0"/>
                    <w:spacing w:before="0" w:beforeAutospacing="0" w:after="0" w:afterAutospacing="0"/>
                    <w:ind w:left="0" w:right="0"/>
                    <w:jc w:val="center"/>
                    <w:rPr>
                      <w:rFonts w:hint="default" w:ascii="宋体" w:hAnsi="宋体" w:cs="宋体"/>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依托</w:t>
                  </w:r>
                </w:p>
              </w:tc>
            </w:tr>
            <w:tr w14:paraId="07B860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shd w:val="clear" w:color="auto" w:fill="auto"/>
                  <w:vAlign w:val="center"/>
                </w:tcPr>
                <w:p w14:paraId="4F02F21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947" w:type="pct"/>
                  <w:tcBorders>
                    <w:tl2br w:val="nil"/>
                    <w:tr2bl w:val="nil"/>
                  </w:tcBorders>
                  <w:shd w:val="clear" w:color="auto" w:fill="auto"/>
                  <w:vAlign w:val="center"/>
                </w:tcPr>
                <w:p w14:paraId="2A089850">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储水箱</w:t>
                  </w:r>
                </w:p>
              </w:tc>
              <w:tc>
                <w:tcPr>
                  <w:tcW w:w="3045" w:type="pct"/>
                  <w:tcBorders>
                    <w:tl2br w:val="nil"/>
                    <w:tr2bl w:val="nil"/>
                  </w:tcBorders>
                  <w:shd w:val="clear" w:color="auto" w:fill="auto"/>
                  <w:vAlign w:val="center"/>
                </w:tcPr>
                <w:p w14:paraId="3AE92006">
                  <w:pPr>
                    <w:keepNext w:val="0"/>
                    <w:keepLines w:val="0"/>
                    <w:suppressLineNumbers w:val="0"/>
                    <w:spacing w:before="0" w:beforeAutospacing="0" w:after="0" w:afterAutospacing="0"/>
                    <w:ind w:left="0" w:leftChars="0" w:right="0" w:rightChars="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洗煤一厂锅炉房内负一层水泵房内设置1个70t地上储水箱，用于储存锅炉补给水</w:t>
                  </w:r>
                  <w:r>
                    <w:rPr>
                      <w:rFonts w:hint="eastAsia" w:ascii="Times New Roman" w:hAnsi="Times New Roman" w:eastAsia="宋体" w:cs="Times New Roman"/>
                      <w:bCs/>
                      <w:color w:val="auto"/>
                      <w:sz w:val="18"/>
                      <w:szCs w:val="18"/>
                      <w:highlight w:val="none"/>
                      <w:lang w:val="en-US" w:eastAsia="zh-CN"/>
                    </w:rPr>
                    <w:t>。</w:t>
                  </w:r>
                </w:p>
              </w:tc>
              <w:tc>
                <w:tcPr>
                  <w:tcW w:w="615" w:type="pct"/>
                  <w:tcBorders>
                    <w:tl2br w:val="nil"/>
                    <w:tr2bl w:val="nil"/>
                  </w:tcBorders>
                  <w:vAlign w:val="center"/>
                </w:tcPr>
                <w:p w14:paraId="2A7CC07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依托</w:t>
                  </w:r>
                </w:p>
              </w:tc>
            </w:tr>
            <w:tr w14:paraId="389F95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restart"/>
                  <w:tcBorders>
                    <w:tl2br w:val="nil"/>
                    <w:tr2bl w:val="nil"/>
                  </w:tcBorders>
                  <w:vAlign w:val="center"/>
                </w:tcPr>
                <w:p w14:paraId="56E51595">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公用工程</w:t>
                  </w:r>
                </w:p>
              </w:tc>
              <w:tc>
                <w:tcPr>
                  <w:tcW w:w="947" w:type="pct"/>
                  <w:tcBorders>
                    <w:tl2br w:val="nil"/>
                    <w:tr2bl w:val="nil"/>
                  </w:tcBorders>
                  <w:vAlign w:val="center"/>
                </w:tcPr>
                <w:p w14:paraId="640A7A07">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供水</w:t>
                  </w:r>
                </w:p>
              </w:tc>
              <w:tc>
                <w:tcPr>
                  <w:tcW w:w="3045" w:type="pct"/>
                  <w:tcBorders>
                    <w:tl2br w:val="nil"/>
                    <w:tr2bl w:val="nil"/>
                  </w:tcBorders>
                  <w:vAlign w:val="center"/>
                </w:tcPr>
                <w:p w14:paraId="5820B2B0">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17"/>
                      <w:sz w:val="18"/>
                      <w:szCs w:val="18"/>
                      <w:highlight w:val="none"/>
                      <w:lang w:val="en-US"/>
                    </w:rPr>
                  </w:pPr>
                  <w:r>
                    <w:rPr>
                      <w:rFonts w:hint="eastAsia" w:ascii="Times New Roman" w:hAnsi="Times New Roman"/>
                      <w:color w:val="auto"/>
                      <w:sz w:val="18"/>
                      <w:szCs w:val="18"/>
                      <w:highlight w:val="none"/>
                      <w:lang w:val="en-US" w:eastAsia="zh-CN"/>
                    </w:rPr>
                    <w:t>项目用</w:t>
                  </w:r>
                  <w:r>
                    <w:rPr>
                      <w:rFonts w:hint="default" w:ascii="Times New Roman" w:hAnsi="Times New Roman"/>
                      <w:color w:val="auto"/>
                      <w:sz w:val="18"/>
                      <w:szCs w:val="18"/>
                      <w:highlight w:val="none"/>
                    </w:rPr>
                    <w:t>水</w:t>
                  </w:r>
                  <w:r>
                    <w:rPr>
                      <w:rFonts w:hint="eastAsia"/>
                      <w:color w:val="auto"/>
                      <w:sz w:val="18"/>
                      <w:szCs w:val="18"/>
                      <w:highlight w:val="none"/>
                      <w:lang w:val="en-US" w:eastAsia="zh-CN"/>
                    </w:rPr>
                    <w:t>来自市政自来水</w:t>
                  </w:r>
                  <w:r>
                    <w:rPr>
                      <w:rFonts w:hint="default" w:ascii="Times New Roman" w:hAnsi="Times New Roman" w:cs="Times New Roman"/>
                      <w:color w:val="auto"/>
                      <w:sz w:val="18"/>
                      <w:szCs w:val="18"/>
                      <w:highlight w:val="none"/>
                    </w:rPr>
                    <w:t>。</w:t>
                  </w:r>
                  <w:r>
                    <w:rPr>
                      <w:rFonts w:hint="eastAsia"/>
                      <w:color w:val="auto"/>
                      <w:sz w:val="18"/>
                      <w:szCs w:val="18"/>
                      <w:highlight w:val="none"/>
                    </w:rPr>
                    <w:t>本次不新增</w:t>
                  </w:r>
                  <w:r>
                    <w:rPr>
                      <w:rFonts w:hint="eastAsia"/>
                      <w:color w:val="auto"/>
                      <w:sz w:val="18"/>
                      <w:szCs w:val="18"/>
                      <w:highlight w:val="none"/>
                      <w:lang w:val="en-US" w:eastAsia="zh-CN"/>
                    </w:rPr>
                    <w:t>员工</w:t>
                  </w:r>
                  <w:r>
                    <w:rPr>
                      <w:rFonts w:hint="eastAsia"/>
                      <w:color w:val="auto"/>
                      <w:sz w:val="18"/>
                      <w:szCs w:val="18"/>
                      <w:highlight w:val="none"/>
                    </w:rPr>
                    <w:t>，不新增生活用水</w:t>
                  </w:r>
                  <w:r>
                    <w:rPr>
                      <w:rFonts w:hint="eastAsia"/>
                      <w:color w:val="auto"/>
                      <w:sz w:val="18"/>
                      <w:szCs w:val="18"/>
                      <w:highlight w:val="none"/>
                      <w:lang w:eastAsia="zh-CN"/>
                    </w:rPr>
                    <w:t>。</w:t>
                  </w:r>
                  <w:r>
                    <w:rPr>
                      <w:rFonts w:hint="default" w:ascii="Times New Roman" w:hAnsi="Times New Roman" w:cs="Times New Roman"/>
                      <w:color w:val="auto"/>
                      <w:sz w:val="18"/>
                      <w:szCs w:val="18"/>
                      <w:highlight w:val="none"/>
                      <w:lang w:eastAsia="zh-CN"/>
                    </w:rPr>
                    <w:t>主要为</w:t>
                  </w:r>
                  <w:r>
                    <w:rPr>
                      <w:rFonts w:hint="eastAsia" w:cs="Times New Roman"/>
                      <w:color w:val="auto"/>
                      <w:sz w:val="18"/>
                      <w:szCs w:val="18"/>
                      <w:highlight w:val="none"/>
                      <w:lang w:val="en-US" w:eastAsia="zh-CN"/>
                    </w:rPr>
                    <w:t>锅炉用水，</w:t>
                  </w:r>
                  <w:r>
                    <w:rPr>
                      <w:rFonts w:hint="eastAsia"/>
                      <w:color w:val="auto"/>
                      <w:kern w:val="0"/>
                      <w:sz w:val="18"/>
                      <w:szCs w:val="18"/>
                      <w:highlight w:val="none"/>
                      <w:lang w:val="en-US" w:eastAsia="zh-CN"/>
                    </w:rPr>
                    <w:t>锅炉补充</w:t>
                  </w:r>
                  <w:r>
                    <w:rPr>
                      <w:rFonts w:hint="eastAsia"/>
                      <w:color w:val="auto"/>
                      <w:kern w:val="0"/>
                      <w:sz w:val="18"/>
                      <w:szCs w:val="18"/>
                      <w:highlight w:val="none"/>
                    </w:rPr>
                    <w:t>水量为</w:t>
                  </w:r>
                  <w:r>
                    <w:rPr>
                      <w:rFonts w:hint="eastAsia" w:cs="Times New Roman"/>
                      <w:bCs/>
                      <w:color w:val="auto"/>
                      <w:sz w:val="18"/>
                      <w:szCs w:val="18"/>
                      <w:highlight w:val="none"/>
                      <w:lang w:val="en-US" w:eastAsia="zh-CN"/>
                    </w:rPr>
                    <w:t>8948.83</w:t>
                  </w:r>
                  <w:r>
                    <w:rPr>
                      <w:rFonts w:hint="default" w:ascii="Times New Roman" w:hAnsi="Times New Roman" w:eastAsia="宋体" w:cs="Times New Roman"/>
                      <w:bCs/>
                      <w:color w:val="auto"/>
                      <w:sz w:val="18"/>
                      <w:szCs w:val="18"/>
                      <w:highlight w:val="none"/>
                    </w:rPr>
                    <w:t>t</w:t>
                  </w:r>
                  <w:r>
                    <w:rPr>
                      <w:rFonts w:hint="default"/>
                      <w:bCs/>
                      <w:color w:val="auto"/>
                      <w:sz w:val="18"/>
                      <w:szCs w:val="18"/>
                      <w:highlight w:val="none"/>
                    </w:rPr>
                    <w:t>/</w:t>
                  </w:r>
                  <w:r>
                    <w:rPr>
                      <w:rFonts w:hint="eastAsia"/>
                      <w:bCs/>
                      <w:color w:val="auto"/>
                      <w:sz w:val="18"/>
                      <w:szCs w:val="18"/>
                      <w:highlight w:val="none"/>
                      <w:lang w:val="en-US" w:eastAsia="zh-CN"/>
                    </w:rPr>
                    <w:t>a</w:t>
                  </w:r>
                  <w:r>
                    <w:rPr>
                      <w:rFonts w:hint="eastAsia" w:cs="Times New Roman"/>
                      <w:color w:val="auto"/>
                      <w:sz w:val="18"/>
                      <w:szCs w:val="18"/>
                      <w:highlight w:val="none"/>
                      <w:lang w:val="en-US" w:eastAsia="zh-CN"/>
                    </w:rPr>
                    <w:t>。</w:t>
                  </w:r>
                </w:p>
              </w:tc>
              <w:tc>
                <w:tcPr>
                  <w:tcW w:w="615" w:type="pct"/>
                  <w:tcBorders>
                    <w:tl2br w:val="nil"/>
                    <w:tr2bl w:val="nil"/>
                  </w:tcBorders>
                  <w:vAlign w:val="center"/>
                </w:tcPr>
                <w:p w14:paraId="460A2CF7">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依托</w:t>
                  </w:r>
                </w:p>
              </w:tc>
            </w:tr>
            <w:tr w14:paraId="389D27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15E158BF">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947" w:type="pct"/>
                  <w:tcBorders>
                    <w:tl2br w:val="nil"/>
                    <w:tr2bl w:val="nil"/>
                  </w:tcBorders>
                  <w:vAlign w:val="center"/>
                </w:tcPr>
                <w:p w14:paraId="24266ECD">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排水</w:t>
                  </w:r>
                </w:p>
              </w:tc>
              <w:tc>
                <w:tcPr>
                  <w:tcW w:w="3045" w:type="pct"/>
                  <w:tcBorders>
                    <w:tl2br w:val="nil"/>
                    <w:tr2bl w:val="nil"/>
                  </w:tcBorders>
                  <w:vAlign w:val="center"/>
                </w:tcPr>
                <w:p w14:paraId="2D1F3A4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spacing w:val="0"/>
                      <w:sz w:val="18"/>
                      <w:szCs w:val="18"/>
                      <w:highlight w:val="none"/>
                    </w:rPr>
                    <w:t>本项目</w:t>
                  </w:r>
                  <w:r>
                    <w:rPr>
                      <w:rFonts w:hint="eastAsia" w:cs="Times New Roman"/>
                      <w:color w:val="auto"/>
                      <w:kern w:val="0"/>
                      <w:sz w:val="18"/>
                      <w:szCs w:val="18"/>
                      <w:highlight w:val="none"/>
                      <w:lang w:val="en-US" w:eastAsia="zh-CN"/>
                    </w:rPr>
                    <w:t>无新增员工，故无新增生活污水，</w:t>
                  </w:r>
                  <w:r>
                    <w:rPr>
                      <w:rFonts w:hint="eastAsia"/>
                      <w:color w:val="FF0000"/>
                      <w:sz w:val="18"/>
                      <w:szCs w:val="18"/>
                      <w:highlight w:val="none"/>
                      <w:lang w:val="en-US" w:eastAsia="zh-CN"/>
                    </w:rPr>
                    <w:t>初期雨水依托东山煤矿洗煤一厂现有初期雨水收集池，初期雨水集中收集后回用洒水降尘，不外排。</w:t>
                  </w:r>
                  <w:r>
                    <w:rPr>
                      <w:rFonts w:hint="default" w:ascii="Times New Roman" w:hAnsi="Times New Roman" w:cs="Times New Roman"/>
                      <w:color w:val="auto"/>
                      <w:kern w:val="0"/>
                      <w:sz w:val="18"/>
                      <w:szCs w:val="18"/>
                      <w:highlight w:val="none"/>
                    </w:rPr>
                    <w:t>锅炉排污水</w:t>
                  </w:r>
                  <w:r>
                    <w:rPr>
                      <w:rFonts w:hint="eastAsia" w:cs="Times New Roman"/>
                      <w:color w:val="auto"/>
                      <w:kern w:val="0"/>
                      <w:sz w:val="18"/>
                      <w:szCs w:val="18"/>
                      <w:highlight w:val="none"/>
                      <w:lang w:val="en-US" w:eastAsia="zh-CN"/>
                    </w:rPr>
                    <w:t>及软化处理废水</w:t>
                  </w:r>
                  <w:r>
                    <w:rPr>
                      <w:rFonts w:hint="eastAsia" w:ascii="Times New Roman" w:hAnsi="Times New Roman" w:cs="Times New Roman"/>
                      <w:color w:val="auto"/>
                      <w:kern w:val="0"/>
                      <w:sz w:val="18"/>
                      <w:szCs w:val="18"/>
                      <w:highlight w:val="none"/>
                      <w:lang w:eastAsia="zh-CN"/>
                    </w:rPr>
                    <w:t>，</w:t>
                  </w:r>
                  <w:r>
                    <w:rPr>
                      <w:rFonts w:hint="default" w:ascii="Times New Roman" w:hAnsi="Times New Roman" w:cs="Times New Roman"/>
                      <w:color w:val="auto"/>
                      <w:sz w:val="18"/>
                      <w:szCs w:val="18"/>
                      <w:highlight w:val="none"/>
                    </w:rPr>
                    <w:t>暂存厂区</w:t>
                  </w:r>
                  <w:r>
                    <w:rPr>
                      <w:rFonts w:hint="eastAsia" w:cs="Times New Roman"/>
                      <w:color w:val="auto"/>
                      <w:sz w:val="18"/>
                      <w:szCs w:val="18"/>
                      <w:highlight w:val="none"/>
                      <w:lang w:val="en-US" w:eastAsia="zh-CN"/>
                    </w:rPr>
                    <w:t>70</w:t>
                  </w:r>
                  <w:r>
                    <w:rPr>
                      <w:rFonts w:hint="default" w:ascii="Times New Roman" w:hAnsi="Times New Roman" w:cs="Times New Roman"/>
                      <w:b w:val="0"/>
                      <w:bCs w:val="0"/>
                      <w:color w:val="auto"/>
                      <w:sz w:val="18"/>
                      <w:szCs w:val="18"/>
                      <w:highlight w:val="none"/>
                    </w:rPr>
                    <w:t>m³</w:t>
                  </w:r>
                  <w:r>
                    <w:rPr>
                      <w:rFonts w:hint="default" w:ascii="Times New Roman" w:hAnsi="Times New Roman" w:cs="Times New Roman"/>
                      <w:color w:val="auto"/>
                      <w:sz w:val="18"/>
                      <w:szCs w:val="18"/>
                      <w:highlight w:val="none"/>
                    </w:rPr>
                    <w:t>防渗</w:t>
                  </w:r>
                  <w:r>
                    <w:rPr>
                      <w:rFonts w:hint="eastAsia" w:cs="Times New Roman"/>
                      <w:color w:val="auto"/>
                      <w:sz w:val="18"/>
                      <w:szCs w:val="18"/>
                      <w:highlight w:val="none"/>
                      <w:lang w:val="en-US" w:eastAsia="zh-CN"/>
                    </w:rPr>
                    <w:t>储水罐</w:t>
                  </w:r>
                  <w:r>
                    <w:rPr>
                      <w:rFonts w:hint="default" w:ascii="Times New Roman" w:hAnsi="Times New Roman" w:cs="Times New Roman"/>
                      <w:color w:val="auto"/>
                      <w:sz w:val="18"/>
                      <w:szCs w:val="18"/>
                      <w:highlight w:val="none"/>
                    </w:rPr>
                    <w:t>内，</w:t>
                  </w:r>
                  <w:r>
                    <w:rPr>
                      <w:rFonts w:hint="eastAsia" w:cs="Times New Roman"/>
                      <w:color w:val="auto"/>
                      <w:sz w:val="18"/>
                      <w:szCs w:val="18"/>
                      <w:highlight w:val="none"/>
                      <w:lang w:val="en-US" w:eastAsia="zh-CN"/>
                    </w:rPr>
                    <w:t>定期拉</w:t>
                  </w:r>
                  <w:r>
                    <w:rPr>
                      <w:rFonts w:hint="default" w:ascii="Times New Roman" w:hAnsi="Times New Roman" w:cs="Times New Roman"/>
                      <w:color w:val="auto"/>
                      <w:sz w:val="18"/>
                      <w:szCs w:val="18"/>
                      <w:highlight w:val="none"/>
                    </w:rPr>
                    <w:t>运至</w:t>
                  </w:r>
                  <w:r>
                    <w:rPr>
                      <w:rFonts w:hint="eastAsia" w:ascii="Times New Roman" w:hAnsi="Times New Roman" w:cs="Times New Roman"/>
                      <w:color w:val="auto"/>
                      <w:kern w:val="0"/>
                      <w:sz w:val="18"/>
                      <w:szCs w:val="18"/>
                      <w:highlight w:val="none"/>
                      <w:lang w:val="en-US" w:eastAsia="zh-CN" w:bidi="ar"/>
                    </w:rPr>
                    <w:t>恒山区污水处理厂</w:t>
                  </w:r>
                  <w:r>
                    <w:rPr>
                      <w:rFonts w:hint="eastAsia" w:ascii="宋体" w:hAnsi="宋体" w:eastAsia="宋体" w:cs="宋体"/>
                      <w:color w:val="auto"/>
                      <w:sz w:val="18"/>
                      <w:szCs w:val="18"/>
                      <w:highlight w:val="none"/>
                      <w:lang w:eastAsia="zh-CN"/>
                    </w:rPr>
                    <w:t>，</w:t>
                  </w:r>
                  <w:r>
                    <w:rPr>
                      <w:rFonts w:hint="default" w:ascii="Times New Roman" w:hAnsi="Times New Roman" w:cs="Times New Roman"/>
                      <w:color w:val="auto"/>
                      <w:sz w:val="18"/>
                      <w:szCs w:val="18"/>
                      <w:highlight w:val="none"/>
                    </w:rPr>
                    <w:t>经</w:t>
                  </w:r>
                  <w:r>
                    <w:rPr>
                      <w:rFonts w:hint="eastAsia" w:ascii="Times New Roman" w:hAnsi="Times New Roman" w:cs="Times New Roman"/>
                      <w:color w:val="auto"/>
                      <w:kern w:val="0"/>
                      <w:sz w:val="18"/>
                      <w:szCs w:val="18"/>
                      <w:highlight w:val="none"/>
                      <w:lang w:val="en-US" w:eastAsia="zh-CN" w:bidi="ar"/>
                    </w:rPr>
                    <w:t>恒山区污水处理厂</w:t>
                  </w:r>
                  <w:r>
                    <w:rPr>
                      <w:rFonts w:hint="default" w:ascii="Times New Roman" w:hAnsi="Times New Roman" w:cs="Times New Roman"/>
                      <w:color w:val="auto"/>
                      <w:sz w:val="18"/>
                      <w:szCs w:val="18"/>
                      <w:highlight w:val="none"/>
                    </w:rPr>
                    <w:t>处理达标后</w:t>
                  </w:r>
                  <w:r>
                    <w:rPr>
                      <w:rFonts w:hint="default" w:ascii="Times New Roman" w:hAnsi="Times New Roman" w:eastAsia="宋体" w:cs="Times New Roman"/>
                      <w:color w:val="auto"/>
                      <w:sz w:val="18"/>
                      <w:szCs w:val="18"/>
                      <w:highlight w:val="none"/>
                    </w:rPr>
                    <w:t>排入小黄泥河，最终汇入穆棱河</w:t>
                  </w:r>
                  <w:r>
                    <w:rPr>
                      <w:rFonts w:hint="eastAsia"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本项目</w:t>
                  </w:r>
                  <w:r>
                    <w:rPr>
                      <w:rFonts w:hint="default" w:ascii="Times New Roman" w:hAnsi="Times New Roman" w:eastAsia="宋体" w:cs="Times New Roman"/>
                      <w:bCs/>
                      <w:color w:val="auto"/>
                      <w:sz w:val="18"/>
                      <w:szCs w:val="18"/>
                      <w:highlight w:val="none"/>
                    </w:rPr>
                    <w:t>锅炉排污水</w:t>
                  </w:r>
                  <w:r>
                    <w:rPr>
                      <w:rFonts w:hint="eastAsia" w:cs="Times New Roman"/>
                      <w:bCs/>
                      <w:color w:val="auto"/>
                      <w:sz w:val="18"/>
                      <w:szCs w:val="18"/>
                      <w:highlight w:val="none"/>
                      <w:lang w:val="en-US" w:eastAsia="zh-CN"/>
                    </w:rPr>
                    <w:t>及软化处理废水总</w:t>
                  </w:r>
                  <w:r>
                    <w:rPr>
                      <w:rFonts w:hint="default" w:ascii="Times New Roman" w:hAnsi="Times New Roman" w:eastAsia="宋体" w:cs="Times New Roman"/>
                      <w:bCs/>
                      <w:color w:val="auto"/>
                      <w:sz w:val="18"/>
                      <w:szCs w:val="18"/>
                      <w:highlight w:val="none"/>
                    </w:rPr>
                    <w:t>量为</w:t>
                  </w:r>
                  <w:r>
                    <w:rPr>
                      <w:rFonts w:hint="eastAsia" w:cs="Times New Roman"/>
                      <w:bCs/>
                      <w:color w:val="auto"/>
                      <w:sz w:val="18"/>
                      <w:szCs w:val="18"/>
                      <w:highlight w:val="none"/>
                      <w:lang w:val="en-US" w:eastAsia="zh-CN"/>
                    </w:rPr>
                    <w:t>42.61</w:t>
                  </w:r>
                  <w:r>
                    <w:rPr>
                      <w:rFonts w:hint="default" w:ascii="Times New Roman" w:hAnsi="Times New Roman" w:eastAsia="宋体" w:cs="Times New Roman"/>
                      <w:bCs/>
                      <w:color w:val="auto"/>
                      <w:sz w:val="18"/>
                      <w:szCs w:val="18"/>
                      <w:highlight w:val="none"/>
                    </w:rPr>
                    <w:t>t/d，</w:t>
                  </w:r>
                  <w:r>
                    <w:rPr>
                      <w:rFonts w:hint="eastAsia" w:cs="Times New Roman"/>
                      <w:bCs/>
                      <w:color w:val="auto"/>
                      <w:sz w:val="18"/>
                      <w:szCs w:val="18"/>
                      <w:highlight w:val="none"/>
                      <w:lang w:val="en-US" w:eastAsia="zh-CN"/>
                    </w:rPr>
                    <w:t>8948.83</w:t>
                  </w:r>
                  <w:r>
                    <w:rPr>
                      <w:rFonts w:hint="default" w:ascii="Times New Roman" w:hAnsi="Times New Roman" w:eastAsia="宋体" w:cs="Times New Roman"/>
                      <w:bCs/>
                      <w:color w:val="auto"/>
                      <w:sz w:val="18"/>
                      <w:szCs w:val="18"/>
                      <w:highlight w:val="none"/>
                    </w:rPr>
                    <w:t>t/a</w:t>
                  </w:r>
                  <w:r>
                    <w:rPr>
                      <w:rFonts w:hint="eastAsia" w:ascii="Times New Roman" w:hAnsi="Times New Roman" w:eastAsia="宋体" w:cs="Times New Roman"/>
                      <w:bCs/>
                      <w:color w:val="auto"/>
                      <w:sz w:val="18"/>
                      <w:szCs w:val="18"/>
                      <w:highlight w:val="none"/>
                      <w:lang w:eastAsia="zh-CN"/>
                    </w:rPr>
                    <w:t>。</w:t>
                  </w:r>
                </w:p>
              </w:tc>
              <w:tc>
                <w:tcPr>
                  <w:tcW w:w="615" w:type="pct"/>
                  <w:tcBorders>
                    <w:tl2br w:val="nil"/>
                    <w:tr2bl w:val="nil"/>
                  </w:tcBorders>
                  <w:vAlign w:val="center"/>
                </w:tcPr>
                <w:p w14:paraId="09DB6ABA">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lang w:val="en-US" w:eastAsia="zh-CN"/>
                    </w:rPr>
                    <w:t>依托</w:t>
                  </w:r>
                </w:p>
              </w:tc>
            </w:tr>
            <w:tr w14:paraId="7D0202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67EFBBCB">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947" w:type="pct"/>
                  <w:tcBorders>
                    <w:tl2br w:val="nil"/>
                    <w:tr2bl w:val="nil"/>
                  </w:tcBorders>
                  <w:vAlign w:val="center"/>
                </w:tcPr>
                <w:p w14:paraId="4746FCD0">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供热/暖</w:t>
                  </w:r>
                </w:p>
              </w:tc>
              <w:tc>
                <w:tcPr>
                  <w:tcW w:w="3045" w:type="pct"/>
                  <w:tcBorders>
                    <w:tl2br w:val="nil"/>
                    <w:tr2bl w:val="nil"/>
                  </w:tcBorders>
                  <w:vAlign w:val="center"/>
                </w:tcPr>
                <w:p w14:paraId="0919C83F">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eastAsia="宋体" w:cs="宋体"/>
                      <w:color w:val="auto"/>
                      <w:sz w:val="18"/>
                      <w:szCs w:val="18"/>
                      <w:highlight w:val="none"/>
                    </w:rPr>
                    <w:t>本项目供热热源由项目本身提供</w:t>
                  </w:r>
                  <w:r>
                    <w:rPr>
                      <w:rFonts w:hint="default" w:ascii="Times New Roman" w:hAnsi="Times New Roman" w:cs="Times New Roman"/>
                      <w:bCs/>
                      <w:color w:val="auto"/>
                      <w:sz w:val="18"/>
                      <w:szCs w:val="18"/>
                      <w:highlight w:val="none"/>
                    </w:rPr>
                    <w:t>。</w:t>
                  </w:r>
                </w:p>
              </w:tc>
              <w:tc>
                <w:tcPr>
                  <w:tcW w:w="615" w:type="pct"/>
                  <w:tcBorders>
                    <w:tl2br w:val="nil"/>
                    <w:tr2bl w:val="nil"/>
                  </w:tcBorders>
                  <w:vAlign w:val="center"/>
                </w:tcPr>
                <w:p w14:paraId="74A07305">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163D3B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25F163B6">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947" w:type="pct"/>
                  <w:tcBorders>
                    <w:tl2br w:val="nil"/>
                    <w:tr2bl w:val="nil"/>
                  </w:tcBorders>
                  <w:vAlign w:val="center"/>
                </w:tcPr>
                <w:p w14:paraId="6F92B0A1">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供电</w:t>
                  </w:r>
                </w:p>
              </w:tc>
              <w:tc>
                <w:tcPr>
                  <w:tcW w:w="3045" w:type="pct"/>
                  <w:tcBorders>
                    <w:tl2br w:val="nil"/>
                    <w:tr2bl w:val="nil"/>
                  </w:tcBorders>
                  <w:vAlign w:val="center"/>
                </w:tcPr>
                <w:p w14:paraId="5D9CF225">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当地电业局供给</w:t>
                  </w:r>
                </w:p>
              </w:tc>
              <w:tc>
                <w:tcPr>
                  <w:tcW w:w="615" w:type="pct"/>
                  <w:tcBorders>
                    <w:tl2br w:val="nil"/>
                    <w:tr2bl w:val="nil"/>
                  </w:tcBorders>
                  <w:vAlign w:val="center"/>
                </w:tcPr>
                <w:p w14:paraId="7CCECA4E">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依托</w:t>
                  </w:r>
                </w:p>
              </w:tc>
            </w:tr>
            <w:tr w14:paraId="108CE4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vMerge w:val="restart"/>
                  <w:tcBorders>
                    <w:tl2br w:val="nil"/>
                    <w:tr2bl w:val="nil"/>
                  </w:tcBorders>
                  <w:vAlign w:val="center"/>
                </w:tcPr>
                <w:p w14:paraId="5CE13961">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环保工程</w:t>
                  </w:r>
                </w:p>
              </w:tc>
              <w:tc>
                <w:tcPr>
                  <w:tcW w:w="947" w:type="pct"/>
                  <w:tcBorders>
                    <w:tl2br w:val="nil"/>
                    <w:tr2bl w:val="nil"/>
                  </w:tcBorders>
                  <w:vAlign w:val="center"/>
                </w:tcPr>
                <w:p w14:paraId="38984F3B">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废气</w:t>
                  </w:r>
                </w:p>
              </w:tc>
              <w:tc>
                <w:tcPr>
                  <w:tcW w:w="3045" w:type="pct"/>
                  <w:tcBorders>
                    <w:tl2br w:val="nil"/>
                    <w:tr2bl w:val="nil"/>
                  </w:tcBorders>
                  <w:vAlign w:val="center"/>
                </w:tcPr>
                <w:p w14:paraId="5474AC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default" w:ascii="Times New Roman" w:hAnsi="Times New Roman" w:eastAsia="宋体" w:cs="Times New Roman"/>
                      <w:color w:val="auto"/>
                      <w:sz w:val="18"/>
                      <w:szCs w:val="18"/>
                      <w:highlight w:val="none"/>
                    </w:rPr>
                    <w:t>本项目</w:t>
                  </w:r>
                  <w:r>
                    <w:rPr>
                      <w:rFonts w:hint="default" w:ascii="Times New Roman" w:hAnsi="Times New Roman" w:eastAsia="宋体" w:cs="Times New Roman"/>
                      <w:color w:val="auto"/>
                      <w:kern w:val="21"/>
                      <w:sz w:val="18"/>
                      <w:szCs w:val="18"/>
                      <w:highlight w:val="none"/>
                      <w:vertAlign w:val="baseline"/>
                      <w:lang w:val="en-US" w:eastAsia="zh-CN"/>
                    </w:rPr>
                    <w:t>淘汰现有</w:t>
                  </w:r>
                  <w:r>
                    <w:rPr>
                      <w:rFonts w:hint="default" w:ascii="Times New Roman" w:hAnsi="Times New Roman" w:eastAsia="宋体" w:cs="Times New Roman"/>
                      <w:color w:val="auto"/>
                      <w:sz w:val="18"/>
                      <w:szCs w:val="18"/>
                      <w:highlight w:val="none"/>
                      <w:lang w:val="en-US" w:eastAsia="zh-CN"/>
                    </w:rPr>
                    <w:t>4</w:t>
                  </w:r>
                  <w:r>
                    <w:rPr>
                      <w:rFonts w:hint="default" w:ascii="Times New Roman" w:hAnsi="Times New Roman" w:eastAsia="宋体" w:cs="Times New Roman"/>
                      <w:color w:val="auto"/>
                      <w:kern w:val="21"/>
                      <w:sz w:val="18"/>
                      <w:szCs w:val="18"/>
                      <w:highlight w:val="none"/>
                      <w:lang w:val="en-US" w:eastAsia="zh-CN"/>
                    </w:rPr>
                    <w:t>台10t/h燃煤锅炉</w:t>
                  </w:r>
                  <w:r>
                    <w:rPr>
                      <w:rFonts w:hint="default" w:ascii="Times New Roman" w:hAnsi="Times New Roman" w:eastAsia="宋体" w:cs="Times New Roman"/>
                      <w:color w:val="auto"/>
                      <w:kern w:val="21"/>
                      <w:sz w:val="18"/>
                      <w:szCs w:val="18"/>
                      <w:highlight w:val="none"/>
                      <w:vertAlign w:val="baseline"/>
                      <w:lang w:val="en-US" w:eastAsia="zh-CN"/>
                    </w:rPr>
                    <w:t>，新建</w:t>
                  </w:r>
                  <w:r>
                    <w:rPr>
                      <w:rFonts w:hint="eastAsia" w:ascii="Times New Roman" w:hAnsi="Times New Roman" w:eastAsia="宋体" w:cs="Times New Roman"/>
                      <w:color w:val="auto"/>
                      <w:sz w:val="18"/>
                      <w:szCs w:val="18"/>
                      <w:highlight w:val="none"/>
                      <w:lang w:val="en-US" w:eastAsia="zh-CN"/>
                    </w:rPr>
                    <w:t>3台10t/h生物质蒸汽锅炉</w:t>
                  </w:r>
                  <w:r>
                    <w:rPr>
                      <w:rFonts w:hint="default" w:ascii="Times New Roman" w:hAnsi="Times New Roman" w:eastAsia="宋体" w:cs="Times New Roman"/>
                      <w:color w:val="auto"/>
                      <w:sz w:val="18"/>
                      <w:szCs w:val="18"/>
                      <w:highlight w:val="none"/>
                      <w:lang w:val="en-US" w:eastAsia="zh-CN"/>
                    </w:rPr>
                    <w:t>，锅炉</w:t>
                  </w:r>
                  <w:r>
                    <w:rPr>
                      <w:rFonts w:hint="default" w:ascii="Times New Roman" w:hAnsi="Times New Roman" w:eastAsia="宋体" w:cs="Times New Roman"/>
                      <w:color w:val="auto"/>
                      <w:sz w:val="18"/>
                      <w:szCs w:val="18"/>
                      <w:highlight w:val="none"/>
                    </w:rPr>
                    <w:t>烟气</w:t>
                  </w:r>
                  <w:r>
                    <w:rPr>
                      <w:rFonts w:hint="default" w:ascii="Times New Roman" w:hAnsi="Times New Roman" w:eastAsia="宋体" w:cs="Times New Roman"/>
                      <w:color w:val="auto"/>
                      <w:sz w:val="18"/>
                      <w:szCs w:val="18"/>
                      <w:highlight w:val="none"/>
                      <w:lang w:val="en-US" w:eastAsia="zh-CN"/>
                    </w:rPr>
                    <w:t>分别</w:t>
                  </w:r>
                  <w:r>
                    <w:rPr>
                      <w:rFonts w:hint="default" w:ascii="Times New Roman" w:hAnsi="Times New Roman" w:eastAsia="宋体" w:cs="Times New Roman"/>
                      <w:color w:val="auto"/>
                      <w:sz w:val="18"/>
                      <w:szCs w:val="18"/>
                      <w:highlight w:val="none"/>
                    </w:rPr>
                    <w:t>经</w:t>
                  </w:r>
                  <w:r>
                    <w:rPr>
                      <w:rFonts w:hint="default" w:ascii="Times New Roman" w:hAnsi="Times New Roman" w:eastAsia="宋体" w:cs="Times New Roman"/>
                      <w:color w:val="auto"/>
                      <w:sz w:val="18"/>
                      <w:szCs w:val="18"/>
                      <w:highlight w:val="none"/>
                      <w:lang w:val="en-US" w:eastAsia="zh-CN"/>
                    </w:rPr>
                    <w:t>各自配备的多管陶瓷+</w:t>
                  </w: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处理效率99.7%</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处理后，通过</w:t>
                  </w:r>
                  <w:r>
                    <w:rPr>
                      <w:rFonts w:hint="eastAsia" w:cs="Times New Roman"/>
                      <w:color w:val="auto"/>
                      <w:sz w:val="18"/>
                      <w:szCs w:val="18"/>
                      <w:highlight w:val="none"/>
                      <w:lang w:val="en-US" w:eastAsia="zh-CN"/>
                    </w:rPr>
                    <w:t>1根</w:t>
                  </w:r>
                  <w:r>
                    <w:rPr>
                      <w:rFonts w:hint="default" w:ascii="Times New Roman" w:hAnsi="Times New Roman" w:eastAsia="宋体" w:cs="Times New Roman"/>
                      <w:color w:val="auto"/>
                      <w:sz w:val="18"/>
                      <w:szCs w:val="18"/>
                      <w:highlight w:val="none"/>
                      <w:lang w:val="en-US" w:eastAsia="zh-CN"/>
                    </w:rPr>
                    <w:t>60m</w:t>
                  </w:r>
                  <w:r>
                    <w:rPr>
                      <w:rFonts w:hint="default" w:ascii="Times New Roman" w:hAnsi="Times New Roman" w:eastAsia="宋体" w:cs="Times New Roman"/>
                      <w:color w:val="auto"/>
                      <w:sz w:val="18"/>
                      <w:szCs w:val="18"/>
                      <w:highlight w:val="none"/>
                    </w:rPr>
                    <w:t>烟囱</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DA001，利旧</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排放</w:t>
                  </w:r>
                  <w:r>
                    <w:rPr>
                      <w:rFonts w:hint="eastAsia" w:cs="Times New Roman"/>
                      <w:color w:val="auto"/>
                      <w:sz w:val="18"/>
                      <w:szCs w:val="18"/>
                      <w:highlight w:val="none"/>
                      <w:lang w:eastAsia="zh-CN"/>
                    </w:rPr>
                    <w:t>，</w:t>
                  </w:r>
                  <w:r>
                    <w:rPr>
                      <w:rFonts w:hint="default" w:ascii="Times New Roman" w:hAnsi="Times New Roman" w:cs="Times New Roman"/>
                      <w:bCs/>
                      <w:color w:val="auto"/>
                      <w:sz w:val="18"/>
                      <w:szCs w:val="18"/>
                      <w:highlight w:val="none"/>
                    </w:rPr>
                    <w:t>锅炉烟气中颗粒物、SO</w:t>
                  </w:r>
                  <w:r>
                    <w:rPr>
                      <w:rFonts w:hint="default" w:ascii="Times New Roman" w:hAnsi="Times New Roman" w:cs="Times New Roman"/>
                      <w:bCs/>
                      <w:color w:val="auto"/>
                      <w:sz w:val="18"/>
                      <w:szCs w:val="18"/>
                      <w:highlight w:val="none"/>
                      <w:vertAlign w:val="subscript"/>
                    </w:rPr>
                    <w:t>2</w:t>
                  </w:r>
                  <w:r>
                    <w:rPr>
                      <w:rFonts w:hint="default" w:ascii="Times New Roman" w:hAnsi="Times New Roman" w:cs="Times New Roman"/>
                      <w:bCs/>
                      <w:color w:val="auto"/>
                      <w:sz w:val="18"/>
                      <w:szCs w:val="18"/>
                      <w:highlight w:val="none"/>
                    </w:rPr>
                    <w:t>、NO</w:t>
                  </w:r>
                  <w:r>
                    <w:rPr>
                      <w:rFonts w:hint="default" w:ascii="Times New Roman" w:hAnsi="Times New Roman" w:cs="Times New Roman"/>
                      <w:bCs/>
                      <w:color w:val="auto"/>
                      <w:sz w:val="18"/>
                      <w:szCs w:val="18"/>
                      <w:highlight w:val="none"/>
                      <w:vertAlign w:val="subscript"/>
                    </w:rPr>
                    <w:t>X</w:t>
                  </w:r>
                  <w:r>
                    <w:rPr>
                      <w:rFonts w:hint="default" w:ascii="Times New Roman" w:hAnsi="Times New Roman" w:cs="Times New Roman"/>
                      <w:bCs/>
                      <w:color w:val="auto"/>
                      <w:sz w:val="18"/>
                      <w:szCs w:val="18"/>
                      <w:highlight w:val="none"/>
                    </w:rPr>
                    <w:t>及烟气黑度排放浓度均满足《锅炉大气污染物排放标准》（GB13271-2014）表2</w:t>
                  </w:r>
                  <w:r>
                    <w:rPr>
                      <w:rFonts w:hint="default" w:ascii="Times New Roman" w:hAnsi="Times New Roman" w:cs="Times New Roman"/>
                      <w:color w:val="auto"/>
                      <w:kern w:val="0"/>
                      <w:sz w:val="18"/>
                      <w:szCs w:val="18"/>
                      <w:highlight w:val="none"/>
                    </w:rPr>
                    <w:t>燃煤锅炉限值</w:t>
                  </w:r>
                  <w:r>
                    <w:rPr>
                      <w:rFonts w:hint="default" w:ascii="Times New Roman" w:hAnsi="Times New Roman" w:eastAsia="宋体" w:cs="Times New Roman"/>
                      <w:bCs/>
                      <w:color w:val="auto"/>
                      <w:sz w:val="18"/>
                      <w:szCs w:val="18"/>
                      <w:highlight w:val="none"/>
                    </w:rPr>
                    <w:t>要求</w:t>
                  </w:r>
                  <w:r>
                    <w:rPr>
                      <w:rFonts w:hint="eastAsia" w:ascii="Times New Roman" w:hAnsi="Times New Roman"/>
                      <w:color w:val="auto"/>
                      <w:sz w:val="18"/>
                      <w:szCs w:val="18"/>
                      <w:highlight w:val="none"/>
                      <w:lang w:eastAsia="zh-CN"/>
                    </w:rPr>
                    <w:t>；</w:t>
                  </w:r>
                  <w:r>
                    <w:rPr>
                      <w:rFonts w:hint="eastAsia" w:ascii="Times New Roman" w:hAnsi="Times New Roman" w:cs="Times New Roman"/>
                      <w:bCs/>
                      <w:color w:val="auto"/>
                      <w:sz w:val="18"/>
                      <w:szCs w:val="18"/>
                      <w:highlight w:val="none"/>
                      <w:lang w:val="en-US" w:eastAsia="zh-CN"/>
                    </w:rPr>
                    <w:t>锅炉除渣过程在</w:t>
                  </w:r>
                  <w:r>
                    <w:rPr>
                      <w:rFonts w:hint="eastAsia" w:cs="Times New Roman"/>
                      <w:bCs/>
                      <w:color w:val="auto"/>
                      <w:sz w:val="18"/>
                      <w:szCs w:val="18"/>
                      <w:highlight w:val="none"/>
                      <w:lang w:val="en-US" w:eastAsia="zh-CN"/>
                    </w:rPr>
                    <w:t>密闭</w:t>
                  </w:r>
                  <w:r>
                    <w:rPr>
                      <w:rFonts w:hint="eastAsia" w:ascii="Times New Roman" w:hAnsi="Times New Roman" w:cs="Times New Roman"/>
                      <w:bCs/>
                      <w:color w:val="auto"/>
                      <w:sz w:val="18"/>
                      <w:szCs w:val="18"/>
                      <w:highlight w:val="none"/>
                      <w:lang w:val="en-US" w:eastAsia="zh-CN"/>
                    </w:rPr>
                    <w:t>锅炉房内完成，并配合洒水降尘，生物质燃料存储于</w:t>
                  </w:r>
                  <w:r>
                    <w:rPr>
                      <w:rFonts w:hint="eastAsia" w:cs="Times New Roman"/>
                      <w:bCs/>
                      <w:color w:val="auto"/>
                      <w:sz w:val="18"/>
                      <w:szCs w:val="18"/>
                      <w:highlight w:val="none"/>
                      <w:lang w:val="en-US" w:eastAsia="zh-CN"/>
                    </w:rPr>
                    <w:t>封闭燃料库</w:t>
                  </w:r>
                  <w:r>
                    <w:rPr>
                      <w:rFonts w:hint="eastAsia" w:ascii="Times New Roman" w:hAnsi="Times New Roman" w:cs="Times New Roman"/>
                      <w:bCs/>
                      <w:color w:val="auto"/>
                      <w:sz w:val="18"/>
                      <w:szCs w:val="18"/>
                      <w:highlight w:val="none"/>
                      <w:lang w:val="en-US" w:eastAsia="zh-CN"/>
                    </w:rPr>
                    <w:t>内，并燃料苫盖，灰渣（炉渣及</w:t>
                  </w:r>
                  <w:r>
                    <w:rPr>
                      <w:rFonts w:hint="eastAsia" w:cs="Times New Roman"/>
                      <w:bCs/>
                      <w:color w:val="auto"/>
                      <w:sz w:val="18"/>
                      <w:szCs w:val="18"/>
                      <w:highlight w:val="none"/>
                      <w:lang w:val="en-US" w:eastAsia="zh-CN"/>
                    </w:rPr>
                    <w:t>多管陶瓷+布袋除尘器收尘</w:t>
                  </w:r>
                  <w:r>
                    <w:rPr>
                      <w:rFonts w:hint="eastAsia" w:ascii="Times New Roman" w:hAnsi="Times New Roman" w:cs="Times New Roman"/>
                      <w:bCs/>
                      <w:color w:val="auto"/>
                      <w:sz w:val="18"/>
                      <w:szCs w:val="18"/>
                      <w:highlight w:val="none"/>
                      <w:lang w:val="en-US" w:eastAsia="zh-CN"/>
                    </w:rPr>
                    <w:t>）存储于密闭灰渣库，配合洒水降尘措施</w:t>
                  </w:r>
                  <w:r>
                    <w:rPr>
                      <w:rFonts w:hint="eastAsia" w:cs="Times New Roman"/>
                      <w:bCs/>
                      <w:color w:val="auto"/>
                      <w:sz w:val="18"/>
                      <w:szCs w:val="18"/>
                      <w:highlight w:val="none"/>
                      <w:lang w:val="en-US" w:eastAsia="zh-CN"/>
                    </w:rPr>
                    <w:t>，</w:t>
                  </w:r>
                  <w:r>
                    <w:rPr>
                      <w:rFonts w:hint="eastAsia" w:ascii="Times New Roman" w:hAnsi="Times New Roman" w:cs="Times New Roman"/>
                      <w:bCs/>
                      <w:color w:val="auto"/>
                      <w:sz w:val="18"/>
                      <w:szCs w:val="18"/>
                      <w:highlight w:val="none"/>
                      <w:lang w:val="en-US" w:eastAsia="zh-CN"/>
                    </w:rPr>
                    <w:t>不会形成动力起尘的粉尘影响，厂界颗粒物满足《大气污染物综合排放标准》（GB16297-1996）表2中无组织排放限值</w:t>
                  </w:r>
                  <w:r>
                    <w:rPr>
                      <w:rFonts w:hint="default" w:ascii="Times New Roman" w:hAnsi="Times New Roman" w:cs="Times New Roman"/>
                      <w:color w:val="auto"/>
                      <w:sz w:val="18"/>
                      <w:szCs w:val="18"/>
                      <w:highlight w:val="none"/>
                    </w:rPr>
                    <w:t>。</w:t>
                  </w:r>
                </w:p>
              </w:tc>
              <w:tc>
                <w:tcPr>
                  <w:tcW w:w="615" w:type="pct"/>
                  <w:tcBorders>
                    <w:tl2br w:val="nil"/>
                    <w:tr2bl w:val="nil"/>
                  </w:tcBorders>
                  <w:vAlign w:val="center"/>
                </w:tcPr>
                <w:p w14:paraId="63B8E5C5">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新建</w:t>
                  </w:r>
                </w:p>
              </w:tc>
            </w:tr>
            <w:tr w14:paraId="6B7A45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14C6705D">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947" w:type="pct"/>
                  <w:tcBorders>
                    <w:tl2br w:val="nil"/>
                    <w:tr2bl w:val="nil"/>
                  </w:tcBorders>
                  <w:vAlign w:val="center"/>
                </w:tcPr>
                <w:p w14:paraId="1D21FD80">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废水</w:t>
                  </w:r>
                </w:p>
              </w:tc>
              <w:tc>
                <w:tcPr>
                  <w:tcW w:w="3045" w:type="pct"/>
                  <w:tcBorders>
                    <w:tl2br w:val="nil"/>
                    <w:tr2bl w:val="nil"/>
                  </w:tcBorders>
                  <w:vAlign w:val="center"/>
                </w:tcPr>
                <w:p w14:paraId="050AB4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default" w:ascii="Times New Roman" w:hAnsi="Times New Roman" w:eastAsia="宋体" w:cs="Times New Roman"/>
                      <w:color w:val="auto"/>
                      <w:spacing w:val="0"/>
                      <w:sz w:val="18"/>
                      <w:szCs w:val="18"/>
                      <w:highlight w:val="none"/>
                    </w:rPr>
                    <w:t>本项目</w:t>
                  </w:r>
                  <w:r>
                    <w:rPr>
                      <w:rFonts w:hint="eastAsia" w:cs="Times New Roman"/>
                      <w:color w:val="auto"/>
                      <w:kern w:val="0"/>
                      <w:sz w:val="18"/>
                      <w:szCs w:val="18"/>
                      <w:highlight w:val="none"/>
                      <w:lang w:val="en-US" w:eastAsia="zh-CN"/>
                    </w:rPr>
                    <w:t>无新增员工，故无新增生活污水</w:t>
                  </w:r>
                  <w:r>
                    <w:rPr>
                      <w:rFonts w:hint="default" w:ascii="Times New Roman" w:hAnsi="Times New Roman" w:eastAsia="宋体" w:cs="Times New Roman"/>
                      <w:color w:val="auto"/>
                      <w:spacing w:val="0"/>
                      <w:sz w:val="18"/>
                      <w:szCs w:val="18"/>
                      <w:highlight w:val="none"/>
                    </w:rPr>
                    <w:t>。</w:t>
                  </w:r>
                  <w:r>
                    <w:rPr>
                      <w:rFonts w:hint="eastAsia" w:cs="Times New Roman"/>
                      <w:color w:val="auto"/>
                      <w:kern w:val="0"/>
                      <w:sz w:val="18"/>
                      <w:szCs w:val="18"/>
                      <w:highlight w:val="none"/>
                      <w:lang w:val="en-US" w:eastAsia="zh-CN"/>
                    </w:rPr>
                    <w:t>本项目</w:t>
                  </w:r>
                  <w:r>
                    <w:rPr>
                      <w:rFonts w:hint="default" w:ascii="Times New Roman" w:hAnsi="Times New Roman" w:cs="Times New Roman"/>
                      <w:color w:val="auto"/>
                      <w:kern w:val="0"/>
                      <w:sz w:val="18"/>
                      <w:szCs w:val="18"/>
                      <w:highlight w:val="none"/>
                    </w:rPr>
                    <w:t>锅炉排污水</w:t>
                  </w:r>
                  <w:r>
                    <w:rPr>
                      <w:rFonts w:hint="eastAsia" w:cs="Times New Roman"/>
                      <w:color w:val="auto"/>
                      <w:kern w:val="0"/>
                      <w:sz w:val="18"/>
                      <w:szCs w:val="18"/>
                      <w:highlight w:val="none"/>
                      <w:lang w:val="en-US" w:eastAsia="zh-CN"/>
                    </w:rPr>
                    <w:t>及软化处理废水</w:t>
                  </w:r>
                  <w:r>
                    <w:rPr>
                      <w:rFonts w:hint="eastAsia" w:ascii="Times New Roman" w:hAnsi="Times New Roman" w:cs="Times New Roman"/>
                      <w:color w:val="auto"/>
                      <w:kern w:val="0"/>
                      <w:sz w:val="18"/>
                      <w:szCs w:val="18"/>
                      <w:highlight w:val="none"/>
                      <w:lang w:eastAsia="zh-CN"/>
                    </w:rPr>
                    <w:t>，</w:t>
                  </w:r>
                  <w:r>
                    <w:rPr>
                      <w:rFonts w:hint="default" w:ascii="Times New Roman" w:hAnsi="Times New Roman" w:cs="Times New Roman"/>
                      <w:color w:val="auto"/>
                      <w:sz w:val="18"/>
                      <w:szCs w:val="18"/>
                      <w:highlight w:val="none"/>
                    </w:rPr>
                    <w:t>暂存厂区</w:t>
                  </w:r>
                  <w:r>
                    <w:rPr>
                      <w:rFonts w:hint="eastAsia" w:cs="Times New Roman"/>
                      <w:color w:val="auto"/>
                      <w:sz w:val="18"/>
                      <w:szCs w:val="18"/>
                      <w:highlight w:val="none"/>
                      <w:lang w:val="en-US" w:eastAsia="zh-CN"/>
                    </w:rPr>
                    <w:t>70</w:t>
                  </w:r>
                  <w:r>
                    <w:rPr>
                      <w:rFonts w:hint="default" w:ascii="Times New Roman" w:hAnsi="Times New Roman" w:cs="Times New Roman"/>
                      <w:b w:val="0"/>
                      <w:bCs w:val="0"/>
                      <w:color w:val="auto"/>
                      <w:sz w:val="18"/>
                      <w:szCs w:val="18"/>
                      <w:highlight w:val="none"/>
                    </w:rPr>
                    <w:t>m³</w:t>
                  </w:r>
                  <w:r>
                    <w:rPr>
                      <w:rFonts w:hint="default" w:ascii="Times New Roman" w:hAnsi="Times New Roman" w:cs="Times New Roman"/>
                      <w:color w:val="auto"/>
                      <w:sz w:val="18"/>
                      <w:szCs w:val="18"/>
                      <w:highlight w:val="none"/>
                    </w:rPr>
                    <w:t>防渗</w:t>
                  </w:r>
                  <w:r>
                    <w:rPr>
                      <w:rFonts w:hint="eastAsia" w:cs="Times New Roman"/>
                      <w:color w:val="auto"/>
                      <w:sz w:val="18"/>
                      <w:szCs w:val="18"/>
                      <w:highlight w:val="none"/>
                      <w:lang w:val="en-US" w:eastAsia="zh-CN"/>
                    </w:rPr>
                    <w:t>储水罐</w:t>
                  </w:r>
                  <w:r>
                    <w:rPr>
                      <w:rFonts w:hint="default" w:ascii="Times New Roman" w:hAnsi="Times New Roman" w:cs="Times New Roman"/>
                      <w:color w:val="auto"/>
                      <w:sz w:val="18"/>
                      <w:szCs w:val="18"/>
                      <w:highlight w:val="none"/>
                    </w:rPr>
                    <w:t>内，</w:t>
                  </w:r>
                  <w:r>
                    <w:rPr>
                      <w:rFonts w:hint="eastAsia" w:cs="Times New Roman"/>
                      <w:color w:val="auto"/>
                      <w:sz w:val="18"/>
                      <w:szCs w:val="18"/>
                      <w:highlight w:val="none"/>
                      <w:lang w:val="en-US" w:eastAsia="zh-CN"/>
                    </w:rPr>
                    <w:t>定期拉</w:t>
                  </w:r>
                  <w:r>
                    <w:rPr>
                      <w:rFonts w:hint="default" w:ascii="Times New Roman" w:hAnsi="Times New Roman" w:cs="Times New Roman"/>
                      <w:color w:val="auto"/>
                      <w:sz w:val="18"/>
                      <w:szCs w:val="18"/>
                      <w:highlight w:val="none"/>
                    </w:rPr>
                    <w:t>运至</w:t>
                  </w:r>
                  <w:r>
                    <w:rPr>
                      <w:rFonts w:hint="eastAsia" w:ascii="Times New Roman" w:hAnsi="Times New Roman" w:cs="Times New Roman"/>
                      <w:color w:val="auto"/>
                      <w:kern w:val="0"/>
                      <w:sz w:val="18"/>
                      <w:szCs w:val="18"/>
                      <w:highlight w:val="none"/>
                      <w:lang w:val="en-US" w:eastAsia="zh-CN" w:bidi="ar"/>
                    </w:rPr>
                    <w:t>恒山区污水处理厂</w:t>
                  </w:r>
                  <w:r>
                    <w:rPr>
                      <w:rFonts w:hint="eastAsia" w:ascii="宋体" w:hAnsi="宋体" w:eastAsia="宋体" w:cs="宋体"/>
                      <w:color w:val="auto"/>
                      <w:sz w:val="18"/>
                      <w:szCs w:val="18"/>
                      <w:highlight w:val="none"/>
                      <w:lang w:eastAsia="zh-CN"/>
                    </w:rPr>
                    <w:t>，</w:t>
                  </w:r>
                  <w:r>
                    <w:rPr>
                      <w:rFonts w:hint="default" w:ascii="Times New Roman" w:hAnsi="Times New Roman" w:cs="Times New Roman"/>
                      <w:color w:val="auto"/>
                      <w:sz w:val="18"/>
                      <w:szCs w:val="18"/>
                      <w:highlight w:val="none"/>
                    </w:rPr>
                    <w:t>经</w:t>
                  </w:r>
                  <w:r>
                    <w:rPr>
                      <w:rFonts w:hint="eastAsia" w:ascii="Times New Roman" w:hAnsi="Times New Roman" w:cs="Times New Roman"/>
                      <w:color w:val="auto"/>
                      <w:kern w:val="0"/>
                      <w:sz w:val="18"/>
                      <w:szCs w:val="18"/>
                      <w:highlight w:val="none"/>
                      <w:lang w:val="en-US" w:eastAsia="zh-CN" w:bidi="ar"/>
                    </w:rPr>
                    <w:t>恒山区污水处理厂</w:t>
                  </w:r>
                  <w:r>
                    <w:rPr>
                      <w:rFonts w:hint="default" w:ascii="Times New Roman" w:hAnsi="Times New Roman" w:cs="Times New Roman"/>
                      <w:color w:val="auto"/>
                      <w:sz w:val="18"/>
                      <w:szCs w:val="18"/>
                      <w:highlight w:val="none"/>
                    </w:rPr>
                    <w:t>处理达标后</w:t>
                  </w:r>
                  <w:r>
                    <w:rPr>
                      <w:rFonts w:hint="default" w:ascii="Times New Roman" w:hAnsi="Times New Roman" w:eastAsia="宋体" w:cs="Times New Roman"/>
                      <w:color w:val="auto"/>
                      <w:sz w:val="18"/>
                      <w:szCs w:val="18"/>
                      <w:highlight w:val="none"/>
                    </w:rPr>
                    <w:t>排入小黄泥河，最终汇入穆棱河</w:t>
                  </w:r>
                  <w:r>
                    <w:rPr>
                      <w:rFonts w:hint="eastAsia"/>
                      <w:color w:val="auto"/>
                      <w:sz w:val="18"/>
                      <w:szCs w:val="18"/>
                      <w:highlight w:val="none"/>
                      <w:lang w:val="en-US" w:eastAsia="zh-CN"/>
                    </w:rPr>
                    <w:t>。</w:t>
                  </w:r>
                </w:p>
              </w:tc>
              <w:tc>
                <w:tcPr>
                  <w:tcW w:w="615" w:type="pct"/>
                  <w:tcBorders>
                    <w:tl2br w:val="nil"/>
                    <w:tr2bl w:val="nil"/>
                  </w:tcBorders>
                  <w:vAlign w:val="center"/>
                </w:tcPr>
                <w:p w14:paraId="541F8916">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lang w:val="en-US" w:eastAsia="zh-CN"/>
                    </w:rPr>
                    <w:t>依托</w:t>
                  </w:r>
                </w:p>
              </w:tc>
            </w:tr>
            <w:tr w14:paraId="165869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545682B9">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947" w:type="pct"/>
                  <w:tcBorders>
                    <w:tl2br w:val="nil"/>
                    <w:tr2bl w:val="nil"/>
                  </w:tcBorders>
                  <w:vAlign w:val="center"/>
                </w:tcPr>
                <w:p w14:paraId="33F02E1B">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噪声</w:t>
                  </w:r>
                </w:p>
              </w:tc>
              <w:tc>
                <w:tcPr>
                  <w:tcW w:w="3045" w:type="pct"/>
                  <w:tcBorders>
                    <w:tl2br w:val="nil"/>
                    <w:tr2bl w:val="nil"/>
                  </w:tcBorders>
                  <w:vAlign w:val="center"/>
                </w:tcPr>
                <w:p w14:paraId="0C5539AC">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本项目采用低噪声设备、基础减振</w:t>
                  </w:r>
                  <w:r>
                    <w:rPr>
                      <w:rFonts w:hint="eastAsia" w:ascii="宋体" w:hAnsi="宋体" w:cs="宋体"/>
                      <w:color w:val="auto"/>
                      <w:sz w:val="18"/>
                      <w:szCs w:val="18"/>
                      <w:highlight w:val="none"/>
                      <w:lang w:val="en-US" w:eastAsia="zh-CN"/>
                    </w:rPr>
                    <w:t>锅炉房</w:t>
                  </w:r>
                  <w:r>
                    <w:rPr>
                      <w:rFonts w:hint="eastAsia" w:ascii="宋体" w:hAnsi="宋体" w:cs="宋体"/>
                      <w:color w:val="auto"/>
                      <w:sz w:val="18"/>
                      <w:szCs w:val="18"/>
                      <w:highlight w:val="none"/>
                    </w:rPr>
                    <w:t>隔声等措施。厂界噪声满足《工业企业厂界环境噪声排放标准</w:t>
                  </w:r>
                  <w:r>
                    <w:rPr>
                      <w:rFonts w:hint="default" w:ascii="Times New Roman" w:hAnsi="Times New Roman" w:cs="Times New Roman"/>
                      <w:color w:val="auto"/>
                      <w:sz w:val="18"/>
                      <w:szCs w:val="18"/>
                      <w:highlight w:val="none"/>
                    </w:rPr>
                    <w:t>》（GB12348-2008）表1中</w:t>
                  </w: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类标</w:t>
                  </w:r>
                  <w:r>
                    <w:rPr>
                      <w:rFonts w:hint="eastAsia" w:ascii="宋体" w:hAnsi="宋体" w:cs="宋体"/>
                      <w:color w:val="auto"/>
                      <w:sz w:val="18"/>
                      <w:szCs w:val="18"/>
                      <w:highlight w:val="none"/>
                    </w:rPr>
                    <w:t>准要求。</w:t>
                  </w:r>
                </w:p>
              </w:tc>
              <w:tc>
                <w:tcPr>
                  <w:tcW w:w="615" w:type="pct"/>
                  <w:tcBorders>
                    <w:tl2br w:val="nil"/>
                    <w:tr2bl w:val="nil"/>
                  </w:tcBorders>
                  <w:vAlign w:val="center"/>
                </w:tcPr>
                <w:p w14:paraId="5B70911E">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lang w:val="en-US" w:eastAsia="zh-CN"/>
                    </w:rPr>
                    <w:t>依托</w:t>
                  </w:r>
                </w:p>
              </w:tc>
            </w:tr>
            <w:tr w14:paraId="6682B4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3986806B">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947" w:type="pct"/>
                  <w:tcBorders>
                    <w:tl2br w:val="nil"/>
                    <w:tr2bl w:val="nil"/>
                  </w:tcBorders>
                  <w:vAlign w:val="center"/>
                </w:tcPr>
                <w:p w14:paraId="73AF90E4">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固废</w:t>
                  </w:r>
                </w:p>
              </w:tc>
              <w:tc>
                <w:tcPr>
                  <w:tcW w:w="3045" w:type="pct"/>
                  <w:tcBorders>
                    <w:tl2br w:val="nil"/>
                    <w:tr2bl w:val="nil"/>
                  </w:tcBorders>
                  <w:vAlign w:val="center"/>
                </w:tcPr>
                <w:p w14:paraId="56EDB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宋体" w:hAnsi="宋体" w:eastAsia="宋体" w:cs="宋体"/>
                      <w:color w:val="FF0000"/>
                      <w:sz w:val="18"/>
                      <w:szCs w:val="18"/>
                      <w:highlight w:val="none"/>
                      <w:lang w:eastAsia="zh-CN"/>
                    </w:rPr>
                  </w:pPr>
                  <w:r>
                    <w:rPr>
                      <w:rFonts w:hint="eastAsia" w:ascii="宋体" w:hAnsi="宋体" w:cs="宋体"/>
                      <w:bCs/>
                      <w:color w:val="FF0000"/>
                      <w:sz w:val="18"/>
                      <w:szCs w:val="18"/>
                      <w:highlight w:val="none"/>
                    </w:rPr>
                    <w:t>本项目</w:t>
                  </w:r>
                  <w:r>
                    <w:rPr>
                      <w:rFonts w:hint="eastAsia" w:cs="Times New Roman"/>
                      <w:color w:val="FF0000"/>
                      <w:sz w:val="18"/>
                      <w:szCs w:val="18"/>
                      <w:highlight w:val="none"/>
                      <w:lang w:val="en-US" w:eastAsia="zh-CN"/>
                    </w:rPr>
                    <w:t>无新增生活垃圾；锅炉多管陶瓷+</w:t>
                  </w:r>
                  <w:r>
                    <w:rPr>
                      <w:rFonts w:hint="eastAsia"/>
                      <w:color w:val="FF0000"/>
                      <w:sz w:val="18"/>
                      <w:szCs w:val="18"/>
                      <w:highlight w:val="none"/>
                      <w:lang w:eastAsia="zh-CN"/>
                    </w:rPr>
                    <w:t>布袋除尘器收尘</w:t>
                  </w:r>
                  <w:r>
                    <w:rPr>
                      <w:rFonts w:hint="eastAsia"/>
                      <w:color w:val="FF0000"/>
                      <w:sz w:val="18"/>
                      <w:szCs w:val="18"/>
                      <w:highlight w:val="none"/>
                      <w:lang w:val="en-US" w:eastAsia="zh-CN"/>
                    </w:rPr>
                    <w:t>及锅炉炉渣</w:t>
                  </w:r>
                  <w:r>
                    <w:rPr>
                      <w:rFonts w:hint="eastAsia"/>
                      <w:color w:val="FF0000"/>
                      <w:sz w:val="18"/>
                      <w:szCs w:val="18"/>
                      <w:highlight w:val="none"/>
                      <w:lang w:eastAsia="zh-CN"/>
                    </w:rPr>
                    <w:t>，</w:t>
                  </w:r>
                  <w:r>
                    <w:rPr>
                      <w:rFonts w:hint="eastAsia" w:cs="Times New Roman"/>
                      <w:color w:val="FF0000"/>
                      <w:sz w:val="18"/>
                      <w:szCs w:val="18"/>
                      <w:highlight w:val="none"/>
                      <w:lang w:val="en-US" w:eastAsia="zh-CN"/>
                    </w:rPr>
                    <w:t>袋装收集存储于密闭灰渣库内，定期外售综合利用；</w:t>
                  </w:r>
                  <w:r>
                    <w:rPr>
                      <w:rFonts w:hint="eastAsia"/>
                      <w:color w:val="FF0000"/>
                      <w:sz w:val="18"/>
                      <w:szCs w:val="18"/>
                      <w:highlight w:val="none"/>
                      <w:lang w:val="en-US" w:eastAsia="zh-CN"/>
                    </w:rPr>
                    <w:t>废离子交换树脂</w:t>
                  </w:r>
                  <w:r>
                    <w:rPr>
                      <w:rFonts w:hint="eastAsia" w:cs="Times New Roman"/>
                      <w:color w:val="FF0000"/>
                      <w:sz w:val="18"/>
                      <w:szCs w:val="18"/>
                      <w:highlight w:val="none"/>
                      <w:lang w:val="en-US" w:eastAsia="zh-CN"/>
                    </w:rPr>
                    <w:t>，</w:t>
                  </w:r>
                  <w:r>
                    <w:rPr>
                      <w:rFonts w:hint="eastAsia" w:ascii="宋体" w:hAnsi="宋体" w:cs="宋体"/>
                      <w:color w:val="FF0000"/>
                      <w:sz w:val="18"/>
                      <w:szCs w:val="18"/>
                      <w:highlight w:val="none"/>
                    </w:rPr>
                    <w:t>更换后由厂家回收处置</w:t>
                  </w:r>
                  <w:r>
                    <w:rPr>
                      <w:rFonts w:hint="eastAsia" w:cs="Times New Roman"/>
                      <w:color w:val="FF0000"/>
                      <w:sz w:val="18"/>
                      <w:szCs w:val="18"/>
                      <w:highlight w:val="none"/>
                      <w:lang w:val="en-US" w:eastAsia="zh-CN"/>
                    </w:rPr>
                    <w:t>；</w:t>
                  </w:r>
                  <w:r>
                    <w:rPr>
                      <w:rFonts w:hint="eastAsia" w:ascii="Times New Roman" w:hAnsi="Times New Roman" w:eastAsia="宋体" w:cs="Times New Roman"/>
                      <w:color w:val="FF0000"/>
                      <w:sz w:val="18"/>
                      <w:szCs w:val="18"/>
                      <w:highlight w:val="none"/>
                      <w:lang w:val="en-US" w:eastAsia="zh-CN"/>
                    </w:rPr>
                    <w:t>废布袋，</w:t>
                  </w:r>
                  <w:r>
                    <w:rPr>
                      <w:rFonts w:hint="eastAsia" w:ascii="宋体" w:hAnsi="宋体" w:cs="宋体"/>
                      <w:color w:val="FF0000"/>
                      <w:sz w:val="18"/>
                      <w:szCs w:val="18"/>
                      <w:highlight w:val="none"/>
                    </w:rPr>
                    <w:t>由除尘器厂家更换后直接带走</w:t>
                  </w:r>
                  <w:r>
                    <w:rPr>
                      <w:rFonts w:hint="eastAsia" w:ascii="宋体" w:hAnsi="宋体" w:cs="宋体"/>
                      <w:color w:val="FF0000"/>
                      <w:sz w:val="18"/>
                      <w:szCs w:val="18"/>
                      <w:highlight w:val="none"/>
                      <w:lang w:eastAsia="zh-CN"/>
                    </w:rPr>
                    <w:t>；</w:t>
                  </w:r>
                  <w:r>
                    <w:rPr>
                      <w:rFonts w:hint="eastAsia" w:ascii="宋体" w:hAnsi="宋体" w:cs="宋体"/>
                      <w:color w:val="FF0000"/>
                      <w:sz w:val="18"/>
                      <w:szCs w:val="18"/>
                      <w:highlight w:val="none"/>
                      <w:lang w:val="en-US" w:eastAsia="zh-CN"/>
                    </w:rPr>
                    <w:t>废机油</w:t>
                  </w:r>
                  <w:r>
                    <w:rPr>
                      <w:rFonts w:hint="default" w:ascii="宋体" w:hAnsi="宋体" w:cs="宋体"/>
                      <w:color w:val="FF0000"/>
                      <w:sz w:val="18"/>
                      <w:szCs w:val="18"/>
                      <w:highlight w:val="none"/>
                    </w:rPr>
                    <w:t>密封桶装</w:t>
                  </w:r>
                  <w:r>
                    <w:rPr>
                      <w:rFonts w:hint="default" w:ascii="宋体" w:hAnsi="宋体" w:eastAsia="宋体" w:cs="宋体"/>
                      <w:color w:val="FF0000"/>
                      <w:sz w:val="18"/>
                      <w:szCs w:val="18"/>
                      <w:highlight w:val="none"/>
                    </w:rPr>
                    <w:t>，</w:t>
                  </w:r>
                  <w:r>
                    <w:rPr>
                      <w:rFonts w:hint="eastAsia" w:ascii="宋体" w:hAnsi="宋体" w:eastAsia="宋体" w:cs="宋体"/>
                      <w:color w:val="FF0000"/>
                      <w:sz w:val="18"/>
                      <w:szCs w:val="18"/>
                      <w:highlight w:val="none"/>
                      <w:lang w:val="en-US" w:eastAsia="zh-CN"/>
                    </w:rPr>
                    <w:t>废弃含油抹布手套集中收集，</w:t>
                  </w:r>
                  <w:r>
                    <w:rPr>
                      <w:rFonts w:hint="default" w:ascii="宋体" w:hAnsi="宋体" w:cs="宋体"/>
                      <w:color w:val="FF0000"/>
                      <w:sz w:val="18"/>
                      <w:szCs w:val="18"/>
                      <w:highlight w:val="none"/>
                    </w:rPr>
                    <w:t>暂存于</w:t>
                  </w:r>
                  <w:r>
                    <w:rPr>
                      <w:rFonts w:hint="eastAsia" w:ascii="宋体" w:hAnsi="宋体" w:cs="宋体"/>
                      <w:color w:val="FF0000"/>
                      <w:sz w:val="18"/>
                      <w:szCs w:val="18"/>
                      <w:highlight w:val="none"/>
                      <w:lang w:val="en-US" w:eastAsia="zh-CN"/>
                    </w:rPr>
                    <w:t>东山煤矿材料科</w:t>
                  </w:r>
                  <w:r>
                    <w:rPr>
                      <w:rFonts w:hint="default" w:ascii="宋体" w:hAnsi="宋体" w:cs="宋体"/>
                      <w:color w:val="FF0000"/>
                      <w:sz w:val="18"/>
                      <w:szCs w:val="18"/>
                      <w:highlight w:val="none"/>
                    </w:rPr>
                    <w:t>危险废物贮存</w:t>
                  </w:r>
                  <w:r>
                    <w:rPr>
                      <w:rFonts w:hint="eastAsia" w:ascii="宋体" w:hAnsi="宋体" w:cs="宋体"/>
                      <w:color w:val="FF0000"/>
                      <w:sz w:val="18"/>
                      <w:szCs w:val="18"/>
                      <w:highlight w:val="none"/>
                      <w:lang w:val="en-US" w:eastAsia="zh-CN"/>
                    </w:rPr>
                    <w:t>库</w:t>
                  </w:r>
                  <w:r>
                    <w:rPr>
                      <w:rFonts w:hint="default" w:ascii="宋体" w:hAnsi="宋体" w:cs="宋体"/>
                      <w:color w:val="FF0000"/>
                      <w:sz w:val="18"/>
                      <w:szCs w:val="18"/>
                      <w:highlight w:val="none"/>
                    </w:rPr>
                    <w:t>内，定期由有资质单位拉运处理</w:t>
                  </w:r>
                  <w:r>
                    <w:rPr>
                      <w:rFonts w:hint="eastAsia" w:ascii="宋体" w:hAnsi="宋体" w:cs="宋体"/>
                      <w:color w:val="FF0000"/>
                      <w:sz w:val="18"/>
                      <w:szCs w:val="18"/>
                      <w:highlight w:val="none"/>
                      <w:lang w:eastAsia="zh-CN"/>
                    </w:rPr>
                    <w:t>。</w:t>
                  </w:r>
                </w:p>
              </w:tc>
              <w:tc>
                <w:tcPr>
                  <w:tcW w:w="615" w:type="pct"/>
                  <w:tcBorders>
                    <w:tl2br w:val="nil"/>
                    <w:tr2bl w:val="nil"/>
                  </w:tcBorders>
                  <w:vAlign w:val="center"/>
                </w:tcPr>
                <w:p w14:paraId="28F93CEE">
                  <w:pPr>
                    <w:keepNext w:val="0"/>
                    <w:keepLines w:val="0"/>
                    <w:suppressLineNumbers w:val="0"/>
                    <w:spacing w:before="0" w:beforeAutospacing="0" w:after="0" w:afterAutospacing="0"/>
                    <w:ind w:left="0" w:right="0"/>
                    <w:jc w:val="center"/>
                    <w:rPr>
                      <w:rFonts w:hint="default" w:ascii="宋体" w:hAnsi="宋体" w:eastAsia="宋体" w:cs="宋体"/>
                      <w:color w:val="FF0000"/>
                      <w:sz w:val="18"/>
                      <w:szCs w:val="18"/>
                      <w:highlight w:val="none"/>
                      <w:lang w:val="en-US" w:eastAsia="zh-CN"/>
                    </w:rPr>
                  </w:pPr>
                  <w:r>
                    <w:rPr>
                      <w:rFonts w:hint="eastAsia" w:ascii="宋体" w:hAnsi="宋体" w:cs="宋体"/>
                      <w:color w:val="FF0000"/>
                      <w:sz w:val="18"/>
                      <w:szCs w:val="18"/>
                      <w:highlight w:val="none"/>
                      <w:lang w:val="en-US" w:eastAsia="zh-CN"/>
                    </w:rPr>
                    <w:t>依托</w:t>
                  </w:r>
                </w:p>
              </w:tc>
            </w:tr>
            <w:tr w14:paraId="745B12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2788AB09">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947" w:type="pct"/>
                  <w:tcBorders>
                    <w:tl2br w:val="nil"/>
                    <w:tr2bl w:val="nil"/>
                  </w:tcBorders>
                  <w:vAlign w:val="center"/>
                </w:tcPr>
                <w:p w14:paraId="2EA2D343">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环境风险</w:t>
                  </w:r>
                </w:p>
              </w:tc>
              <w:tc>
                <w:tcPr>
                  <w:tcW w:w="3045" w:type="pct"/>
                  <w:tcBorders>
                    <w:tl2br w:val="nil"/>
                    <w:tr2bl w:val="nil"/>
                  </w:tcBorders>
                  <w:vAlign w:val="center"/>
                </w:tcPr>
                <w:p w14:paraId="19C51E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宋体" w:hAnsi="宋体" w:eastAsia="宋体" w:cs="宋体"/>
                      <w:bCs/>
                      <w:color w:val="auto"/>
                      <w:sz w:val="18"/>
                      <w:szCs w:val="18"/>
                      <w:highlight w:val="none"/>
                      <w:lang w:val="en-US" w:eastAsia="zh-CN"/>
                    </w:rPr>
                  </w:pPr>
                  <w:r>
                    <w:rPr>
                      <w:rFonts w:hint="eastAsia"/>
                      <w:color w:val="auto"/>
                      <w:sz w:val="18"/>
                      <w:szCs w:val="18"/>
                      <w:highlight w:val="none"/>
                    </w:rPr>
                    <w:t>1.</w:t>
                  </w:r>
                  <w:r>
                    <w:rPr>
                      <w:rFonts w:hint="default"/>
                      <w:color w:val="auto"/>
                      <w:sz w:val="18"/>
                      <w:szCs w:val="18"/>
                      <w:highlight w:val="none"/>
                    </w:rPr>
                    <w:t>严格落实各项消防措施</w:t>
                  </w:r>
                  <w:r>
                    <w:rPr>
                      <w:rFonts w:hint="eastAsia"/>
                      <w:color w:val="auto"/>
                      <w:sz w:val="18"/>
                      <w:szCs w:val="18"/>
                      <w:highlight w:val="none"/>
                    </w:rPr>
                    <w:t>：</w:t>
                  </w:r>
                  <w:r>
                    <w:rPr>
                      <w:rFonts w:hint="default"/>
                      <w:color w:val="auto"/>
                      <w:sz w:val="18"/>
                      <w:szCs w:val="18"/>
                      <w:highlight w:val="none"/>
                    </w:rPr>
                    <w:t>按照《建筑灭火器配置设计规范》规定，配置相应的灭火器类型与数量，并在火灾危险场所设置报警装置。严禁区内有明火出现</w:t>
                  </w:r>
                  <w:r>
                    <w:rPr>
                      <w:rFonts w:hint="eastAsia"/>
                      <w:color w:val="auto"/>
                      <w:sz w:val="18"/>
                      <w:szCs w:val="18"/>
                      <w:highlight w:val="none"/>
                    </w:rPr>
                    <w:t>；</w:t>
                  </w:r>
                  <w:r>
                    <w:rPr>
                      <w:rFonts w:hint="default"/>
                      <w:color w:val="auto"/>
                      <w:sz w:val="18"/>
                      <w:szCs w:val="18"/>
                      <w:highlight w:val="none"/>
                    </w:rPr>
                    <w:t>2、运输过程的风险防范</w:t>
                  </w:r>
                  <w:r>
                    <w:rPr>
                      <w:rFonts w:hint="eastAsia"/>
                      <w:color w:val="auto"/>
                      <w:sz w:val="18"/>
                      <w:szCs w:val="18"/>
                      <w:highlight w:val="none"/>
                    </w:rPr>
                    <w:t>：</w:t>
                  </w:r>
                  <w:r>
                    <w:rPr>
                      <w:rFonts w:hint="default"/>
                      <w:color w:val="auto"/>
                      <w:sz w:val="18"/>
                      <w:szCs w:val="18"/>
                      <w:highlight w:val="none"/>
                    </w:rPr>
                    <w:t>运输过程风险防范包括交通事故预防运输过程设备故障性泄漏防范以及事故发生后的应急处理等</w:t>
                  </w:r>
                  <w:r>
                    <w:rPr>
                      <w:rFonts w:hint="eastAsia"/>
                      <w:color w:val="auto"/>
                      <w:sz w:val="18"/>
                      <w:szCs w:val="18"/>
                      <w:highlight w:val="none"/>
                      <w:lang w:eastAsia="zh-CN"/>
                    </w:rPr>
                    <w:t>。</w:t>
                  </w:r>
                </w:p>
              </w:tc>
              <w:tc>
                <w:tcPr>
                  <w:tcW w:w="615" w:type="pct"/>
                  <w:tcBorders>
                    <w:tl2br w:val="nil"/>
                    <w:tr2bl w:val="nil"/>
                  </w:tcBorders>
                  <w:vAlign w:val="center"/>
                </w:tcPr>
                <w:p w14:paraId="011F1226">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630A3F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restart"/>
                  <w:tcBorders>
                    <w:tl2br w:val="nil"/>
                    <w:tr2bl w:val="nil"/>
                  </w:tcBorders>
                  <w:vAlign w:val="center"/>
                </w:tcPr>
                <w:p w14:paraId="78206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依托工程</w:t>
                  </w:r>
                </w:p>
              </w:tc>
              <w:tc>
                <w:tcPr>
                  <w:tcW w:w="947" w:type="pct"/>
                  <w:tcBorders>
                    <w:tl2br w:val="nil"/>
                    <w:tr2bl w:val="nil"/>
                  </w:tcBorders>
                  <w:vAlign w:val="center"/>
                </w:tcPr>
                <w:p w14:paraId="2A1D1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恒山区污水处理厂</w:t>
                  </w:r>
                </w:p>
              </w:tc>
              <w:tc>
                <w:tcPr>
                  <w:tcW w:w="3045" w:type="pct"/>
                  <w:tcBorders>
                    <w:tl2br w:val="nil"/>
                    <w:tr2bl w:val="nil"/>
                  </w:tcBorders>
                  <w:vAlign w:val="center"/>
                </w:tcPr>
                <w:p w14:paraId="7BBAC4FD">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bCs/>
                      <w:color w:val="auto"/>
                      <w:spacing w:val="0"/>
                      <w:sz w:val="18"/>
                      <w:szCs w:val="18"/>
                      <w:highlight w:val="none"/>
                      <w:u w:val="none"/>
                      <w:lang w:val="en-US" w:eastAsia="zh-CN"/>
                    </w:rPr>
                    <w:t>：</w:t>
                  </w: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color w:val="auto"/>
                      <w:spacing w:val="0"/>
                      <w:kern w:val="0"/>
                      <w:sz w:val="18"/>
                      <w:szCs w:val="18"/>
                      <w:highlight w:val="none"/>
                      <w:u w:val="none"/>
                      <w:lang w:val="en-US" w:eastAsia="zh-CN" w:bidi="ar"/>
                    </w:rPr>
                    <w:t>，设计处理能力20000t/d，</w:t>
                  </w:r>
                  <w:r>
                    <w:rPr>
                      <w:rFonts w:hint="default" w:ascii="Times New Roman" w:hAnsi="Times New Roman" w:eastAsia="宋体" w:cs="Times New Roman"/>
                      <w:bCs/>
                      <w:color w:val="auto"/>
                      <w:spacing w:val="0"/>
                      <w:sz w:val="18"/>
                      <w:szCs w:val="18"/>
                      <w:highlight w:val="none"/>
                      <w:u w:val="none"/>
                      <w:lang w:val="en-US" w:eastAsia="zh-CN"/>
                    </w:rPr>
                    <w:t>剩余处理能力5000t/d</w:t>
                  </w:r>
                  <w:r>
                    <w:rPr>
                      <w:rFonts w:hint="default" w:ascii="Times New Roman" w:hAnsi="Times New Roman" w:eastAsia="宋体" w:cs="Times New Roman"/>
                      <w:color w:val="auto"/>
                      <w:spacing w:val="0"/>
                      <w:kern w:val="2"/>
                      <w:sz w:val="18"/>
                      <w:szCs w:val="18"/>
                      <w:highlight w:val="none"/>
                      <w:u w:val="none"/>
                      <w:lang w:val="en-US" w:eastAsia="zh-CN"/>
                    </w:rPr>
                    <w:t>。处理工艺为</w:t>
                  </w:r>
                  <w:r>
                    <w:rPr>
                      <w:rFonts w:hint="default" w:ascii="Times New Roman" w:hAnsi="Times New Roman" w:eastAsia="宋体" w:cs="Times New Roman"/>
                      <w:color w:val="auto"/>
                      <w:sz w:val="18"/>
                      <w:szCs w:val="18"/>
                      <w:highlight w:val="none"/>
                    </w:rPr>
                    <w:t>“粗细格栅+A/O+气浮+MBR”污水处理工艺</w:t>
                  </w:r>
                  <w:r>
                    <w:rPr>
                      <w:rFonts w:hint="default" w:ascii="Times New Roman" w:hAnsi="Times New Roman" w:eastAsia="宋体" w:cs="Times New Roman"/>
                      <w:color w:val="auto"/>
                      <w:spacing w:val="0"/>
                      <w:kern w:val="0"/>
                      <w:sz w:val="18"/>
                      <w:szCs w:val="18"/>
                      <w:highlight w:val="none"/>
                      <w:u w:val="none"/>
                      <w:lang w:val="en-US" w:eastAsia="zh-CN" w:bidi="ar"/>
                    </w:rPr>
                    <w:t>，</w:t>
                  </w:r>
                  <w:r>
                    <w:rPr>
                      <w:rFonts w:hint="default" w:ascii="Times New Roman" w:hAnsi="Times New Roman" w:eastAsia="宋体" w:cs="Times New Roman"/>
                      <w:bCs/>
                      <w:color w:val="auto"/>
                      <w:spacing w:val="0"/>
                      <w:sz w:val="18"/>
                      <w:szCs w:val="18"/>
                      <w:highlight w:val="none"/>
                      <w:u w:val="none"/>
                    </w:rPr>
                    <w:t>处理后的出水水质满足</w:t>
                  </w:r>
                  <w:r>
                    <w:rPr>
                      <w:rFonts w:hint="default" w:ascii="Times New Roman" w:hAnsi="Times New Roman" w:eastAsia="宋体" w:cs="Times New Roman"/>
                      <w:color w:val="auto"/>
                      <w:sz w:val="18"/>
                      <w:szCs w:val="18"/>
                      <w:highlight w:val="none"/>
                    </w:rPr>
                    <w:t>《城镇污水处理厂污染物排放标准》（GB 18918-2002）中一级A排放要求，处理后的废水排入小黄泥河，最终汇入穆棱河</w:t>
                  </w:r>
                  <w:r>
                    <w:rPr>
                      <w:rFonts w:hint="default" w:ascii="Times New Roman" w:hAnsi="Times New Roman" w:eastAsia="宋体" w:cs="Times New Roman"/>
                      <w:color w:val="auto"/>
                      <w:spacing w:val="0"/>
                      <w:kern w:val="2"/>
                      <w:sz w:val="18"/>
                      <w:szCs w:val="18"/>
                      <w:highlight w:val="none"/>
                      <w:u w:val="none"/>
                      <w:lang w:val="en-US" w:eastAsia="zh-CN"/>
                    </w:rPr>
                    <w:t>。</w:t>
                  </w: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bCs/>
                      <w:color w:val="auto"/>
                      <w:spacing w:val="0"/>
                      <w:sz w:val="18"/>
                      <w:szCs w:val="18"/>
                      <w:highlight w:val="none"/>
                      <w:u w:val="none"/>
                    </w:rPr>
                    <w:t>设计进水指标为</w:t>
                  </w:r>
                  <w:r>
                    <w:rPr>
                      <w:rFonts w:hint="default" w:ascii="Times New Roman" w:hAnsi="Times New Roman" w:eastAsia="宋体" w:cs="Times New Roman"/>
                      <w:color w:val="auto"/>
                      <w:sz w:val="18"/>
                      <w:szCs w:val="18"/>
                      <w:highlight w:val="none"/>
                    </w:rPr>
                    <w:t>COD 500mg/L，BOD5 350 mg/L，氨氮45 mg/L，悬浮物400 mg/L</w:t>
                  </w:r>
                  <w:r>
                    <w:rPr>
                      <w:rFonts w:hint="default" w:ascii="Times New Roman" w:hAnsi="Times New Roman" w:eastAsia="宋体" w:cs="Times New Roman"/>
                      <w:bCs/>
                      <w:color w:val="auto"/>
                      <w:spacing w:val="0"/>
                      <w:sz w:val="18"/>
                      <w:szCs w:val="18"/>
                      <w:highlight w:val="none"/>
                      <w:u w:val="none"/>
                      <w:lang w:eastAsia="zh-CN"/>
                    </w:rPr>
                    <w:t>，</w:t>
                  </w:r>
                  <w:r>
                    <w:rPr>
                      <w:rFonts w:hint="default" w:ascii="Times New Roman" w:hAnsi="Times New Roman" w:eastAsia="宋体" w:cs="Times New Roman"/>
                      <w:bCs/>
                      <w:color w:val="auto"/>
                      <w:spacing w:val="0"/>
                      <w:sz w:val="18"/>
                      <w:szCs w:val="18"/>
                      <w:highlight w:val="none"/>
                      <w:u w:val="none"/>
                      <w:lang w:val="en-US" w:eastAsia="zh-CN"/>
                    </w:rPr>
                    <w:t>本项目锅炉房废水污染物排放浓度为</w:t>
                  </w:r>
                  <w:r>
                    <w:rPr>
                      <w:rFonts w:hint="default" w:ascii="Times New Roman" w:hAnsi="Times New Roman" w:eastAsia="宋体" w:cs="Times New Roman"/>
                      <w:bCs/>
                      <w:color w:val="auto"/>
                      <w:sz w:val="18"/>
                      <w:szCs w:val="18"/>
                      <w:highlight w:val="none"/>
                    </w:rPr>
                    <w:t>COD84.</w:t>
                  </w:r>
                  <w:r>
                    <w:rPr>
                      <w:rFonts w:hint="default" w:ascii="Times New Roman" w:hAnsi="Times New Roman" w:eastAsia="宋体" w:cs="Times New Roman"/>
                      <w:bCs/>
                      <w:color w:val="auto"/>
                      <w:sz w:val="18"/>
                      <w:szCs w:val="18"/>
                      <w:highlight w:val="none"/>
                      <w:lang w:val="en-US" w:eastAsia="zh-CN"/>
                    </w:rPr>
                    <w:t>3</w:t>
                  </w:r>
                  <w:r>
                    <w:rPr>
                      <w:rFonts w:hint="default" w:ascii="Times New Roman" w:hAnsi="Times New Roman" w:eastAsia="宋体" w:cs="Times New Roman"/>
                      <w:bCs/>
                      <w:color w:val="auto"/>
                      <w:sz w:val="18"/>
                      <w:szCs w:val="18"/>
                      <w:highlight w:val="none"/>
                    </w:rPr>
                    <w:t>mg/L</w:t>
                  </w:r>
                  <w:r>
                    <w:rPr>
                      <w:rFonts w:hint="default" w:ascii="Times New Roman" w:hAnsi="Times New Roman" w:eastAsia="宋体" w:cs="Times New Roman"/>
                      <w:bCs/>
                      <w:color w:val="auto"/>
                      <w:sz w:val="18"/>
                      <w:szCs w:val="18"/>
                      <w:highlight w:val="none"/>
                      <w:lang w:eastAsia="zh-CN"/>
                    </w:rPr>
                    <w:t>，</w:t>
                  </w:r>
                  <w:r>
                    <w:rPr>
                      <w:rFonts w:hint="default" w:ascii="Times New Roman" w:hAnsi="Times New Roman" w:eastAsia="宋体" w:cs="Times New Roman"/>
                      <w:bCs/>
                      <w:color w:val="auto"/>
                      <w:spacing w:val="0"/>
                      <w:sz w:val="18"/>
                      <w:szCs w:val="18"/>
                      <w:highlight w:val="none"/>
                      <w:u w:val="none"/>
                      <w:lang w:val="en-US" w:eastAsia="zh-CN"/>
                    </w:rPr>
                    <w:t>故</w:t>
                  </w:r>
                  <w:r>
                    <w:rPr>
                      <w:rFonts w:hint="default" w:ascii="Times New Roman" w:hAnsi="Times New Roman" w:eastAsia="宋体" w:cs="Times New Roman"/>
                      <w:bCs/>
                      <w:color w:val="auto"/>
                      <w:spacing w:val="0"/>
                      <w:sz w:val="18"/>
                      <w:szCs w:val="18"/>
                      <w:highlight w:val="none"/>
                      <w:u w:val="none"/>
                    </w:rPr>
                    <w:t>本项目排放污水水质能够满足</w:t>
                  </w: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bCs/>
                      <w:color w:val="auto"/>
                      <w:spacing w:val="0"/>
                      <w:sz w:val="18"/>
                      <w:szCs w:val="18"/>
                      <w:highlight w:val="none"/>
                      <w:u w:val="none"/>
                    </w:rPr>
                    <w:t>进水水质指标。本项目</w:t>
                  </w:r>
                  <w:r>
                    <w:rPr>
                      <w:rFonts w:hint="default" w:ascii="Times New Roman" w:hAnsi="Times New Roman" w:eastAsia="宋体" w:cs="Times New Roman"/>
                      <w:bCs/>
                      <w:color w:val="auto"/>
                      <w:sz w:val="18"/>
                      <w:szCs w:val="18"/>
                      <w:highlight w:val="none"/>
                      <w:lang w:val="en-US" w:eastAsia="zh-CN"/>
                    </w:rPr>
                    <w:t>锅炉</w:t>
                  </w:r>
                  <w:r>
                    <w:rPr>
                      <w:rFonts w:hint="default" w:ascii="Times New Roman" w:hAnsi="Times New Roman" w:eastAsia="宋体" w:cs="Times New Roman"/>
                      <w:bCs/>
                      <w:color w:val="auto"/>
                      <w:sz w:val="18"/>
                      <w:szCs w:val="18"/>
                      <w:highlight w:val="none"/>
                    </w:rPr>
                    <w:t>排污水及软化处理废水量为</w:t>
                  </w:r>
                  <w:r>
                    <w:rPr>
                      <w:rFonts w:hint="eastAsia" w:ascii="Times New Roman" w:hAnsi="Times New Roman" w:eastAsia="宋体" w:cs="Times New Roman"/>
                      <w:bCs/>
                      <w:color w:val="auto"/>
                      <w:sz w:val="18"/>
                      <w:szCs w:val="18"/>
                      <w:highlight w:val="none"/>
                      <w:lang w:val="en-US" w:eastAsia="zh-CN"/>
                    </w:rPr>
                    <w:t>42.61</w:t>
                  </w:r>
                  <w:r>
                    <w:rPr>
                      <w:rFonts w:hint="default" w:ascii="Times New Roman" w:hAnsi="Times New Roman" w:eastAsia="宋体" w:cs="Times New Roman"/>
                      <w:bCs/>
                      <w:color w:val="auto"/>
                      <w:sz w:val="18"/>
                      <w:szCs w:val="18"/>
                      <w:highlight w:val="none"/>
                    </w:rPr>
                    <w:t>t/d</w:t>
                  </w:r>
                  <w:r>
                    <w:rPr>
                      <w:rFonts w:hint="default" w:ascii="Times New Roman" w:hAnsi="Times New Roman" w:eastAsia="宋体" w:cs="Times New Roman"/>
                      <w:bCs/>
                      <w:color w:val="auto"/>
                      <w:sz w:val="18"/>
                      <w:szCs w:val="18"/>
                      <w:highlight w:val="none"/>
                      <w:lang w:eastAsia="zh-CN"/>
                    </w:rPr>
                    <w:t>，</w:t>
                  </w:r>
                  <w:r>
                    <w:rPr>
                      <w:rFonts w:hint="default" w:ascii="Times New Roman" w:hAnsi="Times New Roman" w:eastAsia="宋体" w:cs="Times New Roman"/>
                      <w:bCs/>
                      <w:color w:val="auto"/>
                      <w:spacing w:val="0"/>
                      <w:sz w:val="18"/>
                      <w:szCs w:val="18"/>
                      <w:highlight w:val="none"/>
                      <w:u w:val="none"/>
                    </w:rPr>
                    <w:t>远小于</w:t>
                  </w:r>
                  <w:r>
                    <w:rPr>
                      <w:rFonts w:hint="default" w:ascii="Times New Roman" w:hAnsi="Times New Roman" w:eastAsia="宋体" w:cs="Times New Roman"/>
                      <w:color w:val="auto"/>
                      <w:kern w:val="0"/>
                      <w:sz w:val="18"/>
                      <w:szCs w:val="18"/>
                      <w:highlight w:val="none"/>
                      <w:lang w:val="en-US" w:eastAsia="zh-CN" w:bidi="ar"/>
                    </w:rPr>
                    <w:t>恒山区污水处理厂剩余</w:t>
                  </w:r>
                  <w:r>
                    <w:rPr>
                      <w:rFonts w:hint="default" w:ascii="Times New Roman" w:hAnsi="Times New Roman" w:eastAsia="宋体" w:cs="Times New Roman"/>
                      <w:bCs/>
                      <w:color w:val="auto"/>
                      <w:spacing w:val="0"/>
                      <w:sz w:val="18"/>
                      <w:szCs w:val="18"/>
                      <w:highlight w:val="none"/>
                      <w:u w:val="none"/>
                    </w:rPr>
                    <w:t>日处理规模，因此本项目</w:t>
                  </w:r>
                  <w:r>
                    <w:rPr>
                      <w:rFonts w:hint="default" w:ascii="Times New Roman" w:hAnsi="Times New Roman" w:eastAsia="宋体" w:cs="Times New Roman"/>
                      <w:bCs/>
                      <w:color w:val="auto"/>
                      <w:spacing w:val="0"/>
                      <w:sz w:val="18"/>
                      <w:szCs w:val="18"/>
                      <w:highlight w:val="none"/>
                      <w:u w:val="none"/>
                      <w:lang w:val="en-US" w:eastAsia="zh-CN"/>
                    </w:rPr>
                    <w:t>锅炉房废水</w:t>
                  </w:r>
                  <w:r>
                    <w:rPr>
                      <w:rFonts w:hint="default" w:ascii="Times New Roman" w:hAnsi="Times New Roman" w:eastAsia="宋体" w:cs="Times New Roman"/>
                      <w:bCs/>
                      <w:color w:val="auto"/>
                      <w:spacing w:val="0"/>
                      <w:sz w:val="18"/>
                      <w:szCs w:val="18"/>
                      <w:highlight w:val="none"/>
                      <w:u w:val="none"/>
                    </w:rPr>
                    <w:t>进入</w:t>
                  </w:r>
                  <w:r>
                    <w:rPr>
                      <w:rFonts w:hint="default" w:ascii="Times New Roman" w:hAnsi="Times New Roman" w:eastAsia="宋体" w:cs="Times New Roman"/>
                      <w:color w:val="auto"/>
                      <w:kern w:val="0"/>
                      <w:sz w:val="18"/>
                      <w:szCs w:val="18"/>
                      <w:highlight w:val="none"/>
                      <w:lang w:val="en-US" w:eastAsia="zh-CN" w:bidi="ar"/>
                    </w:rPr>
                    <w:t>恒山区污水处理厂</w:t>
                  </w:r>
                  <w:r>
                    <w:rPr>
                      <w:rFonts w:hint="default" w:ascii="Times New Roman" w:hAnsi="Times New Roman" w:eastAsia="宋体" w:cs="Times New Roman"/>
                      <w:bCs/>
                      <w:color w:val="auto"/>
                      <w:spacing w:val="0"/>
                      <w:sz w:val="18"/>
                      <w:szCs w:val="18"/>
                      <w:highlight w:val="none"/>
                      <w:u w:val="none"/>
                    </w:rPr>
                    <w:t>可行</w:t>
                  </w:r>
                  <w:r>
                    <w:rPr>
                      <w:rFonts w:hint="default" w:ascii="Times New Roman" w:hAnsi="Times New Roman" w:eastAsia="宋体" w:cs="Times New Roman"/>
                      <w:bCs/>
                      <w:color w:val="auto"/>
                      <w:spacing w:val="0"/>
                      <w:sz w:val="18"/>
                      <w:szCs w:val="18"/>
                      <w:highlight w:val="none"/>
                      <w:u w:val="none"/>
                      <w:lang w:eastAsia="zh-CN"/>
                    </w:rPr>
                    <w:t>。</w:t>
                  </w:r>
                </w:p>
              </w:tc>
              <w:tc>
                <w:tcPr>
                  <w:tcW w:w="615" w:type="pct"/>
                  <w:tcBorders>
                    <w:tl2br w:val="nil"/>
                    <w:tr2bl w:val="nil"/>
                  </w:tcBorders>
                  <w:vAlign w:val="center"/>
                </w:tcPr>
                <w:p w14:paraId="728B5D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依托</w:t>
                  </w:r>
                </w:p>
              </w:tc>
            </w:tr>
            <w:tr w14:paraId="14EDCF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790D99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18"/>
                      <w:szCs w:val="18"/>
                      <w:highlight w:val="none"/>
                      <w:lang w:val="en-US" w:eastAsia="zh-CN"/>
                    </w:rPr>
                  </w:pPr>
                </w:p>
              </w:tc>
              <w:tc>
                <w:tcPr>
                  <w:tcW w:w="947" w:type="pct"/>
                  <w:tcBorders>
                    <w:tl2br w:val="nil"/>
                    <w:tr2bl w:val="nil"/>
                  </w:tcBorders>
                  <w:vAlign w:val="center"/>
                </w:tcPr>
                <w:p w14:paraId="5A095A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18"/>
                      <w:szCs w:val="18"/>
                      <w:highlight w:val="none"/>
                      <w:lang w:val="en-US" w:eastAsia="zh-CN" w:bidi="ar"/>
                    </w:rPr>
                  </w:pPr>
                  <w:r>
                    <w:rPr>
                      <w:rFonts w:hint="eastAsia" w:cs="Times New Roman"/>
                      <w:color w:val="FF0000"/>
                      <w:kern w:val="0"/>
                      <w:sz w:val="18"/>
                      <w:szCs w:val="18"/>
                      <w:highlight w:val="none"/>
                      <w:lang w:val="en-US" w:eastAsia="zh-CN" w:bidi="ar"/>
                    </w:rPr>
                    <w:t>东山煤矿材料科危险废物贮存库</w:t>
                  </w:r>
                </w:p>
              </w:tc>
              <w:tc>
                <w:tcPr>
                  <w:tcW w:w="3045" w:type="pct"/>
                  <w:tcBorders>
                    <w:tl2br w:val="nil"/>
                    <w:tr2bl w:val="nil"/>
                  </w:tcBorders>
                  <w:vAlign w:val="center"/>
                </w:tcPr>
                <w:p w14:paraId="246D23F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FF0000"/>
                      <w:kern w:val="0"/>
                      <w:sz w:val="18"/>
                      <w:szCs w:val="18"/>
                      <w:highlight w:val="none"/>
                      <w:lang w:val="en-US" w:eastAsia="zh-CN" w:bidi="ar"/>
                    </w:rPr>
                  </w:pPr>
                  <w:r>
                    <w:rPr>
                      <w:rFonts w:hint="eastAsia" w:cs="Times New Roman"/>
                      <w:color w:val="FF0000"/>
                      <w:kern w:val="0"/>
                      <w:sz w:val="18"/>
                      <w:szCs w:val="18"/>
                      <w:highlight w:val="none"/>
                      <w:lang w:val="en-US" w:eastAsia="zh-CN" w:bidi="ar"/>
                    </w:rPr>
                    <w:t>位于东山煤矿材料科，占地面积30m</w:t>
                  </w:r>
                  <w:r>
                    <w:rPr>
                      <w:rFonts w:hint="eastAsia" w:cs="Times New Roman"/>
                      <w:color w:val="FF0000"/>
                      <w:kern w:val="0"/>
                      <w:sz w:val="18"/>
                      <w:szCs w:val="18"/>
                      <w:highlight w:val="none"/>
                      <w:vertAlign w:val="superscript"/>
                      <w:lang w:val="en-US" w:eastAsia="zh-CN" w:bidi="ar"/>
                    </w:rPr>
                    <w:t>2</w:t>
                  </w:r>
                  <w:r>
                    <w:rPr>
                      <w:rFonts w:hint="eastAsia" w:cs="Times New Roman"/>
                      <w:color w:val="FF0000"/>
                      <w:kern w:val="0"/>
                      <w:sz w:val="18"/>
                      <w:szCs w:val="18"/>
                      <w:highlight w:val="none"/>
                      <w:vertAlign w:val="baseline"/>
                      <w:lang w:val="en-US" w:eastAsia="zh-CN" w:bidi="ar"/>
                    </w:rPr>
                    <w:t>，</w:t>
                  </w:r>
                  <w:r>
                    <w:rPr>
                      <w:rFonts w:hint="eastAsia" w:cs="Times New Roman"/>
                      <w:color w:val="FF0000"/>
                      <w:kern w:val="0"/>
                      <w:sz w:val="18"/>
                      <w:szCs w:val="18"/>
                      <w:highlight w:val="none"/>
                      <w:lang w:val="en-US" w:eastAsia="zh-CN" w:bidi="ar"/>
                    </w:rPr>
                    <w:t>贮存库地面与</w:t>
                  </w:r>
                  <w:r>
                    <w:rPr>
                      <w:rFonts w:hint="default" w:cs="Times New Roman"/>
                      <w:color w:val="FF0000"/>
                      <w:kern w:val="0"/>
                      <w:sz w:val="18"/>
                      <w:szCs w:val="18"/>
                      <w:highlight w:val="none"/>
                      <w:lang w:val="en-US" w:eastAsia="zh-CN" w:bidi="ar"/>
                    </w:rPr>
                    <w:t>裙脚</w:t>
                  </w:r>
                  <w:r>
                    <w:rPr>
                      <w:rFonts w:hint="eastAsia" w:cs="Times New Roman"/>
                      <w:color w:val="FF0000"/>
                      <w:kern w:val="0"/>
                      <w:sz w:val="18"/>
                      <w:szCs w:val="18"/>
                      <w:highlight w:val="none"/>
                      <w:lang w:val="en-US" w:eastAsia="zh-CN" w:bidi="ar"/>
                    </w:rPr>
                    <w:t>采取抗渗混凝土重点防渗，</w:t>
                  </w:r>
                  <w:r>
                    <w:rPr>
                      <w:rFonts w:hint="default" w:cs="Times New Roman"/>
                      <w:color w:val="FF0000"/>
                      <w:kern w:val="0"/>
                      <w:sz w:val="18"/>
                      <w:szCs w:val="18"/>
                      <w:highlight w:val="none"/>
                      <w:lang w:val="en-US" w:eastAsia="zh-CN" w:bidi="ar"/>
                    </w:rPr>
                    <w:t>贮存</w:t>
                  </w:r>
                  <w:r>
                    <w:rPr>
                      <w:rFonts w:hint="eastAsia" w:cs="Times New Roman"/>
                      <w:color w:val="FF0000"/>
                      <w:kern w:val="0"/>
                      <w:sz w:val="18"/>
                      <w:szCs w:val="18"/>
                      <w:highlight w:val="none"/>
                      <w:lang w:val="en-US" w:eastAsia="zh-CN" w:bidi="ar"/>
                    </w:rPr>
                    <w:t>库</w:t>
                  </w:r>
                  <w:r>
                    <w:rPr>
                      <w:rFonts w:hint="default" w:cs="Times New Roman"/>
                      <w:color w:val="FF0000"/>
                      <w:kern w:val="0"/>
                      <w:sz w:val="18"/>
                      <w:szCs w:val="18"/>
                      <w:highlight w:val="none"/>
                      <w:lang w:val="en-US" w:eastAsia="zh-CN" w:bidi="ar"/>
                    </w:rPr>
                    <w:t>外贴明显标识</w:t>
                  </w:r>
                  <w:r>
                    <w:rPr>
                      <w:rFonts w:hint="eastAsia" w:cs="Times New Roman"/>
                      <w:color w:val="FF0000"/>
                      <w:kern w:val="0"/>
                      <w:sz w:val="18"/>
                      <w:szCs w:val="18"/>
                      <w:highlight w:val="none"/>
                      <w:lang w:val="en-US" w:eastAsia="zh-CN" w:bidi="ar"/>
                    </w:rPr>
                    <w:t>，贮存库内设置密封油</w:t>
                  </w:r>
                  <w:r>
                    <w:rPr>
                      <w:rFonts w:hint="eastAsia" w:cs="Times New Roman"/>
                      <w:color w:val="FF0000"/>
                      <w:kern w:val="0"/>
                      <w:sz w:val="18"/>
                      <w:szCs w:val="18"/>
                      <w:highlight w:val="none"/>
                      <w:vertAlign w:val="baseline"/>
                      <w:lang w:val="en-US" w:eastAsia="zh-CN" w:bidi="ar"/>
                    </w:rPr>
                    <w:t>桶</w:t>
                  </w:r>
                  <w:r>
                    <w:rPr>
                      <w:rFonts w:hint="default" w:cs="Times New Roman"/>
                      <w:color w:val="FF0000"/>
                      <w:kern w:val="0"/>
                      <w:sz w:val="18"/>
                      <w:szCs w:val="18"/>
                      <w:highlight w:val="none"/>
                      <w:lang w:val="en-US" w:eastAsia="zh-CN" w:bidi="ar"/>
                    </w:rPr>
                    <w:t>。满足《危险废物贮存污染控制标准》（GB18597-2023）的防渗要求</w:t>
                  </w:r>
                  <w:r>
                    <w:rPr>
                      <w:rFonts w:hint="eastAsia" w:cs="Times New Roman"/>
                      <w:color w:val="FF0000"/>
                      <w:kern w:val="0"/>
                      <w:sz w:val="18"/>
                      <w:szCs w:val="18"/>
                      <w:highlight w:val="none"/>
                      <w:lang w:val="en-US" w:eastAsia="zh-CN" w:bidi="ar"/>
                    </w:rPr>
                    <w:t>。</w:t>
                  </w:r>
                  <w:r>
                    <w:rPr>
                      <w:rFonts w:hint="eastAsia" w:cs="Times New Roman"/>
                      <w:color w:val="FF0000"/>
                      <w:kern w:val="0"/>
                      <w:sz w:val="18"/>
                      <w:szCs w:val="18"/>
                      <w:highlight w:val="none"/>
                      <w:vertAlign w:val="baseline"/>
                      <w:lang w:val="en-US" w:eastAsia="zh-CN" w:bidi="ar"/>
                    </w:rPr>
                    <w:t>废机油最大储存量10t，储存周期约100d，本项目废机油产生量约为0.1t/a，废弃含油抹布、手套产生量约为0.01t/a，故依托材料科危险废物贮存库可行。</w:t>
                  </w:r>
                </w:p>
              </w:tc>
              <w:tc>
                <w:tcPr>
                  <w:tcW w:w="615" w:type="pct"/>
                  <w:tcBorders>
                    <w:tl2br w:val="nil"/>
                    <w:tr2bl w:val="nil"/>
                  </w:tcBorders>
                  <w:vAlign w:val="center"/>
                </w:tcPr>
                <w:p w14:paraId="123392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lang w:val="en-US" w:eastAsia="zh-CN"/>
                    </w:rPr>
                    <w:t>依托</w:t>
                  </w:r>
                </w:p>
              </w:tc>
            </w:tr>
          </w:tbl>
          <w:p w14:paraId="31D7C287">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0"/>
                <w:szCs w:val="21"/>
                <w:highlight w:val="none"/>
              </w:rPr>
            </w:pPr>
            <w:r>
              <w:rPr>
                <w:rFonts w:hint="eastAsia" w:cs="Times New Roman"/>
                <w:b/>
                <w:bCs/>
                <w:color w:val="auto"/>
                <w:kern w:val="0"/>
                <w:szCs w:val="21"/>
                <w:highlight w:val="none"/>
                <w:lang w:val="en-US" w:eastAsia="zh-CN"/>
              </w:rPr>
              <w:t>2、</w:t>
            </w:r>
            <w:r>
              <w:rPr>
                <w:rFonts w:hint="default" w:ascii="Times New Roman" w:hAnsi="Times New Roman" w:cs="Times New Roman"/>
                <w:b/>
                <w:bCs/>
                <w:color w:val="auto"/>
                <w:kern w:val="0"/>
                <w:szCs w:val="21"/>
                <w:highlight w:val="none"/>
              </w:rPr>
              <w:t>主要设备</w:t>
            </w:r>
          </w:p>
          <w:p w14:paraId="1F0CC4D2">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b/>
                <w:bCs/>
                <w:color w:val="auto"/>
                <w:kern w:val="0"/>
                <w:szCs w:val="21"/>
                <w:highlight w:val="none"/>
              </w:rPr>
            </w:pPr>
            <w:r>
              <w:rPr>
                <w:rFonts w:hint="default" w:ascii="Times New Roman" w:hAnsi="Times New Roman" w:cs="Times New Roman"/>
                <w:color w:val="auto"/>
                <w:kern w:val="0"/>
                <w:szCs w:val="21"/>
                <w:highlight w:val="none"/>
              </w:rPr>
              <w:t>主要设备见表2-</w:t>
            </w:r>
            <w:r>
              <w:rPr>
                <w:rFonts w:hint="eastAsia" w:cs="Times New Roman"/>
                <w:color w:val="auto"/>
                <w:kern w:val="0"/>
                <w:szCs w:val="21"/>
                <w:highlight w:val="none"/>
                <w:lang w:val="en-US" w:eastAsia="zh-CN"/>
              </w:rPr>
              <w:t>2</w:t>
            </w:r>
            <w:r>
              <w:rPr>
                <w:rFonts w:hint="default" w:ascii="Times New Roman" w:hAnsi="Times New Roman" w:cs="Times New Roman"/>
                <w:color w:val="auto"/>
                <w:kern w:val="0"/>
                <w:szCs w:val="21"/>
                <w:highlight w:val="none"/>
              </w:rPr>
              <w:t>。</w:t>
            </w:r>
          </w:p>
          <w:p w14:paraId="31B2CF1E">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2</w:t>
            </w:r>
            <w:r>
              <w:rPr>
                <w:rFonts w:hint="default" w:ascii="Times New Roman" w:hAnsi="Times New Roman" w:eastAsia="宋体" w:cs="Times New Roman"/>
                <w:b/>
                <w:bCs/>
                <w:snapToGrid w:val="0"/>
                <w:color w:val="auto"/>
                <w:szCs w:val="21"/>
                <w:highlight w:val="none"/>
              </w:rPr>
              <w:t>主要设备一览表</w:t>
            </w:r>
          </w:p>
          <w:tbl>
            <w:tblPr>
              <w:tblStyle w:val="38"/>
              <w:tblW w:w="5000" w:type="pct"/>
              <w:tblInd w:w="-1"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2044"/>
              <w:gridCol w:w="3397"/>
              <w:gridCol w:w="603"/>
              <w:gridCol w:w="610"/>
              <w:gridCol w:w="1006"/>
            </w:tblGrid>
            <w:tr w14:paraId="076892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65A15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default" w:ascii="Times New Roman" w:hAnsi="Times New Roman" w:eastAsia="宋体" w:cs="Times New Roman"/>
                      <w:color w:val="auto"/>
                      <w:spacing w:val="0"/>
                      <w:sz w:val="18"/>
                      <w:szCs w:val="18"/>
                      <w:highlight w:val="none"/>
                      <w:vertAlign w:val="baseline"/>
                      <w:lang w:val="en-US" w:eastAsia="zh-CN"/>
                    </w:rPr>
                    <w:t>序号</w:t>
                  </w:r>
                </w:p>
              </w:tc>
              <w:tc>
                <w:tcPr>
                  <w:tcW w:w="2044" w:type="dxa"/>
                  <w:tcBorders>
                    <w:tl2br w:val="nil"/>
                    <w:tr2bl w:val="nil"/>
                  </w:tcBorders>
                  <w:vAlign w:val="center"/>
                </w:tcPr>
                <w:p w14:paraId="55DB0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default" w:ascii="Times New Roman" w:hAnsi="Times New Roman" w:eastAsia="宋体" w:cs="Times New Roman"/>
                      <w:color w:val="auto"/>
                      <w:spacing w:val="0"/>
                      <w:sz w:val="18"/>
                      <w:szCs w:val="18"/>
                      <w:highlight w:val="none"/>
                      <w:vertAlign w:val="baseline"/>
                      <w:lang w:val="en-US" w:eastAsia="zh-CN"/>
                    </w:rPr>
                    <w:t>设备名称</w:t>
                  </w:r>
                </w:p>
              </w:tc>
              <w:tc>
                <w:tcPr>
                  <w:tcW w:w="3397" w:type="dxa"/>
                  <w:tcBorders>
                    <w:tl2br w:val="nil"/>
                    <w:tr2bl w:val="nil"/>
                  </w:tcBorders>
                  <w:vAlign w:val="center"/>
                </w:tcPr>
                <w:p w14:paraId="39AC2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default" w:ascii="Times New Roman" w:hAnsi="Times New Roman" w:eastAsia="宋体" w:cs="Times New Roman"/>
                      <w:color w:val="auto"/>
                      <w:spacing w:val="0"/>
                      <w:sz w:val="18"/>
                      <w:szCs w:val="18"/>
                      <w:highlight w:val="none"/>
                      <w:vertAlign w:val="baseline"/>
                      <w:lang w:val="en-US" w:eastAsia="zh-CN"/>
                    </w:rPr>
                    <w:t>规格/型号</w:t>
                  </w:r>
                </w:p>
              </w:tc>
              <w:tc>
                <w:tcPr>
                  <w:tcW w:w="603" w:type="dxa"/>
                  <w:tcBorders>
                    <w:tl2br w:val="nil"/>
                    <w:tr2bl w:val="nil"/>
                  </w:tcBorders>
                  <w:vAlign w:val="center"/>
                </w:tcPr>
                <w:p w14:paraId="6F65F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default" w:ascii="Times New Roman" w:hAnsi="Times New Roman" w:eastAsia="宋体" w:cs="Times New Roman"/>
                      <w:color w:val="auto"/>
                      <w:spacing w:val="0"/>
                      <w:sz w:val="18"/>
                      <w:szCs w:val="18"/>
                      <w:highlight w:val="none"/>
                      <w:vertAlign w:val="baseline"/>
                      <w:lang w:val="en-US" w:eastAsia="zh-CN"/>
                    </w:rPr>
                    <w:t>数量</w:t>
                  </w:r>
                </w:p>
              </w:tc>
              <w:tc>
                <w:tcPr>
                  <w:tcW w:w="610" w:type="dxa"/>
                  <w:tcBorders>
                    <w:tl2br w:val="nil"/>
                    <w:tr2bl w:val="nil"/>
                  </w:tcBorders>
                  <w:vAlign w:val="center"/>
                </w:tcPr>
                <w:p w14:paraId="728FD7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default" w:ascii="Times New Roman" w:hAnsi="Times New Roman" w:eastAsia="宋体" w:cs="Times New Roman"/>
                      <w:color w:val="auto"/>
                      <w:spacing w:val="0"/>
                      <w:sz w:val="18"/>
                      <w:szCs w:val="18"/>
                      <w:highlight w:val="none"/>
                      <w:vertAlign w:val="baseline"/>
                      <w:lang w:val="en-US" w:eastAsia="zh-CN"/>
                    </w:rPr>
                    <w:t>单位</w:t>
                  </w:r>
                </w:p>
              </w:tc>
              <w:tc>
                <w:tcPr>
                  <w:tcW w:w="1006" w:type="dxa"/>
                  <w:tcBorders>
                    <w:tl2br w:val="nil"/>
                    <w:tr2bl w:val="nil"/>
                  </w:tcBorders>
                  <w:vAlign w:val="center"/>
                </w:tcPr>
                <w:p w14:paraId="47E22C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备注</w:t>
                  </w:r>
                </w:p>
              </w:tc>
            </w:tr>
            <w:tr w14:paraId="7FA455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3C336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default" w:ascii="Times New Roman" w:hAnsi="Times New Roman" w:eastAsia="宋体" w:cs="Times New Roman"/>
                      <w:color w:val="auto"/>
                      <w:spacing w:val="0"/>
                      <w:sz w:val="18"/>
                      <w:szCs w:val="18"/>
                      <w:highlight w:val="none"/>
                      <w:vertAlign w:val="baseline"/>
                      <w:lang w:val="en-US" w:eastAsia="zh-CN"/>
                    </w:rPr>
                    <w:t>1</w:t>
                  </w:r>
                </w:p>
              </w:tc>
              <w:tc>
                <w:tcPr>
                  <w:tcW w:w="2044" w:type="dxa"/>
                  <w:tcBorders>
                    <w:tl2br w:val="nil"/>
                    <w:tr2bl w:val="nil"/>
                  </w:tcBorders>
                  <w:vAlign w:val="center"/>
                </w:tcPr>
                <w:p w14:paraId="54B36C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z w:val="18"/>
                      <w:szCs w:val="18"/>
                      <w:highlight w:val="none"/>
                      <w:lang w:val="en-US" w:eastAsia="zh-CN"/>
                    </w:rPr>
                    <w:t>生物质蒸汽锅炉</w:t>
                  </w:r>
                </w:p>
              </w:tc>
              <w:tc>
                <w:tcPr>
                  <w:tcW w:w="3397" w:type="dxa"/>
                  <w:tcBorders>
                    <w:tl2br w:val="nil"/>
                    <w:tr2bl w:val="nil"/>
                  </w:tcBorders>
                  <w:vAlign w:val="center"/>
                </w:tcPr>
                <w:p w14:paraId="1D5A7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10t/h</w:t>
                  </w:r>
                </w:p>
              </w:tc>
              <w:tc>
                <w:tcPr>
                  <w:tcW w:w="603" w:type="dxa"/>
                  <w:tcBorders>
                    <w:tl2br w:val="nil"/>
                    <w:tr2bl w:val="nil"/>
                  </w:tcBorders>
                  <w:vAlign w:val="center"/>
                </w:tcPr>
                <w:p w14:paraId="17A199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3</w:t>
                  </w:r>
                </w:p>
              </w:tc>
              <w:tc>
                <w:tcPr>
                  <w:tcW w:w="610" w:type="dxa"/>
                  <w:tcBorders>
                    <w:tl2br w:val="nil"/>
                    <w:tr2bl w:val="nil"/>
                  </w:tcBorders>
                  <w:vAlign w:val="center"/>
                </w:tcPr>
                <w:p w14:paraId="53EABF48">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default" w:ascii="Times New Roman" w:hAnsi="Times New Roman" w:eastAsia="宋体" w:cs="Times New Roman"/>
                      <w:color w:val="auto"/>
                      <w:spacing w:val="0"/>
                      <w:sz w:val="18"/>
                      <w:szCs w:val="18"/>
                      <w:highlight w:val="none"/>
                    </w:rPr>
                    <w:t>台</w:t>
                  </w:r>
                </w:p>
              </w:tc>
              <w:tc>
                <w:tcPr>
                  <w:tcW w:w="1006" w:type="dxa"/>
                  <w:tcBorders>
                    <w:tl2br w:val="nil"/>
                    <w:tr2bl w:val="nil"/>
                  </w:tcBorders>
                  <w:vAlign w:val="center"/>
                </w:tcPr>
                <w:p w14:paraId="57DDA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新建</w:t>
                  </w:r>
                </w:p>
              </w:tc>
            </w:tr>
            <w:tr w14:paraId="6CAC03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652CF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2</w:t>
                  </w:r>
                </w:p>
              </w:tc>
              <w:tc>
                <w:tcPr>
                  <w:tcW w:w="2044" w:type="dxa"/>
                  <w:tcBorders>
                    <w:tl2br w:val="nil"/>
                    <w:tr2bl w:val="nil"/>
                  </w:tcBorders>
                  <w:vAlign w:val="center"/>
                </w:tcPr>
                <w:p w14:paraId="4B3C5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上料系统</w:t>
                  </w:r>
                </w:p>
              </w:tc>
              <w:tc>
                <w:tcPr>
                  <w:tcW w:w="3397" w:type="dxa"/>
                  <w:tcBorders>
                    <w:tl2br w:val="nil"/>
                    <w:tr2bl w:val="nil"/>
                  </w:tcBorders>
                  <w:vAlign w:val="center"/>
                </w:tcPr>
                <w:p w14:paraId="30949E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微软雅黑" w:cs="Times New Roman"/>
                      <w:color w:val="auto"/>
                      <w:sz w:val="18"/>
                      <w:szCs w:val="18"/>
                      <w:highlight w:val="none"/>
                      <w:lang w:val="en-US" w:eastAsia="zh-CN"/>
                    </w:rPr>
                  </w:pPr>
                  <w:r>
                    <w:rPr>
                      <w:rFonts w:hint="eastAsia" w:eastAsia="微软雅黑" w:cs="Times New Roman"/>
                      <w:color w:val="auto"/>
                      <w:sz w:val="18"/>
                      <w:szCs w:val="18"/>
                      <w:highlight w:val="none"/>
                      <w:lang w:val="en-US" w:eastAsia="zh-CN"/>
                    </w:rPr>
                    <w:t>/</w:t>
                  </w:r>
                </w:p>
              </w:tc>
              <w:tc>
                <w:tcPr>
                  <w:tcW w:w="603" w:type="dxa"/>
                  <w:tcBorders>
                    <w:tl2br w:val="nil"/>
                    <w:tr2bl w:val="nil"/>
                  </w:tcBorders>
                  <w:vAlign w:val="center"/>
                </w:tcPr>
                <w:p w14:paraId="20034B77">
                  <w:pPr>
                    <w:keepNext w:val="0"/>
                    <w:keepLines w:val="0"/>
                    <w:pageBreakBefore w:val="0"/>
                    <w:widowControl/>
                    <w:suppressLineNumbers w:val="0"/>
                    <w:tabs>
                      <w:tab w:val="center" w:pos="253"/>
                      <w:tab w:val="left" w:pos="375"/>
                    </w:tabs>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10" w:type="dxa"/>
                  <w:tcBorders>
                    <w:tl2br w:val="nil"/>
                    <w:tr2bl w:val="nil"/>
                  </w:tcBorders>
                  <w:vAlign w:val="center"/>
                </w:tcPr>
                <w:p w14:paraId="35E78486">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套</w:t>
                  </w:r>
                </w:p>
              </w:tc>
              <w:tc>
                <w:tcPr>
                  <w:tcW w:w="1006" w:type="dxa"/>
                  <w:tcBorders>
                    <w:tl2br w:val="nil"/>
                    <w:tr2bl w:val="nil"/>
                  </w:tcBorders>
                  <w:vAlign w:val="center"/>
                </w:tcPr>
                <w:p w14:paraId="0DA9982B">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利旧</w:t>
                  </w:r>
                </w:p>
              </w:tc>
            </w:tr>
            <w:tr w14:paraId="4E2826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7DE0EC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3</w:t>
                  </w:r>
                </w:p>
              </w:tc>
              <w:tc>
                <w:tcPr>
                  <w:tcW w:w="2044" w:type="dxa"/>
                  <w:tcBorders>
                    <w:tl2br w:val="nil"/>
                    <w:tr2bl w:val="nil"/>
                  </w:tcBorders>
                  <w:vAlign w:val="center"/>
                </w:tcPr>
                <w:p w14:paraId="1DE53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软化水制备系统</w:t>
                  </w:r>
                </w:p>
              </w:tc>
              <w:tc>
                <w:tcPr>
                  <w:tcW w:w="3397" w:type="dxa"/>
                  <w:tcBorders>
                    <w:tl2br w:val="nil"/>
                    <w:tr2bl w:val="nil"/>
                  </w:tcBorders>
                  <w:vAlign w:val="center"/>
                </w:tcPr>
                <w:p w14:paraId="08DC1E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微软雅黑" w:cs="Times New Roman"/>
                      <w:color w:val="auto"/>
                      <w:sz w:val="18"/>
                      <w:szCs w:val="18"/>
                      <w:highlight w:val="none"/>
                      <w:lang w:val="en-US" w:eastAsia="zh-CN"/>
                    </w:rPr>
                  </w:pPr>
                  <w:r>
                    <w:rPr>
                      <w:rFonts w:hint="eastAsia" w:cs="Times New Roman"/>
                      <w:color w:val="auto"/>
                      <w:sz w:val="18"/>
                      <w:szCs w:val="18"/>
                      <w:highlight w:val="none"/>
                      <w:lang w:val="en-US" w:eastAsia="zh-CN"/>
                    </w:rPr>
                    <w:t>35t/h</w:t>
                  </w:r>
                </w:p>
              </w:tc>
              <w:tc>
                <w:tcPr>
                  <w:tcW w:w="603" w:type="dxa"/>
                  <w:tcBorders>
                    <w:tl2br w:val="nil"/>
                    <w:tr2bl w:val="nil"/>
                  </w:tcBorders>
                  <w:vAlign w:val="center"/>
                </w:tcPr>
                <w:p w14:paraId="5A035E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10" w:type="dxa"/>
                  <w:tcBorders>
                    <w:tl2br w:val="nil"/>
                    <w:tr2bl w:val="nil"/>
                  </w:tcBorders>
                  <w:vAlign w:val="center"/>
                </w:tcPr>
                <w:p w14:paraId="4823FEFF">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套</w:t>
                  </w:r>
                </w:p>
              </w:tc>
              <w:tc>
                <w:tcPr>
                  <w:tcW w:w="1006" w:type="dxa"/>
                  <w:tcBorders>
                    <w:tl2br w:val="nil"/>
                    <w:tr2bl w:val="nil"/>
                  </w:tcBorders>
                  <w:vAlign w:val="center"/>
                </w:tcPr>
                <w:p w14:paraId="740054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利旧</w:t>
                  </w:r>
                </w:p>
              </w:tc>
            </w:tr>
            <w:tr w14:paraId="03F794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6E4A1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4</w:t>
                  </w:r>
                </w:p>
              </w:tc>
              <w:tc>
                <w:tcPr>
                  <w:tcW w:w="2044" w:type="dxa"/>
                  <w:tcBorders>
                    <w:tl2br w:val="nil"/>
                    <w:tr2bl w:val="nil"/>
                  </w:tcBorders>
                  <w:vAlign w:val="center"/>
                </w:tcPr>
                <w:p w14:paraId="3975B2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除渣系统</w:t>
                  </w:r>
                </w:p>
              </w:tc>
              <w:tc>
                <w:tcPr>
                  <w:tcW w:w="3397" w:type="dxa"/>
                  <w:tcBorders>
                    <w:tl2br w:val="nil"/>
                    <w:tr2bl w:val="nil"/>
                  </w:tcBorders>
                  <w:vAlign w:val="center"/>
                </w:tcPr>
                <w:p w14:paraId="5734D7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微软雅黑" w:cs="Times New Roman"/>
                      <w:color w:val="auto"/>
                      <w:sz w:val="18"/>
                      <w:szCs w:val="18"/>
                      <w:highlight w:val="none"/>
                      <w:lang w:val="en-US" w:eastAsia="zh-CN"/>
                    </w:rPr>
                  </w:pPr>
                  <w:r>
                    <w:rPr>
                      <w:rFonts w:hint="eastAsia" w:eastAsia="微软雅黑" w:cs="Times New Roman"/>
                      <w:color w:val="auto"/>
                      <w:sz w:val="18"/>
                      <w:szCs w:val="18"/>
                      <w:highlight w:val="none"/>
                      <w:lang w:val="en-US" w:eastAsia="zh-CN"/>
                    </w:rPr>
                    <w:t>/</w:t>
                  </w:r>
                </w:p>
              </w:tc>
              <w:tc>
                <w:tcPr>
                  <w:tcW w:w="603" w:type="dxa"/>
                  <w:tcBorders>
                    <w:tl2br w:val="nil"/>
                    <w:tr2bl w:val="nil"/>
                  </w:tcBorders>
                  <w:vAlign w:val="center"/>
                </w:tcPr>
                <w:p w14:paraId="61161E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10" w:type="dxa"/>
                  <w:tcBorders>
                    <w:tl2br w:val="nil"/>
                    <w:tr2bl w:val="nil"/>
                  </w:tcBorders>
                  <w:vAlign w:val="center"/>
                </w:tcPr>
                <w:p w14:paraId="451F87E8">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套</w:t>
                  </w:r>
                </w:p>
              </w:tc>
              <w:tc>
                <w:tcPr>
                  <w:tcW w:w="1006" w:type="dxa"/>
                  <w:tcBorders>
                    <w:tl2br w:val="nil"/>
                    <w:tr2bl w:val="nil"/>
                  </w:tcBorders>
                  <w:vAlign w:val="center"/>
                </w:tcPr>
                <w:p w14:paraId="6C6BF8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利旧</w:t>
                  </w:r>
                </w:p>
              </w:tc>
            </w:tr>
            <w:tr w14:paraId="2159FA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062C8E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5</w:t>
                  </w:r>
                </w:p>
              </w:tc>
              <w:tc>
                <w:tcPr>
                  <w:tcW w:w="2044" w:type="dxa"/>
                  <w:tcBorders>
                    <w:tl2br w:val="nil"/>
                    <w:tr2bl w:val="nil"/>
                  </w:tcBorders>
                  <w:vAlign w:val="center"/>
                </w:tcPr>
                <w:p w14:paraId="46629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引风机</w:t>
                  </w:r>
                </w:p>
              </w:tc>
              <w:tc>
                <w:tcPr>
                  <w:tcW w:w="3397" w:type="dxa"/>
                  <w:tcBorders>
                    <w:tl2br w:val="nil"/>
                    <w:tr2bl w:val="nil"/>
                  </w:tcBorders>
                  <w:vAlign w:val="center"/>
                </w:tcPr>
                <w:p w14:paraId="35041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微软雅黑" w:cs="Times New Roman"/>
                      <w:color w:val="auto"/>
                      <w:sz w:val="18"/>
                      <w:szCs w:val="18"/>
                      <w:highlight w:val="none"/>
                      <w:lang w:val="en-US" w:eastAsia="zh-CN"/>
                    </w:rPr>
                  </w:pPr>
                  <w:r>
                    <w:rPr>
                      <w:rFonts w:hint="eastAsia" w:eastAsia="微软雅黑" w:cs="Times New Roman"/>
                      <w:color w:val="auto"/>
                      <w:sz w:val="18"/>
                      <w:szCs w:val="18"/>
                      <w:highlight w:val="none"/>
                      <w:lang w:val="en-US" w:eastAsia="zh-CN"/>
                    </w:rPr>
                    <w:t>/</w:t>
                  </w:r>
                </w:p>
              </w:tc>
              <w:tc>
                <w:tcPr>
                  <w:tcW w:w="603" w:type="dxa"/>
                  <w:tcBorders>
                    <w:tl2br w:val="nil"/>
                    <w:tr2bl w:val="nil"/>
                  </w:tcBorders>
                  <w:vAlign w:val="center"/>
                </w:tcPr>
                <w:p w14:paraId="03914C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610" w:type="dxa"/>
                  <w:tcBorders>
                    <w:tl2br w:val="nil"/>
                    <w:tr2bl w:val="nil"/>
                  </w:tcBorders>
                  <w:vAlign w:val="center"/>
                </w:tcPr>
                <w:p w14:paraId="7BAA3402">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套</w:t>
                  </w:r>
                </w:p>
              </w:tc>
              <w:tc>
                <w:tcPr>
                  <w:tcW w:w="1006" w:type="dxa"/>
                  <w:tcBorders>
                    <w:tl2br w:val="nil"/>
                    <w:tr2bl w:val="nil"/>
                  </w:tcBorders>
                  <w:vAlign w:val="center"/>
                </w:tcPr>
                <w:p w14:paraId="3EA9A5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利旧</w:t>
                  </w:r>
                </w:p>
              </w:tc>
            </w:tr>
            <w:tr w14:paraId="4A7397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37DFF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6</w:t>
                  </w:r>
                </w:p>
              </w:tc>
              <w:tc>
                <w:tcPr>
                  <w:tcW w:w="2044" w:type="dxa"/>
                  <w:tcBorders>
                    <w:tl2br w:val="nil"/>
                    <w:tr2bl w:val="nil"/>
                  </w:tcBorders>
                  <w:vAlign w:val="center"/>
                </w:tcPr>
                <w:p w14:paraId="3A854D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水泵</w:t>
                  </w:r>
                </w:p>
              </w:tc>
              <w:tc>
                <w:tcPr>
                  <w:tcW w:w="3397" w:type="dxa"/>
                  <w:tcBorders>
                    <w:tl2br w:val="nil"/>
                    <w:tr2bl w:val="nil"/>
                  </w:tcBorders>
                  <w:vAlign w:val="center"/>
                </w:tcPr>
                <w:p w14:paraId="277248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微软雅黑" w:cs="Times New Roman"/>
                      <w:color w:val="auto"/>
                      <w:sz w:val="18"/>
                      <w:szCs w:val="18"/>
                      <w:highlight w:val="none"/>
                      <w:lang w:val="en-US" w:eastAsia="zh-CN"/>
                    </w:rPr>
                  </w:pPr>
                  <w:r>
                    <w:rPr>
                      <w:rFonts w:hint="eastAsia" w:eastAsia="微软雅黑" w:cs="Times New Roman"/>
                      <w:color w:val="auto"/>
                      <w:sz w:val="18"/>
                      <w:szCs w:val="18"/>
                      <w:highlight w:val="none"/>
                      <w:lang w:val="en-US" w:eastAsia="zh-CN"/>
                    </w:rPr>
                    <w:t>/</w:t>
                  </w:r>
                </w:p>
              </w:tc>
              <w:tc>
                <w:tcPr>
                  <w:tcW w:w="603" w:type="dxa"/>
                  <w:tcBorders>
                    <w:tl2br w:val="nil"/>
                    <w:tr2bl w:val="nil"/>
                  </w:tcBorders>
                  <w:vAlign w:val="center"/>
                </w:tcPr>
                <w:p w14:paraId="63DB26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610" w:type="dxa"/>
                  <w:tcBorders>
                    <w:tl2br w:val="nil"/>
                    <w:tr2bl w:val="nil"/>
                  </w:tcBorders>
                  <w:vAlign w:val="center"/>
                </w:tcPr>
                <w:p w14:paraId="5CE10B46">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台</w:t>
                  </w:r>
                </w:p>
              </w:tc>
              <w:tc>
                <w:tcPr>
                  <w:tcW w:w="1006" w:type="dxa"/>
                  <w:tcBorders>
                    <w:tl2br w:val="nil"/>
                    <w:tr2bl w:val="nil"/>
                  </w:tcBorders>
                  <w:vAlign w:val="center"/>
                </w:tcPr>
                <w:p w14:paraId="296143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利旧</w:t>
                  </w:r>
                </w:p>
              </w:tc>
            </w:tr>
            <w:tr w14:paraId="7B2EDD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55F05A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7</w:t>
                  </w:r>
                </w:p>
              </w:tc>
              <w:tc>
                <w:tcPr>
                  <w:tcW w:w="2044" w:type="dxa"/>
                  <w:tcBorders>
                    <w:tl2br w:val="nil"/>
                    <w:tr2bl w:val="nil"/>
                  </w:tcBorders>
                  <w:vAlign w:val="center"/>
                </w:tcPr>
                <w:p w14:paraId="5CAB4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多管陶瓷除尘器</w:t>
                  </w:r>
                </w:p>
              </w:tc>
              <w:tc>
                <w:tcPr>
                  <w:tcW w:w="3397" w:type="dxa"/>
                  <w:tcBorders>
                    <w:tl2br w:val="nil"/>
                    <w:tr2bl w:val="nil"/>
                  </w:tcBorders>
                  <w:vAlign w:val="center"/>
                </w:tcPr>
                <w:p w14:paraId="1736A9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03" w:type="dxa"/>
                  <w:tcBorders>
                    <w:tl2br w:val="nil"/>
                    <w:tr2bl w:val="nil"/>
                  </w:tcBorders>
                  <w:vAlign w:val="center"/>
                </w:tcPr>
                <w:p w14:paraId="3AC72B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610" w:type="dxa"/>
                  <w:tcBorders>
                    <w:tl2br w:val="nil"/>
                    <w:tr2bl w:val="nil"/>
                  </w:tcBorders>
                  <w:vAlign w:val="center"/>
                </w:tcPr>
                <w:p w14:paraId="55BF5B64">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ascii="Times New Roman" w:hAnsi="Times New Roman" w:cs="Times New Roman"/>
                      <w:color w:val="auto"/>
                      <w:spacing w:val="0"/>
                      <w:sz w:val="18"/>
                      <w:szCs w:val="18"/>
                      <w:highlight w:val="none"/>
                      <w:vertAlign w:val="baseline"/>
                      <w:lang w:val="en-US" w:eastAsia="zh-CN"/>
                    </w:rPr>
                    <w:t>套</w:t>
                  </w:r>
                </w:p>
              </w:tc>
              <w:tc>
                <w:tcPr>
                  <w:tcW w:w="1006" w:type="dxa"/>
                  <w:tcBorders>
                    <w:tl2br w:val="nil"/>
                    <w:tr2bl w:val="nil"/>
                  </w:tcBorders>
                  <w:vAlign w:val="center"/>
                </w:tcPr>
                <w:p w14:paraId="3FBC0B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lang w:val="en-US" w:eastAsia="zh-CN"/>
                    </w:rPr>
                    <w:t>新建</w:t>
                  </w:r>
                </w:p>
              </w:tc>
            </w:tr>
            <w:tr w14:paraId="40556E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06ED48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8</w:t>
                  </w:r>
                </w:p>
              </w:tc>
              <w:tc>
                <w:tcPr>
                  <w:tcW w:w="2044" w:type="dxa"/>
                  <w:tcBorders>
                    <w:tl2br w:val="nil"/>
                    <w:tr2bl w:val="nil"/>
                  </w:tcBorders>
                  <w:vAlign w:val="center"/>
                </w:tcPr>
                <w:p w14:paraId="0D2C4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布袋除尘器</w:t>
                  </w:r>
                </w:p>
              </w:tc>
              <w:tc>
                <w:tcPr>
                  <w:tcW w:w="3397" w:type="dxa"/>
                  <w:tcBorders>
                    <w:tl2br w:val="nil"/>
                    <w:tr2bl w:val="nil"/>
                  </w:tcBorders>
                  <w:vAlign w:val="center"/>
                </w:tcPr>
                <w:p w14:paraId="54983D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03" w:type="dxa"/>
                  <w:tcBorders>
                    <w:tl2br w:val="nil"/>
                    <w:tr2bl w:val="nil"/>
                  </w:tcBorders>
                  <w:vAlign w:val="center"/>
                </w:tcPr>
                <w:p w14:paraId="28F3B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610" w:type="dxa"/>
                  <w:tcBorders>
                    <w:tl2br w:val="nil"/>
                    <w:tr2bl w:val="nil"/>
                  </w:tcBorders>
                  <w:vAlign w:val="center"/>
                </w:tcPr>
                <w:p w14:paraId="5E4AFC6F">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auto"/>
                      <w:spacing w:val="0"/>
                      <w:sz w:val="18"/>
                      <w:szCs w:val="18"/>
                      <w:highlight w:val="none"/>
                      <w:vertAlign w:val="baseline"/>
                      <w:lang w:val="en-US" w:eastAsia="zh-CN"/>
                    </w:rPr>
                  </w:pPr>
                  <w:r>
                    <w:rPr>
                      <w:rFonts w:hint="eastAsia" w:ascii="Times New Roman" w:hAnsi="Times New Roman" w:cs="Times New Roman"/>
                      <w:color w:val="auto"/>
                      <w:spacing w:val="0"/>
                      <w:sz w:val="18"/>
                      <w:szCs w:val="18"/>
                      <w:highlight w:val="none"/>
                      <w:vertAlign w:val="baseline"/>
                      <w:lang w:val="en-US" w:eastAsia="zh-CN"/>
                    </w:rPr>
                    <w:t>套</w:t>
                  </w:r>
                </w:p>
              </w:tc>
              <w:tc>
                <w:tcPr>
                  <w:tcW w:w="1006" w:type="dxa"/>
                  <w:tcBorders>
                    <w:tl2br w:val="nil"/>
                    <w:tr2bl w:val="nil"/>
                  </w:tcBorders>
                  <w:vAlign w:val="center"/>
                </w:tcPr>
                <w:p w14:paraId="293E7E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利旧</w:t>
                  </w:r>
                </w:p>
              </w:tc>
            </w:tr>
            <w:tr w14:paraId="030667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2824EE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9</w:t>
                  </w:r>
                </w:p>
              </w:tc>
              <w:tc>
                <w:tcPr>
                  <w:tcW w:w="2044" w:type="dxa"/>
                  <w:tcBorders>
                    <w:tl2br w:val="nil"/>
                    <w:tr2bl w:val="nil"/>
                  </w:tcBorders>
                  <w:vAlign w:val="center"/>
                </w:tcPr>
                <w:p w14:paraId="2E0BF9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烟囱</w:t>
                  </w:r>
                </w:p>
              </w:tc>
              <w:tc>
                <w:tcPr>
                  <w:tcW w:w="3397" w:type="dxa"/>
                  <w:tcBorders>
                    <w:tl2br w:val="nil"/>
                    <w:tr2bl w:val="nil"/>
                  </w:tcBorders>
                  <w:vAlign w:val="center"/>
                </w:tcPr>
                <w:p w14:paraId="2E0C8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60m</w:t>
                  </w:r>
                </w:p>
              </w:tc>
              <w:tc>
                <w:tcPr>
                  <w:tcW w:w="603" w:type="dxa"/>
                  <w:tcBorders>
                    <w:tl2br w:val="nil"/>
                    <w:tr2bl w:val="nil"/>
                  </w:tcBorders>
                  <w:vAlign w:val="center"/>
                </w:tcPr>
                <w:p w14:paraId="5FFBC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10" w:type="dxa"/>
                  <w:tcBorders>
                    <w:tl2br w:val="nil"/>
                    <w:tr2bl w:val="nil"/>
                  </w:tcBorders>
                  <w:vAlign w:val="center"/>
                </w:tcPr>
                <w:p w14:paraId="773EBF86">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vertAlign w:val="baseline"/>
                      <w:lang w:val="en-US" w:eastAsia="zh-CN"/>
                    </w:rPr>
                  </w:pPr>
                  <w:r>
                    <w:rPr>
                      <w:rFonts w:hint="eastAsia" w:ascii="Times New Roman" w:hAnsi="Times New Roman" w:cs="Times New Roman"/>
                      <w:color w:val="auto"/>
                      <w:spacing w:val="0"/>
                      <w:sz w:val="18"/>
                      <w:szCs w:val="18"/>
                      <w:highlight w:val="none"/>
                      <w:vertAlign w:val="baseline"/>
                      <w:lang w:val="en-US" w:eastAsia="zh-CN"/>
                    </w:rPr>
                    <w:t>个</w:t>
                  </w:r>
                </w:p>
              </w:tc>
              <w:tc>
                <w:tcPr>
                  <w:tcW w:w="1006" w:type="dxa"/>
                  <w:tcBorders>
                    <w:tl2br w:val="nil"/>
                    <w:tr2bl w:val="nil"/>
                  </w:tcBorders>
                  <w:vAlign w:val="center"/>
                </w:tcPr>
                <w:p w14:paraId="301E6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lang w:val="en-US" w:eastAsia="zh-CN"/>
                    </w:rPr>
                    <w:t>利旧</w:t>
                  </w:r>
                </w:p>
              </w:tc>
            </w:tr>
            <w:tr w14:paraId="5E7D1E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2B1046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12</w:t>
                  </w:r>
                </w:p>
              </w:tc>
              <w:tc>
                <w:tcPr>
                  <w:tcW w:w="2044" w:type="dxa"/>
                  <w:tcBorders>
                    <w:tl2br w:val="nil"/>
                    <w:tr2bl w:val="nil"/>
                  </w:tcBorders>
                  <w:vAlign w:val="center"/>
                </w:tcPr>
                <w:p w14:paraId="64AD0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储水箱</w:t>
                  </w:r>
                </w:p>
              </w:tc>
              <w:tc>
                <w:tcPr>
                  <w:tcW w:w="3397" w:type="dxa"/>
                  <w:tcBorders>
                    <w:tl2br w:val="nil"/>
                    <w:tr2bl w:val="nil"/>
                  </w:tcBorders>
                  <w:vAlign w:val="center"/>
                </w:tcPr>
                <w:p w14:paraId="128E36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70t</w:t>
                  </w:r>
                </w:p>
              </w:tc>
              <w:tc>
                <w:tcPr>
                  <w:tcW w:w="603" w:type="dxa"/>
                  <w:tcBorders>
                    <w:tl2br w:val="nil"/>
                    <w:tr2bl w:val="nil"/>
                  </w:tcBorders>
                  <w:vAlign w:val="center"/>
                </w:tcPr>
                <w:p w14:paraId="32368C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10" w:type="dxa"/>
                  <w:tcBorders>
                    <w:tl2br w:val="nil"/>
                    <w:tr2bl w:val="nil"/>
                  </w:tcBorders>
                  <w:vAlign w:val="center"/>
                </w:tcPr>
                <w:p w14:paraId="53F7ED04">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vertAlign w:val="baseline"/>
                      <w:lang w:val="en-US" w:eastAsia="zh-CN"/>
                    </w:rPr>
                  </w:pPr>
                  <w:r>
                    <w:rPr>
                      <w:rFonts w:hint="eastAsia" w:ascii="Times New Roman" w:hAnsi="Times New Roman" w:cs="Times New Roman"/>
                      <w:color w:val="auto"/>
                      <w:spacing w:val="0"/>
                      <w:sz w:val="18"/>
                      <w:szCs w:val="18"/>
                      <w:highlight w:val="none"/>
                      <w:vertAlign w:val="baseline"/>
                      <w:lang w:val="en-US" w:eastAsia="zh-CN"/>
                    </w:rPr>
                    <w:t>个</w:t>
                  </w:r>
                </w:p>
              </w:tc>
              <w:tc>
                <w:tcPr>
                  <w:tcW w:w="1006" w:type="dxa"/>
                  <w:tcBorders>
                    <w:tl2br w:val="nil"/>
                    <w:tr2bl w:val="nil"/>
                  </w:tcBorders>
                  <w:vAlign w:val="center"/>
                </w:tcPr>
                <w:p w14:paraId="6C5AD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利旧</w:t>
                  </w:r>
                </w:p>
              </w:tc>
            </w:tr>
            <w:tr w14:paraId="0FC1FC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1A5AB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13</w:t>
                  </w:r>
                </w:p>
              </w:tc>
              <w:tc>
                <w:tcPr>
                  <w:tcW w:w="2044" w:type="dxa"/>
                  <w:tcBorders>
                    <w:tl2br w:val="nil"/>
                    <w:tr2bl w:val="nil"/>
                  </w:tcBorders>
                  <w:vAlign w:val="center"/>
                </w:tcPr>
                <w:p w14:paraId="27EC4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防渗储水罐</w:t>
                  </w:r>
                </w:p>
              </w:tc>
              <w:tc>
                <w:tcPr>
                  <w:tcW w:w="3397" w:type="dxa"/>
                  <w:tcBorders>
                    <w:tl2br w:val="nil"/>
                    <w:tr2bl w:val="nil"/>
                  </w:tcBorders>
                  <w:vAlign w:val="center"/>
                </w:tcPr>
                <w:p w14:paraId="6B75F6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70m</w:t>
                  </w:r>
                  <w:r>
                    <w:rPr>
                      <w:rFonts w:hint="eastAsia" w:cs="Times New Roman"/>
                      <w:color w:val="auto"/>
                      <w:sz w:val="18"/>
                      <w:szCs w:val="18"/>
                      <w:highlight w:val="none"/>
                      <w:vertAlign w:val="superscript"/>
                      <w:lang w:val="en-US" w:eastAsia="zh-CN"/>
                    </w:rPr>
                    <w:t>3</w:t>
                  </w:r>
                </w:p>
              </w:tc>
              <w:tc>
                <w:tcPr>
                  <w:tcW w:w="603" w:type="dxa"/>
                  <w:tcBorders>
                    <w:tl2br w:val="nil"/>
                    <w:tr2bl w:val="nil"/>
                  </w:tcBorders>
                  <w:vAlign w:val="center"/>
                </w:tcPr>
                <w:p w14:paraId="15262C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10" w:type="dxa"/>
                  <w:tcBorders>
                    <w:tl2br w:val="nil"/>
                    <w:tr2bl w:val="nil"/>
                  </w:tcBorders>
                  <w:vAlign w:val="center"/>
                </w:tcPr>
                <w:p w14:paraId="710FBF3D">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vertAlign w:val="baseline"/>
                      <w:lang w:val="en-US" w:eastAsia="zh-CN"/>
                    </w:rPr>
                  </w:pPr>
                  <w:r>
                    <w:rPr>
                      <w:rFonts w:hint="eastAsia" w:ascii="Times New Roman" w:hAnsi="Times New Roman" w:cs="Times New Roman"/>
                      <w:color w:val="auto"/>
                      <w:spacing w:val="0"/>
                      <w:sz w:val="18"/>
                      <w:szCs w:val="18"/>
                      <w:highlight w:val="none"/>
                      <w:vertAlign w:val="baseline"/>
                      <w:lang w:val="en-US" w:eastAsia="zh-CN"/>
                    </w:rPr>
                    <w:t>个</w:t>
                  </w:r>
                </w:p>
              </w:tc>
              <w:tc>
                <w:tcPr>
                  <w:tcW w:w="1006" w:type="dxa"/>
                  <w:tcBorders>
                    <w:tl2br w:val="nil"/>
                    <w:tr2bl w:val="nil"/>
                  </w:tcBorders>
                  <w:vAlign w:val="center"/>
                </w:tcPr>
                <w:p w14:paraId="2D9117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新建</w:t>
                  </w:r>
                </w:p>
              </w:tc>
            </w:tr>
          </w:tbl>
          <w:p w14:paraId="453B03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 w:val="21"/>
                <w:szCs w:val="21"/>
                <w:highlight w:val="none"/>
              </w:rPr>
            </w:pPr>
            <w:r>
              <w:rPr>
                <w:rFonts w:hint="eastAsia" w:cs="Times New Roman"/>
                <w:b/>
                <w:bCs/>
                <w:color w:val="auto"/>
                <w:kern w:val="0"/>
                <w:sz w:val="21"/>
                <w:szCs w:val="21"/>
                <w:highlight w:val="none"/>
                <w:lang w:val="en-US" w:eastAsia="zh-CN"/>
              </w:rPr>
              <w:t>3</w:t>
            </w:r>
            <w:r>
              <w:rPr>
                <w:rFonts w:hint="default" w:ascii="Times New Roman" w:hAnsi="Times New Roman" w:cs="Times New Roman"/>
                <w:b/>
                <w:bCs/>
                <w:color w:val="auto"/>
                <w:kern w:val="0"/>
                <w:sz w:val="21"/>
                <w:szCs w:val="21"/>
                <w:highlight w:val="none"/>
              </w:rPr>
              <w:t>、原辅材料</w:t>
            </w:r>
          </w:p>
          <w:p w14:paraId="669BAE23">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3</w:t>
            </w:r>
            <w:r>
              <w:rPr>
                <w:rFonts w:hint="default" w:ascii="Times New Roman" w:hAnsi="Times New Roman" w:eastAsia="宋体" w:cs="Times New Roman"/>
                <w:b/>
                <w:bCs/>
                <w:snapToGrid w:val="0"/>
                <w:color w:val="auto"/>
                <w:szCs w:val="21"/>
                <w:highlight w:val="none"/>
              </w:rPr>
              <w:t>原辅材料消耗一览表</w:t>
            </w:r>
          </w:p>
          <w:tbl>
            <w:tblPr>
              <w:tblStyle w:val="3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2449"/>
              <w:gridCol w:w="2451"/>
              <w:gridCol w:w="1167"/>
              <w:gridCol w:w="1069"/>
            </w:tblGrid>
            <w:tr w14:paraId="691937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dxa"/>
                  <w:tcBorders>
                    <w:tl2br w:val="nil"/>
                    <w:tr2bl w:val="nil"/>
                  </w:tcBorders>
                  <w:vAlign w:val="center"/>
                </w:tcPr>
                <w:p w14:paraId="3B89292D">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1337" w:type="dxa"/>
                  <w:tcBorders>
                    <w:tl2br w:val="nil"/>
                    <w:tr2bl w:val="nil"/>
                  </w:tcBorders>
                  <w:vAlign w:val="center"/>
                </w:tcPr>
                <w:p w14:paraId="76A02409">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原辅材料名称</w:t>
                  </w:r>
                </w:p>
              </w:tc>
              <w:tc>
                <w:tcPr>
                  <w:tcW w:w="1338" w:type="dxa"/>
                  <w:tcBorders>
                    <w:tl2br w:val="nil"/>
                    <w:tr2bl w:val="nil"/>
                  </w:tcBorders>
                  <w:vAlign w:val="center"/>
                </w:tcPr>
                <w:p w14:paraId="0602745D">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年用量</w:t>
                  </w:r>
                </w:p>
              </w:tc>
              <w:tc>
                <w:tcPr>
                  <w:tcW w:w="637" w:type="dxa"/>
                  <w:tcBorders>
                    <w:tl2br w:val="nil"/>
                    <w:tr2bl w:val="nil"/>
                  </w:tcBorders>
                  <w:vAlign w:val="center"/>
                </w:tcPr>
                <w:p w14:paraId="5F77EC2F">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c>
                <w:tcPr>
                  <w:tcW w:w="583" w:type="dxa"/>
                  <w:tcBorders>
                    <w:tl2br w:val="nil"/>
                    <w:tr2bl w:val="nil"/>
                  </w:tcBorders>
                  <w:vAlign w:val="center"/>
                </w:tcPr>
                <w:p w14:paraId="36CBC188">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备注</w:t>
                  </w:r>
                </w:p>
              </w:tc>
            </w:tr>
            <w:tr w14:paraId="5BEE5A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dxa"/>
                  <w:tcBorders>
                    <w:tl2br w:val="nil"/>
                    <w:tr2bl w:val="nil"/>
                  </w:tcBorders>
                  <w:vAlign w:val="center"/>
                </w:tcPr>
                <w:p w14:paraId="2C4A3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pacing w:val="0"/>
                      <w:sz w:val="18"/>
                      <w:szCs w:val="18"/>
                      <w:highlight w:val="none"/>
                      <w:vertAlign w:val="baseline"/>
                      <w:lang w:val="en-US" w:eastAsia="zh-CN"/>
                    </w:rPr>
                  </w:pPr>
                  <w:r>
                    <w:rPr>
                      <w:rFonts w:hint="default" w:ascii="Times New Roman" w:hAnsi="Times New Roman" w:cs="Times New Roman"/>
                      <w:color w:val="auto"/>
                      <w:spacing w:val="0"/>
                      <w:sz w:val="18"/>
                      <w:szCs w:val="18"/>
                      <w:highlight w:val="none"/>
                      <w:vertAlign w:val="baseline"/>
                      <w:lang w:val="en-US" w:eastAsia="zh-CN"/>
                    </w:rPr>
                    <w:t>1</w:t>
                  </w:r>
                </w:p>
              </w:tc>
              <w:tc>
                <w:tcPr>
                  <w:tcW w:w="1337" w:type="dxa"/>
                  <w:tcBorders>
                    <w:tl2br w:val="nil"/>
                    <w:tr2bl w:val="nil"/>
                  </w:tcBorders>
                  <w:vAlign w:val="center"/>
                </w:tcPr>
                <w:p w14:paraId="12BD961C">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eastAsiaTheme="minorEastAsia"/>
                      <w:color w:val="auto"/>
                      <w:spacing w:val="0"/>
                      <w:sz w:val="18"/>
                      <w:szCs w:val="18"/>
                      <w:highlight w:val="none"/>
                      <w:vertAlign w:val="baseline"/>
                      <w:lang w:val="en-US" w:eastAsia="zh-CN"/>
                    </w:rPr>
                  </w:pPr>
                  <w:r>
                    <w:rPr>
                      <w:rFonts w:hint="eastAsia" w:eastAsiaTheme="minorEastAsia"/>
                      <w:color w:val="auto"/>
                      <w:spacing w:val="0"/>
                      <w:sz w:val="18"/>
                      <w:szCs w:val="18"/>
                      <w:highlight w:val="none"/>
                      <w:lang w:val="en-US" w:eastAsia="zh-CN"/>
                    </w:rPr>
                    <w:t>生物质燃料</w:t>
                  </w:r>
                </w:p>
              </w:tc>
              <w:tc>
                <w:tcPr>
                  <w:tcW w:w="1338" w:type="dxa"/>
                  <w:tcBorders>
                    <w:tl2br w:val="nil"/>
                    <w:tr2bl w:val="nil"/>
                  </w:tcBorders>
                  <w:vAlign w:val="center"/>
                </w:tcPr>
                <w:p w14:paraId="454290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25137.15</w:t>
                  </w:r>
                </w:p>
              </w:tc>
              <w:tc>
                <w:tcPr>
                  <w:tcW w:w="637" w:type="dxa"/>
                  <w:tcBorders>
                    <w:tl2br w:val="nil"/>
                    <w:tr2bl w:val="nil"/>
                  </w:tcBorders>
                  <w:vAlign w:val="center"/>
                </w:tcPr>
                <w:p w14:paraId="51B4BAF4">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ascii="Times New Roman" w:hAnsi="Times New Roman" w:cs="Times New Roman"/>
                      <w:color w:val="auto"/>
                      <w:spacing w:val="0"/>
                      <w:sz w:val="18"/>
                      <w:szCs w:val="18"/>
                      <w:highlight w:val="none"/>
                      <w:lang w:val="en-US" w:eastAsia="zh-CN"/>
                    </w:rPr>
                    <w:t>t</w:t>
                  </w:r>
                  <w:r>
                    <w:rPr>
                      <w:rFonts w:hint="default" w:ascii="Times New Roman" w:hAnsi="Times New Roman" w:cs="Times New Roman"/>
                      <w:color w:val="auto"/>
                      <w:spacing w:val="0"/>
                      <w:sz w:val="18"/>
                      <w:szCs w:val="18"/>
                      <w:highlight w:val="none"/>
                      <w:lang w:val="en-US" w:eastAsia="zh-CN"/>
                    </w:rPr>
                    <w:t>/a</w:t>
                  </w:r>
                </w:p>
              </w:tc>
              <w:tc>
                <w:tcPr>
                  <w:tcW w:w="583" w:type="dxa"/>
                  <w:tcBorders>
                    <w:tl2br w:val="nil"/>
                    <w:tr2bl w:val="nil"/>
                  </w:tcBorders>
                  <w:vAlign w:val="center"/>
                </w:tcPr>
                <w:p w14:paraId="083FF3FE">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外购</w:t>
                  </w:r>
                </w:p>
              </w:tc>
            </w:tr>
            <w:tr w14:paraId="0C0315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dxa"/>
                  <w:tcBorders>
                    <w:tl2br w:val="nil"/>
                    <w:tr2bl w:val="nil"/>
                  </w:tcBorders>
                  <w:vAlign w:val="center"/>
                </w:tcPr>
                <w:p w14:paraId="06A09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2</w:t>
                  </w:r>
                </w:p>
              </w:tc>
              <w:tc>
                <w:tcPr>
                  <w:tcW w:w="1337" w:type="dxa"/>
                  <w:tcBorders>
                    <w:tl2br w:val="nil"/>
                    <w:tr2bl w:val="nil"/>
                  </w:tcBorders>
                  <w:vAlign w:val="center"/>
                </w:tcPr>
                <w:p w14:paraId="32CD5E04">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eastAsiaTheme="minorEastAsia"/>
                      <w:color w:val="auto"/>
                      <w:spacing w:val="0"/>
                      <w:sz w:val="18"/>
                      <w:szCs w:val="18"/>
                      <w:highlight w:val="none"/>
                      <w:lang w:val="en-US" w:eastAsia="zh-CN"/>
                    </w:rPr>
                  </w:pPr>
                  <w:r>
                    <w:rPr>
                      <w:rFonts w:hint="eastAsia" w:eastAsiaTheme="minorEastAsia"/>
                      <w:color w:val="auto"/>
                      <w:spacing w:val="0"/>
                      <w:sz w:val="18"/>
                      <w:szCs w:val="18"/>
                      <w:highlight w:val="none"/>
                      <w:lang w:val="en-US" w:eastAsia="zh-CN"/>
                    </w:rPr>
                    <w:t>离子交换树脂</w:t>
                  </w:r>
                </w:p>
              </w:tc>
              <w:tc>
                <w:tcPr>
                  <w:tcW w:w="1338" w:type="dxa"/>
                  <w:tcBorders>
                    <w:tl2br w:val="nil"/>
                    <w:tr2bl w:val="nil"/>
                  </w:tcBorders>
                  <w:vAlign w:val="center"/>
                </w:tcPr>
                <w:p w14:paraId="32495B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1.8</w:t>
                  </w:r>
                </w:p>
              </w:tc>
              <w:tc>
                <w:tcPr>
                  <w:tcW w:w="637" w:type="dxa"/>
                  <w:tcBorders>
                    <w:tl2br w:val="nil"/>
                    <w:tr2bl w:val="nil"/>
                  </w:tcBorders>
                  <w:vAlign w:val="center"/>
                </w:tcPr>
                <w:p w14:paraId="6D8563A4">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t</w:t>
                  </w:r>
                  <w:r>
                    <w:rPr>
                      <w:rFonts w:hint="default" w:ascii="Times New Roman" w:hAnsi="Times New Roman" w:cs="Times New Roman"/>
                      <w:color w:val="auto"/>
                      <w:spacing w:val="0"/>
                      <w:sz w:val="18"/>
                      <w:szCs w:val="18"/>
                      <w:highlight w:val="none"/>
                      <w:lang w:val="en-US" w:eastAsia="zh-CN"/>
                    </w:rPr>
                    <w:t>/a</w:t>
                  </w:r>
                </w:p>
              </w:tc>
              <w:tc>
                <w:tcPr>
                  <w:tcW w:w="583" w:type="dxa"/>
                  <w:tcBorders>
                    <w:tl2br w:val="nil"/>
                    <w:tr2bl w:val="nil"/>
                  </w:tcBorders>
                  <w:vAlign w:val="center"/>
                </w:tcPr>
                <w:p w14:paraId="7C3209A4">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外购</w:t>
                  </w:r>
                </w:p>
              </w:tc>
            </w:tr>
            <w:tr w14:paraId="04600F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dxa"/>
                  <w:tcBorders>
                    <w:tl2br w:val="nil"/>
                    <w:tr2bl w:val="nil"/>
                  </w:tcBorders>
                  <w:vAlign w:val="center"/>
                </w:tcPr>
                <w:p w14:paraId="2B02CC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3</w:t>
                  </w:r>
                </w:p>
              </w:tc>
              <w:tc>
                <w:tcPr>
                  <w:tcW w:w="1337" w:type="dxa"/>
                  <w:tcBorders>
                    <w:tl2br w:val="nil"/>
                    <w:tr2bl w:val="nil"/>
                  </w:tcBorders>
                  <w:vAlign w:val="center"/>
                </w:tcPr>
                <w:p w14:paraId="0C65D333">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eastAsiaTheme="minorEastAsia"/>
                      <w:color w:val="auto"/>
                      <w:spacing w:val="0"/>
                      <w:sz w:val="18"/>
                      <w:szCs w:val="18"/>
                      <w:highlight w:val="none"/>
                      <w:lang w:val="en-US" w:eastAsia="zh-CN"/>
                    </w:rPr>
                  </w:pPr>
                  <w:r>
                    <w:rPr>
                      <w:rFonts w:hint="eastAsia" w:eastAsiaTheme="minorEastAsia"/>
                      <w:color w:val="auto"/>
                      <w:spacing w:val="0"/>
                      <w:sz w:val="18"/>
                      <w:szCs w:val="18"/>
                      <w:highlight w:val="none"/>
                      <w:lang w:val="en-US" w:eastAsia="zh-CN"/>
                    </w:rPr>
                    <w:t>锅炉补充水</w:t>
                  </w:r>
                </w:p>
              </w:tc>
              <w:tc>
                <w:tcPr>
                  <w:tcW w:w="1338" w:type="dxa"/>
                  <w:tcBorders>
                    <w:tl2br w:val="nil"/>
                    <w:tr2bl w:val="nil"/>
                  </w:tcBorders>
                  <w:vAlign w:val="center"/>
                </w:tcPr>
                <w:p w14:paraId="038164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z w:val="18"/>
                      <w:szCs w:val="18"/>
                      <w:highlight w:val="none"/>
                      <w:lang w:val="en-US" w:eastAsia="zh-CN"/>
                    </w:rPr>
                  </w:pPr>
                  <w:r>
                    <w:rPr>
                      <w:rFonts w:hint="eastAsia" w:cs="Times New Roman"/>
                      <w:bCs/>
                      <w:color w:val="auto"/>
                      <w:sz w:val="18"/>
                      <w:szCs w:val="18"/>
                      <w:highlight w:val="none"/>
                      <w:lang w:val="en-US" w:eastAsia="zh-CN"/>
                    </w:rPr>
                    <w:t>8948.83</w:t>
                  </w:r>
                </w:p>
              </w:tc>
              <w:tc>
                <w:tcPr>
                  <w:tcW w:w="637" w:type="dxa"/>
                  <w:tcBorders>
                    <w:tl2br w:val="nil"/>
                    <w:tr2bl w:val="nil"/>
                  </w:tcBorders>
                  <w:vAlign w:val="center"/>
                </w:tcPr>
                <w:p w14:paraId="2BC09844">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default" w:ascii="Times New Roman" w:hAnsi="Times New Roman" w:eastAsia="宋体" w:cs="Times New Roman"/>
                      <w:bCs/>
                      <w:color w:val="auto"/>
                      <w:sz w:val="18"/>
                      <w:szCs w:val="18"/>
                      <w:highlight w:val="none"/>
                    </w:rPr>
                    <w:t>t/a</w:t>
                  </w:r>
                </w:p>
              </w:tc>
              <w:tc>
                <w:tcPr>
                  <w:tcW w:w="583" w:type="dxa"/>
                  <w:tcBorders>
                    <w:tl2br w:val="nil"/>
                    <w:tr2bl w:val="nil"/>
                  </w:tcBorders>
                  <w:vAlign w:val="center"/>
                </w:tcPr>
                <w:p w14:paraId="7900F78E">
                  <w:pPr>
                    <w:pStyle w:val="1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外购</w:t>
                  </w:r>
                </w:p>
              </w:tc>
            </w:tr>
          </w:tbl>
          <w:p w14:paraId="0B200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21"/>
                <w:szCs w:val="21"/>
                <w:highlight w:val="none"/>
                <w:lang w:val="en-US" w:eastAsia="zh-CN"/>
              </w:rPr>
            </w:pPr>
            <w:r>
              <w:rPr>
                <w:rFonts w:hint="default" w:ascii="Times New Roman" w:hAnsi="Times New Roman" w:cs="Times New Roman"/>
                <w:b/>
                <w:bCs/>
                <w:color w:val="auto"/>
                <w:kern w:val="21"/>
                <w:szCs w:val="21"/>
                <w:highlight w:val="none"/>
                <w:lang w:val="en-US" w:eastAsia="zh-CN"/>
              </w:rPr>
              <w:t>表2-4生物质燃料分析表</w:t>
            </w:r>
          </w:p>
          <w:tbl>
            <w:tblPr>
              <w:tblStyle w:val="3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8"/>
              <w:gridCol w:w="750"/>
              <w:gridCol w:w="796"/>
              <w:gridCol w:w="773"/>
              <w:gridCol w:w="872"/>
              <w:gridCol w:w="1136"/>
              <w:gridCol w:w="1365"/>
              <w:gridCol w:w="1158"/>
              <w:gridCol w:w="999"/>
            </w:tblGrid>
            <w:tr w14:paraId="37BC4A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8" w:type="dxa"/>
                  <w:vAlign w:val="center"/>
                </w:tcPr>
                <w:p w14:paraId="7203776C">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燃料</w:t>
                  </w:r>
                </w:p>
              </w:tc>
              <w:tc>
                <w:tcPr>
                  <w:tcW w:w="1546" w:type="dxa"/>
                  <w:gridSpan w:val="2"/>
                  <w:vAlign w:val="center"/>
                </w:tcPr>
                <w:p w14:paraId="0F52A668">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收到基低位发热量</w:t>
                  </w:r>
                </w:p>
              </w:tc>
              <w:tc>
                <w:tcPr>
                  <w:tcW w:w="1645" w:type="dxa"/>
                  <w:gridSpan w:val="2"/>
                  <w:vAlign w:val="center"/>
                </w:tcPr>
                <w:p w14:paraId="12B1E6DC">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空气干燥基高位发热量</w:t>
                  </w:r>
                </w:p>
              </w:tc>
              <w:tc>
                <w:tcPr>
                  <w:tcW w:w="1136" w:type="dxa"/>
                  <w:vAlign w:val="center"/>
                </w:tcPr>
                <w:p w14:paraId="7EBE036B">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空气干燥基水分</w:t>
                  </w:r>
                </w:p>
              </w:tc>
              <w:tc>
                <w:tcPr>
                  <w:tcW w:w="1365" w:type="dxa"/>
                  <w:vAlign w:val="center"/>
                </w:tcPr>
                <w:p w14:paraId="5B0D473F">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空气干燥基挥发分</w:t>
                  </w:r>
                </w:p>
              </w:tc>
              <w:tc>
                <w:tcPr>
                  <w:tcW w:w="1158" w:type="dxa"/>
                  <w:vAlign w:val="center"/>
                </w:tcPr>
                <w:p w14:paraId="5C258513">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空气干燥基灰分</w:t>
                  </w:r>
                </w:p>
              </w:tc>
              <w:tc>
                <w:tcPr>
                  <w:tcW w:w="999" w:type="dxa"/>
                  <w:vAlign w:val="center"/>
                </w:tcPr>
                <w:p w14:paraId="204FDAE4">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空气干燥基固定碳</w:t>
                  </w:r>
                </w:p>
              </w:tc>
            </w:tr>
            <w:tr w14:paraId="7ECB3B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8" w:type="dxa"/>
                  <w:vMerge w:val="restart"/>
                  <w:vAlign w:val="center"/>
                </w:tcPr>
                <w:p w14:paraId="18471FE1">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生物质燃料</w:t>
                  </w:r>
                </w:p>
              </w:tc>
              <w:tc>
                <w:tcPr>
                  <w:tcW w:w="750" w:type="dxa"/>
                  <w:vAlign w:val="center"/>
                </w:tcPr>
                <w:p w14:paraId="0B2895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rPr>
                    <w:t>kcal/kg</w:t>
                  </w:r>
                </w:p>
              </w:tc>
              <w:tc>
                <w:tcPr>
                  <w:tcW w:w="796" w:type="dxa"/>
                  <w:vAlign w:val="center"/>
                </w:tcPr>
                <w:p w14:paraId="2F178E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rPr>
                    <w:t>Qnet</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ar M</w:t>
                  </w:r>
                  <w:r>
                    <w:rPr>
                      <w:rFonts w:hint="default" w:ascii="Times New Roman" w:hAnsi="Times New Roman" w:eastAsia="宋体" w:cs="Times New Roman"/>
                      <w:color w:val="auto"/>
                      <w:sz w:val="18"/>
                      <w:szCs w:val="18"/>
                      <w:highlight w:val="none"/>
                      <w:lang w:val="en-US" w:eastAsia="zh-CN"/>
                    </w:rPr>
                    <w:t>J</w:t>
                  </w:r>
                  <w:r>
                    <w:rPr>
                      <w:rFonts w:hint="default" w:ascii="Times New Roman" w:hAnsi="Times New Roman" w:eastAsia="宋体" w:cs="Times New Roman"/>
                      <w:color w:val="auto"/>
                      <w:sz w:val="18"/>
                      <w:szCs w:val="18"/>
                      <w:highlight w:val="none"/>
                    </w:rPr>
                    <w:t>/kg</w:t>
                  </w:r>
                </w:p>
              </w:tc>
              <w:tc>
                <w:tcPr>
                  <w:tcW w:w="773" w:type="dxa"/>
                  <w:vAlign w:val="center"/>
                </w:tcPr>
                <w:p w14:paraId="2A25DE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rPr>
                    <w:t>kcal/kg</w:t>
                  </w:r>
                </w:p>
              </w:tc>
              <w:tc>
                <w:tcPr>
                  <w:tcW w:w="872" w:type="dxa"/>
                  <w:vAlign w:val="center"/>
                </w:tcPr>
                <w:p w14:paraId="47D3B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rPr>
                    <w:t>Qnet</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ar M</w:t>
                  </w:r>
                  <w:r>
                    <w:rPr>
                      <w:rFonts w:hint="default" w:ascii="Times New Roman" w:hAnsi="Times New Roman" w:eastAsia="宋体" w:cs="Times New Roman"/>
                      <w:color w:val="auto"/>
                      <w:sz w:val="18"/>
                      <w:szCs w:val="18"/>
                      <w:highlight w:val="none"/>
                      <w:lang w:val="en-US" w:eastAsia="zh-CN"/>
                    </w:rPr>
                    <w:t>J</w:t>
                  </w:r>
                  <w:r>
                    <w:rPr>
                      <w:rFonts w:hint="default" w:ascii="Times New Roman" w:hAnsi="Times New Roman" w:eastAsia="宋体" w:cs="Times New Roman"/>
                      <w:color w:val="auto"/>
                      <w:sz w:val="18"/>
                      <w:szCs w:val="18"/>
                      <w:highlight w:val="none"/>
                    </w:rPr>
                    <w:t>/kg</w:t>
                  </w:r>
                </w:p>
              </w:tc>
              <w:tc>
                <w:tcPr>
                  <w:tcW w:w="1136" w:type="dxa"/>
                  <w:vAlign w:val="center"/>
                </w:tcPr>
                <w:p w14:paraId="46C1FF77">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Mad（%）</w:t>
                  </w:r>
                </w:p>
              </w:tc>
              <w:tc>
                <w:tcPr>
                  <w:tcW w:w="1365" w:type="dxa"/>
                  <w:vAlign w:val="center"/>
                </w:tcPr>
                <w:p w14:paraId="520F2A3F">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Vad（%）</w:t>
                  </w:r>
                </w:p>
              </w:tc>
              <w:tc>
                <w:tcPr>
                  <w:tcW w:w="1158" w:type="dxa"/>
                  <w:vAlign w:val="center"/>
                </w:tcPr>
                <w:p w14:paraId="09D23D32">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Aad（%）</w:t>
                  </w:r>
                </w:p>
              </w:tc>
              <w:tc>
                <w:tcPr>
                  <w:tcW w:w="999" w:type="dxa"/>
                  <w:vAlign w:val="center"/>
                </w:tcPr>
                <w:p w14:paraId="029BFCC0">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FCad（%）</w:t>
                  </w:r>
                </w:p>
              </w:tc>
            </w:tr>
            <w:tr w14:paraId="6F471B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8" w:type="dxa"/>
                  <w:vMerge w:val="continue"/>
                  <w:vAlign w:val="center"/>
                </w:tcPr>
                <w:p w14:paraId="126BE061">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p>
              </w:tc>
              <w:tc>
                <w:tcPr>
                  <w:tcW w:w="750" w:type="dxa"/>
                  <w:vAlign w:val="center"/>
                </w:tcPr>
                <w:p w14:paraId="2F4E5BF7">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4010</w:t>
                  </w:r>
                </w:p>
              </w:tc>
              <w:tc>
                <w:tcPr>
                  <w:tcW w:w="796" w:type="dxa"/>
                  <w:vAlign w:val="center"/>
                </w:tcPr>
                <w:p w14:paraId="177D3986">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1</w:t>
                  </w:r>
                  <w:r>
                    <w:rPr>
                      <w:rFonts w:hint="eastAsia" w:ascii="Times New Roman" w:hAnsi="Times New Roman" w:eastAsia="宋体" w:cs="Times New Roman"/>
                      <w:color w:val="auto"/>
                      <w:sz w:val="18"/>
                      <w:szCs w:val="18"/>
                      <w:highlight w:val="none"/>
                      <w:vertAlign w:val="baseline"/>
                      <w:lang w:val="en-US" w:eastAsia="zh-CN"/>
                    </w:rPr>
                    <w:t>6.77</w:t>
                  </w:r>
                </w:p>
              </w:tc>
              <w:tc>
                <w:tcPr>
                  <w:tcW w:w="773" w:type="dxa"/>
                  <w:vAlign w:val="center"/>
                </w:tcPr>
                <w:p w14:paraId="4A98BD1D">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4496</w:t>
                  </w:r>
                </w:p>
              </w:tc>
              <w:tc>
                <w:tcPr>
                  <w:tcW w:w="872" w:type="dxa"/>
                  <w:vAlign w:val="center"/>
                </w:tcPr>
                <w:p w14:paraId="5254788D">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1</w:t>
                  </w:r>
                  <w:r>
                    <w:rPr>
                      <w:rFonts w:hint="eastAsia" w:ascii="Times New Roman" w:hAnsi="Times New Roman" w:eastAsia="宋体" w:cs="Times New Roman"/>
                      <w:color w:val="auto"/>
                      <w:sz w:val="18"/>
                      <w:szCs w:val="18"/>
                      <w:highlight w:val="none"/>
                      <w:vertAlign w:val="baseline"/>
                      <w:lang w:val="en-US" w:eastAsia="zh-CN"/>
                    </w:rPr>
                    <w:t>8.80</w:t>
                  </w:r>
                </w:p>
              </w:tc>
              <w:tc>
                <w:tcPr>
                  <w:tcW w:w="1136" w:type="dxa"/>
                  <w:vAlign w:val="center"/>
                </w:tcPr>
                <w:p w14:paraId="49345DCA">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5.55</w:t>
                  </w:r>
                </w:p>
              </w:tc>
              <w:tc>
                <w:tcPr>
                  <w:tcW w:w="1365" w:type="dxa"/>
                  <w:vAlign w:val="center"/>
                </w:tcPr>
                <w:p w14:paraId="2894FC81">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73.22</w:t>
                  </w:r>
                </w:p>
              </w:tc>
              <w:tc>
                <w:tcPr>
                  <w:tcW w:w="1158" w:type="dxa"/>
                  <w:vAlign w:val="center"/>
                </w:tcPr>
                <w:p w14:paraId="0A8BC18E">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6.56</w:t>
                  </w:r>
                </w:p>
              </w:tc>
              <w:tc>
                <w:tcPr>
                  <w:tcW w:w="999" w:type="dxa"/>
                  <w:vAlign w:val="center"/>
                </w:tcPr>
                <w:p w14:paraId="26EBF0EA">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1</w:t>
                  </w:r>
                  <w:r>
                    <w:rPr>
                      <w:rFonts w:hint="eastAsia" w:ascii="Times New Roman" w:hAnsi="Times New Roman" w:eastAsia="宋体" w:cs="Times New Roman"/>
                      <w:color w:val="auto"/>
                      <w:sz w:val="18"/>
                      <w:szCs w:val="18"/>
                      <w:highlight w:val="none"/>
                      <w:vertAlign w:val="baseline"/>
                      <w:lang w:val="en-US" w:eastAsia="zh-CN"/>
                    </w:rPr>
                    <w:t>4.67</w:t>
                  </w:r>
                </w:p>
              </w:tc>
            </w:tr>
            <w:tr w14:paraId="3010D7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8" w:type="dxa"/>
                  <w:vMerge w:val="continue"/>
                  <w:vAlign w:val="center"/>
                </w:tcPr>
                <w:p w14:paraId="1EBF1519">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p>
              </w:tc>
              <w:tc>
                <w:tcPr>
                  <w:tcW w:w="3191" w:type="dxa"/>
                  <w:gridSpan w:val="4"/>
                  <w:vAlign w:val="center"/>
                </w:tcPr>
                <w:p w14:paraId="7053EE53">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空气干燥基全硫</w:t>
                  </w:r>
                </w:p>
              </w:tc>
              <w:tc>
                <w:tcPr>
                  <w:tcW w:w="2501" w:type="dxa"/>
                  <w:gridSpan w:val="2"/>
                  <w:vAlign w:val="center"/>
                </w:tcPr>
                <w:p w14:paraId="18CEFFAC">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收到基</w:t>
                  </w:r>
                  <w:r>
                    <w:rPr>
                      <w:rFonts w:hint="default" w:ascii="Times New Roman" w:hAnsi="Times New Roman" w:eastAsia="宋体" w:cs="Times New Roman"/>
                      <w:color w:val="auto"/>
                      <w:sz w:val="18"/>
                      <w:szCs w:val="18"/>
                      <w:highlight w:val="none"/>
                      <w:vertAlign w:val="baseline"/>
                      <w:lang w:val="en-US" w:eastAsia="zh-CN"/>
                    </w:rPr>
                    <w:t>全水分</w:t>
                  </w:r>
                </w:p>
              </w:tc>
              <w:tc>
                <w:tcPr>
                  <w:tcW w:w="2157" w:type="dxa"/>
                  <w:gridSpan w:val="2"/>
                  <w:vAlign w:val="center"/>
                </w:tcPr>
                <w:p w14:paraId="2D41BFC9">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空气干燥基氢</w:t>
                  </w:r>
                </w:p>
              </w:tc>
            </w:tr>
            <w:tr w14:paraId="7B76D4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8" w:type="dxa"/>
                  <w:vMerge w:val="continue"/>
                  <w:vAlign w:val="center"/>
                </w:tcPr>
                <w:p w14:paraId="7B7C65AC">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p>
              </w:tc>
              <w:tc>
                <w:tcPr>
                  <w:tcW w:w="3191" w:type="dxa"/>
                  <w:gridSpan w:val="4"/>
                  <w:vAlign w:val="center"/>
                </w:tcPr>
                <w:p w14:paraId="4D9FCC09">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St，ad（%）</w:t>
                  </w:r>
                </w:p>
              </w:tc>
              <w:tc>
                <w:tcPr>
                  <w:tcW w:w="2501" w:type="dxa"/>
                  <w:gridSpan w:val="2"/>
                  <w:vAlign w:val="center"/>
                </w:tcPr>
                <w:p w14:paraId="47630112">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Mt</w:t>
                  </w:r>
                  <w:r>
                    <w:rPr>
                      <w:rFonts w:hint="eastAsia" w:ascii="Times New Roman" w:hAnsi="Times New Roman" w:eastAsia="宋体" w:cs="Times New Roman"/>
                      <w:color w:val="auto"/>
                      <w:sz w:val="18"/>
                      <w:szCs w:val="18"/>
                      <w:highlight w:val="none"/>
                      <w:vertAlign w:val="baseline"/>
                      <w:lang w:val="en-US" w:eastAsia="zh-CN"/>
                    </w:rPr>
                    <w:t>.ar</w:t>
                  </w:r>
                  <w:r>
                    <w:rPr>
                      <w:rFonts w:hint="default" w:ascii="Times New Roman" w:hAnsi="Times New Roman" w:eastAsia="宋体" w:cs="Times New Roman"/>
                      <w:color w:val="auto"/>
                      <w:sz w:val="18"/>
                      <w:szCs w:val="18"/>
                      <w:highlight w:val="none"/>
                      <w:vertAlign w:val="baseline"/>
                      <w:lang w:val="en-US" w:eastAsia="zh-CN"/>
                    </w:rPr>
                    <w:t>（%）</w:t>
                  </w:r>
                </w:p>
              </w:tc>
              <w:tc>
                <w:tcPr>
                  <w:tcW w:w="2157" w:type="dxa"/>
                  <w:gridSpan w:val="2"/>
                  <w:vAlign w:val="center"/>
                </w:tcPr>
                <w:p w14:paraId="2AE78DA1">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H.ad</w:t>
                  </w:r>
                  <w:r>
                    <w:rPr>
                      <w:rFonts w:hint="default" w:ascii="Times New Roman" w:hAnsi="Times New Roman" w:eastAsia="宋体" w:cs="Times New Roman"/>
                      <w:color w:val="auto"/>
                      <w:sz w:val="18"/>
                      <w:szCs w:val="18"/>
                      <w:highlight w:val="none"/>
                      <w:vertAlign w:val="baseline"/>
                      <w:lang w:val="en-US" w:eastAsia="zh-CN"/>
                    </w:rPr>
                    <w:t>（%）</w:t>
                  </w:r>
                </w:p>
              </w:tc>
            </w:tr>
            <w:tr w14:paraId="537632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8" w:type="dxa"/>
                  <w:vMerge w:val="continue"/>
                  <w:vAlign w:val="center"/>
                </w:tcPr>
                <w:p w14:paraId="36F8FF28">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p>
              </w:tc>
              <w:tc>
                <w:tcPr>
                  <w:tcW w:w="3191" w:type="dxa"/>
                  <w:gridSpan w:val="4"/>
                  <w:vAlign w:val="center"/>
                </w:tcPr>
                <w:p w14:paraId="36AFD1EF">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0.0</w:t>
                  </w:r>
                  <w:r>
                    <w:rPr>
                      <w:rFonts w:hint="eastAsia" w:ascii="Times New Roman" w:hAnsi="Times New Roman" w:eastAsia="宋体" w:cs="Times New Roman"/>
                      <w:color w:val="auto"/>
                      <w:sz w:val="18"/>
                      <w:szCs w:val="18"/>
                      <w:highlight w:val="none"/>
                      <w:vertAlign w:val="baseline"/>
                      <w:lang w:val="en-US" w:eastAsia="zh-CN"/>
                    </w:rPr>
                    <w:t>2</w:t>
                  </w:r>
                </w:p>
              </w:tc>
              <w:tc>
                <w:tcPr>
                  <w:tcW w:w="2501" w:type="dxa"/>
                  <w:gridSpan w:val="2"/>
                  <w:vAlign w:val="center"/>
                </w:tcPr>
                <w:p w14:paraId="6BC8BB72">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5.5</w:t>
                  </w:r>
                </w:p>
              </w:tc>
              <w:tc>
                <w:tcPr>
                  <w:tcW w:w="2157" w:type="dxa"/>
                  <w:gridSpan w:val="2"/>
                  <w:vAlign w:val="center"/>
                </w:tcPr>
                <w:p w14:paraId="79874CF1">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4.22</w:t>
                  </w:r>
                </w:p>
              </w:tc>
            </w:tr>
          </w:tbl>
          <w:p w14:paraId="46D51B5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2" w:firstLineChars="200"/>
              <w:textAlignment w:val="auto"/>
              <w:rPr>
                <w:rFonts w:hint="default" w:ascii="Times New Roman" w:hAnsi="Times New Roman" w:eastAsia="宋体" w:cs="Times New Roman"/>
                <w:b/>
                <w:bCs/>
                <w:color w:val="auto"/>
                <w:kern w:val="21"/>
                <w:sz w:val="21"/>
                <w:szCs w:val="21"/>
                <w:highlight w:val="none"/>
                <w:lang w:val="en-US" w:eastAsia="zh-CN"/>
              </w:rPr>
            </w:pPr>
            <w:r>
              <w:rPr>
                <w:rFonts w:hint="eastAsia" w:cs="Times New Roman"/>
                <w:b/>
                <w:bCs/>
                <w:color w:val="auto"/>
                <w:kern w:val="21"/>
                <w:sz w:val="21"/>
                <w:szCs w:val="21"/>
                <w:highlight w:val="none"/>
                <w:lang w:val="en-US" w:eastAsia="zh-CN"/>
              </w:rPr>
              <w:t>4、</w:t>
            </w:r>
            <w:r>
              <w:rPr>
                <w:rFonts w:hint="default" w:ascii="Times New Roman" w:hAnsi="Times New Roman" w:eastAsia="宋体" w:cs="Times New Roman"/>
                <w:b/>
                <w:bCs/>
                <w:color w:val="auto"/>
                <w:kern w:val="21"/>
                <w:sz w:val="21"/>
                <w:szCs w:val="21"/>
                <w:highlight w:val="none"/>
                <w:lang w:val="en-US" w:eastAsia="zh-CN"/>
              </w:rPr>
              <w:t>劳动定员及工作制度</w:t>
            </w:r>
          </w:p>
          <w:p w14:paraId="22D5F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color w:val="auto"/>
                <w:kern w:val="21"/>
                <w:sz w:val="21"/>
                <w:szCs w:val="21"/>
                <w:highlight w:val="none"/>
              </w:rPr>
              <w:t>本项目</w:t>
            </w:r>
            <w:r>
              <w:rPr>
                <w:rFonts w:hint="eastAsia" w:cs="Times New Roman"/>
                <w:color w:val="auto"/>
                <w:kern w:val="21"/>
                <w:sz w:val="21"/>
                <w:szCs w:val="21"/>
                <w:highlight w:val="none"/>
                <w:lang w:val="en-US" w:eastAsia="zh-CN"/>
              </w:rPr>
              <w:t>不新增员工</w:t>
            </w:r>
            <w:r>
              <w:rPr>
                <w:rFonts w:hint="default" w:ascii="Times New Roman" w:hAnsi="Times New Roman" w:eastAsia="宋体" w:cs="Times New Roman"/>
                <w:color w:val="auto"/>
                <w:kern w:val="21"/>
                <w:sz w:val="21"/>
                <w:szCs w:val="21"/>
                <w:highlight w:val="none"/>
              </w:rPr>
              <w:t>，</w:t>
            </w:r>
            <w:r>
              <w:rPr>
                <w:rFonts w:hint="eastAsia" w:cs="Times New Roman"/>
                <w:color w:val="auto"/>
                <w:kern w:val="21"/>
                <w:sz w:val="21"/>
                <w:szCs w:val="21"/>
                <w:highlight w:val="none"/>
                <w:lang w:val="en-US" w:eastAsia="zh-CN"/>
              </w:rPr>
              <w:t>3台10t/h生物质蒸汽锅炉仅供暖期运行，供暖期</w:t>
            </w:r>
            <w:r>
              <w:rPr>
                <w:rFonts w:hint="eastAsia"/>
                <w:color w:val="auto"/>
                <w:highlight w:val="none"/>
                <w:lang w:val="en-US" w:eastAsia="zh-CN"/>
              </w:rPr>
              <w:t>24小时满负荷运行，10月-4月，</w:t>
            </w:r>
            <w:r>
              <w:rPr>
                <w:rFonts w:hint="eastAsia" w:cs="Times New Roman"/>
                <w:color w:val="auto"/>
                <w:kern w:val="21"/>
                <w:sz w:val="21"/>
                <w:szCs w:val="21"/>
                <w:highlight w:val="none"/>
                <w:lang w:val="en-US" w:eastAsia="zh-CN"/>
              </w:rPr>
              <w:t>供暖期运行210</w:t>
            </w:r>
            <w:r>
              <w:rPr>
                <w:rFonts w:hint="default" w:ascii="Times New Roman" w:hAnsi="Times New Roman" w:eastAsia="宋体" w:cs="Times New Roman"/>
                <w:color w:val="auto"/>
                <w:kern w:val="21"/>
                <w:sz w:val="21"/>
                <w:szCs w:val="21"/>
                <w:highlight w:val="none"/>
              </w:rPr>
              <w:t>天</w:t>
            </w:r>
            <w:r>
              <w:rPr>
                <w:rFonts w:hint="eastAsia" w:cs="Times New Roman"/>
                <w:color w:val="auto"/>
                <w:kern w:val="21"/>
                <w:sz w:val="21"/>
                <w:szCs w:val="21"/>
                <w:highlight w:val="none"/>
                <w:lang w:eastAsia="zh-CN"/>
              </w:rPr>
              <w:t>。</w:t>
            </w:r>
          </w:p>
          <w:p w14:paraId="4EB7AA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kern w:val="0"/>
                <w:sz w:val="21"/>
                <w:szCs w:val="21"/>
                <w:highlight w:val="none"/>
                <w:lang w:eastAsia="zh-CN"/>
              </w:rPr>
            </w:pPr>
            <w:r>
              <w:rPr>
                <w:rFonts w:hint="eastAsia" w:cs="Times New Roman"/>
                <w:b/>
                <w:bCs/>
                <w:color w:val="auto"/>
                <w:kern w:val="0"/>
                <w:sz w:val="21"/>
                <w:szCs w:val="21"/>
                <w:highlight w:val="none"/>
                <w:lang w:val="en-US" w:eastAsia="zh-CN"/>
              </w:rPr>
              <w:t>5、</w:t>
            </w:r>
            <w:r>
              <w:rPr>
                <w:rFonts w:hint="default" w:ascii="Times New Roman" w:hAnsi="Times New Roman" w:eastAsia="宋体" w:cs="Times New Roman"/>
                <w:b/>
                <w:bCs/>
                <w:color w:val="auto"/>
                <w:kern w:val="0"/>
                <w:sz w:val="21"/>
                <w:szCs w:val="21"/>
                <w:highlight w:val="none"/>
              </w:rPr>
              <w:t>公</w:t>
            </w:r>
            <w:r>
              <w:rPr>
                <w:rFonts w:hint="eastAsia" w:cs="Times New Roman"/>
                <w:b/>
                <w:bCs/>
                <w:color w:val="auto"/>
                <w:kern w:val="0"/>
                <w:sz w:val="21"/>
                <w:szCs w:val="21"/>
                <w:highlight w:val="none"/>
                <w:lang w:val="en-US" w:eastAsia="zh-CN"/>
              </w:rPr>
              <w:t>用</w:t>
            </w:r>
            <w:r>
              <w:rPr>
                <w:rFonts w:hint="default" w:ascii="Times New Roman" w:hAnsi="Times New Roman" w:eastAsia="宋体" w:cs="Times New Roman"/>
                <w:b/>
                <w:bCs/>
                <w:color w:val="auto"/>
                <w:kern w:val="0"/>
                <w:sz w:val="21"/>
                <w:szCs w:val="21"/>
                <w:highlight w:val="none"/>
              </w:rPr>
              <w:t>工程</w:t>
            </w:r>
          </w:p>
          <w:p w14:paraId="623F3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（1）给水</w:t>
            </w:r>
          </w:p>
          <w:p w14:paraId="45965C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rPr>
              <w:t>①</w:t>
            </w:r>
            <w:r>
              <w:rPr>
                <w:rFonts w:hint="eastAsia" w:cs="Times New Roman"/>
                <w:color w:val="auto"/>
                <w:sz w:val="21"/>
                <w:szCs w:val="21"/>
                <w:highlight w:val="none"/>
                <w:lang w:eastAsia="zh-CN"/>
              </w:rPr>
              <w:t>生活用水</w:t>
            </w:r>
          </w:p>
          <w:p w14:paraId="6883D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eastAsia="宋体" w:cs="Times New Roman"/>
                <w:color w:val="auto"/>
                <w:sz w:val="21"/>
                <w:szCs w:val="21"/>
                <w:highlight w:val="none"/>
                <w:lang w:val="en-US" w:eastAsia="zh-CN"/>
              </w:rPr>
            </w:pPr>
            <w:r>
              <w:rPr>
                <w:rFonts w:hint="default" w:ascii="Times New Roman" w:hAnsi="Times New Roman" w:eastAsia="宋体" w:cs="Times New Roman"/>
                <w:color w:val="auto"/>
                <w:kern w:val="21"/>
                <w:sz w:val="21"/>
                <w:szCs w:val="21"/>
                <w:highlight w:val="none"/>
              </w:rPr>
              <w:t>本项目</w:t>
            </w:r>
            <w:r>
              <w:rPr>
                <w:rFonts w:hint="eastAsia" w:cs="Times New Roman"/>
                <w:color w:val="auto"/>
                <w:kern w:val="21"/>
                <w:sz w:val="21"/>
                <w:szCs w:val="21"/>
                <w:highlight w:val="none"/>
                <w:lang w:val="en-US" w:eastAsia="zh-CN"/>
              </w:rPr>
              <w:t>不新增员工</w:t>
            </w:r>
            <w:r>
              <w:rPr>
                <w:rFonts w:hint="default" w:ascii="Times New Roman" w:hAnsi="Times New Roman" w:eastAsia="宋体" w:cs="Times New Roman"/>
                <w:color w:val="auto"/>
                <w:kern w:val="21"/>
                <w:sz w:val="21"/>
                <w:szCs w:val="21"/>
                <w:highlight w:val="none"/>
              </w:rPr>
              <w:t>，</w:t>
            </w:r>
            <w:r>
              <w:rPr>
                <w:rFonts w:hint="eastAsia" w:ascii="Times New Roman" w:hAnsi="Times New Roman" w:eastAsia="宋体" w:cs="Times New Roman"/>
                <w:color w:val="auto"/>
                <w:kern w:val="21"/>
                <w:sz w:val="21"/>
                <w:szCs w:val="21"/>
                <w:highlight w:val="none"/>
                <w:lang w:val="en-US" w:eastAsia="zh-CN"/>
              </w:rPr>
              <w:t>故无新增生活用水。</w:t>
            </w:r>
          </w:p>
          <w:p w14:paraId="14C6D4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cs="宋体"/>
                <w:color w:val="auto"/>
                <w:sz w:val="21"/>
                <w:szCs w:val="21"/>
                <w:highlight w:val="none"/>
              </w:rPr>
            </w:pPr>
            <w:r>
              <w:rPr>
                <w:rFonts w:hint="eastAsia" w:cs="Times New Roman"/>
                <w:bCs/>
                <w:color w:val="auto"/>
                <w:spacing w:val="0"/>
                <w:sz w:val="21"/>
                <w:szCs w:val="21"/>
                <w:highlight w:val="none"/>
                <w:lang w:eastAsia="zh-CN"/>
              </w:rPr>
              <w:t>②</w:t>
            </w:r>
            <w:r>
              <w:rPr>
                <w:rFonts w:hint="eastAsia" w:ascii="宋体" w:hAnsi="宋体" w:cs="宋体"/>
                <w:color w:val="auto"/>
                <w:sz w:val="21"/>
                <w:szCs w:val="21"/>
                <w:highlight w:val="none"/>
              </w:rPr>
              <w:t>锅炉用水</w:t>
            </w:r>
          </w:p>
          <w:p w14:paraId="7DC52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eastAsia" w:cs="Times New Roman"/>
                <w:color w:val="auto"/>
                <w:kern w:val="21"/>
                <w:sz w:val="21"/>
                <w:szCs w:val="21"/>
                <w:highlight w:val="none"/>
                <w:lang w:val="en-US" w:eastAsia="zh-CN"/>
              </w:rPr>
              <w:t>洗煤一厂锅炉房</w:t>
            </w:r>
            <w:r>
              <w:rPr>
                <w:rFonts w:hint="eastAsia"/>
                <w:color w:val="auto"/>
                <w:highlight w:val="none"/>
                <w:lang w:val="en-US" w:eastAsia="zh-CN"/>
              </w:rPr>
              <w:t>3台10t/h生物质蒸汽锅炉</w:t>
            </w:r>
            <w:r>
              <w:rPr>
                <w:rFonts w:hint="default"/>
                <w:color w:val="auto"/>
                <w:szCs w:val="21"/>
                <w:highlight w:val="none"/>
              </w:rPr>
              <w:t>，</w:t>
            </w:r>
            <w:r>
              <w:rPr>
                <w:rFonts w:hint="eastAsia"/>
                <w:color w:val="auto"/>
                <w:szCs w:val="21"/>
                <w:highlight w:val="none"/>
                <w:lang w:val="en-US" w:eastAsia="zh-CN"/>
              </w:rPr>
              <w:t>软化水系统处理能力35t/h，</w:t>
            </w:r>
            <w:r>
              <w:rPr>
                <w:rFonts w:hint="default" w:ascii="Times New Roman" w:hAnsi="Times New Roman" w:eastAsia="宋体" w:cs="Times New Roman"/>
                <w:bCs/>
                <w:color w:val="auto"/>
                <w:sz w:val="21"/>
                <w:szCs w:val="21"/>
                <w:highlight w:val="none"/>
                <w:lang w:val="en-US" w:eastAsia="zh-CN"/>
              </w:rPr>
              <w:t>锅炉热效率</w:t>
            </w:r>
            <w:r>
              <w:rPr>
                <w:rFonts w:hint="default" w:ascii="Times New Roman" w:hAnsi="Times New Roman" w:cs="Times New Roman"/>
                <w:color w:val="auto"/>
                <w:sz w:val="21"/>
                <w:szCs w:val="21"/>
                <w:highlight w:val="none"/>
                <w:lang w:val="en-US" w:eastAsia="zh-CN"/>
              </w:rPr>
              <w:t>为</w:t>
            </w:r>
            <w:r>
              <w:rPr>
                <w:rFonts w:hint="eastAsia" w:cs="Times New Roman"/>
                <w:color w:val="auto"/>
                <w:sz w:val="21"/>
                <w:szCs w:val="21"/>
                <w:highlight w:val="none"/>
                <w:lang w:val="en-US" w:eastAsia="zh-CN"/>
              </w:rPr>
              <w:t>9</w:t>
            </w:r>
            <w:r>
              <w:rPr>
                <w:rFonts w:hint="eastAsia" w:ascii="Times New Roman" w:hAnsi="Times New Roman" w:eastAsia="宋体" w:cs="Times New Roman"/>
                <w:bCs/>
                <w:color w:val="auto"/>
                <w:sz w:val="21"/>
                <w:szCs w:val="21"/>
                <w:highlight w:val="none"/>
                <w:lang w:val="en-US" w:eastAsia="zh-CN"/>
              </w:rPr>
              <w:t>0</w:t>
            </w:r>
            <w:r>
              <w:rPr>
                <w:rFonts w:hint="default" w:ascii="Times New Roman" w:hAnsi="Times New Roman" w:eastAsia="宋体" w:cs="Times New Roman"/>
                <w:bCs/>
                <w:color w:val="auto"/>
                <w:sz w:val="21"/>
                <w:szCs w:val="21"/>
                <w:highlight w:val="none"/>
                <w:lang w:val="en-US" w:eastAsia="zh-CN"/>
              </w:rPr>
              <w:t>%，</w:t>
            </w:r>
            <w:r>
              <w:rPr>
                <w:rFonts w:hint="eastAsia" w:ascii="Times New Roman" w:hAnsi="Times New Roman" w:eastAsia="宋体" w:cs="Times New Roman"/>
                <w:bCs/>
                <w:color w:val="auto"/>
                <w:sz w:val="21"/>
                <w:szCs w:val="21"/>
                <w:highlight w:val="none"/>
                <w:lang w:val="en-US" w:eastAsia="zh-CN"/>
              </w:rPr>
              <w:t>锅炉供暖期</w:t>
            </w:r>
            <w:r>
              <w:rPr>
                <w:rFonts w:hint="eastAsia"/>
                <w:bCs/>
                <w:color w:val="auto"/>
                <w:kern w:val="2"/>
                <w:sz w:val="21"/>
                <w:szCs w:val="21"/>
                <w:highlight w:val="none"/>
                <w:lang w:val="en-US" w:eastAsia="zh-CN"/>
              </w:rPr>
              <w:t>运行</w:t>
            </w:r>
            <w:r>
              <w:rPr>
                <w:rFonts w:hint="eastAsia" w:ascii="Times New Roman" w:hAnsi="Times New Roman" w:cs="Times New Roman"/>
                <w:color w:val="auto"/>
                <w:sz w:val="21"/>
                <w:szCs w:val="21"/>
                <w:highlight w:val="none"/>
                <w:u w:val="none" w:color="auto"/>
                <w:lang w:val="en-US" w:eastAsia="zh-CN"/>
              </w:rPr>
              <w:t>210</w:t>
            </w:r>
            <w:r>
              <w:rPr>
                <w:rFonts w:hint="default" w:ascii="Times New Roman" w:hAnsi="Times New Roman" w:cs="Times New Roman"/>
                <w:color w:val="auto"/>
                <w:sz w:val="21"/>
                <w:szCs w:val="21"/>
                <w:highlight w:val="none"/>
                <w:lang w:val="en-US" w:eastAsia="zh-CN"/>
              </w:rPr>
              <w:t>d</w:t>
            </w:r>
            <w:r>
              <w:rPr>
                <w:rFonts w:hint="eastAsia" w:ascii="Times New Roman" w:hAnsi="Times New Roman" w:cs="Times New Roman"/>
                <w:color w:val="auto"/>
                <w:sz w:val="21"/>
                <w:szCs w:val="21"/>
                <w:highlight w:val="none"/>
                <w:lang w:val="en-US" w:eastAsia="zh-CN"/>
              </w:rPr>
              <w:t>，</w:t>
            </w:r>
            <w:r>
              <w:rPr>
                <w:rFonts w:hint="eastAsia"/>
                <w:bCs/>
                <w:color w:val="auto"/>
                <w:kern w:val="2"/>
                <w:sz w:val="21"/>
                <w:szCs w:val="21"/>
                <w:highlight w:val="none"/>
                <w:lang w:val="en-US" w:eastAsia="zh-CN"/>
              </w:rPr>
              <w:t>运行时间</w:t>
            </w:r>
            <w:r>
              <w:rPr>
                <w:rFonts w:hint="eastAsia" w:ascii="Times New Roman" w:hAnsi="Times New Roman" w:cs="Times New Roman"/>
                <w:color w:val="auto"/>
                <w:sz w:val="21"/>
                <w:szCs w:val="21"/>
                <w:highlight w:val="none"/>
                <w:u w:val="none" w:color="auto"/>
                <w:lang w:val="en-US" w:eastAsia="zh-CN"/>
              </w:rPr>
              <w:t>24</w:t>
            </w:r>
            <w:r>
              <w:rPr>
                <w:rFonts w:hint="default" w:ascii="Times New Roman" w:hAnsi="Times New Roman" w:cs="Times New Roman"/>
                <w:color w:val="auto"/>
                <w:kern w:val="0"/>
                <w:sz w:val="21"/>
                <w:szCs w:val="21"/>
                <w:highlight w:val="none"/>
              </w:rPr>
              <w:t>h</w:t>
            </w:r>
            <w:r>
              <w:rPr>
                <w:rFonts w:hint="default" w:ascii="Times New Roman" w:hAnsi="Times New Roman" w:cs="Times New Roman"/>
                <w:color w:val="auto"/>
                <w:sz w:val="21"/>
                <w:szCs w:val="21"/>
                <w:highlight w:val="none"/>
                <w:lang w:val="en-US" w:eastAsia="zh-CN"/>
              </w:rPr>
              <w:t>/d</w:t>
            </w:r>
            <w:r>
              <w:rPr>
                <w:rFonts w:hint="eastAsia"/>
                <w:bCs/>
                <w:color w:val="auto"/>
                <w:kern w:val="2"/>
                <w:sz w:val="21"/>
                <w:szCs w:val="21"/>
                <w:highlight w:val="none"/>
                <w:lang w:val="en-US" w:eastAsia="zh-CN"/>
              </w:rPr>
              <w:t>，则锅炉运行过程中用水总量为756</w:t>
            </w:r>
            <w:r>
              <w:rPr>
                <w:rFonts w:hint="default" w:ascii="Times New Roman" w:hAnsi="Times New Roman" w:eastAsia="宋体" w:cs="Times New Roman"/>
                <w:bCs/>
                <w:color w:val="auto"/>
                <w:sz w:val="21"/>
                <w:szCs w:val="21"/>
                <w:highlight w:val="none"/>
                <w:lang w:val="en-US" w:eastAsia="zh-CN"/>
              </w:rPr>
              <w:t>t/d</w:t>
            </w:r>
            <w:r>
              <w:rPr>
                <w:rFonts w:hint="eastAsia" w:ascii="Times New Roman" w:hAnsi="Times New Roman" w:cs="Times New Roman"/>
                <w:bCs/>
                <w:color w:val="auto"/>
                <w:sz w:val="21"/>
                <w:szCs w:val="21"/>
                <w:highlight w:val="none"/>
                <w:lang w:val="en-US" w:eastAsia="zh-CN"/>
              </w:rPr>
              <w:t>，</w:t>
            </w:r>
            <w:r>
              <w:rPr>
                <w:rFonts w:hint="eastAsia"/>
                <w:bCs/>
                <w:color w:val="auto"/>
                <w:kern w:val="2"/>
                <w:sz w:val="21"/>
                <w:szCs w:val="21"/>
                <w:highlight w:val="none"/>
                <w:vertAlign w:val="baseline"/>
                <w:lang w:val="en-US" w:eastAsia="zh-CN"/>
              </w:rPr>
              <w:t>158760</w:t>
            </w:r>
            <w:r>
              <w:rPr>
                <w:rFonts w:hint="default" w:ascii="Times New Roman" w:hAnsi="Times New Roman" w:eastAsia="宋体" w:cs="Times New Roman"/>
                <w:bCs/>
                <w:color w:val="auto"/>
                <w:sz w:val="21"/>
                <w:szCs w:val="21"/>
                <w:highlight w:val="none"/>
                <w:lang w:val="en-US" w:eastAsia="zh-CN"/>
              </w:rPr>
              <w:t>t/a</w:t>
            </w:r>
            <w:r>
              <w:rPr>
                <w:rFonts w:hint="eastAsia" w:cs="Times New Roman"/>
                <w:bCs/>
                <w:color w:val="auto"/>
                <w:sz w:val="21"/>
                <w:szCs w:val="21"/>
                <w:highlight w:val="none"/>
                <w:lang w:val="en-US" w:eastAsia="zh-CN"/>
              </w:rPr>
              <w:t>。</w:t>
            </w:r>
            <w:r>
              <w:rPr>
                <w:rFonts w:hint="default"/>
                <w:bCs/>
                <w:color w:val="auto"/>
                <w:szCs w:val="21"/>
                <w:highlight w:val="none"/>
              </w:rPr>
              <w:t>锅炉排污水</w:t>
            </w:r>
            <w:r>
              <w:rPr>
                <w:rFonts w:hint="eastAsia"/>
                <w:bCs/>
                <w:color w:val="auto"/>
                <w:szCs w:val="21"/>
                <w:highlight w:val="none"/>
              </w:rPr>
              <w:t>及软化处理废水</w:t>
            </w:r>
            <w:r>
              <w:rPr>
                <w:rFonts w:hint="default"/>
                <w:bCs/>
                <w:color w:val="auto"/>
                <w:szCs w:val="21"/>
                <w:highlight w:val="none"/>
              </w:rPr>
              <w:t>量为</w:t>
            </w:r>
            <w:r>
              <w:rPr>
                <w:rFonts w:hint="eastAsia" w:cs="Times New Roman"/>
                <w:bCs/>
                <w:color w:val="auto"/>
                <w:sz w:val="21"/>
                <w:szCs w:val="21"/>
                <w:highlight w:val="none"/>
                <w:lang w:val="en-US" w:eastAsia="zh-CN"/>
              </w:rPr>
              <w:t>42.61</w:t>
            </w:r>
            <w:r>
              <w:rPr>
                <w:rFonts w:hint="default" w:ascii="Times New Roman" w:hAnsi="Times New Roman" w:eastAsia="宋体" w:cs="Times New Roman"/>
                <w:bCs/>
                <w:color w:val="auto"/>
                <w:sz w:val="21"/>
                <w:szCs w:val="21"/>
                <w:highlight w:val="none"/>
              </w:rPr>
              <w:t>t/d，</w:t>
            </w:r>
            <w:r>
              <w:rPr>
                <w:rFonts w:hint="eastAsia" w:cs="Times New Roman"/>
                <w:bCs/>
                <w:color w:val="auto"/>
                <w:sz w:val="21"/>
                <w:szCs w:val="21"/>
                <w:highlight w:val="none"/>
                <w:lang w:val="en-US" w:eastAsia="zh-CN"/>
              </w:rPr>
              <w:t>8948.83</w:t>
            </w:r>
            <w:r>
              <w:rPr>
                <w:rFonts w:hint="default" w:ascii="Times New Roman" w:hAnsi="Times New Roman" w:eastAsia="宋体" w:cs="Times New Roman"/>
                <w:bCs/>
                <w:color w:val="auto"/>
                <w:sz w:val="21"/>
                <w:szCs w:val="21"/>
                <w:highlight w:val="none"/>
              </w:rPr>
              <w:t>t/a</w:t>
            </w:r>
            <w:r>
              <w:rPr>
                <w:rFonts w:hint="default"/>
                <w:color w:val="auto"/>
                <w:kern w:val="0"/>
                <w:szCs w:val="21"/>
                <w:highlight w:val="none"/>
              </w:rPr>
              <w:t>。</w:t>
            </w:r>
            <w:r>
              <w:rPr>
                <w:rFonts w:hint="eastAsia" w:eastAsia="宋体" w:cs="Times New Roman"/>
                <w:bCs/>
                <w:color w:val="auto"/>
                <w:sz w:val="21"/>
                <w:szCs w:val="21"/>
                <w:highlight w:val="none"/>
                <w:lang w:val="en-US" w:eastAsia="zh-CN"/>
              </w:rPr>
              <w:t>软化水系统制水率为80%，因此软化水处理废水量为</w:t>
            </w:r>
            <w:r>
              <w:rPr>
                <w:rFonts w:hint="eastAsia" w:cs="Times New Roman"/>
                <w:bCs/>
                <w:color w:val="auto"/>
                <w:sz w:val="21"/>
                <w:szCs w:val="21"/>
                <w:highlight w:val="none"/>
                <w:lang w:val="en-US" w:eastAsia="zh-CN"/>
              </w:rPr>
              <w:t>8.522</w:t>
            </w:r>
            <w:r>
              <w:rPr>
                <w:rFonts w:hint="eastAsia" w:eastAsia="宋体" w:cs="Times New Roman"/>
                <w:bCs/>
                <w:color w:val="auto"/>
                <w:sz w:val="21"/>
                <w:szCs w:val="21"/>
                <w:highlight w:val="none"/>
                <w:lang w:val="en-US" w:eastAsia="zh-CN"/>
              </w:rPr>
              <w:t>t/d，锅炉排污水量</w:t>
            </w:r>
            <w:r>
              <w:rPr>
                <w:rFonts w:hint="eastAsia" w:cs="Times New Roman"/>
                <w:bCs/>
                <w:color w:val="auto"/>
                <w:sz w:val="21"/>
                <w:szCs w:val="21"/>
                <w:highlight w:val="none"/>
                <w:lang w:val="en-US" w:eastAsia="zh-CN"/>
              </w:rPr>
              <w:t>34.088</w:t>
            </w:r>
            <w:r>
              <w:rPr>
                <w:rFonts w:hint="eastAsia" w:eastAsia="宋体" w:cs="Times New Roman"/>
                <w:bCs/>
                <w:color w:val="auto"/>
                <w:sz w:val="21"/>
                <w:szCs w:val="21"/>
                <w:highlight w:val="none"/>
                <w:lang w:val="en-US" w:eastAsia="zh-CN"/>
              </w:rPr>
              <w:t>t/d，</w:t>
            </w:r>
            <w:r>
              <w:rPr>
                <w:rFonts w:hint="default" w:ascii="Times New Roman" w:hAnsi="Times New Roman" w:eastAsia="宋体" w:cs="Times New Roman"/>
                <w:bCs/>
                <w:color w:val="auto"/>
                <w:sz w:val="21"/>
                <w:szCs w:val="21"/>
                <w:highlight w:val="none"/>
                <w:lang w:val="en-US" w:eastAsia="zh-CN"/>
              </w:rPr>
              <w:t>锅炉</w:t>
            </w:r>
            <w:r>
              <w:rPr>
                <w:rFonts w:hint="eastAsia"/>
                <w:color w:val="auto"/>
                <w:highlight w:val="none"/>
              </w:rPr>
              <w:t>补充</w:t>
            </w:r>
            <w:r>
              <w:rPr>
                <w:rFonts w:hint="default"/>
                <w:color w:val="auto"/>
                <w:highlight w:val="none"/>
              </w:rPr>
              <w:t>用水</w:t>
            </w:r>
            <w:r>
              <w:rPr>
                <w:rFonts w:hint="default" w:ascii="Times New Roman" w:hAnsi="Times New Roman" w:eastAsia="宋体" w:cs="Times New Roman"/>
                <w:bCs/>
                <w:color w:val="auto"/>
                <w:sz w:val="21"/>
                <w:szCs w:val="21"/>
                <w:highlight w:val="none"/>
                <w:lang w:val="en-US" w:eastAsia="zh-CN"/>
              </w:rPr>
              <w:t>来自软化水制备系统</w:t>
            </w:r>
            <w:r>
              <w:rPr>
                <w:rFonts w:hint="eastAsia" w:ascii="Times New Roman" w:hAnsi="Times New Roman" w:eastAsia="宋体" w:cs="Times New Roman"/>
                <w:bCs/>
                <w:color w:val="auto"/>
                <w:sz w:val="21"/>
                <w:szCs w:val="21"/>
                <w:highlight w:val="none"/>
                <w:lang w:val="en-US" w:eastAsia="zh-CN"/>
              </w:rPr>
              <w:t>，</w:t>
            </w:r>
            <w:r>
              <w:rPr>
                <w:rFonts w:hint="eastAsia"/>
                <w:color w:val="auto"/>
                <w:kern w:val="0"/>
                <w:szCs w:val="21"/>
                <w:highlight w:val="none"/>
                <w:lang w:val="en-US" w:eastAsia="zh-CN"/>
              </w:rPr>
              <w:t>锅炉补充</w:t>
            </w:r>
            <w:r>
              <w:rPr>
                <w:rFonts w:hint="eastAsia"/>
                <w:color w:val="auto"/>
                <w:kern w:val="0"/>
                <w:szCs w:val="21"/>
                <w:highlight w:val="none"/>
              </w:rPr>
              <w:t>水量为</w:t>
            </w:r>
            <w:r>
              <w:rPr>
                <w:rFonts w:hint="eastAsia" w:cs="Times New Roman"/>
                <w:bCs/>
                <w:color w:val="auto"/>
                <w:sz w:val="21"/>
                <w:szCs w:val="21"/>
                <w:highlight w:val="none"/>
                <w:lang w:val="en-US" w:eastAsia="zh-CN"/>
              </w:rPr>
              <w:t>42.61</w:t>
            </w:r>
            <w:r>
              <w:rPr>
                <w:rFonts w:hint="default"/>
                <w:bCs/>
                <w:color w:val="auto"/>
                <w:szCs w:val="21"/>
                <w:highlight w:val="none"/>
              </w:rPr>
              <w:t>t/d</w:t>
            </w:r>
            <w:r>
              <w:rPr>
                <w:rFonts w:hint="eastAsia"/>
                <w:bCs/>
                <w:color w:val="auto"/>
                <w:szCs w:val="21"/>
                <w:highlight w:val="none"/>
                <w:lang w:val="en-US" w:eastAsia="zh-CN"/>
              </w:rPr>
              <w:t>。</w:t>
            </w:r>
          </w:p>
          <w:p w14:paraId="466C84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（2）排水</w:t>
            </w:r>
          </w:p>
          <w:p w14:paraId="1909EE1C">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rPr>
              <w:t>①</w:t>
            </w:r>
            <w:r>
              <w:rPr>
                <w:rFonts w:hint="eastAsia" w:cs="Times New Roman"/>
                <w:color w:val="auto"/>
                <w:sz w:val="21"/>
                <w:szCs w:val="21"/>
                <w:highlight w:val="none"/>
                <w:lang w:eastAsia="zh-CN"/>
              </w:rPr>
              <w:t>生活污水</w:t>
            </w:r>
          </w:p>
          <w:p w14:paraId="2FB6E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eastAsia="宋体" w:cs="Times New Roman"/>
                <w:color w:val="auto"/>
                <w:sz w:val="21"/>
                <w:szCs w:val="21"/>
                <w:highlight w:val="none"/>
                <w:lang w:val="en-US" w:eastAsia="zh-CN"/>
              </w:rPr>
            </w:pPr>
            <w:r>
              <w:rPr>
                <w:rFonts w:hint="default" w:ascii="Times New Roman" w:hAnsi="Times New Roman" w:eastAsia="宋体" w:cs="Times New Roman"/>
                <w:color w:val="auto"/>
                <w:kern w:val="21"/>
                <w:sz w:val="21"/>
                <w:szCs w:val="21"/>
                <w:highlight w:val="none"/>
              </w:rPr>
              <w:t>本项目</w:t>
            </w:r>
            <w:r>
              <w:rPr>
                <w:rFonts w:hint="eastAsia" w:cs="Times New Roman"/>
                <w:color w:val="auto"/>
                <w:kern w:val="21"/>
                <w:sz w:val="21"/>
                <w:szCs w:val="21"/>
                <w:highlight w:val="none"/>
                <w:lang w:val="en-US" w:eastAsia="zh-CN"/>
              </w:rPr>
              <w:t>不新增员工</w:t>
            </w:r>
            <w:r>
              <w:rPr>
                <w:rFonts w:hint="default" w:ascii="Times New Roman" w:hAnsi="Times New Roman" w:eastAsia="宋体" w:cs="Times New Roman"/>
                <w:color w:val="auto"/>
                <w:kern w:val="21"/>
                <w:sz w:val="21"/>
                <w:szCs w:val="21"/>
                <w:highlight w:val="none"/>
              </w:rPr>
              <w:t>，</w:t>
            </w:r>
            <w:r>
              <w:rPr>
                <w:rFonts w:hint="eastAsia" w:ascii="Times New Roman" w:hAnsi="Times New Roman" w:eastAsia="宋体" w:cs="Times New Roman"/>
                <w:color w:val="auto"/>
                <w:kern w:val="21"/>
                <w:sz w:val="21"/>
                <w:szCs w:val="21"/>
                <w:highlight w:val="none"/>
                <w:lang w:val="en-US" w:eastAsia="zh-CN"/>
              </w:rPr>
              <w:t>故无新增生活污水。</w:t>
            </w:r>
          </w:p>
          <w:p w14:paraId="38302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pacing w:val="0"/>
                <w:sz w:val="21"/>
                <w:szCs w:val="21"/>
                <w:highlight w:val="none"/>
                <w:lang w:eastAsia="zh-CN"/>
              </w:rPr>
              <w:t>②</w:t>
            </w:r>
            <w:r>
              <w:rPr>
                <w:rFonts w:hint="default" w:ascii="Times New Roman" w:hAnsi="Times New Roman" w:eastAsia="宋体" w:cs="Times New Roman"/>
                <w:color w:val="auto"/>
                <w:sz w:val="21"/>
                <w:szCs w:val="21"/>
                <w:highlight w:val="none"/>
              </w:rPr>
              <w:t>锅炉排污水</w:t>
            </w:r>
            <w:r>
              <w:rPr>
                <w:rFonts w:hint="eastAsia" w:cs="Times New Roman"/>
                <w:color w:val="auto"/>
                <w:sz w:val="21"/>
                <w:szCs w:val="21"/>
                <w:highlight w:val="none"/>
                <w:lang w:val="en-US" w:eastAsia="zh-CN"/>
              </w:rPr>
              <w:t>及软化处理废水</w:t>
            </w:r>
          </w:p>
          <w:p w14:paraId="75729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Cs/>
                <w:color w:val="auto"/>
                <w:sz w:val="21"/>
                <w:szCs w:val="21"/>
                <w:highlight w:val="none"/>
              </w:rPr>
              <w:t>根据</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rPr>
              <w:t>排放源统计调查产排污核算方法和系数手册</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rPr>
              <w:t>工业锅炉（热力生产和供应行业）产排污系数，</w:t>
            </w:r>
            <w:r>
              <w:rPr>
                <w:rFonts w:hint="default" w:ascii="Times New Roman" w:hAnsi="Times New Roman" w:eastAsia="宋体" w:cs="Times New Roman"/>
                <w:color w:val="auto"/>
                <w:sz w:val="21"/>
                <w:szCs w:val="21"/>
                <w:highlight w:val="none"/>
              </w:rPr>
              <w:t>燃生物质锅炉（锅</w:t>
            </w:r>
            <w:r>
              <w:rPr>
                <w:rFonts w:hint="eastAsia" w:cs="Times New Roman"/>
                <w:color w:val="auto"/>
                <w:sz w:val="21"/>
                <w:szCs w:val="21"/>
                <w:highlight w:val="none"/>
                <w:lang w:val="en-US" w:eastAsia="zh-CN"/>
              </w:rPr>
              <w:t>外</w:t>
            </w:r>
            <w:r>
              <w:rPr>
                <w:rFonts w:hint="default" w:ascii="Times New Roman" w:hAnsi="Times New Roman" w:eastAsia="宋体" w:cs="Times New Roman"/>
                <w:color w:val="auto"/>
                <w:sz w:val="21"/>
                <w:szCs w:val="21"/>
                <w:highlight w:val="none"/>
              </w:rPr>
              <w:t>水处理）废水产生系数为</w:t>
            </w:r>
            <w:r>
              <w:rPr>
                <w:rFonts w:hint="eastAsia" w:cs="Times New Roman"/>
                <w:color w:val="auto"/>
                <w:sz w:val="21"/>
                <w:szCs w:val="21"/>
                <w:highlight w:val="none"/>
                <w:lang w:val="en-US" w:eastAsia="zh-CN"/>
              </w:rPr>
              <w:t>0.356</w:t>
            </w:r>
            <w:r>
              <w:rPr>
                <w:rFonts w:hint="default" w:ascii="Times New Roman" w:hAnsi="Times New Roman" w:eastAsia="宋体" w:cs="Times New Roman"/>
                <w:color w:val="auto"/>
                <w:sz w:val="21"/>
                <w:szCs w:val="21"/>
                <w:highlight w:val="none"/>
              </w:rPr>
              <w:t>吨/吨</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原料</w:t>
            </w: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color w:val="auto"/>
                <w:kern w:val="0"/>
                <w:sz w:val="21"/>
                <w:szCs w:val="21"/>
                <w:highlight w:val="none"/>
              </w:rPr>
              <w:t>本项目</w:t>
            </w:r>
            <w:r>
              <w:rPr>
                <w:rFonts w:hint="eastAsia"/>
                <w:color w:val="auto"/>
                <w:highlight w:val="none"/>
                <w:lang w:val="en-US" w:eastAsia="zh-CN"/>
              </w:rPr>
              <w:t>3台10t/h生物质蒸汽锅炉</w:t>
            </w:r>
            <w:r>
              <w:rPr>
                <w:rFonts w:hint="eastAsia"/>
                <w:color w:val="auto"/>
                <w:sz w:val="21"/>
                <w:highlight w:val="none"/>
                <w:lang w:val="en-US" w:eastAsia="zh-CN"/>
              </w:rPr>
              <w:t>供暖期</w:t>
            </w:r>
            <w:r>
              <w:rPr>
                <w:rFonts w:hint="eastAsia" w:cs="Times New Roman"/>
                <w:color w:val="auto"/>
                <w:kern w:val="21"/>
                <w:sz w:val="21"/>
                <w:szCs w:val="21"/>
                <w:highlight w:val="none"/>
                <w:lang w:val="en-US" w:eastAsia="zh-CN"/>
              </w:rPr>
              <w:t>运行210</w:t>
            </w:r>
            <w:r>
              <w:rPr>
                <w:rFonts w:hint="default" w:ascii="Times New Roman" w:hAnsi="Times New Roman" w:eastAsia="宋体" w:cs="Times New Roman"/>
                <w:color w:val="auto"/>
                <w:kern w:val="21"/>
                <w:sz w:val="21"/>
                <w:szCs w:val="21"/>
                <w:highlight w:val="none"/>
              </w:rPr>
              <w:t>天</w:t>
            </w:r>
            <w:r>
              <w:rPr>
                <w:rFonts w:hint="eastAsia" w:cs="Times New Roman"/>
                <w:color w:val="auto"/>
                <w:kern w:val="21"/>
                <w:sz w:val="21"/>
                <w:szCs w:val="21"/>
                <w:highlight w:val="none"/>
                <w:lang w:eastAsia="zh-CN"/>
              </w:rPr>
              <w:t>，</w:t>
            </w:r>
            <w:r>
              <w:rPr>
                <w:rFonts w:hint="eastAsia" w:cs="Times New Roman"/>
                <w:color w:val="auto"/>
                <w:kern w:val="21"/>
                <w:sz w:val="21"/>
                <w:szCs w:val="21"/>
                <w:highlight w:val="none"/>
                <w:lang w:val="en-US" w:eastAsia="zh-CN"/>
              </w:rPr>
              <w:t>锅炉燃生物质量为</w:t>
            </w:r>
            <w:r>
              <w:rPr>
                <w:rFonts w:hint="eastAsia" w:cs="Times New Roman"/>
                <w:color w:val="auto"/>
                <w:sz w:val="21"/>
                <w:szCs w:val="21"/>
                <w:highlight w:val="none"/>
                <w:lang w:val="en-US" w:eastAsia="zh-CN"/>
              </w:rPr>
              <w:t>25137.15</w:t>
            </w:r>
            <w:r>
              <w:rPr>
                <w:rFonts w:hint="default" w:ascii="Times New Roman" w:hAnsi="Times New Roman" w:eastAsia="宋体" w:cs="Times New Roman"/>
                <w:color w:val="auto"/>
                <w:szCs w:val="21"/>
                <w:highlight w:val="none"/>
              </w:rPr>
              <w:t>t/a</w:t>
            </w:r>
            <w:r>
              <w:rPr>
                <w:rFonts w:hint="default" w:ascii="Times New Roman" w:hAnsi="Times New Roman" w:eastAsia="宋体" w:cs="Times New Roman"/>
                <w:bCs/>
                <w:color w:val="auto"/>
                <w:sz w:val="21"/>
                <w:szCs w:val="21"/>
                <w:highlight w:val="none"/>
              </w:rPr>
              <w:t>，则锅炉排污水</w:t>
            </w:r>
            <w:r>
              <w:rPr>
                <w:rFonts w:hint="eastAsia" w:cs="Times New Roman"/>
                <w:bCs/>
                <w:color w:val="auto"/>
                <w:sz w:val="21"/>
                <w:szCs w:val="21"/>
                <w:highlight w:val="none"/>
                <w:lang w:val="en-US" w:eastAsia="zh-CN"/>
              </w:rPr>
              <w:t>及软化处理废水总</w:t>
            </w:r>
            <w:r>
              <w:rPr>
                <w:rFonts w:hint="default" w:ascii="Times New Roman" w:hAnsi="Times New Roman" w:eastAsia="宋体" w:cs="Times New Roman"/>
                <w:bCs/>
                <w:color w:val="auto"/>
                <w:sz w:val="21"/>
                <w:szCs w:val="21"/>
                <w:highlight w:val="none"/>
              </w:rPr>
              <w:t>量为</w:t>
            </w:r>
            <w:r>
              <w:rPr>
                <w:rFonts w:hint="eastAsia" w:cs="Times New Roman"/>
                <w:bCs/>
                <w:color w:val="auto"/>
                <w:sz w:val="21"/>
                <w:szCs w:val="21"/>
                <w:highlight w:val="none"/>
                <w:lang w:val="en-US" w:eastAsia="zh-CN"/>
              </w:rPr>
              <w:t>42.61</w:t>
            </w:r>
            <w:r>
              <w:rPr>
                <w:rFonts w:hint="default" w:ascii="Times New Roman" w:hAnsi="Times New Roman" w:eastAsia="宋体" w:cs="Times New Roman"/>
                <w:bCs/>
                <w:color w:val="auto"/>
                <w:sz w:val="21"/>
                <w:szCs w:val="21"/>
                <w:highlight w:val="none"/>
              </w:rPr>
              <w:t>t/d，</w:t>
            </w:r>
            <w:r>
              <w:rPr>
                <w:rFonts w:hint="eastAsia" w:cs="Times New Roman"/>
                <w:bCs/>
                <w:color w:val="auto"/>
                <w:sz w:val="21"/>
                <w:szCs w:val="21"/>
                <w:highlight w:val="none"/>
                <w:lang w:val="en-US" w:eastAsia="zh-CN"/>
              </w:rPr>
              <w:t>8948.83</w:t>
            </w:r>
            <w:r>
              <w:rPr>
                <w:rFonts w:hint="default" w:ascii="Times New Roman" w:hAnsi="Times New Roman" w:eastAsia="宋体" w:cs="Times New Roman"/>
                <w:bCs/>
                <w:color w:val="auto"/>
                <w:sz w:val="21"/>
                <w:szCs w:val="21"/>
                <w:highlight w:val="none"/>
              </w:rPr>
              <w:t>t/a</w:t>
            </w:r>
            <w:r>
              <w:rPr>
                <w:rFonts w:hint="default" w:ascii="Times New Roman" w:hAnsi="Times New Roman" w:cs="Times New Roman"/>
                <w:color w:val="auto"/>
                <w:sz w:val="21"/>
                <w:szCs w:val="21"/>
                <w:highlight w:val="none"/>
              </w:rPr>
              <w:t>。</w:t>
            </w:r>
          </w:p>
          <w:p w14:paraId="24D08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rPr>
              <w:t>本项目</w:t>
            </w:r>
            <w:r>
              <w:rPr>
                <w:rFonts w:hint="eastAsia" w:cs="Times New Roman"/>
                <w:color w:val="auto"/>
                <w:kern w:val="0"/>
                <w:szCs w:val="21"/>
                <w:highlight w:val="none"/>
                <w:lang w:val="en-US" w:eastAsia="zh-CN"/>
              </w:rPr>
              <w:t>无新增员工，故无新增生活污水</w:t>
            </w:r>
            <w:r>
              <w:rPr>
                <w:rFonts w:hint="default" w:ascii="Times New Roman" w:hAnsi="Times New Roman" w:eastAsia="宋体" w:cs="Times New Roman"/>
                <w:color w:val="auto"/>
                <w:spacing w:val="0"/>
                <w:sz w:val="21"/>
                <w:szCs w:val="21"/>
                <w:highlight w:val="none"/>
              </w:rPr>
              <w:t>。</w:t>
            </w:r>
            <w:r>
              <w:rPr>
                <w:rFonts w:hint="eastAsia" w:cs="Times New Roman"/>
                <w:color w:val="auto"/>
                <w:kern w:val="0"/>
                <w:szCs w:val="21"/>
                <w:highlight w:val="none"/>
                <w:lang w:val="en-US" w:eastAsia="zh-CN"/>
              </w:rPr>
              <w:t>本项目</w:t>
            </w:r>
            <w:r>
              <w:rPr>
                <w:rFonts w:hint="default" w:ascii="Times New Roman" w:hAnsi="Times New Roman" w:cs="Times New Roman"/>
                <w:color w:val="auto"/>
                <w:kern w:val="0"/>
                <w:szCs w:val="21"/>
                <w:highlight w:val="none"/>
              </w:rPr>
              <w:t>锅炉排污水</w:t>
            </w:r>
            <w:r>
              <w:rPr>
                <w:rFonts w:hint="eastAsia" w:cs="Times New Roman"/>
                <w:color w:val="auto"/>
                <w:kern w:val="0"/>
                <w:szCs w:val="21"/>
                <w:highlight w:val="none"/>
                <w:lang w:val="en-US" w:eastAsia="zh-CN"/>
              </w:rPr>
              <w:t>及软化处理废水</w:t>
            </w:r>
            <w:r>
              <w:rPr>
                <w:rFonts w:hint="eastAsia" w:ascii="Times New Roman" w:hAnsi="Times New Roman" w:cs="Times New Roman"/>
                <w:color w:val="auto"/>
                <w:kern w:val="0"/>
                <w:szCs w:val="21"/>
                <w:highlight w:val="none"/>
                <w:lang w:eastAsia="zh-CN"/>
              </w:rPr>
              <w:t>，</w:t>
            </w:r>
            <w:r>
              <w:rPr>
                <w:rFonts w:hint="default" w:ascii="Times New Roman" w:hAnsi="Times New Roman" w:cs="Times New Roman"/>
                <w:color w:val="auto"/>
                <w:sz w:val="21"/>
                <w:szCs w:val="21"/>
                <w:highlight w:val="none"/>
              </w:rPr>
              <w:t>暂存厂区</w:t>
            </w:r>
            <w:r>
              <w:rPr>
                <w:rFonts w:hint="eastAsia" w:cs="Times New Roman"/>
                <w:color w:val="auto"/>
                <w:sz w:val="21"/>
                <w:szCs w:val="21"/>
                <w:highlight w:val="none"/>
                <w:lang w:val="en-US" w:eastAsia="zh-CN"/>
              </w:rPr>
              <w:t>70</w:t>
            </w:r>
            <w:r>
              <w:rPr>
                <w:rFonts w:hint="default" w:ascii="Times New Roman" w:hAnsi="Times New Roman" w:cs="Times New Roman"/>
                <w:b w:val="0"/>
                <w:bCs w:val="0"/>
                <w:color w:val="auto"/>
                <w:sz w:val="21"/>
                <w:szCs w:val="21"/>
                <w:highlight w:val="none"/>
              </w:rPr>
              <w:t>m³</w:t>
            </w:r>
            <w:r>
              <w:rPr>
                <w:rFonts w:hint="default" w:ascii="Times New Roman" w:hAnsi="Times New Roman" w:cs="Times New Roman"/>
                <w:color w:val="auto"/>
                <w:sz w:val="21"/>
                <w:szCs w:val="21"/>
                <w:highlight w:val="none"/>
              </w:rPr>
              <w:t>防渗</w:t>
            </w:r>
            <w:r>
              <w:rPr>
                <w:rFonts w:hint="eastAsia" w:cs="Times New Roman"/>
                <w:color w:val="auto"/>
                <w:sz w:val="21"/>
                <w:szCs w:val="21"/>
                <w:highlight w:val="none"/>
                <w:lang w:val="en-US" w:eastAsia="zh-CN"/>
              </w:rPr>
              <w:t>储水罐</w:t>
            </w:r>
            <w:r>
              <w:rPr>
                <w:rFonts w:hint="default" w:ascii="Times New Roman" w:hAnsi="Times New Roman" w:cs="Times New Roman"/>
                <w:color w:val="auto"/>
                <w:sz w:val="21"/>
                <w:szCs w:val="21"/>
                <w:highlight w:val="none"/>
              </w:rPr>
              <w:t>内，</w:t>
            </w:r>
            <w:r>
              <w:rPr>
                <w:rFonts w:hint="eastAsia" w:cs="Times New Roman"/>
                <w:color w:val="auto"/>
                <w:sz w:val="21"/>
                <w:szCs w:val="21"/>
                <w:highlight w:val="none"/>
                <w:lang w:val="en-US" w:eastAsia="zh-CN"/>
              </w:rPr>
              <w:t>定期拉</w:t>
            </w:r>
            <w:r>
              <w:rPr>
                <w:rFonts w:hint="default" w:ascii="Times New Roman" w:hAnsi="Times New Roman" w:cs="Times New Roman"/>
                <w:color w:val="auto"/>
                <w:sz w:val="21"/>
                <w:szCs w:val="21"/>
                <w:highlight w:val="none"/>
              </w:rPr>
              <w:t>运至</w:t>
            </w:r>
            <w:r>
              <w:rPr>
                <w:rFonts w:hint="eastAsia" w:ascii="Times New Roman" w:hAnsi="Times New Roman" w:cs="Times New Roman"/>
                <w:color w:val="auto"/>
                <w:kern w:val="0"/>
                <w:sz w:val="21"/>
                <w:szCs w:val="21"/>
                <w:highlight w:val="none"/>
                <w:lang w:val="en-US" w:eastAsia="zh-CN" w:bidi="ar"/>
              </w:rPr>
              <w:t>恒山区污水处理厂</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rPr>
              <w:t>经</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rPr>
              <w:t>处理达标后</w:t>
            </w:r>
            <w:r>
              <w:rPr>
                <w:rFonts w:hint="default" w:ascii="Times New Roman" w:hAnsi="Times New Roman" w:eastAsia="宋体" w:cs="Times New Roman"/>
                <w:color w:val="auto"/>
                <w:sz w:val="21"/>
                <w:szCs w:val="21"/>
                <w:highlight w:val="none"/>
              </w:rPr>
              <w:t>排入小黄泥河，最终汇入穆棱河</w:t>
            </w:r>
            <w:r>
              <w:rPr>
                <w:rFonts w:hint="eastAsia"/>
                <w:color w:val="auto"/>
                <w:sz w:val="18"/>
                <w:szCs w:val="18"/>
                <w:highlight w:val="none"/>
                <w:lang w:val="en-US" w:eastAsia="zh-CN"/>
              </w:rPr>
              <w:t>。</w:t>
            </w:r>
            <w:r>
              <w:rPr>
                <w:rFonts w:hint="default" w:ascii="Times New Roman" w:hAnsi="Times New Roman" w:eastAsia="宋体" w:cs="Times New Roman"/>
                <w:color w:val="auto"/>
                <w:spacing w:val="0"/>
                <w:kern w:val="0"/>
                <w:sz w:val="21"/>
                <w:szCs w:val="21"/>
                <w:highlight w:val="none"/>
              </w:rPr>
              <w:t>本项目</w:t>
            </w:r>
            <w:r>
              <w:rPr>
                <w:rFonts w:hint="eastAsia" w:ascii="Times New Roman" w:hAnsi="Times New Roman" w:cs="Times New Roman"/>
                <w:color w:val="auto"/>
                <w:spacing w:val="0"/>
                <w:kern w:val="0"/>
                <w:sz w:val="21"/>
                <w:szCs w:val="21"/>
                <w:highlight w:val="none"/>
                <w:lang w:val="en-US" w:eastAsia="zh-CN"/>
              </w:rPr>
              <w:t>锅炉</w:t>
            </w:r>
            <w:r>
              <w:rPr>
                <w:rFonts w:hint="default" w:ascii="Times New Roman" w:hAnsi="Times New Roman" w:eastAsia="宋体" w:cs="Times New Roman"/>
                <w:color w:val="auto"/>
                <w:spacing w:val="0"/>
                <w:kern w:val="0"/>
                <w:sz w:val="21"/>
                <w:szCs w:val="21"/>
                <w:highlight w:val="none"/>
              </w:rPr>
              <w:t>产生的</w:t>
            </w:r>
            <w:r>
              <w:rPr>
                <w:rFonts w:hint="default" w:ascii="Times New Roman" w:hAnsi="Times New Roman" w:eastAsia="宋体" w:cs="Times New Roman"/>
                <w:color w:val="auto"/>
                <w:spacing w:val="0"/>
                <w:kern w:val="24"/>
                <w:sz w:val="21"/>
                <w:szCs w:val="21"/>
                <w:highlight w:val="none"/>
              </w:rPr>
              <w:t>废水</w:t>
            </w:r>
            <w:r>
              <w:rPr>
                <w:rFonts w:hint="eastAsia" w:ascii="Times New Roman" w:hAnsi="Times New Roman" w:cs="Times New Roman"/>
                <w:color w:val="auto"/>
                <w:spacing w:val="0"/>
                <w:kern w:val="24"/>
                <w:sz w:val="21"/>
                <w:szCs w:val="21"/>
                <w:highlight w:val="none"/>
                <w:lang w:val="en-US" w:eastAsia="zh-CN"/>
              </w:rPr>
              <w:t>污染物</w:t>
            </w:r>
            <w:r>
              <w:rPr>
                <w:rFonts w:hint="default" w:ascii="Times New Roman" w:hAnsi="Times New Roman" w:eastAsia="宋体" w:cs="Times New Roman"/>
                <w:bCs/>
                <w:color w:val="auto"/>
                <w:spacing w:val="0"/>
                <w:sz w:val="21"/>
                <w:szCs w:val="21"/>
                <w:highlight w:val="none"/>
              </w:rPr>
              <w:t>排放浓度</w:t>
            </w:r>
            <w:r>
              <w:rPr>
                <w:rFonts w:hint="default" w:ascii="Times New Roman" w:hAnsi="Times New Roman" w:eastAsia="宋体" w:cs="Times New Roman"/>
                <w:color w:val="auto"/>
                <w:spacing w:val="0"/>
                <w:kern w:val="24"/>
                <w:sz w:val="21"/>
                <w:szCs w:val="21"/>
                <w:highlight w:val="none"/>
              </w:rPr>
              <w:t>满足</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lang w:val="en-US" w:eastAsia="zh-CN"/>
              </w:rPr>
              <w:t>进水水质</w:t>
            </w:r>
            <w:r>
              <w:rPr>
                <w:rFonts w:hint="eastAsia" w:cs="Times New Roman"/>
                <w:color w:val="auto"/>
                <w:sz w:val="21"/>
                <w:szCs w:val="21"/>
                <w:highlight w:val="none"/>
                <w:lang w:val="en-US" w:eastAsia="zh-CN"/>
              </w:rPr>
              <w:t>要求</w:t>
            </w:r>
            <w:r>
              <w:rPr>
                <w:rFonts w:hint="default" w:ascii="Times New Roman" w:hAnsi="Times New Roman" w:eastAsia="宋体" w:cs="Times New Roman"/>
                <w:color w:val="auto"/>
                <w:spacing w:val="0"/>
                <w:sz w:val="21"/>
                <w:szCs w:val="21"/>
                <w:highlight w:val="none"/>
              </w:rPr>
              <w:t>。</w:t>
            </w:r>
          </w:p>
          <w:p w14:paraId="72BBAE3F">
            <w:pPr>
              <w:pStyle w:val="3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eastAsia"/>
                <w:color w:val="auto"/>
                <w:szCs w:val="21"/>
                <w:highlight w:val="none"/>
              </w:rPr>
              <w:object>
                <v:shape id="_x0000_i1025" o:spt="75" type="#_x0000_t75" style="height:123.05pt;width:412.6pt;" o:ole="t" filled="f" o:preferrelative="t" stroked="f" coordsize="21600,21600">
                  <v:path/>
                  <v:fill on="f" focussize="0,0"/>
                  <v:stroke on="f"/>
                  <v:imagedata r:id="rId12" o:title=""/>
                  <o:lock v:ext="edit" aspectratio="f"/>
                  <w10:wrap type="none"/>
                  <w10:anchorlock/>
                </v:shape>
                <o:OLEObject Type="Embed" ProgID="Visio.Drawing.11" ShapeID="_x0000_i1025" DrawAspect="Content" ObjectID="_1468075725" r:id="rId11">
                  <o:LockedField>false</o:LockedField>
                </o:OLEObject>
              </w:object>
            </w:r>
            <w:r>
              <w:rPr>
                <w:rFonts w:hint="default" w:ascii="Times New Roman" w:hAnsi="Times New Roman" w:eastAsia="宋体" w:cs="Times New Roman"/>
                <w:b/>
                <w:bCs/>
                <w:snapToGrid w:val="0"/>
                <w:color w:val="auto"/>
                <w:sz w:val="21"/>
                <w:szCs w:val="21"/>
                <w:highlight w:val="none"/>
              </w:rPr>
              <w:t>图2-</w:t>
            </w:r>
            <w:r>
              <w:rPr>
                <w:rFonts w:hint="default" w:ascii="Times New Roman" w:hAnsi="Times New Roman" w:eastAsia="宋体" w:cs="Times New Roman"/>
                <w:b/>
                <w:bCs/>
                <w:snapToGrid w:val="0"/>
                <w:color w:val="auto"/>
                <w:sz w:val="21"/>
                <w:szCs w:val="21"/>
                <w:highlight w:val="none"/>
                <w:lang w:val="en-US" w:eastAsia="zh-CN"/>
              </w:rPr>
              <w:t>1</w:t>
            </w:r>
            <w:r>
              <w:rPr>
                <w:rFonts w:hint="default" w:ascii="Times New Roman" w:hAnsi="Times New Roman" w:eastAsia="宋体" w:cs="Times New Roman"/>
                <w:b/>
                <w:bCs/>
                <w:snapToGrid w:val="0"/>
                <w:color w:val="auto"/>
                <w:sz w:val="21"/>
                <w:szCs w:val="21"/>
                <w:highlight w:val="none"/>
              </w:rPr>
              <w:t>本项目水平衡图（单位：</w:t>
            </w:r>
            <w:r>
              <w:rPr>
                <w:rFonts w:hint="default" w:ascii="Times New Roman" w:hAnsi="Times New Roman" w:eastAsia="宋体" w:cs="Times New Roman"/>
                <w:b/>
                <w:bCs/>
                <w:snapToGrid w:val="0"/>
                <w:color w:val="auto"/>
                <w:sz w:val="21"/>
                <w:szCs w:val="21"/>
                <w:highlight w:val="none"/>
                <w:lang w:val="en-US" w:eastAsia="zh-CN"/>
              </w:rPr>
              <w:t>t</w:t>
            </w:r>
            <w:r>
              <w:rPr>
                <w:rFonts w:hint="default" w:ascii="Times New Roman" w:hAnsi="Times New Roman" w:eastAsia="宋体" w:cs="Times New Roman"/>
                <w:b/>
                <w:bCs/>
                <w:snapToGrid w:val="0"/>
                <w:color w:val="auto"/>
                <w:sz w:val="21"/>
                <w:szCs w:val="21"/>
                <w:highlight w:val="none"/>
              </w:rPr>
              <w:t>/</w:t>
            </w:r>
            <w:r>
              <w:rPr>
                <w:rFonts w:hint="eastAsia" w:cs="Times New Roman"/>
                <w:b/>
                <w:bCs/>
                <w:snapToGrid w:val="0"/>
                <w:color w:val="auto"/>
                <w:sz w:val="21"/>
                <w:szCs w:val="21"/>
                <w:highlight w:val="none"/>
                <w:lang w:val="en-US" w:eastAsia="zh-CN"/>
              </w:rPr>
              <w:t>d</w:t>
            </w:r>
            <w:r>
              <w:rPr>
                <w:rFonts w:hint="default" w:ascii="Times New Roman" w:hAnsi="Times New Roman" w:eastAsia="宋体" w:cs="Times New Roman"/>
                <w:b/>
                <w:bCs/>
                <w:snapToGrid w:val="0"/>
                <w:color w:val="auto"/>
                <w:sz w:val="21"/>
                <w:szCs w:val="21"/>
                <w:highlight w:val="none"/>
              </w:rPr>
              <w:t>）</w:t>
            </w:r>
          </w:p>
          <w:p w14:paraId="1AD731CD">
            <w:pPr>
              <w:keepNext w:val="0"/>
              <w:keepLines w:val="0"/>
              <w:pageBreakBefore w:val="0"/>
              <w:widowControl/>
              <w:numPr>
                <w:ilvl w:val="0"/>
                <w:numId w:val="3"/>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Cs w:val="21"/>
                <w:highlight w:val="none"/>
              </w:rPr>
              <w:t>供热</w:t>
            </w:r>
            <w:r>
              <w:rPr>
                <w:rFonts w:hint="default" w:cs="Times New Roman"/>
                <w:color w:val="auto"/>
                <w:szCs w:val="21"/>
                <w:highlight w:val="none"/>
                <w:lang w:val="en-US" w:eastAsia="zh-CN"/>
              </w:rPr>
              <w:t>供暖</w:t>
            </w:r>
            <w:r>
              <w:rPr>
                <w:rFonts w:hint="default" w:ascii="Times New Roman" w:hAnsi="Times New Roman" w:cs="Times New Roman"/>
                <w:color w:val="auto"/>
                <w:szCs w:val="21"/>
                <w:highlight w:val="none"/>
              </w:rPr>
              <w:t>：</w:t>
            </w: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洗煤一厂锅炉房</w:t>
            </w:r>
            <w:r>
              <w:rPr>
                <w:rFonts w:hint="eastAsia" w:cs="Times New Roman"/>
                <w:color w:val="auto"/>
                <w:kern w:val="21"/>
                <w:sz w:val="21"/>
                <w:szCs w:val="21"/>
                <w:highlight w:val="none"/>
                <w:lang w:val="en-US" w:eastAsia="zh-CN"/>
              </w:rPr>
              <w:t>内将</w:t>
            </w:r>
            <w:r>
              <w:rPr>
                <w:rFonts w:hint="eastAsia" w:eastAsia="宋体"/>
                <w:color w:val="auto"/>
                <w:sz w:val="21"/>
                <w:szCs w:val="21"/>
                <w:highlight w:val="none"/>
                <w:lang w:val="en-US" w:eastAsia="zh-CN"/>
              </w:rPr>
              <w:t>现有</w:t>
            </w:r>
            <w:r>
              <w:rPr>
                <w:rFonts w:hint="eastAsia"/>
                <w:color w:val="auto"/>
                <w:sz w:val="21"/>
                <w:szCs w:val="21"/>
                <w:highlight w:val="none"/>
                <w:lang w:val="en-US" w:eastAsia="zh-CN"/>
              </w:rPr>
              <w:t>4</w:t>
            </w:r>
            <w:r>
              <w:rPr>
                <w:rFonts w:hint="eastAsia"/>
                <w:color w:val="auto"/>
                <w:sz w:val="21"/>
                <w:highlight w:val="none"/>
                <w:lang w:val="en-US" w:eastAsia="zh-CN"/>
              </w:rPr>
              <w:t>台</w:t>
            </w:r>
            <w:r>
              <w:rPr>
                <w:rFonts w:hint="eastAsia"/>
                <w:color w:val="auto"/>
                <w:highlight w:val="none"/>
                <w:lang w:val="en-US" w:eastAsia="zh-CN"/>
              </w:rPr>
              <w:t>10t/h</w:t>
            </w:r>
            <w:r>
              <w:rPr>
                <w:rFonts w:hint="eastAsia"/>
                <w:color w:val="auto"/>
                <w:sz w:val="21"/>
                <w:highlight w:val="none"/>
                <w:lang w:val="en-US" w:eastAsia="zh-CN"/>
              </w:rPr>
              <w:t>燃煤锅炉淘汰，新建3台10t/h生物质蒸汽锅炉</w:t>
            </w:r>
            <w:r>
              <w:rPr>
                <w:rFonts w:hint="eastAsia"/>
                <w:color w:val="auto"/>
                <w:highlight w:val="none"/>
                <w:lang w:val="en-US" w:eastAsia="zh-CN"/>
              </w:rPr>
              <w:t>，3台10t/h生物质蒸汽锅炉</w:t>
            </w:r>
            <w:r>
              <w:rPr>
                <w:rFonts w:hint="eastAsia"/>
                <w:color w:val="auto"/>
                <w:sz w:val="21"/>
                <w:highlight w:val="none"/>
                <w:lang w:val="en-US" w:eastAsia="zh-CN"/>
              </w:rPr>
              <w:t>供暖期</w:t>
            </w:r>
            <w:r>
              <w:rPr>
                <w:rFonts w:hint="eastAsia"/>
                <w:color w:val="auto"/>
                <w:highlight w:val="none"/>
                <w:lang w:val="en-US" w:eastAsia="zh-CN"/>
              </w:rPr>
              <w:t>24小时满负荷运行，</w:t>
            </w:r>
            <w:r>
              <w:rPr>
                <w:rFonts w:hint="eastAsia" w:cs="Times New Roman"/>
                <w:color w:val="auto"/>
                <w:kern w:val="21"/>
                <w:sz w:val="21"/>
                <w:szCs w:val="21"/>
                <w:highlight w:val="none"/>
                <w:lang w:val="en-US" w:eastAsia="zh-CN"/>
              </w:rPr>
              <w:t>供暖期运行210</w:t>
            </w:r>
            <w:r>
              <w:rPr>
                <w:rFonts w:hint="default" w:ascii="Times New Roman" w:hAnsi="Times New Roman" w:eastAsia="宋体" w:cs="Times New Roman"/>
                <w:color w:val="auto"/>
                <w:kern w:val="21"/>
                <w:sz w:val="21"/>
                <w:szCs w:val="21"/>
                <w:highlight w:val="none"/>
              </w:rPr>
              <w:t>天</w:t>
            </w:r>
            <w:r>
              <w:rPr>
                <w:rFonts w:hint="eastAsia" w:cs="Times New Roman"/>
                <w:color w:val="auto"/>
                <w:kern w:val="21"/>
                <w:sz w:val="21"/>
                <w:szCs w:val="21"/>
                <w:highlight w:val="none"/>
                <w:lang w:eastAsia="zh-CN"/>
              </w:rPr>
              <w:t>，</w:t>
            </w:r>
            <w:r>
              <w:rPr>
                <w:rFonts w:hint="eastAsia" w:cs="Times New Roman"/>
                <w:color w:val="auto"/>
                <w:kern w:val="21"/>
                <w:sz w:val="21"/>
                <w:szCs w:val="21"/>
                <w:highlight w:val="none"/>
                <w:lang w:val="en-US" w:eastAsia="zh-CN"/>
              </w:rPr>
              <w:t>年运行5040h</w:t>
            </w:r>
            <w:r>
              <w:rPr>
                <w:rFonts w:hint="eastAsia" w:cs="Times New Roman"/>
                <w:color w:val="auto"/>
                <w:kern w:val="21"/>
                <w:sz w:val="21"/>
                <w:szCs w:val="21"/>
                <w:highlight w:val="none"/>
                <w:vertAlign w:val="baseline"/>
                <w:lang w:val="en-US" w:eastAsia="zh-CN"/>
              </w:rPr>
              <w:t>。</w:t>
            </w:r>
          </w:p>
          <w:p w14:paraId="2B4BC4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val="0"/>
                <w:color w:val="auto"/>
                <w:sz w:val="21"/>
                <w:szCs w:val="21"/>
                <w:highlight w:val="none"/>
              </w:rPr>
            </w:pPr>
            <w:r>
              <w:rPr>
                <w:rFonts w:hint="default" w:cs="Times New Roman"/>
                <w:bCs w:val="0"/>
                <w:color w:val="auto"/>
                <w:sz w:val="21"/>
                <w:szCs w:val="21"/>
                <w:highlight w:val="none"/>
                <w:lang w:val="en-US" w:eastAsia="zh-CN"/>
              </w:rPr>
              <w:t>生物质锅炉</w:t>
            </w:r>
            <w:r>
              <w:rPr>
                <w:rFonts w:hint="default" w:ascii="Times New Roman" w:hAnsi="Times New Roman" w:eastAsia="宋体" w:cs="Times New Roman"/>
                <w:bCs w:val="0"/>
                <w:color w:val="auto"/>
                <w:sz w:val="21"/>
                <w:szCs w:val="21"/>
                <w:highlight w:val="none"/>
              </w:rPr>
              <w:t>燃料使用量：</w:t>
            </w:r>
          </w:p>
          <w:p w14:paraId="62FFD9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根据</w:t>
            </w:r>
            <w:r>
              <w:rPr>
                <w:rFonts w:hint="default" w:ascii="Times New Roman" w:hAnsi="Times New Roman" w:cs="Times New Roman"/>
                <w:color w:val="auto"/>
                <w:sz w:val="21"/>
                <w:szCs w:val="21"/>
                <w:highlight w:val="none"/>
                <w:lang w:val="en-US" w:eastAsia="zh-CN"/>
              </w:rPr>
              <w:t>生物质燃料特性分析单</w:t>
            </w:r>
            <w:r>
              <w:rPr>
                <w:rFonts w:hint="default" w:ascii="Times New Roman" w:hAnsi="Times New Roman" w:eastAsia="宋体" w:cs="Times New Roman"/>
                <w:color w:val="auto"/>
                <w:sz w:val="21"/>
                <w:szCs w:val="21"/>
                <w:highlight w:val="none"/>
              </w:rPr>
              <w:t>可知，收到基低位发热量为1</w:t>
            </w:r>
            <w:r>
              <w:rPr>
                <w:rFonts w:hint="default" w:ascii="Times New Roman" w:hAnsi="Times New Roman" w:eastAsia="宋体" w:cs="Times New Roman"/>
                <w:color w:val="auto"/>
                <w:sz w:val="21"/>
                <w:szCs w:val="21"/>
                <w:highlight w:val="none"/>
                <w:lang w:val="en-US" w:eastAsia="zh-CN"/>
              </w:rPr>
              <w:t>6.77</w:t>
            </w:r>
            <w:r>
              <w:rPr>
                <w:rFonts w:hint="default" w:ascii="Times New Roman" w:hAnsi="Times New Roman" w:eastAsia="宋体" w:cs="Times New Roman"/>
                <w:color w:val="auto"/>
                <w:sz w:val="21"/>
                <w:szCs w:val="21"/>
                <w:highlight w:val="none"/>
              </w:rPr>
              <w:t>MJ/kg、</w:t>
            </w:r>
            <w:r>
              <w:rPr>
                <w:rFonts w:hint="default" w:ascii="Times New Roman" w:hAnsi="Times New Roman" w:eastAsia="宋体" w:cs="Times New Roman"/>
                <w:color w:val="auto"/>
                <w:sz w:val="21"/>
                <w:szCs w:val="21"/>
                <w:highlight w:val="none"/>
                <w:lang w:val="en-US" w:eastAsia="zh-CN"/>
              </w:rPr>
              <w:t>401</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kcal/kg，锅炉热效率为</w:t>
            </w:r>
            <w:r>
              <w:rPr>
                <w:rFonts w:hint="eastAsia" w:cs="Times New Roman"/>
                <w:color w:val="auto"/>
                <w:sz w:val="21"/>
                <w:szCs w:val="21"/>
                <w:highlight w:val="none"/>
                <w:lang w:val="en-US" w:eastAsia="zh-CN"/>
              </w:rPr>
              <w:t>90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w:t>
            </w:r>
            <w:r>
              <w:rPr>
                <w:rFonts w:hint="default" w:cs="Times New Roman"/>
                <w:color w:val="auto"/>
                <w:sz w:val="21"/>
                <w:szCs w:val="21"/>
                <w:highlight w:val="none"/>
                <w:lang w:eastAsia="zh-CN"/>
              </w:rPr>
              <w:t>生物质锅炉</w:t>
            </w:r>
            <w:r>
              <w:rPr>
                <w:rFonts w:hint="default" w:ascii="Times New Roman" w:hAnsi="Times New Roman" w:eastAsia="宋体" w:cs="Times New Roman"/>
                <w:color w:val="auto"/>
                <w:sz w:val="21"/>
                <w:szCs w:val="21"/>
                <w:highlight w:val="none"/>
              </w:rPr>
              <w:t>每小时消耗量=60万大卡*吨位/燃料热值/锅炉燃烧效率</w:t>
            </w:r>
            <w:r>
              <w:rPr>
                <w:rFonts w:hint="eastAsia" w:cs="Times New Roman"/>
                <w:color w:val="auto"/>
                <w:sz w:val="21"/>
                <w:szCs w:val="21"/>
                <w:highlight w:val="none"/>
                <w:lang w:eastAsia="zh-CN"/>
              </w:rPr>
              <w:t>。</w:t>
            </w:r>
          </w:p>
          <w:p w14:paraId="45A47C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1台</w:t>
            </w:r>
            <w:r>
              <w:rPr>
                <w:rFonts w:hint="eastAsia"/>
                <w:color w:val="auto"/>
                <w:sz w:val="21"/>
                <w:szCs w:val="21"/>
                <w:highlight w:val="none"/>
                <w:lang w:val="en-US" w:eastAsia="zh-CN"/>
              </w:rPr>
              <w:t>10t/h生物质蒸汽锅炉</w:t>
            </w:r>
            <w:r>
              <w:rPr>
                <w:rFonts w:hint="default" w:ascii="Times New Roman" w:hAnsi="Times New Roman" w:eastAsia="宋体" w:cs="Times New Roman"/>
                <w:color w:val="auto"/>
                <w:sz w:val="21"/>
                <w:szCs w:val="21"/>
                <w:highlight w:val="none"/>
              </w:rPr>
              <w:t>1小时需要燃料量为（600000×</w:t>
            </w: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4010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90</w:t>
            </w:r>
            <w:r>
              <w:rPr>
                <w:rFonts w:hint="default" w:ascii="Times New Roman" w:hAnsi="Times New Roman" w:eastAsia="宋体" w:cs="Times New Roman"/>
                <w:color w:val="auto"/>
                <w:sz w:val="21"/>
                <w:szCs w:val="21"/>
                <w:highlight w:val="none"/>
              </w:rPr>
              <w:t>%）kg/h=</w:t>
            </w:r>
            <w:r>
              <w:rPr>
                <w:rFonts w:hint="eastAsia" w:cs="Times New Roman"/>
                <w:color w:val="auto"/>
                <w:sz w:val="21"/>
                <w:szCs w:val="21"/>
                <w:highlight w:val="none"/>
                <w:lang w:val="en-US" w:eastAsia="zh-CN"/>
              </w:rPr>
              <w:t>1662.51</w:t>
            </w:r>
            <w:r>
              <w:rPr>
                <w:rFonts w:hint="default" w:ascii="Times New Roman" w:hAnsi="Times New Roman" w:eastAsia="宋体" w:cs="Times New Roman"/>
                <w:color w:val="auto"/>
                <w:sz w:val="21"/>
                <w:szCs w:val="21"/>
                <w:highlight w:val="none"/>
              </w:rPr>
              <w:t>kg/h，年运行</w:t>
            </w:r>
            <w:r>
              <w:rPr>
                <w:rFonts w:hint="eastAsia" w:cs="Times New Roman"/>
                <w:color w:val="auto"/>
                <w:sz w:val="21"/>
                <w:szCs w:val="21"/>
                <w:highlight w:val="none"/>
                <w:lang w:val="en-US" w:eastAsia="zh-CN"/>
              </w:rPr>
              <w:t>5040</w:t>
            </w:r>
            <w:r>
              <w:rPr>
                <w:rFonts w:hint="default" w:ascii="Times New Roman" w:hAnsi="Times New Roman" w:eastAsia="宋体" w:cs="Times New Roman"/>
                <w:color w:val="auto"/>
                <w:sz w:val="21"/>
                <w:szCs w:val="21"/>
                <w:highlight w:val="none"/>
              </w:rPr>
              <w:t>h，</w:t>
            </w:r>
            <w:r>
              <w:rPr>
                <w:rFonts w:hint="eastAsia"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台</w:t>
            </w:r>
            <w:r>
              <w:rPr>
                <w:rFonts w:hint="eastAsia"/>
                <w:color w:val="auto"/>
                <w:sz w:val="21"/>
                <w:szCs w:val="21"/>
                <w:highlight w:val="none"/>
                <w:lang w:val="en-US" w:eastAsia="zh-CN"/>
              </w:rPr>
              <w:t>10t/h生物质蒸汽锅炉</w:t>
            </w:r>
            <w:r>
              <w:rPr>
                <w:rFonts w:hint="default" w:ascii="Times New Roman" w:hAnsi="Times New Roman" w:eastAsia="宋体" w:cs="Times New Roman"/>
                <w:color w:val="auto"/>
                <w:sz w:val="21"/>
                <w:szCs w:val="21"/>
                <w:highlight w:val="none"/>
              </w:rPr>
              <w:t>每年消耗生物质燃料量为</w:t>
            </w:r>
            <w:r>
              <w:rPr>
                <w:rFonts w:hint="eastAsia" w:cs="Times New Roman"/>
                <w:color w:val="auto"/>
                <w:sz w:val="21"/>
                <w:szCs w:val="21"/>
                <w:highlight w:val="none"/>
                <w:lang w:val="en-US" w:eastAsia="zh-CN"/>
              </w:rPr>
              <w:t>8379.05</w:t>
            </w:r>
            <w:r>
              <w:rPr>
                <w:rFonts w:hint="default" w:ascii="Times New Roman" w:hAnsi="Times New Roman" w:eastAsia="宋体" w:cs="Times New Roman"/>
                <w:color w:val="auto"/>
                <w:sz w:val="21"/>
                <w:szCs w:val="21"/>
                <w:highlight w:val="none"/>
              </w:rPr>
              <w:t>t。</w:t>
            </w:r>
            <w:r>
              <w:rPr>
                <w:rFonts w:hint="eastAsia" w:cs="Times New Roman"/>
                <w:color w:val="auto"/>
                <w:sz w:val="21"/>
                <w:szCs w:val="21"/>
                <w:highlight w:val="none"/>
                <w:lang w:val="en-US" w:eastAsia="zh-CN"/>
              </w:rPr>
              <w:t>则3</w:t>
            </w:r>
            <w:r>
              <w:rPr>
                <w:rFonts w:hint="default" w:ascii="Times New Roman" w:hAnsi="Times New Roman" w:eastAsia="宋体" w:cs="Times New Roman"/>
                <w:color w:val="auto"/>
                <w:sz w:val="21"/>
                <w:szCs w:val="21"/>
                <w:highlight w:val="none"/>
              </w:rPr>
              <w:t>台</w:t>
            </w:r>
            <w:r>
              <w:rPr>
                <w:rFonts w:hint="eastAsia"/>
                <w:color w:val="auto"/>
                <w:sz w:val="21"/>
                <w:szCs w:val="21"/>
                <w:highlight w:val="none"/>
                <w:lang w:val="en-US" w:eastAsia="zh-CN"/>
              </w:rPr>
              <w:t>10t/h生物质蒸汽锅炉</w:t>
            </w:r>
            <w:r>
              <w:rPr>
                <w:rFonts w:hint="default" w:ascii="Times New Roman" w:hAnsi="Times New Roman" w:eastAsia="宋体" w:cs="Times New Roman"/>
                <w:color w:val="auto"/>
                <w:sz w:val="21"/>
                <w:szCs w:val="21"/>
                <w:highlight w:val="none"/>
              </w:rPr>
              <w:t>每年消耗生物质燃料量为</w:t>
            </w:r>
            <w:r>
              <w:rPr>
                <w:rFonts w:hint="eastAsia" w:cs="Times New Roman"/>
                <w:color w:val="auto"/>
                <w:sz w:val="21"/>
                <w:szCs w:val="21"/>
                <w:highlight w:val="none"/>
                <w:lang w:val="en-US" w:eastAsia="zh-CN"/>
              </w:rPr>
              <w:t>25137.15</w:t>
            </w:r>
            <w:r>
              <w:rPr>
                <w:rFonts w:hint="default" w:ascii="Times New Roman" w:hAnsi="Times New Roman" w:eastAsia="宋体" w:cs="Times New Roman"/>
                <w:color w:val="auto"/>
                <w:sz w:val="21"/>
                <w:szCs w:val="21"/>
                <w:highlight w:val="none"/>
              </w:rPr>
              <w:t>t。</w:t>
            </w:r>
          </w:p>
          <w:p w14:paraId="4B9B7E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eastAsia="宋体"/>
                <w:color w:val="auto"/>
                <w:highlight w:val="none"/>
                <w:lang w:val="en-US" w:eastAsia="zh-CN"/>
              </w:rPr>
            </w:pPr>
            <w:r>
              <w:rPr>
                <w:rFonts w:hint="eastAsia" w:cs="Times New Roman"/>
                <w:color w:val="auto"/>
                <w:sz w:val="21"/>
                <w:szCs w:val="21"/>
                <w:highlight w:val="none"/>
                <w:lang w:val="en-US" w:eastAsia="zh-CN"/>
              </w:rPr>
              <w:t>综上所述，本项目根据锅炉型号及运行时间核算出</w:t>
            </w:r>
            <w:r>
              <w:rPr>
                <w:rFonts w:hint="default"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25137.15</w:t>
            </w:r>
            <w:r>
              <w:rPr>
                <w:rFonts w:hint="default" w:ascii="Times New Roman" w:hAnsi="Times New Roman" w:eastAsia="宋体" w:cs="Times New Roman"/>
                <w:color w:val="auto"/>
                <w:sz w:val="21"/>
                <w:szCs w:val="21"/>
                <w:highlight w:val="none"/>
              </w:rPr>
              <w:t>t/a。</w:t>
            </w:r>
          </w:p>
          <w:p w14:paraId="73071E8A">
            <w:pPr>
              <w:keepNext w:val="0"/>
              <w:keepLines w:val="0"/>
              <w:pageBreakBefore w:val="0"/>
              <w:widowControl/>
              <w:numPr>
                <w:ilvl w:val="-1"/>
                <w:numId w:val="0"/>
              </w:numPr>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left"/>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eastAsia="zh-CN"/>
              </w:rPr>
              <w:t>（</w:t>
            </w:r>
            <w:r>
              <w:rPr>
                <w:rFonts w:hint="eastAsia" w:cs="Times New Roman"/>
                <w:color w:val="auto"/>
                <w:szCs w:val="21"/>
                <w:highlight w:val="none"/>
                <w:lang w:val="en-US" w:eastAsia="zh-CN"/>
              </w:rPr>
              <w:t>4</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供电：本项目供电由</w:t>
            </w:r>
            <w:r>
              <w:rPr>
                <w:rFonts w:hint="default" w:ascii="Times New Roman" w:hAnsi="Times New Roman" w:cs="Times New Roman"/>
                <w:color w:val="auto"/>
                <w:kern w:val="2"/>
                <w:szCs w:val="21"/>
                <w:highlight w:val="none"/>
              </w:rPr>
              <w:t>当地电业局提供</w:t>
            </w:r>
            <w:r>
              <w:rPr>
                <w:rFonts w:hint="default" w:ascii="Times New Roman" w:hAnsi="Times New Roman" w:cs="Times New Roman"/>
                <w:color w:val="auto"/>
                <w:szCs w:val="21"/>
                <w:highlight w:val="none"/>
                <w:lang w:val="en-US" w:eastAsia="zh-CN"/>
              </w:rPr>
              <w:t>。</w:t>
            </w:r>
          </w:p>
          <w:p w14:paraId="5DF16425">
            <w:pPr>
              <w:pStyle w:val="9"/>
              <w:keepNext w:val="0"/>
              <w:keepLines w:val="0"/>
              <w:pageBreakBefore w:val="0"/>
              <w:widowControl/>
              <w:suppressLineNumbers w:val="0"/>
              <w:kinsoku/>
              <w:wordWrap/>
              <w:overflowPunct/>
              <w:topLinePunct w:val="0"/>
              <w:autoSpaceDE/>
              <w:autoSpaceDN/>
              <w:bidi w:val="0"/>
              <w:snapToGrid/>
              <w:spacing w:before="0" w:beforeAutospacing="0" w:after="0" w:afterAutospacing="0" w:line="360" w:lineRule="auto"/>
              <w:ind w:left="0" w:right="0" w:firstLine="422" w:firstLineChars="200"/>
              <w:jc w:val="both"/>
              <w:textAlignment w:val="auto"/>
              <w:rPr>
                <w:rFonts w:hint="default" w:ascii="Times New Roman" w:hAnsi="Times New Roman" w:cs="Times New Roman"/>
                <w:b/>
                <w:bCs/>
                <w:color w:val="auto"/>
                <w:kern w:val="21"/>
                <w:sz w:val="21"/>
                <w:szCs w:val="21"/>
                <w:highlight w:val="none"/>
              </w:rPr>
            </w:pPr>
            <w:r>
              <w:rPr>
                <w:rFonts w:hint="eastAsia" w:cs="Times New Roman"/>
                <w:b/>
                <w:bCs/>
                <w:color w:val="auto"/>
                <w:kern w:val="21"/>
                <w:sz w:val="21"/>
                <w:szCs w:val="21"/>
                <w:highlight w:val="none"/>
                <w:lang w:val="en-US" w:eastAsia="zh-CN"/>
              </w:rPr>
              <w:t>6、</w:t>
            </w:r>
            <w:r>
              <w:rPr>
                <w:rFonts w:hint="default" w:ascii="Times New Roman" w:hAnsi="Times New Roman" w:cs="Times New Roman"/>
                <w:b/>
                <w:bCs/>
                <w:color w:val="auto"/>
                <w:kern w:val="21"/>
                <w:sz w:val="21"/>
                <w:szCs w:val="21"/>
                <w:highlight w:val="none"/>
              </w:rPr>
              <w:t>本项目平面布置</w:t>
            </w:r>
          </w:p>
          <w:p w14:paraId="42A1AB95">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b/>
                <w:color w:val="auto"/>
                <w:kern w:val="0"/>
                <w:sz w:val="21"/>
                <w:szCs w:val="21"/>
                <w:highlight w:val="none"/>
                <w:lang w:val="en-US" w:eastAsia="zh-CN" w:bidi="ar"/>
              </w:rPr>
            </w:pPr>
            <w:r>
              <w:rPr>
                <w:rFonts w:hint="eastAsia" w:cs="Times New Roman"/>
                <w:color w:val="auto"/>
                <w:kern w:val="0"/>
                <w:szCs w:val="21"/>
                <w:highlight w:val="none"/>
                <w:lang w:val="en-US" w:eastAsia="zh-CN"/>
              </w:rPr>
              <w:t>本项目洗煤一厂锅炉房位于东山煤矿工业广场内，燃料库位于锅炉房东北侧。</w:t>
            </w:r>
            <w:r>
              <w:rPr>
                <w:rFonts w:hint="eastAsia" w:cs="Times New Roman"/>
                <w:color w:val="FF0000"/>
                <w:kern w:val="21"/>
                <w:sz w:val="21"/>
                <w:szCs w:val="21"/>
                <w:highlight w:val="none"/>
                <w:vertAlign w:val="baseline"/>
                <w:lang w:val="en-US" w:eastAsia="zh-CN"/>
              </w:rPr>
              <w:t>锅炉房内一层东侧为灰渣库，西侧为风机房，</w:t>
            </w:r>
            <w:r>
              <w:rPr>
                <w:rFonts w:hint="eastAsia" w:cs="Times New Roman"/>
                <w:color w:val="auto"/>
                <w:kern w:val="21"/>
                <w:sz w:val="21"/>
                <w:szCs w:val="21"/>
                <w:highlight w:val="none"/>
                <w:vertAlign w:val="baseline"/>
                <w:lang w:val="en-US" w:eastAsia="zh-CN"/>
              </w:rPr>
              <w:t>北侧为库房；锅炉房内二层南侧为锅炉间，</w:t>
            </w:r>
            <w:r>
              <w:rPr>
                <w:rFonts w:hint="eastAsia" w:cs="Times New Roman"/>
                <w:color w:val="auto"/>
                <w:kern w:val="21"/>
                <w:sz w:val="21"/>
                <w:szCs w:val="21"/>
                <w:highlight w:val="none"/>
                <w:lang w:val="en-US" w:eastAsia="zh-CN"/>
              </w:rPr>
              <w:t>北侧为配电室、休息室</w:t>
            </w:r>
            <w:r>
              <w:rPr>
                <w:rFonts w:hint="eastAsia" w:cs="Times New Roman"/>
                <w:color w:val="auto"/>
                <w:kern w:val="21"/>
                <w:sz w:val="21"/>
                <w:szCs w:val="21"/>
                <w:highlight w:val="none"/>
                <w:vertAlign w:val="baseline"/>
                <w:lang w:val="en-US" w:eastAsia="zh-CN"/>
              </w:rPr>
              <w:t>；锅炉房内北侧三层为闲置房间；锅炉房内北侧四层为上料皮带间；锅炉房内北侧负一层为水泵房</w:t>
            </w:r>
            <w:r>
              <w:rPr>
                <w:rFonts w:hint="eastAsia"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厂区</w:t>
            </w:r>
            <w:r>
              <w:rPr>
                <w:rFonts w:hint="default" w:ascii="Times New Roman" w:hAnsi="Times New Roman" w:cs="Times New Roman"/>
                <w:color w:val="auto"/>
                <w:kern w:val="21"/>
                <w:sz w:val="21"/>
                <w:szCs w:val="21"/>
                <w:highlight w:val="none"/>
                <w:lang w:eastAsia="zh-CN"/>
              </w:rPr>
              <w:t>功能区分明确，交通便利，总体布局合理</w:t>
            </w:r>
            <w:r>
              <w:rPr>
                <w:rFonts w:hint="default" w:ascii="Times New Roman" w:hAnsi="Times New Roman" w:cs="Times New Roman"/>
                <w:color w:val="auto"/>
                <w:kern w:val="0"/>
                <w:szCs w:val="21"/>
                <w:highlight w:val="none"/>
              </w:rPr>
              <w:t>。</w:t>
            </w:r>
          </w:p>
          <w:p w14:paraId="2E3FF481">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sz w:val="21"/>
                <w:szCs w:val="21"/>
                <w:highlight w:val="none"/>
              </w:rPr>
            </w:pPr>
            <w:r>
              <w:rPr>
                <w:rFonts w:hint="eastAsia" w:cs="Times New Roman"/>
                <w:b/>
                <w:color w:val="auto"/>
                <w:kern w:val="0"/>
                <w:sz w:val="21"/>
                <w:szCs w:val="21"/>
                <w:highlight w:val="none"/>
                <w:lang w:val="en-US" w:eastAsia="zh-CN" w:bidi="ar"/>
              </w:rPr>
              <w:t>7、</w:t>
            </w:r>
            <w:r>
              <w:rPr>
                <w:rFonts w:hint="default" w:ascii="Times New Roman" w:hAnsi="Times New Roman" w:cs="Times New Roman"/>
                <w:b/>
                <w:color w:val="auto"/>
                <w:kern w:val="0"/>
                <w:sz w:val="21"/>
                <w:szCs w:val="21"/>
                <w:highlight w:val="none"/>
                <w:lang w:bidi="ar"/>
              </w:rPr>
              <w:t>环保投资</w:t>
            </w:r>
          </w:p>
          <w:p w14:paraId="07B22768">
            <w:pPr>
              <w:keepNext w:val="0"/>
              <w:keepLines w:val="0"/>
              <w:widowControl/>
              <w:suppressLineNumbers w:val="0"/>
              <w:spacing w:before="0" w:beforeAutospacing="0" w:after="0" w:afterAutospacing="0" w:line="360" w:lineRule="auto"/>
              <w:ind w:left="0" w:right="0" w:firstLine="420" w:firstLineChars="200"/>
              <w:rPr>
                <w:rFonts w:hint="default"/>
                <w:b/>
                <w:color w:val="auto"/>
                <w:sz w:val="21"/>
                <w:szCs w:val="21"/>
                <w:highlight w:val="none"/>
              </w:rPr>
            </w:pPr>
            <w:r>
              <w:rPr>
                <w:rFonts w:hint="default"/>
                <w:color w:val="auto"/>
                <w:sz w:val="21"/>
                <w:szCs w:val="21"/>
                <w:highlight w:val="none"/>
              </w:rPr>
              <w:t>本项目总投资</w:t>
            </w:r>
            <w:r>
              <w:rPr>
                <w:rFonts w:hint="default" w:ascii="Times New Roman" w:hAnsi="Times New Roman" w:cs="Times New Roman"/>
                <w:color w:val="auto"/>
                <w:highlight w:val="none"/>
                <w:lang w:val="en-US" w:eastAsia="zh-CN"/>
              </w:rPr>
              <w:t>773.62</w:t>
            </w:r>
            <w:r>
              <w:rPr>
                <w:rFonts w:hint="default" w:ascii="Times New Roman" w:hAnsi="Times New Roman" w:cs="Times New Roman"/>
                <w:color w:val="auto"/>
                <w:sz w:val="21"/>
                <w:szCs w:val="21"/>
                <w:highlight w:val="none"/>
              </w:rPr>
              <w:t>万元，其中环保投资</w:t>
            </w:r>
            <w:r>
              <w:rPr>
                <w:rFonts w:hint="eastAsia" w:cs="Times New Roman"/>
                <w:color w:val="auto"/>
                <w:sz w:val="21"/>
                <w:szCs w:val="21"/>
                <w:highlight w:val="none"/>
                <w:lang w:val="en-US" w:eastAsia="zh-CN"/>
              </w:rPr>
              <w:t>60</w:t>
            </w:r>
            <w:r>
              <w:rPr>
                <w:rFonts w:hint="default" w:ascii="Times New Roman" w:hAnsi="Times New Roman" w:cs="Times New Roman"/>
                <w:color w:val="auto"/>
                <w:sz w:val="21"/>
                <w:szCs w:val="21"/>
                <w:highlight w:val="none"/>
              </w:rPr>
              <w:t>万元，占总投资的</w:t>
            </w:r>
            <w:r>
              <w:rPr>
                <w:rFonts w:hint="eastAsia" w:cs="Times New Roman"/>
                <w:color w:val="auto"/>
                <w:sz w:val="21"/>
                <w:szCs w:val="21"/>
                <w:highlight w:val="none"/>
                <w:lang w:val="en-US" w:eastAsia="zh-CN"/>
              </w:rPr>
              <w:t>7.8</w:t>
            </w:r>
            <w:r>
              <w:rPr>
                <w:rFonts w:hint="default" w:ascii="Times New Roman" w:hAnsi="Times New Roman" w:cs="Times New Roman"/>
                <w:color w:val="auto"/>
                <w:sz w:val="21"/>
                <w:szCs w:val="21"/>
                <w:highlight w:val="none"/>
              </w:rPr>
              <w:t>%</w:t>
            </w:r>
            <w:r>
              <w:rPr>
                <w:rFonts w:hint="default"/>
                <w:color w:val="auto"/>
                <w:sz w:val="21"/>
                <w:szCs w:val="21"/>
                <w:highlight w:val="none"/>
              </w:rPr>
              <w:t>，详见表2-</w:t>
            </w:r>
            <w:r>
              <w:rPr>
                <w:rFonts w:hint="eastAsia"/>
                <w:color w:val="auto"/>
                <w:sz w:val="21"/>
                <w:szCs w:val="21"/>
                <w:highlight w:val="none"/>
                <w:lang w:val="en-US" w:eastAsia="zh-CN"/>
              </w:rPr>
              <w:t>4</w:t>
            </w:r>
            <w:r>
              <w:rPr>
                <w:rFonts w:hint="default"/>
                <w:color w:val="auto"/>
                <w:sz w:val="21"/>
                <w:szCs w:val="21"/>
                <w:highlight w:val="none"/>
              </w:rPr>
              <w:t>。</w:t>
            </w:r>
          </w:p>
          <w:p w14:paraId="1878E586">
            <w:pPr>
              <w:keepNext w:val="0"/>
              <w:keepLines w:val="0"/>
              <w:widowControl/>
              <w:suppressLineNumbers w:val="0"/>
              <w:spacing w:before="0" w:beforeAutospacing="0" w:after="0" w:afterAutospacing="0"/>
              <w:ind w:left="0" w:right="0" w:firstLine="422" w:firstLineChars="200"/>
              <w:jc w:val="center"/>
              <w:rPr>
                <w:rFonts w:hint="default"/>
                <w:b/>
                <w:color w:val="auto"/>
                <w:sz w:val="24"/>
                <w:szCs w:val="28"/>
                <w:highlight w:val="none"/>
              </w:rPr>
            </w:pPr>
            <w:r>
              <w:rPr>
                <w:rFonts w:hint="default"/>
                <w:b/>
                <w:color w:val="auto"/>
                <w:szCs w:val="21"/>
                <w:highlight w:val="none"/>
              </w:rPr>
              <w:t>表2-</w:t>
            </w:r>
            <w:r>
              <w:rPr>
                <w:rFonts w:hint="eastAsia"/>
                <w:b/>
                <w:color w:val="auto"/>
                <w:szCs w:val="21"/>
                <w:highlight w:val="none"/>
                <w:lang w:val="en-US" w:eastAsia="zh-CN"/>
              </w:rPr>
              <w:t xml:space="preserve">4 </w:t>
            </w:r>
            <w:r>
              <w:rPr>
                <w:rFonts w:hint="default"/>
                <w:b/>
                <w:color w:val="auto"/>
                <w:szCs w:val="21"/>
                <w:highlight w:val="none"/>
              </w:rPr>
              <w:t>环保投资一览表</w:t>
            </w:r>
          </w:p>
          <w:tbl>
            <w:tblPr>
              <w:tblStyle w:val="3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618"/>
              <w:gridCol w:w="4125"/>
              <w:gridCol w:w="1296"/>
            </w:tblGrid>
            <w:tr w14:paraId="555933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1217" w:type="dxa"/>
                  <w:tcBorders>
                    <w:tl2br w:val="nil"/>
                    <w:tr2bl w:val="nil"/>
                  </w:tcBorders>
                  <w:noWrap w:val="0"/>
                  <w:vAlign w:val="center"/>
                </w:tcPr>
                <w:p w14:paraId="2218E6D3">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eastAsia="zh-CN"/>
                    </w:rPr>
                    <w:t>序号</w:t>
                  </w:r>
                </w:p>
              </w:tc>
              <w:tc>
                <w:tcPr>
                  <w:tcW w:w="1618" w:type="dxa"/>
                  <w:tcBorders>
                    <w:tl2br w:val="nil"/>
                    <w:tr2bl w:val="nil"/>
                  </w:tcBorders>
                  <w:noWrap w:val="0"/>
                  <w:vAlign w:val="center"/>
                </w:tcPr>
                <w:p w14:paraId="2A21A940">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处理项目</w:t>
                  </w:r>
                </w:p>
              </w:tc>
              <w:tc>
                <w:tcPr>
                  <w:tcW w:w="4125" w:type="dxa"/>
                  <w:tcBorders>
                    <w:tl2br w:val="nil"/>
                    <w:tr2bl w:val="nil"/>
                  </w:tcBorders>
                  <w:noWrap w:val="0"/>
                  <w:vAlign w:val="center"/>
                </w:tcPr>
                <w:p w14:paraId="1BF151BA">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处理措施</w:t>
                  </w:r>
                </w:p>
              </w:tc>
              <w:tc>
                <w:tcPr>
                  <w:tcW w:w="1296" w:type="dxa"/>
                  <w:tcBorders>
                    <w:tl2br w:val="nil"/>
                    <w:tr2bl w:val="nil"/>
                  </w:tcBorders>
                  <w:noWrap w:val="0"/>
                  <w:vAlign w:val="center"/>
                </w:tcPr>
                <w:p w14:paraId="69C838B7">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投资（万元）</w:t>
                  </w:r>
                </w:p>
              </w:tc>
            </w:tr>
            <w:tr w14:paraId="26D797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noWrap w:val="0"/>
                  <w:vAlign w:val="center"/>
                </w:tcPr>
                <w:p w14:paraId="478E33F0">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618" w:type="dxa"/>
                  <w:tcBorders>
                    <w:tl2br w:val="nil"/>
                    <w:tr2bl w:val="nil"/>
                  </w:tcBorders>
                  <w:noWrap w:val="0"/>
                  <w:vAlign w:val="center"/>
                </w:tcPr>
                <w:p w14:paraId="539ADACF">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废气处理</w:t>
                  </w:r>
                </w:p>
              </w:tc>
              <w:tc>
                <w:tcPr>
                  <w:tcW w:w="4125" w:type="dxa"/>
                  <w:tcBorders>
                    <w:tl2br w:val="nil"/>
                    <w:tr2bl w:val="nil"/>
                  </w:tcBorders>
                  <w:noWrap w:val="0"/>
                  <w:vAlign w:val="center"/>
                </w:tcPr>
                <w:p w14:paraId="7912E2A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3套</w:t>
                  </w:r>
                  <w:r>
                    <w:rPr>
                      <w:rFonts w:hint="eastAsia" w:cs="Times New Roman"/>
                      <w:color w:val="auto"/>
                      <w:kern w:val="21"/>
                      <w:sz w:val="18"/>
                      <w:szCs w:val="18"/>
                      <w:highlight w:val="none"/>
                      <w:vertAlign w:val="baseline"/>
                      <w:lang w:val="en-US" w:eastAsia="zh-CN"/>
                    </w:rPr>
                    <w:t>多管陶瓷除尘器</w:t>
                  </w:r>
                  <w:r>
                    <w:rPr>
                      <w:rFonts w:hint="eastAsia" w:cs="Times New Roman"/>
                      <w:color w:val="auto"/>
                      <w:sz w:val="18"/>
                      <w:szCs w:val="18"/>
                      <w:highlight w:val="none"/>
                      <w:lang w:val="en-US" w:eastAsia="zh-CN"/>
                    </w:rPr>
                    <w:t>、燃料库封闭</w:t>
                  </w:r>
                </w:p>
              </w:tc>
              <w:tc>
                <w:tcPr>
                  <w:tcW w:w="1296" w:type="dxa"/>
                  <w:tcBorders>
                    <w:tl2br w:val="nil"/>
                    <w:tr2bl w:val="nil"/>
                  </w:tcBorders>
                  <w:noWrap w:val="0"/>
                  <w:vAlign w:val="center"/>
                </w:tcPr>
                <w:p w14:paraId="79FAD7CD">
                  <w:pPr>
                    <w:pStyle w:val="102"/>
                    <w:keepNext w:val="0"/>
                    <w:keepLines w:val="0"/>
                    <w:widowControl/>
                    <w:suppressLineNumbers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40</w:t>
                  </w:r>
                </w:p>
              </w:tc>
            </w:tr>
            <w:tr w14:paraId="670058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noWrap w:val="0"/>
                  <w:vAlign w:val="center"/>
                </w:tcPr>
                <w:p w14:paraId="49070AE6">
                  <w:pPr>
                    <w:pStyle w:val="102"/>
                    <w:keepNext w:val="0"/>
                    <w:keepLines w:val="0"/>
                    <w:widowControl/>
                    <w:suppressLineNumbers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1618" w:type="dxa"/>
                  <w:tcBorders>
                    <w:tl2br w:val="nil"/>
                    <w:tr2bl w:val="nil"/>
                  </w:tcBorders>
                  <w:noWrap w:val="0"/>
                  <w:vAlign w:val="center"/>
                </w:tcPr>
                <w:p w14:paraId="79629544">
                  <w:pPr>
                    <w:pStyle w:val="102"/>
                    <w:keepNext w:val="0"/>
                    <w:keepLines w:val="0"/>
                    <w:widowControl/>
                    <w:suppressLineNumbers w:val="0"/>
                    <w:spacing w:before="0" w:beforeAutospacing="0" w:after="0" w:afterAutospacing="0" w:line="240" w:lineRule="auto"/>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废水处理</w:t>
                  </w:r>
                </w:p>
              </w:tc>
              <w:tc>
                <w:tcPr>
                  <w:tcW w:w="4125" w:type="dxa"/>
                  <w:tcBorders>
                    <w:tl2br w:val="nil"/>
                    <w:tr2bl w:val="nil"/>
                  </w:tcBorders>
                  <w:noWrap w:val="0"/>
                  <w:vAlign w:val="center"/>
                </w:tcPr>
                <w:p w14:paraId="22AE450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lang w:val="en-US" w:eastAsia="zh-CN"/>
                    </w:rPr>
                    <w:t>70m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vertAlign w:val="baseline"/>
                      <w:lang w:val="en-US" w:eastAsia="zh-CN"/>
                    </w:rPr>
                    <w:t>防渗储水罐</w:t>
                  </w:r>
                </w:p>
              </w:tc>
              <w:tc>
                <w:tcPr>
                  <w:tcW w:w="1296" w:type="dxa"/>
                  <w:tcBorders>
                    <w:tl2br w:val="nil"/>
                    <w:tr2bl w:val="nil"/>
                  </w:tcBorders>
                  <w:noWrap w:val="0"/>
                  <w:vAlign w:val="center"/>
                </w:tcPr>
                <w:p w14:paraId="2A8B917B">
                  <w:pPr>
                    <w:pStyle w:val="102"/>
                    <w:keepNext w:val="0"/>
                    <w:keepLines w:val="0"/>
                    <w:widowControl/>
                    <w:suppressLineNumbers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r>
            <w:tr w14:paraId="28C125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noWrap w:val="0"/>
                  <w:vAlign w:val="center"/>
                </w:tcPr>
                <w:p w14:paraId="2CE34EC3">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1618" w:type="dxa"/>
                  <w:tcBorders>
                    <w:tl2br w:val="nil"/>
                    <w:tr2bl w:val="nil"/>
                  </w:tcBorders>
                  <w:noWrap w:val="0"/>
                  <w:vAlign w:val="center"/>
                </w:tcPr>
                <w:p w14:paraId="51C5CF1B">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噪声治理</w:t>
                  </w:r>
                </w:p>
              </w:tc>
              <w:tc>
                <w:tcPr>
                  <w:tcW w:w="4125" w:type="dxa"/>
                  <w:tcBorders>
                    <w:tl2br w:val="nil"/>
                    <w:tr2bl w:val="nil"/>
                  </w:tcBorders>
                  <w:noWrap w:val="0"/>
                  <w:vAlign w:val="center"/>
                </w:tcPr>
                <w:p w14:paraId="4B0AB91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highlight w:val="none"/>
                      <w:lang w:val="en-US" w:eastAsia="zh-CN"/>
                    </w:rPr>
                  </w:pPr>
                  <w:r>
                    <w:rPr>
                      <w:rFonts w:hint="eastAsia" w:cs="Times New Roman"/>
                      <w:color w:val="auto"/>
                      <w:sz w:val="18"/>
                      <w:szCs w:val="18"/>
                      <w:highlight w:val="none"/>
                      <w:lang w:val="en-US" w:eastAsia="zh-CN"/>
                    </w:rPr>
                    <w:t>新建设备</w:t>
                  </w:r>
                  <w:r>
                    <w:rPr>
                      <w:rFonts w:hint="default" w:ascii="Times New Roman" w:hAnsi="Times New Roman" w:eastAsia="宋体" w:cs="Times New Roman"/>
                      <w:color w:val="auto"/>
                      <w:sz w:val="18"/>
                      <w:szCs w:val="18"/>
                      <w:highlight w:val="none"/>
                    </w:rPr>
                    <w:t>选用低噪声设备、基础减振</w:t>
                  </w:r>
                  <w:r>
                    <w:rPr>
                      <w:rFonts w:hint="default" w:ascii="Times New Roman" w:hAnsi="Times New Roman" w:cs="Times New Roman"/>
                      <w:color w:val="auto"/>
                      <w:sz w:val="18"/>
                      <w:szCs w:val="18"/>
                      <w:highlight w:val="none"/>
                      <w:lang w:eastAsia="zh-CN"/>
                    </w:rPr>
                    <w:t>、</w:t>
                  </w:r>
                  <w:r>
                    <w:rPr>
                      <w:rFonts w:hint="eastAsia" w:cs="Times New Roman"/>
                      <w:color w:val="auto"/>
                      <w:sz w:val="18"/>
                      <w:szCs w:val="18"/>
                      <w:highlight w:val="none"/>
                      <w:lang w:val="en-US" w:eastAsia="zh-CN"/>
                    </w:rPr>
                    <w:t>锅炉房隔声</w:t>
                  </w:r>
                  <w:r>
                    <w:rPr>
                      <w:rFonts w:hint="default" w:ascii="Times New Roman" w:hAnsi="Times New Roman" w:cs="Times New Roman"/>
                      <w:color w:val="auto"/>
                      <w:sz w:val="18"/>
                      <w:szCs w:val="18"/>
                      <w:highlight w:val="none"/>
                    </w:rPr>
                    <w:t>措施</w:t>
                  </w:r>
                  <w:r>
                    <w:rPr>
                      <w:rFonts w:hint="default" w:ascii="Times New Roman" w:hAnsi="Times New Roman" w:cs="Times New Roman"/>
                      <w:color w:val="auto"/>
                      <w:sz w:val="18"/>
                      <w:szCs w:val="18"/>
                      <w:highlight w:val="none"/>
                      <w:lang w:val="en-US" w:eastAsia="zh-CN"/>
                    </w:rPr>
                    <w:t>等</w:t>
                  </w:r>
                </w:p>
              </w:tc>
              <w:tc>
                <w:tcPr>
                  <w:tcW w:w="1296" w:type="dxa"/>
                  <w:tcBorders>
                    <w:tl2br w:val="nil"/>
                    <w:tr2bl w:val="nil"/>
                  </w:tcBorders>
                  <w:noWrap w:val="0"/>
                  <w:vAlign w:val="center"/>
                </w:tcPr>
                <w:p w14:paraId="4E5FDC8F">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r>
            <w:tr w14:paraId="4D03DD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noWrap w:val="0"/>
                  <w:vAlign w:val="center"/>
                </w:tcPr>
                <w:p w14:paraId="7D833C91">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1618" w:type="dxa"/>
                  <w:tcBorders>
                    <w:tl2br w:val="nil"/>
                    <w:tr2bl w:val="nil"/>
                  </w:tcBorders>
                  <w:noWrap w:val="0"/>
                  <w:vAlign w:val="center"/>
                </w:tcPr>
                <w:p w14:paraId="1DBEF617">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固废处理</w:t>
                  </w:r>
                </w:p>
              </w:tc>
              <w:tc>
                <w:tcPr>
                  <w:tcW w:w="4125" w:type="dxa"/>
                  <w:tcBorders>
                    <w:tl2br w:val="nil"/>
                    <w:tr2bl w:val="nil"/>
                  </w:tcBorders>
                  <w:noWrap w:val="0"/>
                  <w:vAlign w:val="center"/>
                </w:tcPr>
                <w:p w14:paraId="40B3B9F6">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专用</w:t>
                  </w:r>
                  <w:r>
                    <w:rPr>
                      <w:rFonts w:hint="default" w:ascii="Times New Roman" w:hAnsi="Times New Roman" w:cs="Times New Roman"/>
                      <w:color w:val="auto"/>
                      <w:sz w:val="18"/>
                      <w:szCs w:val="18"/>
                      <w:highlight w:val="none"/>
                      <w:lang w:val="en-US" w:eastAsia="zh-CN"/>
                    </w:rPr>
                    <w:t>收集袋</w:t>
                  </w:r>
                </w:p>
              </w:tc>
              <w:tc>
                <w:tcPr>
                  <w:tcW w:w="1296" w:type="dxa"/>
                  <w:tcBorders>
                    <w:tl2br w:val="nil"/>
                    <w:tr2bl w:val="nil"/>
                  </w:tcBorders>
                  <w:noWrap w:val="0"/>
                  <w:vAlign w:val="center"/>
                </w:tcPr>
                <w:p w14:paraId="7520D6AF">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r>
            <w:tr w14:paraId="3C5BC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noWrap w:val="0"/>
                  <w:vAlign w:val="center"/>
                </w:tcPr>
                <w:p w14:paraId="4771F625">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1618" w:type="dxa"/>
                  <w:tcBorders>
                    <w:tl2br w:val="nil"/>
                    <w:tr2bl w:val="nil"/>
                  </w:tcBorders>
                  <w:noWrap w:val="0"/>
                  <w:vAlign w:val="center"/>
                </w:tcPr>
                <w:p w14:paraId="303AE936">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环境管理</w:t>
                  </w:r>
                </w:p>
              </w:tc>
              <w:tc>
                <w:tcPr>
                  <w:tcW w:w="4125" w:type="dxa"/>
                  <w:tcBorders>
                    <w:tl2br w:val="nil"/>
                    <w:tr2bl w:val="nil"/>
                  </w:tcBorders>
                  <w:noWrap w:val="0"/>
                  <w:vAlign w:val="center"/>
                </w:tcPr>
                <w:p w14:paraId="375F1F22">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厂区环境管理</w:t>
                  </w:r>
                </w:p>
              </w:tc>
              <w:tc>
                <w:tcPr>
                  <w:tcW w:w="1296" w:type="dxa"/>
                  <w:tcBorders>
                    <w:tl2br w:val="nil"/>
                    <w:tr2bl w:val="nil"/>
                  </w:tcBorders>
                  <w:noWrap w:val="0"/>
                  <w:vAlign w:val="center"/>
                </w:tcPr>
                <w:p w14:paraId="2568C3CD">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w:t>
                  </w:r>
                </w:p>
              </w:tc>
            </w:tr>
            <w:tr w14:paraId="6983C8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noWrap w:val="0"/>
                  <w:vAlign w:val="center"/>
                </w:tcPr>
                <w:p w14:paraId="62F6546D">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1618" w:type="dxa"/>
                  <w:tcBorders>
                    <w:tl2br w:val="nil"/>
                    <w:tr2bl w:val="nil"/>
                  </w:tcBorders>
                  <w:noWrap w:val="0"/>
                  <w:vAlign w:val="center"/>
                </w:tcPr>
                <w:p w14:paraId="33042FD5">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监测费用</w:t>
                  </w:r>
                </w:p>
              </w:tc>
              <w:tc>
                <w:tcPr>
                  <w:tcW w:w="4125" w:type="dxa"/>
                  <w:tcBorders>
                    <w:tl2br w:val="nil"/>
                    <w:tr2bl w:val="nil"/>
                  </w:tcBorders>
                  <w:noWrap w:val="0"/>
                  <w:vAlign w:val="center"/>
                </w:tcPr>
                <w:p w14:paraId="4C6A2905">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厂区废气</w:t>
                  </w:r>
                  <w:r>
                    <w:rPr>
                      <w:rFonts w:hint="eastAsia" w:ascii="Times New Roman" w:hAnsi="Times New Roman" w:cs="Times New Roman"/>
                      <w:color w:val="auto"/>
                      <w:sz w:val="18"/>
                      <w:szCs w:val="18"/>
                      <w:highlight w:val="none"/>
                      <w:lang w:val="en-US" w:eastAsia="zh-CN"/>
                    </w:rPr>
                    <w:t>废水</w:t>
                  </w:r>
                  <w:r>
                    <w:rPr>
                      <w:rFonts w:hint="default" w:ascii="Times New Roman" w:hAnsi="Times New Roman" w:cs="Times New Roman"/>
                      <w:color w:val="auto"/>
                      <w:sz w:val="18"/>
                      <w:szCs w:val="18"/>
                      <w:highlight w:val="none"/>
                      <w:lang w:val="en-US" w:eastAsia="zh-CN"/>
                    </w:rPr>
                    <w:t>噪声自行监测</w:t>
                  </w:r>
                </w:p>
              </w:tc>
              <w:tc>
                <w:tcPr>
                  <w:tcW w:w="1296" w:type="dxa"/>
                  <w:tcBorders>
                    <w:tl2br w:val="nil"/>
                    <w:tr2bl w:val="nil"/>
                  </w:tcBorders>
                  <w:noWrap w:val="0"/>
                  <w:vAlign w:val="center"/>
                </w:tcPr>
                <w:p w14:paraId="068D016B">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w:t>
                  </w:r>
                </w:p>
              </w:tc>
            </w:tr>
            <w:tr w14:paraId="1F026E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noWrap w:val="0"/>
                  <w:vAlign w:val="center"/>
                </w:tcPr>
                <w:p w14:paraId="4F9C8CB1">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w:t>
                  </w:r>
                </w:p>
              </w:tc>
              <w:tc>
                <w:tcPr>
                  <w:tcW w:w="5743" w:type="dxa"/>
                  <w:gridSpan w:val="2"/>
                  <w:tcBorders>
                    <w:tl2br w:val="nil"/>
                    <w:tr2bl w:val="nil"/>
                  </w:tcBorders>
                  <w:noWrap w:val="0"/>
                  <w:vAlign w:val="center"/>
                </w:tcPr>
                <w:p w14:paraId="703E06D6">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环保设施运营及维护</w:t>
                  </w:r>
                </w:p>
              </w:tc>
              <w:tc>
                <w:tcPr>
                  <w:tcW w:w="1296" w:type="dxa"/>
                  <w:tcBorders>
                    <w:tl2br w:val="nil"/>
                    <w:tr2bl w:val="nil"/>
                  </w:tcBorders>
                  <w:noWrap w:val="0"/>
                  <w:vAlign w:val="center"/>
                </w:tcPr>
                <w:p w14:paraId="233E0DE2">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w:t>
                  </w:r>
                </w:p>
              </w:tc>
            </w:tr>
            <w:tr w14:paraId="15BC59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60" w:type="dxa"/>
                  <w:gridSpan w:val="3"/>
                  <w:tcBorders>
                    <w:tl2br w:val="nil"/>
                    <w:tr2bl w:val="nil"/>
                  </w:tcBorders>
                  <w:noWrap w:val="0"/>
                  <w:vAlign w:val="center"/>
                </w:tcPr>
                <w:p w14:paraId="64B40D9F">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环保投资（万元）</w:t>
                  </w:r>
                </w:p>
              </w:tc>
              <w:tc>
                <w:tcPr>
                  <w:tcW w:w="1296" w:type="dxa"/>
                  <w:tcBorders>
                    <w:tl2br w:val="nil"/>
                    <w:tr2bl w:val="nil"/>
                  </w:tcBorders>
                  <w:noWrap w:val="0"/>
                  <w:vAlign w:val="center"/>
                </w:tcPr>
                <w:p w14:paraId="68F5AD04">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60</w:t>
                  </w:r>
                </w:p>
              </w:tc>
            </w:tr>
            <w:tr w14:paraId="30AEA7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60" w:type="dxa"/>
                  <w:gridSpan w:val="3"/>
                  <w:tcBorders>
                    <w:tl2br w:val="nil"/>
                    <w:tr2bl w:val="nil"/>
                  </w:tcBorders>
                  <w:noWrap w:val="0"/>
                  <w:vAlign w:val="center"/>
                </w:tcPr>
                <w:p w14:paraId="0E5FDC1E">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总投资（万元）</w:t>
                  </w:r>
                </w:p>
              </w:tc>
              <w:tc>
                <w:tcPr>
                  <w:tcW w:w="1296" w:type="dxa"/>
                  <w:tcBorders>
                    <w:tl2br w:val="nil"/>
                    <w:tr2bl w:val="nil"/>
                  </w:tcBorders>
                  <w:noWrap w:val="0"/>
                  <w:vAlign w:val="center"/>
                </w:tcPr>
                <w:p w14:paraId="4D6DA40E">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773.62</w:t>
                  </w:r>
                </w:p>
              </w:tc>
            </w:tr>
            <w:tr w14:paraId="37DD2A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60" w:type="dxa"/>
                  <w:gridSpan w:val="3"/>
                  <w:tcBorders>
                    <w:tl2br w:val="nil"/>
                    <w:tr2bl w:val="nil"/>
                  </w:tcBorders>
                  <w:noWrap w:val="0"/>
                  <w:vAlign w:val="center"/>
                </w:tcPr>
                <w:p w14:paraId="370C3A54">
                  <w:pPr>
                    <w:pStyle w:val="86"/>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lang w:val="en-US" w:eastAsia="zh-CN"/>
                    </w:rPr>
                    <w:t>占总投资比例（%）</w:t>
                  </w:r>
                </w:p>
              </w:tc>
              <w:tc>
                <w:tcPr>
                  <w:tcW w:w="1296" w:type="dxa"/>
                  <w:tcBorders>
                    <w:tl2br w:val="nil"/>
                    <w:tr2bl w:val="nil"/>
                  </w:tcBorders>
                  <w:noWrap w:val="0"/>
                  <w:vAlign w:val="center"/>
                </w:tcPr>
                <w:p w14:paraId="0E60A4AE">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7.8</w:t>
                  </w:r>
                </w:p>
              </w:tc>
            </w:tr>
          </w:tbl>
          <w:p w14:paraId="19843036">
            <w:pPr>
              <w:pStyle w:val="9"/>
              <w:keepNext w:val="0"/>
              <w:keepLines w:val="0"/>
              <w:widowControl w:val="0"/>
              <w:suppressLineNumbers w:val="0"/>
              <w:snapToGrid/>
              <w:spacing w:before="0" w:beforeAutospacing="0" w:after="0" w:afterAutospacing="0" w:line="360" w:lineRule="auto"/>
              <w:ind w:left="0" w:right="0"/>
              <w:rPr>
                <w:rFonts w:hint="default" w:ascii="Times New Roman" w:hAnsi="Times New Roman" w:eastAsia="宋体" w:cs="Times New Roman"/>
                <w:color w:val="auto"/>
                <w:kern w:val="21"/>
                <w:sz w:val="24"/>
                <w:szCs w:val="21"/>
                <w:highlight w:val="none"/>
                <w:lang w:val="en-US" w:eastAsia="zh-CN"/>
              </w:rPr>
            </w:pPr>
          </w:p>
        </w:tc>
      </w:tr>
      <w:tr w14:paraId="47C0BE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48" w:type="dxa"/>
            <w:vAlign w:val="center"/>
          </w:tcPr>
          <w:p w14:paraId="3FFFEF4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p>
          <w:p w14:paraId="4CBDAC8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工艺流程和产排污环节</w:t>
            </w:r>
          </w:p>
        </w:tc>
        <w:tc>
          <w:tcPr>
            <w:tcW w:w="8473" w:type="dxa"/>
            <w:vAlign w:val="center"/>
          </w:tcPr>
          <w:p w14:paraId="6AA791F4">
            <w:pPr>
              <w:keepNext w:val="0"/>
              <w:keepLines w:val="0"/>
              <w:widowControl/>
              <w:numPr>
                <w:ilvl w:val="0"/>
                <w:numId w:val="4"/>
              </w:numPr>
              <w:suppressLineNumbers w:val="0"/>
              <w:spacing w:before="0" w:beforeAutospacing="0" w:after="0" w:afterAutospacing="0" w:line="360" w:lineRule="auto"/>
              <w:ind w:right="0"/>
              <w:rPr>
                <w:rFonts w:hint="default"/>
                <w:b/>
                <w:bCs/>
                <w:color w:val="auto"/>
                <w:szCs w:val="21"/>
                <w:highlight w:val="none"/>
              </w:rPr>
            </w:pPr>
            <w:r>
              <w:rPr>
                <w:rFonts w:hint="default"/>
                <w:b/>
                <w:bCs/>
                <w:color w:val="auto"/>
                <w:szCs w:val="21"/>
                <w:highlight w:val="none"/>
              </w:rPr>
              <w:t>施工期工艺流程分析</w:t>
            </w:r>
          </w:p>
          <w:p w14:paraId="6232DCF5">
            <w:pPr>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color w:val="auto"/>
                <w:highlight w:val="none"/>
              </w:rPr>
            </w:pPr>
            <w:r>
              <w:rPr>
                <w:rFonts w:hint="eastAsia" w:cs="Times New Roman"/>
                <w:color w:val="auto"/>
                <w:kern w:val="21"/>
                <w:sz w:val="21"/>
                <w:szCs w:val="21"/>
                <w:highlight w:val="none"/>
                <w:vertAlign w:val="baseline"/>
                <w:lang w:val="en-US" w:eastAsia="zh-CN"/>
              </w:rPr>
              <w:t>本项目不新增占地面积，在原有锅炉房内建设。本项目将洗煤一厂锅炉房</w:t>
            </w:r>
            <w:r>
              <w:rPr>
                <w:rFonts w:hint="eastAsia" w:cs="Times New Roman"/>
                <w:color w:val="auto"/>
                <w:kern w:val="21"/>
                <w:sz w:val="21"/>
                <w:szCs w:val="21"/>
                <w:highlight w:val="none"/>
                <w:lang w:val="en-US" w:eastAsia="zh-CN"/>
              </w:rPr>
              <w:t>内</w:t>
            </w:r>
            <w:r>
              <w:rPr>
                <w:rFonts w:hint="default" w:ascii="Times New Roman" w:hAnsi="Times New Roman" w:eastAsia="宋体" w:cs="Times New Roman"/>
                <w:color w:val="auto"/>
                <w:kern w:val="21"/>
                <w:sz w:val="21"/>
                <w:szCs w:val="21"/>
                <w:highlight w:val="none"/>
                <w:vertAlign w:val="baseline"/>
                <w:lang w:val="en-US" w:eastAsia="zh-CN"/>
              </w:rPr>
              <w:t>现有</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eastAsia" w:cs="Times New Roman"/>
                <w:color w:val="auto"/>
                <w:kern w:val="21"/>
                <w:sz w:val="21"/>
                <w:szCs w:val="21"/>
                <w:highlight w:val="none"/>
                <w:lang w:val="en-US" w:eastAsia="zh-CN"/>
              </w:rPr>
              <w:t>及1套布袋除尘器淘汰</w:t>
            </w:r>
            <w:r>
              <w:rPr>
                <w:rFonts w:hint="default" w:ascii="Times New Roman" w:hAnsi="Times New Roman" w:eastAsia="宋体" w:cs="Times New Roman"/>
                <w:color w:val="auto"/>
                <w:kern w:val="21"/>
                <w:sz w:val="21"/>
                <w:szCs w:val="21"/>
                <w:highlight w:val="none"/>
                <w:vertAlign w:val="baseline"/>
                <w:lang w:val="en-US" w:eastAsia="zh-CN"/>
              </w:rPr>
              <w:t>，</w:t>
            </w:r>
            <w:r>
              <w:rPr>
                <w:rFonts w:hint="eastAsia"/>
                <w:color w:val="auto"/>
                <w:sz w:val="21"/>
                <w:highlight w:val="none"/>
                <w:lang w:val="en-US" w:eastAsia="zh-CN"/>
              </w:rPr>
              <w:t>现有</w:t>
            </w:r>
            <w:r>
              <w:rPr>
                <w:rFonts w:hint="eastAsia"/>
                <w:color w:val="auto"/>
                <w:highlight w:val="none"/>
                <w:lang w:val="en-US" w:eastAsia="zh-CN"/>
              </w:rPr>
              <w:t>45m烟囱（DA002）停用。</w:t>
            </w:r>
            <w:r>
              <w:rPr>
                <w:rFonts w:hint="default" w:ascii="Times New Roman" w:hAnsi="Times New Roman" w:eastAsia="宋体" w:cs="Times New Roman"/>
                <w:color w:val="auto"/>
                <w:kern w:val="21"/>
                <w:sz w:val="21"/>
                <w:szCs w:val="21"/>
                <w:highlight w:val="none"/>
                <w:vertAlign w:val="baseline"/>
                <w:lang w:val="en-US" w:eastAsia="zh-CN"/>
              </w:rPr>
              <w:t>新建</w:t>
            </w:r>
            <w:r>
              <w:rPr>
                <w:rFonts w:hint="eastAsia" w:cs="Times New Roman"/>
                <w:color w:val="auto"/>
                <w:sz w:val="21"/>
                <w:szCs w:val="21"/>
                <w:highlight w:val="none"/>
                <w:lang w:val="en-US" w:eastAsia="zh-CN"/>
              </w:rPr>
              <w:t>3台10t/h生物质蒸汽锅炉，淘汰的燃煤锅炉及布袋除尘器，均外售；</w:t>
            </w:r>
            <w:r>
              <w:rPr>
                <w:rFonts w:hint="eastAsia"/>
                <w:color w:val="auto"/>
                <w:highlight w:val="none"/>
                <w:lang w:val="en-US" w:eastAsia="zh-CN"/>
              </w:rPr>
              <w:t>新增</w:t>
            </w:r>
            <w:r>
              <w:rPr>
                <w:rFonts w:hint="eastAsia"/>
                <w:color w:val="auto"/>
                <w:sz w:val="21"/>
                <w:highlight w:val="none"/>
                <w:lang w:val="en-US" w:eastAsia="zh-CN"/>
              </w:rPr>
              <w:t>3套</w:t>
            </w:r>
            <w:r>
              <w:rPr>
                <w:rFonts w:hint="eastAsia"/>
                <w:color w:val="auto"/>
                <w:highlight w:val="none"/>
                <w:lang w:val="en-US" w:eastAsia="zh-CN"/>
              </w:rPr>
              <w:t>多管陶瓷除尘器。新建1间燃料库</w:t>
            </w:r>
            <w:r>
              <w:rPr>
                <w:rFonts w:hint="eastAsia" w:cs="Times New Roman"/>
                <w:color w:val="auto"/>
                <w:kern w:val="21"/>
                <w:sz w:val="21"/>
                <w:szCs w:val="21"/>
                <w:highlight w:val="none"/>
                <w:vertAlign w:val="baseline"/>
                <w:lang w:val="en-US" w:eastAsia="zh-CN"/>
              </w:rPr>
              <w:t>为彩钢结构</w:t>
            </w:r>
            <w:r>
              <w:rPr>
                <w:rFonts w:hint="eastAsia"/>
                <w:color w:val="auto"/>
                <w:highlight w:val="none"/>
                <w:lang w:val="en-US" w:eastAsia="zh-CN"/>
              </w:rPr>
              <w:t>。本项目无土建施工，</w:t>
            </w:r>
            <w:r>
              <w:rPr>
                <w:rFonts w:hint="eastAsia"/>
                <w:bCs/>
                <w:color w:val="auto"/>
                <w:szCs w:val="21"/>
                <w:highlight w:val="none"/>
              </w:rPr>
              <w:t>项目建设周期较短，对周围环境影响较小，施工期影响在施工结束后自然消除。</w:t>
            </w:r>
            <w:r>
              <w:rPr>
                <w:rFonts w:hint="eastAsia"/>
                <w:color w:val="auto"/>
                <w:highlight w:val="none"/>
                <w:lang w:eastAsia="zh-CN"/>
              </w:rPr>
              <w:object>
                <v:shape id="_x0000_i1026" o:spt="75" type="#_x0000_t75" style="height:89.25pt;width:395.85pt;" o:ole="t" filled="f" o:preferrelative="t" stroked="f" coordsize="21600,21600">
                  <v:path/>
                  <v:fill on="f" focussize="0,0"/>
                  <v:stroke on="f"/>
                  <v:imagedata r:id="rId14" o:title=""/>
                  <o:lock v:ext="edit" aspectratio="f"/>
                  <w10:wrap type="none"/>
                  <w10:anchorlock/>
                </v:shape>
                <o:OLEObject Type="Embed" ProgID="Visio.Drawing.11" ShapeID="_x0000_i1026" DrawAspect="Content" ObjectID="_1468075726" r:id="rId13">
                  <o:LockedField>false</o:LockedField>
                </o:OLEObject>
              </w:object>
            </w:r>
          </w:p>
          <w:p w14:paraId="6858AB53">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Cs/>
                <w:color w:val="auto"/>
                <w:szCs w:val="21"/>
                <w:highlight w:val="none"/>
                <w:lang w:eastAsia="zh-CN"/>
              </w:rPr>
            </w:pPr>
            <w:r>
              <w:rPr>
                <w:rFonts w:hint="default"/>
                <w:b/>
                <w:color w:val="auto"/>
                <w:sz w:val="21"/>
                <w:szCs w:val="21"/>
                <w:highlight w:val="none"/>
              </w:rPr>
              <w:t>图2-</w:t>
            </w:r>
            <w:r>
              <w:rPr>
                <w:rFonts w:hint="eastAsia"/>
                <w:b/>
                <w:color w:val="auto"/>
                <w:sz w:val="21"/>
                <w:szCs w:val="21"/>
                <w:highlight w:val="none"/>
                <w:lang w:val="en-US" w:eastAsia="zh-CN"/>
              </w:rPr>
              <w:t>2</w:t>
            </w:r>
            <w:r>
              <w:rPr>
                <w:rFonts w:hint="default"/>
                <w:b/>
                <w:color w:val="auto"/>
                <w:sz w:val="21"/>
                <w:szCs w:val="21"/>
                <w:highlight w:val="none"/>
              </w:rPr>
              <w:t>施工期工艺流程和排污节点示意图</w:t>
            </w:r>
          </w:p>
          <w:p w14:paraId="6D8AF1BE">
            <w:pPr>
              <w:keepNext w:val="0"/>
              <w:keepLines w:val="0"/>
              <w:pageBreakBefore w:val="0"/>
              <w:widowControl/>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auto"/>
              <w:rPr>
                <w:rFonts w:hint="eastAsia" w:cs="Times New Roman"/>
                <w:b/>
                <w:color w:val="auto"/>
                <w:kern w:val="21"/>
                <w:sz w:val="21"/>
                <w:szCs w:val="21"/>
                <w:highlight w:val="none"/>
                <w:lang w:val="en-US" w:eastAsia="zh-CN"/>
              </w:rPr>
            </w:pPr>
            <w:r>
              <w:rPr>
                <w:rFonts w:hint="default" w:ascii="Times New Roman" w:hAnsi="Times New Roman" w:eastAsia="宋体" w:cs="Times New Roman"/>
                <w:b/>
                <w:color w:val="auto"/>
                <w:kern w:val="21"/>
                <w:sz w:val="21"/>
                <w:szCs w:val="21"/>
                <w:highlight w:val="none"/>
              </w:rPr>
              <w:t>运营期工艺流程</w:t>
            </w:r>
            <w:r>
              <w:rPr>
                <w:rFonts w:hint="eastAsia" w:cs="Times New Roman"/>
                <w:b/>
                <w:color w:val="auto"/>
                <w:kern w:val="21"/>
                <w:sz w:val="21"/>
                <w:szCs w:val="21"/>
                <w:highlight w:val="none"/>
                <w:lang w:val="en-US" w:eastAsia="zh-CN"/>
              </w:rPr>
              <w:t>分析</w:t>
            </w:r>
          </w:p>
          <w:p w14:paraId="0E38866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textAlignment w:val="auto"/>
              <w:rPr>
                <w:rFonts w:hint="default" w:cs="Times New Roman"/>
                <w:b/>
                <w:color w:val="auto"/>
                <w:kern w:val="21"/>
                <w:sz w:val="21"/>
                <w:szCs w:val="21"/>
                <w:highlight w:val="none"/>
                <w:lang w:val="en-US" w:eastAsia="zh-CN"/>
              </w:rPr>
            </w:pPr>
            <w:r>
              <w:rPr>
                <w:rFonts w:hint="eastAsia" w:cs="Times New Roman"/>
                <w:b/>
                <w:color w:val="auto"/>
                <w:kern w:val="21"/>
                <w:sz w:val="21"/>
                <w:szCs w:val="21"/>
                <w:highlight w:val="none"/>
                <w:lang w:val="en-US" w:eastAsia="zh-CN"/>
              </w:rPr>
              <w:t>1、洗煤一厂锅炉房生物质锅炉</w:t>
            </w:r>
            <w:r>
              <w:rPr>
                <w:rFonts w:hint="eastAsia" w:cs="Times New Roman"/>
                <w:b/>
                <w:bCs/>
                <w:snapToGrid w:val="0"/>
                <w:color w:val="auto"/>
                <w:sz w:val="21"/>
                <w:szCs w:val="21"/>
                <w:highlight w:val="none"/>
                <w:lang w:val="en-US" w:eastAsia="zh-CN"/>
              </w:rPr>
              <w:t>工艺</w:t>
            </w:r>
            <w:r>
              <w:rPr>
                <w:rFonts w:hint="default" w:ascii="Times New Roman" w:hAnsi="Times New Roman" w:eastAsia="宋体" w:cs="Times New Roman"/>
                <w:b/>
                <w:bCs/>
                <w:snapToGrid w:val="0"/>
                <w:color w:val="auto"/>
                <w:sz w:val="21"/>
                <w:szCs w:val="21"/>
                <w:highlight w:val="none"/>
              </w:rPr>
              <w:t>流程</w:t>
            </w:r>
          </w:p>
          <w:p w14:paraId="05D3C3A6">
            <w:pPr>
              <w:keepNext w:val="0"/>
              <w:keepLines w:val="0"/>
              <w:suppressLineNumbers w:val="0"/>
              <w:spacing w:before="0" w:beforeAutospacing="0" w:after="0" w:afterAutospacing="0" w:line="360" w:lineRule="auto"/>
              <w:ind w:left="0" w:right="0"/>
              <w:jc w:val="center"/>
              <w:rPr>
                <w:rFonts w:hint="default" w:ascii="Times New Roman" w:hAnsi="Times New Roman" w:eastAsia="黑体" w:cs="Times New Roman"/>
                <w:snapToGrid w:val="0"/>
                <w:color w:val="auto"/>
                <w:szCs w:val="21"/>
                <w:highlight w:val="none"/>
              </w:rPr>
            </w:pPr>
            <w:r>
              <w:rPr>
                <w:rFonts w:hint="default"/>
                <w:color w:val="auto"/>
                <w:highlight w:val="none"/>
              </w:rPr>
              <w:object>
                <v:shape id="_x0000_i1027" o:spt="75" type="#_x0000_t75" style="height:248.8pt;width:413.05pt;" o:ole="t" filled="f" o:preferrelative="t" stroked="f" coordsize="21600,21600">
                  <v:path/>
                  <v:fill on="f" focussize="0,0"/>
                  <v:stroke on="f"/>
                  <v:imagedata r:id="rId16" o:title=""/>
                  <o:lock v:ext="edit" aspectratio="f"/>
                  <w10:wrap type="none"/>
                  <w10:anchorlock/>
                </v:shape>
                <o:OLEObject Type="Embed" ProgID="Visio.Drawing.11" ShapeID="_x0000_i1027" DrawAspect="Content" ObjectID="_1468075727" r:id="rId15">
                  <o:LockedField>false</o:LockedField>
                </o:OLEObject>
              </w:object>
            </w:r>
            <w:r>
              <w:rPr>
                <w:rFonts w:hint="default" w:ascii="Times New Roman" w:hAnsi="Times New Roman" w:eastAsia="宋体" w:cs="Times New Roman"/>
                <w:b/>
                <w:bCs/>
                <w:snapToGrid w:val="0"/>
                <w:color w:val="auto"/>
                <w:szCs w:val="21"/>
                <w:highlight w:val="none"/>
              </w:rPr>
              <w:t>图2</w:t>
            </w:r>
            <w:r>
              <w:rPr>
                <w:rFonts w:hint="eastAsia" w:cs="Times New Roman"/>
                <w:b/>
                <w:bCs/>
                <w:snapToGrid w:val="0"/>
                <w:color w:val="auto"/>
                <w:szCs w:val="21"/>
                <w:highlight w:val="none"/>
                <w:lang w:val="en-US" w:eastAsia="zh-CN"/>
              </w:rPr>
              <w:t>-3生物质锅炉工艺</w:t>
            </w:r>
            <w:r>
              <w:rPr>
                <w:rFonts w:hint="default" w:ascii="Times New Roman" w:hAnsi="Times New Roman" w:eastAsia="宋体" w:cs="Times New Roman"/>
                <w:b/>
                <w:bCs/>
                <w:snapToGrid w:val="0"/>
                <w:color w:val="auto"/>
                <w:szCs w:val="21"/>
                <w:highlight w:val="none"/>
              </w:rPr>
              <w:t>流程及产污环节图</w:t>
            </w:r>
          </w:p>
          <w:p w14:paraId="7CFAC1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s="Times New Roman"/>
                <w:b/>
                <w:bCs/>
                <w:color w:val="auto"/>
                <w:sz w:val="21"/>
                <w:szCs w:val="21"/>
                <w:highlight w:val="none"/>
                <w:lang w:val="en-US" w:eastAsia="zh-CN"/>
              </w:rPr>
            </w:pPr>
            <w:r>
              <w:rPr>
                <w:rFonts w:hint="eastAsia" w:cs="Times New Roman"/>
                <w:color w:val="auto"/>
                <w:sz w:val="21"/>
                <w:szCs w:val="21"/>
                <w:highlight w:val="none"/>
                <w:lang w:val="en-US" w:eastAsia="zh-CN"/>
              </w:rPr>
              <w:t>洗煤一厂锅炉房生物质锅炉</w:t>
            </w:r>
            <w:r>
              <w:rPr>
                <w:rFonts w:hint="default" w:ascii="Times New Roman" w:hAnsi="Times New Roman" w:eastAsia="宋体" w:cs="Times New Roman"/>
                <w:color w:val="auto"/>
                <w:sz w:val="21"/>
                <w:szCs w:val="21"/>
                <w:highlight w:val="none"/>
              </w:rPr>
              <w:t>主要生产工艺流程是</w:t>
            </w:r>
            <w:r>
              <w:rPr>
                <w:rFonts w:hint="default" w:ascii="Times New Roman" w:hAnsi="Times New Roman" w:eastAsia="宋体" w:cs="Times New Roman"/>
                <w:snapToGrid w:val="0"/>
                <w:color w:val="auto"/>
                <w:sz w:val="21"/>
                <w:szCs w:val="21"/>
                <w:highlight w:val="none"/>
              </w:rPr>
              <w:t>生物质</w:t>
            </w:r>
            <w:r>
              <w:rPr>
                <w:rFonts w:hint="default" w:ascii="Times New Roman" w:hAnsi="Times New Roman" w:eastAsia="宋体" w:cs="Times New Roman"/>
                <w:snapToGrid w:val="0"/>
                <w:color w:val="auto"/>
                <w:sz w:val="21"/>
                <w:szCs w:val="21"/>
                <w:highlight w:val="none"/>
                <w:lang w:val="en-US" w:eastAsia="zh-CN"/>
              </w:rPr>
              <w:t>成型</w:t>
            </w:r>
            <w:r>
              <w:rPr>
                <w:rFonts w:hint="default" w:ascii="Times New Roman" w:hAnsi="Times New Roman" w:eastAsia="宋体" w:cs="Times New Roman"/>
                <w:snapToGrid w:val="0"/>
                <w:color w:val="auto"/>
                <w:sz w:val="21"/>
                <w:szCs w:val="21"/>
                <w:highlight w:val="none"/>
              </w:rPr>
              <w:t>燃料由汽车运至</w:t>
            </w:r>
            <w:r>
              <w:rPr>
                <w:rFonts w:hint="eastAsia" w:cs="Times New Roman"/>
                <w:snapToGrid w:val="0"/>
                <w:color w:val="auto"/>
                <w:sz w:val="21"/>
                <w:szCs w:val="21"/>
                <w:highlight w:val="none"/>
                <w:lang w:val="en-US" w:eastAsia="zh-CN"/>
              </w:rPr>
              <w:t>燃料库</w:t>
            </w:r>
            <w:r>
              <w:rPr>
                <w:rFonts w:hint="default" w:ascii="Times New Roman" w:hAnsi="Times New Roman" w:eastAsia="宋体" w:cs="Times New Roman"/>
                <w:snapToGrid w:val="0"/>
                <w:color w:val="auto"/>
                <w:sz w:val="21"/>
                <w:szCs w:val="21"/>
                <w:highlight w:val="none"/>
              </w:rPr>
              <w:t>，再输送至锅炉房，送入锅炉燃烧，产生的热能供给</w:t>
            </w:r>
            <w:r>
              <w:rPr>
                <w:rFonts w:hint="default"/>
                <w:color w:val="auto"/>
                <w:highlight w:val="none"/>
                <w:lang w:val="en-US" w:eastAsia="zh-CN"/>
              </w:rPr>
              <w:t>山下工业广场供热及机电科副井热风</w:t>
            </w:r>
            <w:r>
              <w:rPr>
                <w:rFonts w:hint="default" w:ascii="Times New Roman" w:hAnsi="Times New Roman" w:eastAsia="宋体" w:cs="Times New Roman"/>
                <w:snapToGrid w:val="0"/>
                <w:color w:val="auto"/>
                <w:sz w:val="21"/>
                <w:szCs w:val="21"/>
                <w:highlight w:val="none"/>
              </w:rPr>
              <w:t>。</w:t>
            </w:r>
            <w:r>
              <w:rPr>
                <w:rFonts w:hint="eastAsia"/>
                <w:color w:val="auto"/>
                <w:highlight w:val="none"/>
                <w:lang w:val="en-US" w:eastAsia="zh-CN"/>
              </w:rPr>
              <w:t>3台10t/h生物质蒸汽锅炉</w:t>
            </w:r>
            <w:r>
              <w:rPr>
                <w:rFonts w:hint="default" w:ascii="Times New Roman" w:hAnsi="Times New Roman" w:eastAsia="宋体" w:cs="Times New Roman"/>
                <w:snapToGrid w:val="0"/>
                <w:color w:val="auto"/>
                <w:sz w:val="21"/>
                <w:szCs w:val="21"/>
                <w:highlight w:val="none"/>
              </w:rPr>
              <w:t>烟气</w:t>
            </w:r>
            <w:r>
              <w:rPr>
                <w:rFonts w:hint="eastAsia" w:cs="Times New Roman"/>
                <w:snapToGrid w:val="0"/>
                <w:color w:val="auto"/>
                <w:sz w:val="21"/>
                <w:szCs w:val="21"/>
                <w:highlight w:val="none"/>
                <w:lang w:val="en-US" w:eastAsia="zh-CN"/>
              </w:rPr>
              <w:t>分别</w:t>
            </w:r>
            <w:r>
              <w:rPr>
                <w:rFonts w:hint="default" w:ascii="Times New Roman" w:hAnsi="Times New Roman" w:eastAsia="宋体" w:cs="Times New Roman"/>
                <w:snapToGrid w:val="0"/>
                <w:color w:val="auto"/>
                <w:sz w:val="21"/>
                <w:szCs w:val="21"/>
                <w:highlight w:val="none"/>
              </w:rPr>
              <w:t>经</w:t>
            </w:r>
            <w:r>
              <w:rPr>
                <w:rFonts w:hint="eastAsia" w:cs="Times New Roman"/>
                <w:snapToGrid w:val="0"/>
                <w:color w:val="auto"/>
                <w:sz w:val="21"/>
                <w:szCs w:val="21"/>
                <w:highlight w:val="none"/>
                <w:lang w:val="en-US" w:eastAsia="zh-CN"/>
              </w:rPr>
              <w:t>各自配备的</w:t>
            </w:r>
            <w:r>
              <w:rPr>
                <w:rFonts w:hint="eastAsia" w:cs="Times New Roman"/>
                <w:snapToGrid w:val="0"/>
                <w:color w:val="auto"/>
                <w:sz w:val="21"/>
                <w:szCs w:val="21"/>
                <w:highlight w:val="none"/>
                <w:lang w:eastAsia="zh-CN"/>
              </w:rPr>
              <w:t>多管陶瓷</w:t>
            </w:r>
            <w:r>
              <w:rPr>
                <w:rFonts w:hint="default" w:ascii="Times New Roman" w:hAnsi="Times New Roman" w:eastAsia="宋体" w:cs="Times New Roman"/>
                <w:snapToGrid w:val="0"/>
                <w:color w:val="auto"/>
                <w:sz w:val="21"/>
                <w:szCs w:val="21"/>
                <w:highlight w:val="none"/>
              </w:rPr>
              <w:t>除尘降温后，送入布袋除尘器处理，</w:t>
            </w:r>
            <w:r>
              <w:rPr>
                <w:rFonts w:hint="default" w:ascii="Times New Roman" w:hAnsi="Times New Roman" w:eastAsia="宋体" w:cs="Times New Roman"/>
                <w:snapToGrid w:val="0"/>
                <w:color w:val="auto"/>
                <w:sz w:val="21"/>
                <w:szCs w:val="21"/>
                <w:highlight w:val="none"/>
                <w:lang w:val="en-US" w:eastAsia="zh-CN"/>
              </w:rPr>
              <w:t>处理后</w:t>
            </w:r>
            <w:r>
              <w:rPr>
                <w:rFonts w:hint="default" w:ascii="Times New Roman" w:hAnsi="Times New Roman" w:eastAsia="宋体" w:cs="Times New Roman"/>
                <w:color w:val="auto"/>
                <w:sz w:val="21"/>
                <w:szCs w:val="21"/>
                <w:highlight w:val="none"/>
              </w:rPr>
              <w:t>通过</w:t>
            </w:r>
            <w:r>
              <w:rPr>
                <w:rFonts w:hint="eastAsia" w:cs="Times New Roman"/>
                <w:color w:val="auto"/>
                <w:sz w:val="21"/>
                <w:szCs w:val="21"/>
                <w:highlight w:val="none"/>
                <w:lang w:val="en-US" w:eastAsia="zh-CN"/>
              </w:rPr>
              <w:t>1根</w:t>
            </w:r>
            <w:r>
              <w:rPr>
                <w:rFonts w:hint="default" w:ascii="Times New Roman" w:hAnsi="Times New Roman" w:eastAsia="宋体" w:cs="Times New Roman"/>
                <w:color w:val="auto"/>
                <w:sz w:val="21"/>
                <w:szCs w:val="21"/>
                <w:highlight w:val="none"/>
                <w:lang w:val="en-US" w:eastAsia="zh-CN"/>
              </w:rPr>
              <w:t>60m</w:t>
            </w:r>
            <w:r>
              <w:rPr>
                <w:rFonts w:hint="default" w:ascii="Times New Roman" w:hAnsi="Times New Roman" w:eastAsia="宋体" w:cs="Times New Roman"/>
                <w:color w:val="auto"/>
                <w:sz w:val="21"/>
                <w:szCs w:val="21"/>
                <w:highlight w:val="none"/>
              </w:rPr>
              <w:t>烟囱</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DA001，利旧</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排放</w:t>
            </w:r>
            <w:r>
              <w:rPr>
                <w:rFonts w:hint="eastAsia" w:cs="Times New Roman"/>
                <w:color w:val="auto"/>
                <w:sz w:val="21"/>
                <w:szCs w:val="21"/>
                <w:highlight w:val="none"/>
                <w:lang w:eastAsia="zh-CN"/>
              </w:rPr>
              <w:t>。</w:t>
            </w:r>
            <w:r>
              <w:rPr>
                <w:rFonts w:hint="eastAsia" w:cs="Times New Roman"/>
                <w:snapToGrid w:val="0"/>
                <w:color w:val="auto"/>
                <w:sz w:val="21"/>
                <w:szCs w:val="21"/>
                <w:highlight w:val="none"/>
                <w:lang w:val="en-US" w:eastAsia="zh-CN"/>
              </w:rPr>
              <w:t>多管陶瓷+</w:t>
            </w:r>
            <w:r>
              <w:rPr>
                <w:rFonts w:hint="default" w:ascii="Times New Roman" w:hAnsi="Times New Roman" w:eastAsia="宋体" w:cs="Times New Roman"/>
                <w:snapToGrid w:val="0"/>
                <w:color w:val="auto"/>
                <w:sz w:val="21"/>
                <w:szCs w:val="21"/>
                <w:highlight w:val="none"/>
              </w:rPr>
              <w:t>布袋除尘器捕集下的</w:t>
            </w:r>
            <w:r>
              <w:rPr>
                <w:rFonts w:hint="default" w:ascii="Times New Roman" w:hAnsi="Times New Roman" w:eastAsia="宋体" w:cs="Times New Roman"/>
                <w:snapToGrid w:val="0"/>
                <w:color w:val="auto"/>
                <w:sz w:val="21"/>
                <w:szCs w:val="21"/>
                <w:highlight w:val="none"/>
                <w:lang w:val="en-US" w:eastAsia="zh-CN"/>
              </w:rPr>
              <w:t>除尘</w:t>
            </w:r>
            <w:r>
              <w:rPr>
                <w:rFonts w:hint="default" w:ascii="Times New Roman" w:hAnsi="Times New Roman" w:eastAsia="宋体" w:cs="Times New Roman"/>
                <w:snapToGrid w:val="0"/>
                <w:color w:val="auto"/>
                <w:sz w:val="21"/>
                <w:szCs w:val="21"/>
                <w:highlight w:val="none"/>
              </w:rPr>
              <w:t>灰</w:t>
            </w:r>
            <w:r>
              <w:rPr>
                <w:rFonts w:hint="default" w:ascii="Times New Roman" w:hAnsi="Times New Roman" w:eastAsia="宋体" w:cs="Times New Roman"/>
                <w:snapToGrid w:val="0"/>
                <w:color w:val="auto"/>
                <w:sz w:val="21"/>
                <w:szCs w:val="21"/>
                <w:highlight w:val="none"/>
                <w:lang w:val="en-US" w:eastAsia="zh-CN"/>
              </w:rPr>
              <w:t>及锅炉炉渣</w:t>
            </w:r>
            <w:r>
              <w:rPr>
                <w:rFonts w:hint="default" w:ascii="Times New Roman" w:hAnsi="Times New Roman" w:eastAsia="宋体" w:cs="Times New Roman"/>
                <w:snapToGrid w:val="0"/>
                <w:color w:val="auto"/>
                <w:sz w:val="21"/>
                <w:szCs w:val="21"/>
                <w:highlight w:val="none"/>
              </w:rPr>
              <w:t>送至灰渣库</w:t>
            </w:r>
            <w:r>
              <w:rPr>
                <w:rFonts w:hint="default" w:ascii="Times New Roman" w:hAnsi="Times New Roman" w:eastAsia="宋体" w:cs="Times New Roman"/>
                <w:snapToGrid w:val="0"/>
                <w:color w:val="auto"/>
                <w:sz w:val="21"/>
                <w:szCs w:val="21"/>
                <w:highlight w:val="none"/>
                <w:lang w:val="en-US" w:eastAsia="zh-CN"/>
              </w:rPr>
              <w:t>暂存</w:t>
            </w:r>
            <w:r>
              <w:rPr>
                <w:rFonts w:hint="eastAsia" w:cs="Times New Roman"/>
                <w:color w:val="auto"/>
                <w:sz w:val="21"/>
                <w:szCs w:val="21"/>
                <w:highlight w:val="none"/>
                <w:lang w:val="en-US" w:eastAsia="zh-CN"/>
              </w:rPr>
              <w:t>，定期外售，综合利用</w:t>
            </w:r>
            <w:r>
              <w:rPr>
                <w:rFonts w:hint="default" w:ascii="Times New Roman" w:hAnsi="Times New Roman" w:eastAsia="宋体" w:cs="Times New Roman"/>
                <w:color w:val="auto"/>
                <w:sz w:val="21"/>
                <w:szCs w:val="21"/>
                <w:highlight w:val="none"/>
              </w:rPr>
              <w:t>。</w:t>
            </w:r>
          </w:p>
          <w:p w14:paraId="75A463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本项目运营期工程主要排污节点见表</w:t>
            </w:r>
            <w:r>
              <w:rPr>
                <w:rFonts w:hint="eastAsia" w:ascii="Times New Roman" w:hAnsi="Times New Roman" w:eastAsia="宋体" w:cs="Times New Roman"/>
                <w:color w:val="auto"/>
                <w:spacing w:val="0"/>
                <w:sz w:val="21"/>
                <w:szCs w:val="21"/>
                <w:highlight w:val="none"/>
                <w:lang w:val="en-US" w:eastAsia="zh-CN"/>
              </w:rPr>
              <w:t>2</w:t>
            </w:r>
            <w:r>
              <w:rPr>
                <w:rFonts w:hint="default" w:ascii="Times New Roman" w:hAnsi="Times New Roman" w:eastAsia="宋体"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5</w:t>
            </w:r>
            <w:r>
              <w:rPr>
                <w:rFonts w:hint="default" w:ascii="Times New Roman" w:hAnsi="Times New Roman" w:eastAsia="宋体" w:cs="Times New Roman"/>
                <w:color w:val="auto"/>
                <w:spacing w:val="0"/>
                <w:sz w:val="21"/>
                <w:szCs w:val="21"/>
                <w:highlight w:val="none"/>
                <w:lang w:val="en-US" w:eastAsia="zh-CN"/>
              </w:rPr>
              <w:t>。</w:t>
            </w:r>
          </w:p>
          <w:p w14:paraId="1DE0D83E">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b/>
                <w:bCs/>
                <w:color w:val="auto"/>
                <w:spacing w:val="0"/>
                <w:kern w:val="0"/>
                <w:sz w:val="21"/>
                <w:szCs w:val="21"/>
                <w:highlight w:val="none"/>
                <w:lang w:val="en-US" w:eastAsia="zh-CN" w:bidi="ar-SA"/>
              </w:rPr>
              <w:t>表</w:t>
            </w:r>
            <w:r>
              <w:rPr>
                <w:rFonts w:hint="eastAsia" w:ascii="Times New Roman" w:hAnsi="Times New Roman" w:eastAsia="宋体" w:cs="Times New Roman"/>
                <w:b/>
                <w:bCs/>
                <w:color w:val="auto"/>
                <w:spacing w:val="0"/>
                <w:kern w:val="0"/>
                <w:sz w:val="21"/>
                <w:szCs w:val="21"/>
                <w:highlight w:val="none"/>
                <w:lang w:val="en-US" w:eastAsia="zh-CN" w:bidi="ar-SA"/>
              </w:rPr>
              <w:t>2</w:t>
            </w:r>
            <w:r>
              <w:rPr>
                <w:rFonts w:hint="default" w:ascii="Times New Roman" w:hAnsi="Times New Roman" w:eastAsia="宋体" w:cs="Times New Roman"/>
                <w:b/>
                <w:bCs/>
                <w:color w:val="auto"/>
                <w:spacing w:val="0"/>
                <w:kern w:val="0"/>
                <w:sz w:val="21"/>
                <w:szCs w:val="21"/>
                <w:highlight w:val="none"/>
                <w:lang w:val="en-US" w:eastAsia="zh-CN" w:bidi="ar-SA"/>
              </w:rPr>
              <w:t>-</w:t>
            </w:r>
            <w:r>
              <w:rPr>
                <w:rFonts w:hint="eastAsia" w:cs="Times New Roman"/>
                <w:b/>
                <w:bCs/>
                <w:color w:val="auto"/>
                <w:spacing w:val="0"/>
                <w:kern w:val="0"/>
                <w:sz w:val="21"/>
                <w:szCs w:val="21"/>
                <w:highlight w:val="none"/>
                <w:lang w:val="en-US" w:eastAsia="zh-CN" w:bidi="ar-SA"/>
              </w:rPr>
              <w:t>5</w:t>
            </w:r>
            <w:r>
              <w:rPr>
                <w:rFonts w:hint="default" w:ascii="Times New Roman" w:hAnsi="Times New Roman" w:eastAsia="宋体" w:cs="Times New Roman"/>
                <w:b/>
                <w:bCs/>
                <w:color w:val="auto"/>
                <w:spacing w:val="0"/>
                <w:kern w:val="0"/>
                <w:sz w:val="21"/>
                <w:szCs w:val="21"/>
                <w:highlight w:val="none"/>
                <w:lang w:val="en-US" w:eastAsia="zh-CN" w:bidi="ar-SA"/>
              </w:rPr>
              <w:t xml:space="preserve"> 本项目运营期工程主要排污节点一览表</w:t>
            </w:r>
          </w:p>
          <w:tbl>
            <w:tblPr>
              <w:tblStyle w:val="3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8"/>
              <w:gridCol w:w="1305"/>
              <w:gridCol w:w="1890"/>
              <w:gridCol w:w="975"/>
              <w:gridCol w:w="3458"/>
            </w:tblGrid>
            <w:tr w14:paraId="663EEB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tcBorders>
                    <w:tl2br w:val="nil"/>
                    <w:tr2bl w:val="nil"/>
                  </w:tcBorders>
                  <w:noWrap w:val="0"/>
                  <w:vAlign w:val="center"/>
                </w:tcPr>
                <w:p w14:paraId="3535A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项目</w:t>
                  </w:r>
                </w:p>
              </w:tc>
              <w:tc>
                <w:tcPr>
                  <w:tcW w:w="1305" w:type="dxa"/>
                  <w:tcBorders>
                    <w:tl2br w:val="nil"/>
                    <w:tr2bl w:val="nil"/>
                  </w:tcBorders>
                  <w:noWrap w:val="0"/>
                  <w:vAlign w:val="center"/>
                </w:tcPr>
                <w:p w14:paraId="4C65C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污染源</w:t>
                  </w:r>
                </w:p>
              </w:tc>
              <w:tc>
                <w:tcPr>
                  <w:tcW w:w="1890" w:type="dxa"/>
                  <w:tcBorders>
                    <w:tl2br w:val="nil"/>
                    <w:tr2bl w:val="nil"/>
                  </w:tcBorders>
                  <w:noWrap w:val="0"/>
                  <w:vAlign w:val="center"/>
                </w:tcPr>
                <w:p w14:paraId="3D173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污染物</w:t>
                  </w:r>
                </w:p>
              </w:tc>
              <w:tc>
                <w:tcPr>
                  <w:tcW w:w="975" w:type="dxa"/>
                  <w:tcBorders>
                    <w:tl2br w:val="nil"/>
                    <w:tr2bl w:val="nil"/>
                  </w:tcBorders>
                  <w:noWrap w:val="0"/>
                  <w:vAlign w:val="center"/>
                </w:tcPr>
                <w:p w14:paraId="6FB1CB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排放特点</w:t>
                  </w:r>
                </w:p>
              </w:tc>
              <w:tc>
                <w:tcPr>
                  <w:tcW w:w="3458" w:type="dxa"/>
                  <w:tcBorders>
                    <w:tl2br w:val="nil"/>
                    <w:tr2bl w:val="nil"/>
                  </w:tcBorders>
                  <w:noWrap w:val="0"/>
                  <w:vAlign w:val="center"/>
                </w:tcPr>
                <w:p w14:paraId="7BD19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治理措施</w:t>
                  </w:r>
                </w:p>
              </w:tc>
            </w:tr>
            <w:tr w14:paraId="42146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restart"/>
                  <w:tcBorders>
                    <w:tl2br w:val="nil"/>
                    <w:tr2bl w:val="nil"/>
                  </w:tcBorders>
                  <w:noWrap w:val="0"/>
                  <w:vAlign w:val="center"/>
                </w:tcPr>
                <w:p w14:paraId="00922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废气</w:t>
                  </w:r>
                </w:p>
              </w:tc>
              <w:tc>
                <w:tcPr>
                  <w:tcW w:w="1305" w:type="dxa"/>
                  <w:tcBorders>
                    <w:tl2br w:val="nil"/>
                    <w:tr2bl w:val="nil"/>
                  </w:tcBorders>
                  <w:noWrap w:val="0"/>
                  <w:vAlign w:val="center"/>
                </w:tcPr>
                <w:p w14:paraId="7599EA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锅炉烟囱（DA00</w:t>
                  </w:r>
                  <w:r>
                    <w:rPr>
                      <w:rFonts w:hint="eastAsia" w:ascii="Times New Roman" w:hAnsi="Times New Roman"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lang w:val="en-US" w:eastAsia="zh-CN"/>
                    </w:rPr>
                    <w:t>）</w:t>
                  </w:r>
                </w:p>
              </w:tc>
              <w:tc>
                <w:tcPr>
                  <w:tcW w:w="1890" w:type="dxa"/>
                  <w:tcBorders>
                    <w:tl2br w:val="nil"/>
                    <w:tr2bl w:val="nil"/>
                  </w:tcBorders>
                  <w:noWrap w:val="0"/>
                  <w:vAlign w:val="center"/>
                </w:tcPr>
                <w:p w14:paraId="733AFCE1">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二氧化硫、氮氧化物、颗粒物、林格曼黑度</w:t>
                  </w:r>
                </w:p>
              </w:tc>
              <w:tc>
                <w:tcPr>
                  <w:tcW w:w="975" w:type="dxa"/>
                  <w:vMerge w:val="restart"/>
                  <w:tcBorders>
                    <w:tl2br w:val="nil"/>
                    <w:tr2bl w:val="nil"/>
                  </w:tcBorders>
                  <w:noWrap w:val="0"/>
                  <w:vAlign w:val="center"/>
                </w:tcPr>
                <w:p w14:paraId="3086A9B3">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rPr>
                  </w:pPr>
                  <w:r>
                    <w:rPr>
                      <w:rFonts w:hint="eastAsia" w:cs="Times New Roman"/>
                      <w:color w:val="auto"/>
                      <w:sz w:val="18"/>
                      <w:szCs w:val="18"/>
                      <w:highlight w:val="none"/>
                      <w:lang w:val="en-US" w:eastAsia="zh-CN"/>
                    </w:rPr>
                    <w:t>连续</w:t>
                  </w:r>
                </w:p>
              </w:tc>
              <w:tc>
                <w:tcPr>
                  <w:tcW w:w="3458" w:type="dxa"/>
                  <w:tcBorders>
                    <w:tl2br w:val="nil"/>
                    <w:tr2bl w:val="nil"/>
                  </w:tcBorders>
                  <w:noWrap w:val="0"/>
                  <w:vAlign w:val="center"/>
                </w:tcPr>
                <w:p w14:paraId="35CA31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rPr>
                  </w:pPr>
                  <w:r>
                    <w:rPr>
                      <w:rFonts w:hint="eastAsia"/>
                      <w:color w:val="auto"/>
                      <w:sz w:val="18"/>
                      <w:szCs w:val="18"/>
                      <w:highlight w:val="none"/>
                      <w:lang w:val="en-US" w:eastAsia="zh-CN"/>
                    </w:rPr>
                    <w:t>3台10t/h生物质蒸汽锅炉</w:t>
                  </w:r>
                  <w:r>
                    <w:rPr>
                      <w:rFonts w:hint="default" w:ascii="Times New Roman" w:hAnsi="Times New Roman" w:eastAsia="宋体" w:cs="Times New Roman"/>
                      <w:snapToGrid w:val="0"/>
                      <w:color w:val="auto"/>
                      <w:sz w:val="18"/>
                      <w:szCs w:val="18"/>
                      <w:highlight w:val="none"/>
                    </w:rPr>
                    <w:t>烟气</w:t>
                  </w:r>
                  <w:r>
                    <w:rPr>
                      <w:rFonts w:hint="eastAsia" w:ascii="Times New Roman" w:hAnsi="Times New Roman" w:eastAsia="宋体" w:cs="Times New Roman"/>
                      <w:snapToGrid w:val="0"/>
                      <w:color w:val="auto"/>
                      <w:sz w:val="18"/>
                      <w:szCs w:val="18"/>
                      <w:highlight w:val="none"/>
                      <w:lang w:val="en-US" w:eastAsia="zh-CN"/>
                    </w:rPr>
                    <w:t>分别</w:t>
                  </w:r>
                  <w:r>
                    <w:rPr>
                      <w:rFonts w:hint="default" w:ascii="Times New Roman" w:hAnsi="Times New Roman" w:eastAsia="宋体" w:cs="Times New Roman"/>
                      <w:color w:val="auto"/>
                      <w:sz w:val="18"/>
                      <w:szCs w:val="18"/>
                      <w:highlight w:val="none"/>
                    </w:rPr>
                    <w:t>经</w:t>
                  </w:r>
                  <w:r>
                    <w:rPr>
                      <w:rFonts w:hint="eastAsia" w:cs="Times New Roman"/>
                      <w:color w:val="auto"/>
                      <w:sz w:val="18"/>
                      <w:szCs w:val="18"/>
                      <w:highlight w:val="none"/>
                      <w:lang w:val="en-US" w:eastAsia="zh-CN"/>
                    </w:rPr>
                    <w:t>各自配备的</w:t>
                  </w:r>
                  <w:r>
                    <w:rPr>
                      <w:rFonts w:hint="eastAsia" w:cs="Times New Roman"/>
                      <w:color w:val="auto"/>
                      <w:sz w:val="18"/>
                      <w:szCs w:val="18"/>
                      <w:highlight w:val="none"/>
                      <w:lang w:eastAsia="zh-CN"/>
                    </w:rPr>
                    <w:t>多管陶瓷</w:t>
                  </w:r>
                  <w:r>
                    <w:rPr>
                      <w:rFonts w:hint="default" w:ascii="Times New Roman" w:hAnsi="Times New Roman" w:eastAsia="宋体" w:cs="Times New Roman"/>
                      <w:color w:val="auto"/>
                      <w:sz w:val="18"/>
                      <w:szCs w:val="18"/>
                      <w:highlight w:val="none"/>
                    </w:rPr>
                    <w:t>+布袋除尘器处理（除尘效率99</w:t>
                  </w:r>
                  <w:r>
                    <w:rPr>
                      <w:rFonts w:hint="default" w:ascii="Times New Roman" w:hAnsi="Times New Roman" w:eastAsia="宋体"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rPr>
                    <w:t>%）后，由</w:t>
                  </w:r>
                  <w:r>
                    <w:rPr>
                      <w:rFonts w:hint="eastAsia" w:cs="Times New Roman"/>
                      <w:color w:val="auto"/>
                      <w:sz w:val="18"/>
                      <w:szCs w:val="18"/>
                      <w:highlight w:val="none"/>
                      <w:lang w:val="en-US" w:eastAsia="zh-CN"/>
                    </w:rPr>
                    <w:t>60</w:t>
                  </w:r>
                  <w:r>
                    <w:rPr>
                      <w:rFonts w:hint="default" w:ascii="Times New Roman" w:hAnsi="Times New Roman" w:eastAsia="宋体" w:cs="Times New Roman"/>
                      <w:color w:val="auto"/>
                      <w:sz w:val="18"/>
                      <w:szCs w:val="18"/>
                      <w:highlight w:val="none"/>
                    </w:rPr>
                    <w:t>m高烟囱排放</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DA00</w:t>
                  </w:r>
                  <w:r>
                    <w:rPr>
                      <w:rFonts w:hint="eastAsia" w:ascii="Times New Roman" w:hAnsi="Times New Roman"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lang w:eastAsia="zh-CN"/>
                    </w:rPr>
                    <w:t>）</w:t>
                  </w:r>
                </w:p>
              </w:tc>
            </w:tr>
            <w:tr w14:paraId="707F18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tcBorders>
                    <w:tl2br w:val="nil"/>
                    <w:tr2bl w:val="nil"/>
                  </w:tcBorders>
                  <w:noWrap w:val="0"/>
                  <w:vAlign w:val="center"/>
                </w:tcPr>
                <w:p w14:paraId="31338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305" w:type="dxa"/>
                  <w:tcBorders>
                    <w:tl2br w:val="nil"/>
                    <w:tr2bl w:val="nil"/>
                  </w:tcBorders>
                  <w:noWrap w:val="0"/>
                  <w:vAlign w:val="center"/>
                </w:tcPr>
                <w:p w14:paraId="6A45B3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rPr>
                    <w:t>厂界</w:t>
                  </w:r>
                </w:p>
              </w:tc>
              <w:tc>
                <w:tcPr>
                  <w:tcW w:w="1890" w:type="dxa"/>
                  <w:tcBorders>
                    <w:tl2br w:val="nil"/>
                    <w:tr2bl w:val="nil"/>
                  </w:tcBorders>
                  <w:noWrap w:val="0"/>
                  <w:vAlign w:val="center"/>
                </w:tcPr>
                <w:p w14:paraId="5B25E83B">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颗粒物</w:t>
                  </w:r>
                </w:p>
              </w:tc>
              <w:tc>
                <w:tcPr>
                  <w:tcW w:w="975" w:type="dxa"/>
                  <w:vMerge w:val="continue"/>
                  <w:tcBorders>
                    <w:tl2br w:val="nil"/>
                    <w:tr2bl w:val="nil"/>
                  </w:tcBorders>
                  <w:noWrap w:val="0"/>
                  <w:vAlign w:val="center"/>
                </w:tcPr>
                <w:p w14:paraId="7FC68E99">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3458" w:type="dxa"/>
                  <w:tcBorders>
                    <w:tl2br w:val="nil"/>
                    <w:tr2bl w:val="nil"/>
                  </w:tcBorders>
                  <w:noWrap w:val="0"/>
                  <w:vAlign w:val="center"/>
                </w:tcPr>
                <w:p w14:paraId="4B221E7F">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锅炉除渣过程在密闭锅炉房内完成，并配合洒水降尘，生物质燃料存储于封闭燃料库内，并燃料苫盖，灰渣（炉渣及</w:t>
                  </w:r>
                  <w:r>
                    <w:rPr>
                      <w:rFonts w:hint="eastAsia" w:cs="Times New Roman"/>
                      <w:bCs/>
                      <w:color w:val="auto"/>
                      <w:sz w:val="18"/>
                      <w:szCs w:val="18"/>
                      <w:highlight w:val="none"/>
                      <w:lang w:val="en-US" w:eastAsia="zh-CN"/>
                    </w:rPr>
                    <w:t>多管陶瓷+布袋除尘器收尘</w:t>
                  </w:r>
                  <w:r>
                    <w:rPr>
                      <w:rFonts w:hint="default" w:ascii="Times New Roman" w:hAnsi="Times New Roman" w:eastAsia="宋体" w:cs="Times New Roman"/>
                      <w:bCs/>
                      <w:color w:val="auto"/>
                      <w:sz w:val="18"/>
                      <w:szCs w:val="18"/>
                      <w:highlight w:val="none"/>
                      <w:lang w:val="en-US" w:eastAsia="zh-CN"/>
                    </w:rPr>
                    <w:t>）存储于密闭灰渣库，配合洒水降尘措施，不会形成动力起尘的粉尘影响。</w:t>
                  </w:r>
                </w:p>
              </w:tc>
            </w:tr>
            <w:tr w14:paraId="5EFEC0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tcBorders>
                    <w:tl2br w:val="nil"/>
                    <w:tr2bl w:val="nil"/>
                  </w:tcBorders>
                  <w:noWrap w:val="0"/>
                  <w:vAlign w:val="center"/>
                </w:tcPr>
                <w:p w14:paraId="66BF5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废水</w:t>
                  </w:r>
                </w:p>
              </w:tc>
              <w:tc>
                <w:tcPr>
                  <w:tcW w:w="1305" w:type="dxa"/>
                  <w:tcBorders>
                    <w:tl2br w:val="nil"/>
                    <w:tr2bl w:val="nil"/>
                  </w:tcBorders>
                  <w:noWrap w:val="0"/>
                  <w:vAlign w:val="center"/>
                </w:tcPr>
                <w:p w14:paraId="23419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s="Times New Roman"/>
                      <w:color w:val="auto"/>
                      <w:kern w:val="0"/>
                      <w:sz w:val="18"/>
                      <w:szCs w:val="18"/>
                      <w:highlight w:val="none"/>
                      <w:lang w:val="en-US" w:eastAsia="zh-CN"/>
                    </w:rPr>
                  </w:pPr>
                  <w:r>
                    <w:rPr>
                      <w:rFonts w:hint="default" w:ascii="Times New Roman" w:hAnsi="Times New Roman" w:eastAsia="宋体" w:cs="Times New Roman"/>
                      <w:color w:val="auto"/>
                      <w:sz w:val="18"/>
                      <w:szCs w:val="18"/>
                      <w:highlight w:val="none"/>
                    </w:rPr>
                    <w:t>锅炉排污水</w:t>
                  </w:r>
                  <w:r>
                    <w:rPr>
                      <w:rFonts w:hint="eastAsia" w:cs="Times New Roman"/>
                      <w:color w:val="auto"/>
                      <w:sz w:val="18"/>
                      <w:szCs w:val="18"/>
                      <w:highlight w:val="none"/>
                      <w:lang w:val="en-US" w:eastAsia="zh-CN"/>
                    </w:rPr>
                    <w:t>及软化处理废水</w:t>
                  </w:r>
                </w:p>
              </w:tc>
              <w:tc>
                <w:tcPr>
                  <w:tcW w:w="1890" w:type="dxa"/>
                  <w:tcBorders>
                    <w:tl2br w:val="nil"/>
                    <w:tr2bl w:val="nil"/>
                  </w:tcBorders>
                  <w:noWrap w:val="0"/>
                  <w:vAlign w:val="center"/>
                </w:tcPr>
                <w:p w14:paraId="2EB0A9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COD、溶解性总固体</w:t>
                  </w:r>
                </w:p>
              </w:tc>
              <w:tc>
                <w:tcPr>
                  <w:tcW w:w="975" w:type="dxa"/>
                  <w:tcBorders>
                    <w:tl2br w:val="nil"/>
                    <w:tr2bl w:val="nil"/>
                  </w:tcBorders>
                  <w:noWrap w:val="0"/>
                  <w:vAlign w:val="center"/>
                </w:tcPr>
                <w:p w14:paraId="5E3B8A8B">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间断</w:t>
                  </w:r>
                </w:p>
              </w:tc>
              <w:tc>
                <w:tcPr>
                  <w:tcW w:w="3458" w:type="dxa"/>
                  <w:tcBorders>
                    <w:tl2br w:val="nil"/>
                    <w:tr2bl w:val="nil"/>
                  </w:tcBorders>
                  <w:noWrap w:val="0"/>
                  <w:vAlign w:val="center"/>
                </w:tcPr>
                <w:p w14:paraId="17BABAF1">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bCs/>
                      <w:color w:val="auto"/>
                      <w:sz w:val="18"/>
                      <w:szCs w:val="18"/>
                      <w:highlight w:val="none"/>
                      <w:lang w:val="en-US" w:eastAsia="zh-CN"/>
                    </w:rPr>
                  </w:pPr>
                  <w:r>
                    <w:rPr>
                      <w:rFonts w:hint="default" w:ascii="Times New Roman" w:hAnsi="Times New Roman" w:cs="Times New Roman"/>
                      <w:color w:val="auto"/>
                      <w:sz w:val="18"/>
                      <w:szCs w:val="18"/>
                      <w:highlight w:val="none"/>
                    </w:rPr>
                    <w:t>暂存厂区</w:t>
                  </w:r>
                  <w:r>
                    <w:rPr>
                      <w:rFonts w:hint="eastAsia" w:cs="Times New Roman"/>
                      <w:color w:val="auto"/>
                      <w:sz w:val="18"/>
                      <w:szCs w:val="18"/>
                      <w:highlight w:val="none"/>
                      <w:lang w:val="en-US" w:eastAsia="zh-CN"/>
                    </w:rPr>
                    <w:t>70</w:t>
                  </w:r>
                  <w:r>
                    <w:rPr>
                      <w:rFonts w:hint="default" w:ascii="Times New Roman" w:hAnsi="Times New Roman" w:cs="Times New Roman"/>
                      <w:b w:val="0"/>
                      <w:bCs w:val="0"/>
                      <w:color w:val="auto"/>
                      <w:sz w:val="18"/>
                      <w:szCs w:val="18"/>
                      <w:highlight w:val="none"/>
                    </w:rPr>
                    <w:t>m³</w:t>
                  </w:r>
                  <w:r>
                    <w:rPr>
                      <w:rFonts w:hint="default" w:ascii="Times New Roman" w:hAnsi="Times New Roman" w:cs="Times New Roman"/>
                      <w:color w:val="auto"/>
                      <w:sz w:val="18"/>
                      <w:szCs w:val="18"/>
                      <w:highlight w:val="none"/>
                    </w:rPr>
                    <w:t>防渗</w:t>
                  </w:r>
                  <w:r>
                    <w:rPr>
                      <w:rFonts w:hint="eastAsia" w:cs="Times New Roman"/>
                      <w:color w:val="auto"/>
                      <w:sz w:val="18"/>
                      <w:szCs w:val="18"/>
                      <w:highlight w:val="none"/>
                      <w:lang w:val="en-US" w:eastAsia="zh-CN"/>
                    </w:rPr>
                    <w:t>储水罐</w:t>
                  </w:r>
                  <w:r>
                    <w:rPr>
                      <w:rFonts w:hint="default" w:ascii="Times New Roman" w:hAnsi="Times New Roman" w:cs="Times New Roman"/>
                      <w:color w:val="auto"/>
                      <w:sz w:val="18"/>
                      <w:szCs w:val="18"/>
                      <w:highlight w:val="none"/>
                    </w:rPr>
                    <w:t>内，</w:t>
                  </w:r>
                  <w:r>
                    <w:rPr>
                      <w:rFonts w:hint="eastAsia" w:cs="Times New Roman"/>
                      <w:color w:val="auto"/>
                      <w:sz w:val="18"/>
                      <w:szCs w:val="18"/>
                      <w:highlight w:val="none"/>
                      <w:lang w:val="en-US" w:eastAsia="zh-CN"/>
                    </w:rPr>
                    <w:t>定期拉</w:t>
                  </w:r>
                  <w:r>
                    <w:rPr>
                      <w:rFonts w:hint="default" w:ascii="Times New Roman" w:hAnsi="Times New Roman" w:cs="Times New Roman"/>
                      <w:color w:val="auto"/>
                      <w:sz w:val="18"/>
                      <w:szCs w:val="18"/>
                      <w:highlight w:val="none"/>
                    </w:rPr>
                    <w:t>运至</w:t>
                  </w:r>
                  <w:r>
                    <w:rPr>
                      <w:rFonts w:hint="eastAsia" w:ascii="Times New Roman" w:hAnsi="Times New Roman" w:cs="Times New Roman"/>
                      <w:color w:val="auto"/>
                      <w:kern w:val="0"/>
                      <w:sz w:val="18"/>
                      <w:szCs w:val="18"/>
                      <w:highlight w:val="none"/>
                      <w:lang w:val="en-US" w:eastAsia="zh-CN" w:bidi="ar"/>
                    </w:rPr>
                    <w:t>恒山区污水处理厂</w:t>
                  </w:r>
                  <w:r>
                    <w:rPr>
                      <w:rFonts w:hint="eastAsia" w:ascii="宋体" w:hAnsi="宋体" w:eastAsia="宋体" w:cs="宋体"/>
                      <w:color w:val="auto"/>
                      <w:sz w:val="18"/>
                      <w:szCs w:val="18"/>
                      <w:highlight w:val="none"/>
                      <w:lang w:eastAsia="zh-CN"/>
                    </w:rPr>
                    <w:t>，</w:t>
                  </w:r>
                  <w:r>
                    <w:rPr>
                      <w:rFonts w:hint="default" w:ascii="Times New Roman" w:hAnsi="Times New Roman" w:cs="Times New Roman"/>
                      <w:color w:val="auto"/>
                      <w:sz w:val="18"/>
                      <w:szCs w:val="18"/>
                      <w:highlight w:val="none"/>
                    </w:rPr>
                    <w:t>经</w:t>
                  </w:r>
                  <w:r>
                    <w:rPr>
                      <w:rFonts w:hint="eastAsia" w:ascii="Times New Roman" w:hAnsi="Times New Roman" w:cs="Times New Roman"/>
                      <w:color w:val="auto"/>
                      <w:kern w:val="0"/>
                      <w:sz w:val="18"/>
                      <w:szCs w:val="18"/>
                      <w:highlight w:val="none"/>
                      <w:lang w:val="en-US" w:eastAsia="zh-CN" w:bidi="ar"/>
                    </w:rPr>
                    <w:t>恒山区污水处理厂</w:t>
                  </w:r>
                  <w:r>
                    <w:rPr>
                      <w:rFonts w:hint="default" w:ascii="Times New Roman" w:hAnsi="Times New Roman" w:cs="Times New Roman"/>
                      <w:color w:val="auto"/>
                      <w:sz w:val="18"/>
                      <w:szCs w:val="18"/>
                      <w:highlight w:val="none"/>
                    </w:rPr>
                    <w:t>处理达标后</w:t>
                  </w:r>
                  <w:r>
                    <w:rPr>
                      <w:rFonts w:hint="default" w:ascii="Times New Roman" w:hAnsi="Times New Roman" w:eastAsia="宋体" w:cs="Times New Roman"/>
                      <w:color w:val="auto"/>
                      <w:sz w:val="18"/>
                      <w:szCs w:val="18"/>
                      <w:highlight w:val="none"/>
                    </w:rPr>
                    <w:t>排入小黄泥河，最终汇入穆棱河</w:t>
                  </w:r>
                  <w:r>
                    <w:rPr>
                      <w:rFonts w:hint="eastAsia" w:cs="Times New Roman"/>
                      <w:color w:val="auto"/>
                      <w:sz w:val="18"/>
                      <w:szCs w:val="18"/>
                      <w:highlight w:val="none"/>
                      <w:lang w:val="en-US" w:eastAsia="zh-CN"/>
                    </w:rPr>
                    <w:t>。</w:t>
                  </w:r>
                </w:p>
              </w:tc>
            </w:tr>
            <w:tr w14:paraId="76A766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tcBorders>
                    <w:tl2br w:val="nil"/>
                    <w:tr2bl w:val="nil"/>
                  </w:tcBorders>
                  <w:noWrap w:val="0"/>
                  <w:vAlign w:val="center"/>
                </w:tcPr>
                <w:p w14:paraId="57F75F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305" w:type="dxa"/>
                  <w:tcBorders>
                    <w:tl2br w:val="nil"/>
                    <w:tr2bl w:val="nil"/>
                  </w:tcBorders>
                  <w:noWrap w:val="0"/>
                  <w:vAlign w:val="center"/>
                </w:tcPr>
                <w:p w14:paraId="58C37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kern w:val="21"/>
                      <w:sz w:val="18"/>
                      <w:szCs w:val="18"/>
                      <w:highlight w:val="none"/>
                    </w:rPr>
                    <w:t>设备运行</w:t>
                  </w:r>
                </w:p>
              </w:tc>
              <w:tc>
                <w:tcPr>
                  <w:tcW w:w="1890" w:type="dxa"/>
                  <w:tcBorders>
                    <w:tl2br w:val="nil"/>
                    <w:tr2bl w:val="nil"/>
                  </w:tcBorders>
                  <w:noWrap w:val="0"/>
                  <w:vAlign w:val="center"/>
                </w:tcPr>
                <w:p w14:paraId="7FBBB4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975" w:type="dxa"/>
                  <w:tcBorders>
                    <w:tl2br w:val="nil"/>
                    <w:tr2bl w:val="nil"/>
                  </w:tcBorders>
                  <w:noWrap w:val="0"/>
                  <w:vAlign w:val="center"/>
                </w:tcPr>
                <w:p w14:paraId="763510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458" w:type="dxa"/>
                  <w:tcBorders>
                    <w:tl2br w:val="nil"/>
                    <w:tr2bl w:val="nil"/>
                  </w:tcBorders>
                  <w:noWrap w:val="0"/>
                  <w:vAlign w:val="center"/>
                </w:tcPr>
                <w:p w14:paraId="44F04C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sz w:val="18"/>
                      <w:szCs w:val="18"/>
                      <w:highlight w:val="none"/>
                    </w:rPr>
                    <w:t>选取低噪声设备，采取减振、隔声</w:t>
                  </w:r>
                  <w:r>
                    <w:rPr>
                      <w:rFonts w:hint="eastAsia" w:ascii="Times New Roman" w:hAnsi="Times New Roman" w:eastAsia="宋体" w:cs="Times New Roman"/>
                      <w:color w:val="auto"/>
                      <w:sz w:val="18"/>
                      <w:szCs w:val="18"/>
                      <w:highlight w:val="none"/>
                      <w:lang w:val="en-US" w:eastAsia="zh-CN"/>
                    </w:rPr>
                    <w:t>等</w:t>
                  </w:r>
                </w:p>
              </w:tc>
            </w:tr>
            <w:tr w14:paraId="4E850B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restart"/>
                  <w:tcBorders>
                    <w:tl2br w:val="nil"/>
                    <w:tr2bl w:val="nil"/>
                  </w:tcBorders>
                  <w:noWrap w:val="0"/>
                  <w:vAlign w:val="center"/>
                </w:tcPr>
                <w:p w14:paraId="693FD7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固体废物</w:t>
                  </w:r>
                </w:p>
              </w:tc>
              <w:tc>
                <w:tcPr>
                  <w:tcW w:w="1305" w:type="dxa"/>
                  <w:vMerge w:val="restart"/>
                  <w:tcBorders>
                    <w:tl2br w:val="nil"/>
                    <w:tr2bl w:val="nil"/>
                  </w:tcBorders>
                  <w:noWrap w:val="0"/>
                  <w:vAlign w:val="center"/>
                </w:tcPr>
                <w:p w14:paraId="01EF7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bCs/>
                      <w:color w:val="auto"/>
                      <w:sz w:val="18"/>
                      <w:szCs w:val="18"/>
                      <w:highlight w:val="none"/>
                      <w:lang w:val="en-US" w:eastAsia="zh-CN"/>
                    </w:rPr>
                    <w:t>锅炉</w:t>
                  </w:r>
                </w:p>
              </w:tc>
              <w:tc>
                <w:tcPr>
                  <w:tcW w:w="1890" w:type="dxa"/>
                  <w:tcBorders>
                    <w:tl2br w:val="nil"/>
                    <w:tr2bl w:val="nil"/>
                  </w:tcBorders>
                  <w:noWrap w:val="0"/>
                  <w:vAlign w:val="center"/>
                </w:tcPr>
                <w:p w14:paraId="101B7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锅炉多管陶瓷</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布袋除尘器收尘</w:t>
                  </w:r>
                </w:p>
              </w:tc>
              <w:tc>
                <w:tcPr>
                  <w:tcW w:w="975" w:type="dxa"/>
                  <w:vMerge w:val="restart"/>
                  <w:tcBorders>
                    <w:tl2br w:val="nil"/>
                    <w:tr2bl w:val="nil"/>
                  </w:tcBorders>
                  <w:noWrap w:val="0"/>
                  <w:vAlign w:val="center"/>
                </w:tcPr>
                <w:p w14:paraId="360DFF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间断</w:t>
                  </w:r>
                </w:p>
              </w:tc>
              <w:tc>
                <w:tcPr>
                  <w:tcW w:w="3458" w:type="dxa"/>
                  <w:vMerge w:val="restart"/>
                  <w:tcBorders>
                    <w:tl2br w:val="nil"/>
                    <w:tr2bl w:val="nil"/>
                  </w:tcBorders>
                  <w:noWrap w:val="0"/>
                  <w:vAlign w:val="center"/>
                </w:tcPr>
                <w:p w14:paraId="50C2E6B1">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袋装收集暂存于密闭灰渣库，定期外售，综合利用</w:t>
                  </w:r>
                </w:p>
              </w:tc>
            </w:tr>
            <w:tr w14:paraId="2723F9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tcBorders>
                    <w:tl2br w:val="nil"/>
                    <w:tr2bl w:val="nil"/>
                  </w:tcBorders>
                  <w:noWrap w:val="0"/>
                  <w:vAlign w:val="center"/>
                </w:tcPr>
                <w:p w14:paraId="00E8E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305" w:type="dxa"/>
                  <w:vMerge w:val="continue"/>
                  <w:tcBorders>
                    <w:tl2br w:val="nil"/>
                    <w:tr2bl w:val="nil"/>
                  </w:tcBorders>
                  <w:noWrap w:val="0"/>
                  <w:vAlign w:val="center"/>
                </w:tcPr>
                <w:p w14:paraId="3B88F0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p>
              </w:tc>
              <w:tc>
                <w:tcPr>
                  <w:tcW w:w="1890" w:type="dxa"/>
                  <w:tcBorders>
                    <w:tl2br w:val="nil"/>
                    <w:tr2bl w:val="nil"/>
                  </w:tcBorders>
                  <w:noWrap w:val="0"/>
                  <w:vAlign w:val="center"/>
                </w:tcPr>
                <w:p w14:paraId="6717B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锅炉</w:t>
                  </w:r>
                  <w:r>
                    <w:rPr>
                      <w:rFonts w:hint="default" w:ascii="Times New Roman" w:hAnsi="Times New Roman" w:cs="Times New Roman"/>
                      <w:color w:val="auto"/>
                      <w:sz w:val="18"/>
                      <w:szCs w:val="18"/>
                      <w:highlight w:val="none"/>
                      <w:lang w:val="en-US" w:eastAsia="zh-CN"/>
                    </w:rPr>
                    <w:t>炉渣</w:t>
                  </w:r>
                </w:p>
              </w:tc>
              <w:tc>
                <w:tcPr>
                  <w:tcW w:w="975" w:type="dxa"/>
                  <w:vMerge w:val="continue"/>
                  <w:tcBorders>
                    <w:tl2br w:val="nil"/>
                    <w:tr2bl w:val="nil"/>
                  </w:tcBorders>
                  <w:noWrap w:val="0"/>
                  <w:vAlign w:val="center"/>
                </w:tcPr>
                <w:p w14:paraId="73F7A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color w:val="auto"/>
                      <w:spacing w:val="0"/>
                      <w:sz w:val="18"/>
                      <w:szCs w:val="18"/>
                      <w:highlight w:val="none"/>
                      <w:lang w:val="en-US" w:eastAsia="zh-CN"/>
                    </w:rPr>
                  </w:pPr>
                </w:p>
              </w:tc>
              <w:tc>
                <w:tcPr>
                  <w:tcW w:w="3458" w:type="dxa"/>
                  <w:vMerge w:val="continue"/>
                  <w:tcBorders>
                    <w:tl2br w:val="nil"/>
                    <w:tr2bl w:val="nil"/>
                  </w:tcBorders>
                  <w:noWrap w:val="0"/>
                  <w:vAlign w:val="center"/>
                </w:tcPr>
                <w:p w14:paraId="68F84801">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p>
              </w:tc>
            </w:tr>
            <w:tr w14:paraId="7AB988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tcBorders>
                    <w:tl2br w:val="nil"/>
                    <w:tr2bl w:val="nil"/>
                  </w:tcBorders>
                  <w:noWrap w:val="0"/>
                  <w:vAlign w:val="center"/>
                </w:tcPr>
                <w:p w14:paraId="2BF853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305" w:type="dxa"/>
                  <w:vMerge w:val="continue"/>
                  <w:tcBorders>
                    <w:tl2br w:val="nil"/>
                    <w:tr2bl w:val="nil"/>
                  </w:tcBorders>
                  <w:noWrap w:val="0"/>
                  <w:vAlign w:val="center"/>
                </w:tcPr>
                <w:p w14:paraId="650BF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p>
              </w:tc>
              <w:tc>
                <w:tcPr>
                  <w:tcW w:w="1890" w:type="dxa"/>
                  <w:tcBorders>
                    <w:tl2br w:val="nil"/>
                    <w:tr2bl w:val="nil"/>
                  </w:tcBorders>
                  <w:noWrap w:val="0"/>
                  <w:vAlign w:val="center"/>
                </w:tcPr>
                <w:p w14:paraId="79D13C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废布袋</w:t>
                  </w:r>
                </w:p>
              </w:tc>
              <w:tc>
                <w:tcPr>
                  <w:tcW w:w="975" w:type="dxa"/>
                  <w:vMerge w:val="continue"/>
                  <w:tcBorders>
                    <w:tl2br w:val="nil"/>
                    <w:tr2bl w:val="nil"/>
                  </w:tcBorders>
                  <w:noWrap w:val="0"/>
                  <w:vAlign w:val="center"/>
                </w:tcPr>
                <w:p w14:paraId="51056D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sz w:val="18"/>
                      <w:szCs w:val="18"/>
                      <w:highlight w:val="none"/>
                      <w:lang w:val="en-US" w:eastAsia="zh-CN"/>
                    </w:rPr>
                  </w:pPr>
                </w:p>
              </w:tc>
              <w:tc>
                <w:tcPr>
                  <w:tcW w:w="3458" w:type="dxa"/>
                  <w:tcBorders>
                    <w:tl2br w:val="nil"/>
                    <w:tr2bl w:val="nil"/>
                  </w:tcBorders>
                  <w:noWrap w:val="0"/>
                  <w:vAlign w:val="center"/>
                </w:tcPr>
                <w:p w14:paraId="7D74A904">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除尘器厂家更换后直接带走</w:t>
                  </w:r>
                </w:p>
              </w:tc>
            </w:tr>
            <w:tr w14:paraId="32AA9A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tcBorders>
                    <w:tl2br w:val="nil"/>
                    <w:tr2bl w:val="nil"/>
                  </w:tcBorders>
                  <w:noWrap w:val="0"/>
                  <w:vAlign w:val="center"/>
                </w:tcPr>
                <w:p w14:paraId="3E4D0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305" w:type="dxa"/>
                  <w:tcBorders>
                    <w:tl2br w:val="nil"/>
                    <w:tr2bl w:val="nil"/>
                  </w:tcBorders>
                  <w:noWrap w:val="0"/>
                  <w:vAlign w:val="center"/>
                </w:tcPr>
                <w:p w14:paraId="42639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软化水处理</w:t>
                  </w:r>
                  <w:r>
                    <w:rPr>
                      <w:rFonts w:hint="eastAsia" w:ascii="Times New Roman" w:hAnsi="Times New Roman" w:cs="Times New Roman"/>
                      <w:bCs/>
                      <w:color w:val="auto"/>
                      <w:sz w:val="18"/>
                      <w:szCs w:val="18"/>
                      <w:highlight w:val="none"/>
                      <w:lang w:val="en-US" w:eastAsia="zh-CN"/>
                    </w:rPr>
                    <w:t>系统</w:t>
                  </w:r>
                </w:p>
              </w:tc>
              <w:tc>
                <w:tcPr>
                  <w:tcW w:w="1890" w:type="dxa"/>
                  <w:tcBorders>
                    <w:tl2br w:val="nil"/>
                    <w:tr2bl w:val="nil"/>
                  </w:tcBorders>
                  <w:noWrap w:val="0"/>
                  <w:vAlign w:val="center"/>
                </w:tcPr>
                <w:p w14:paraId="2DEDC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废离子交换树脂</w:t>
                  </w:r>
                </w:p>
              </w:tc>
              <w:tc>
                <w:tcPr>
                  <w:tcW w:w="975" w:type="dxa"/>
                  <w:vMerge w:val="continue"/>
                  <w:tcBorders>
                    <w:tl2br w:val="nil"/>
                    <w:tr2bl w:val="nil"/>
                  </w:tcBorders>
                  <w:noWrap w:val="0"/>
                  <w:vAlign w:val="center"/>
                </w:tcPr>
                <w:p w14:paraId="2C845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color w:val="auto"/>
                      <w:spacing w:val="0"/>
                      <w:sz w:val="18"/>
                      <w:szCs w:val="18"/>
                      <w:highlight w:val="none"/>
                      <w:lang w:val="en-US" w:eastAsia="zh-CN"/>
                    </w:rPr>
                  </w:pPr>
                </w:p>
              </w:tc>
              <w:tc>
                <w:tcPr>
                  <w:tcW w:w="3458" w:type="dxa"/>
                  <w:tcBorders>
                    <w:tl2br w:val="nil"/>
                    <w:tr2bl w:val="nil"/>
                  </w:tcBorders>
                  <w:noWrap w:val="0"/>
                  <w:vAlign w:val="center"/>
                </w:tcPr>
                <w:p w14:paraId="176CC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eastAsia" w:ascii="宋体" w:hAnsi="宋体" w:cs="宋体"/>
                      <w:color w:val="auto"/>
                      <w:sz w:val="18"/>
                      <w:szCs w:val="18"/>
                      <w:highlight w:val="none"/>
                    </w:rPr>
                    <w:t>更换后由厂家回收处置</w:t>
                  </w:r>
                </w:p>
              </w:tc>
            </w:tr>
            <w:tr w14:paraId="04E797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tcBorders>
                    <w:tl2br w:val="nil"/>
                    <w:tr2bl w:val="nil"/>
                  </w:tcBorders>
                  <w:noWrap w:val="0"/>
                  <w:vAlign w:val="center"/>
                </w:tcPr>
                <w:p w14:paraId="59D1B3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305" w:type="dxa"/>
                  <w:vMerge w:val="restart"/>
                  <w:tcBorders>
                    <w:tl2br w:val="nil"/>
                    <w:tr2bl w:val="nil"/>
                  </w:tcBorders>
                  <w:shd w:val="clear" w:color="auto" w:fill="auto"/>
                  <w:noWrap w:val="0"/>
                  <w:vAlign w:val="center"/>
                </w:tcPr>
                <w:p w14:paraId="7CFE69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设备维修</w:t>
                  </w:r>
                </w:p>
              </w:tc>
              <w:tc>
                <w:tcPr>
                  <w:tcW w:w="1890" w:type="dxa"/>
                  <w:tcBorders>
                    <w:tl2br w:val="nil"/>
                    <w:tr2bl w:val="nil"/>
                  </w:tcBorders>
                  <w:shd w:val="clear" w:color="auto" w:fill="auto"/>
                  <w:noWrap w:val="0"/>
                  <w:vAlign w:val="center"/>
                </w:tcPr>
                <w:p w14:paraId="72F99F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废机油</w:t>
                  </w:r>
                </w:p>
              </w:tc>
              <w:tc>
                <w:tcPr>
                  <w:tcW w:w="975" w:type="dxa"/>
                  <w:vMerge w:val="continue"/>
                  <w:tcBorders>
                    <w:tl2br w:val="nil"/>
                    <w:tr2bl w:val="nil"/>
                  </w:tcBorders>
                  <w:noWrap w:val="0"/>
                  <w:vAlign w:val="center"/>
                </w:tcPr>
                <w:p w14:paraId="6C269F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color w:val="auto"/>
                      <w:spacing w:val="0"/>
                      <w:sz w:val="18"/>
                      <w:szCs w:val="18"/>
                      <w:highlight w:val="none"/>
                      <w:lang w:val="en-US" w:eastAsia="zh-CN"/>
                    </w:rPr>
                  </w:pPr>
                </w:p>
              </w:tc>
              <w:tc>
                <w:tcPr>
                  <w:tcW w:w="3458" w:type="dxa"/>
                  <w:vMerge w:val="restart"/>
                  <w:tcBorders>
                    <w:tl2br w:val="nil"/>
                    <w:tr2bl w:val="nil"/>
                  </w:tcBorders>
                  <w:shd w:val="clear" w:color="auto" w:fill="auto"/>
                  <w:noWrap w:val="0"/>
                  <w:vAlign w:val="center"/>
                </w:tcPr>
                <w:p w14:paraId="5C756235">
                  <w:pPr>
                    <w:widowControl/>
                    <w:jc w:val="center"/>
                    <w:rPr>
                      <w:rFonts w:hint="eastAsia"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废机油密闭桶装、废弃含油抹布、手套集中收集，暂存东山煤矿材料科危险废物贮存库，定期委托有资质单位处理。</w:t>
                  </w:r>
                </w:p>
              </w:tc>
            </w:tr>
            <w:tr w14:paraId="0759DD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tcBorders>
                    <w:tl2br w:val="nil"/>
                    <w:tr2bl w:val="nil"/>
                  </w:tcBorders>
                  <w:noWrap w:val="0"/>
                  <w:vAlign w:val="center"/>
                </w:tcPr>
                <w:p w14:paraId="1140E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305" w:type="dxa"/>
                  <w:vMerge w:val="continue"/>
                  <w:tcBorders>
                    <w:tl2br w:val="nil"/>
                    <w:tr2bl w:val="nil"/>
                  </w:tcBorders>
                  <w:shd w:val="clear" w:color="auto" w:fill="auto"/>
                  <w:noWrap w:val="0"/>
                  <w:vAlign w:val="center"/>
                </w:tcPr>
                <w:p w14:paraId="3C9DD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p>
              </w:tc>
              <w:tc>
                <w:tcPr>
                  <w:tcW w:w="1890" w:type="dxa"/>
                  <w:tcBorders>
                    <w:tl2br w:val="nil"/>
                    <w:tr2bl w:val="nil"/>
                  </w:tcBorders>
                  <w:shd w:val="clear"/>
                  <w:noWrap w:val="0"/>
                  <w:vAlign w:val="center"/>
                </w:tcPr>
                <w:p w14:paraId="3C7A9B0B">
                  <w:pPr>
                    <w:widowControl/>
                    <w:contextualSpacing/>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废弃含油抹布、手套</w:t>
                  </w:r>
                </w:p>
              </w:tc>
              <w:tc>
                <w:tcPr>
                  <w:tcW w:w="975" w:type="dxa"/>
                  <w:tcBorders>
                    <w:tl2br w:val="nil"/>
                    <w:tr2bl w:val="nil"/>
                  </w:tcBorders>
                  <w:noWrap w:val="0"/>
                  <w:vAlign w:val="center"/>
                </w:tcPr>
                <w:p w14:paraId="72AA90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color w:val="auto"/>
                      <w:spacing w:val="0"/>
                      <w:sz w:val="18"/>
                      <w:szCs w:val="18"/>
                      <w:highlight w:val="none"/>
                      <w:lang w:val="en-US" w:eastAsia="zh-CN"/>
                    </w:rPr>
                  </w:pPr>
                </w:p>
              </w:tc>
              <w:tc>
                <w:tcPr>
                  <w:tcW w:w="3458" w:type="dxa"/>
                  <w:vMerge w:val="continue"/>
                  <w:tcBorders>
                    <w:tl2br w:val="nil"/>
                    <w:tr2bl w:val="nil"/>
                  </w:tcBorders>
                  <w:shd w:val="clear" w:color="auto" w:fill="auto"/>
                  <w:noWrap w:val="0"/>
                  <w:vAlign w:val="center"/>
                </w:tcPr>
                <w:p w14:paraId="1A104A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rPr>
                  </w:pPr>
                </w:p>
              </w:tc>
            </w:tr>
          </w:tbl>
          <w:p w14:paraId="6B1EF096">
            <w:pPr>
              <w:pStyle w:val="34"/>
              <w:keepNext w:val="0"/>
              <w:keepLines w:val="0"/>
              <w:suppressLineNumbers w:val="0"/>
              <w:spacing w:before="0" w:beforeAutospacing="0" w:after="0" w:afterAutospacing="0"/>
              <w:ind w:left="0" w:right="0"/>
              <w:rPr>
                <w:rFonts w:hint="default"/>
                <w:color w:val="auto"/>
                <w:highlight w:val="none"/>
                <w:lang w:val="en-US" w:eastAsia="zh-CN"/>
              </w:rPr>
            </w:pPr>
          </w:p>
        </w:tc>
      </w:tr>
      <w:tr w14:paraId="63308F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48" w:hRule="atLeast"/>
          <w:jc w:val="center"/>
        </w:trPr>
        <w:tc>
          <w:tcPr>
            <w:tcW w:w="748" w:type="dxa"/>
            <w:vAlign w:val="center"/>
          </w:tcPr>
          <w:p w14:paraId="22671AD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与项目有关的原有环境污染问题</w:t>
            </w:r>
          </w:p>
        </w:tc>
        <w:tc>
          <w:tcPr>
            <w:tcW w:w="8473" w:type="dxa"/>
            <w:vAlign w:val="center"/>
          </w:tcPr>
          <w:p w14:paraId="1E85AA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kern w:val="21"/>
                <w:sz w:val="21"/>
                <w:szCs w:val="21"/>
                <w:highlight w:val="none"/>
                <w:lang w:val="en-US" w:eastAsia="zh-CN"/>
              </w:rPr>
              <w:t>鸡西市恒山区小恒山东山煤矿工业广场总占地面积387726.14m</w:t>
            </w:r>
            <w:r>
              <w:rPr>
                <w:rFonts w:hint="default" w:ascii="Times New Roman" w:hAnsi="Times New Roman" w:eastAsia="宋体" w:cs="Times New Roman"/>
                <w:b w:val="0"/>
                <w:bCs w:val="0"/>
                <w:color w:val="auto"/>
                <w:spacing w:val="0"/>
                <w:kern w:val="21"/>
                <w:sz w:val="21"/>
                <w:szCs w:val="21"/>
                <w:highlight w:val="none"/>
                <w:vertAlign w:val="superscript"/>
                <w:lang w:val="en-US" w:eastAsia="zh-CN"/>
              </w:rPr>
              <w:t>2</w:t>
            </w:r>
            <w:r>
              <w:rPr>
                <w:rFonts w:hint="default" w:ascii="Times New Roman" w:hAnsi="Times New Roman" w:eastAsia="宋体" w:cs="Times New Roman"/>
                <w:b w:val="0"/>
                <w:bCs w:val="0"/>
                <w:color w:val="auto"/>
                <w:spacing w:val="0"/>
                <w:kern w:val="21"/>
                <w:sz w:val="21"/>
                <w:szCs w:val="21"/>
                <w:highlight w:val="none"/>
                <w:vertAlign w:val="baseline"/>
                <w:lang w:val="en-US" w:eastAsia="zh-CN"/>
              </w:rPr>
              <w:t>，</w:t>
            </w:r>
            <w:r>
              <w:rPr>
                <w:rFonts w:hint="default" w:ascii="Times New Roman" w:hAnsi="Times New Roman" w:eastAsia="宋体" w:cs="Times New Roman"/>
                <w:b w:val="0"/>
                <w:bCs w:val="0"/>
                <w:color w:val="auto"/>
                <w:spacing w:val="0"/>
                <w:sz w:val="21"/>
                <w:szCs w:val="21"/>
                <w:highlight w:val="none"/>
              </w:rPr>
              <w:t>东山</w:t>
            </w:r>
            <w:r>
              <w:rPr>
                <w:rFonts w:hint="default" w:ascii="Times New Roman" w:hAnsi="Times New Roman" w:eastAsia="宋体" w:cs="Times New Roman"/>
                <w:b w:val="0"/>
                <w:bCs w:val="0"/>
                <w:color w:val="auto"/>
                <w:spacing w:val="0"/>
                <w:sz w:val="21"/>
                <w:szCs w:val="21"/>
                <w:highlight w:val="none"/>
                <w:lang w:val="en-US" w:eastAsia="zh-CN"/>
              </w:rPr>
              <w:t>洗</w:t>
            </w:r>
            <w:r>
              <w:rPr>
                <w:rFonts w:hint="default" w:ascii="Times New Roman" w:hAnsi="Times New Roman" w:eastAsia="宋体" w:cs="Times New Roman"/>
                <w:b w:val="0"/>
                <w:bCs w:val="0"/>
                <w:color w:val="auto"/>
                <w:spacing w:val="0"/>
                <w:sz w:val="21"/>
                <w:szCs w:val="21"/>
                <w:highlight w:val="none"/>
              </w:rPr>
              <w:t>煤厂位于黑龙江省鸡西市西南方向</w:t>
            </w:r>
            <w:r>
              <w:rPr>
                <w:rFonts w:hint="default" w:ascii="Times New Roman" w:hAnsi="Times New Roman" w:eastAsia="宋体" w:cs="Times New Roman"/>
                <w:b w:val="0"/>
                <w:bCs w:val="0"/>
                <w:color w:val="auto"/>
                <w:spacing w:val="0"/>
                <w:sz w:val="21"/>
                <w:szCs w:val="21"/>
                <w:highlight w:val="none"/>
                <w:lang w:eastAsia="zh-CN"/>
              </w:rPr>
              <w:t>，</w:t>
            </w:r>
            <w:r>
              <w:rPr>
                <w:rFonts w:hint="default" w:ascii="Times New Roman" w:hAnsi="Times New Roman" w:eastAsia="宋体" w:cs="Times New Roman"/>
                <w:b w:val="0"/>
                <w:bCs w:val="0"/>
                <w:color w:val="auto"/>
                <w:spacing w:val="0"/>
                <w:sz w:val="21"/>
                <w:szCs w:val="21"/>
                <w:highlight w:val="none"/>
              </w:rPr>
              <w:t>东山</w:t>
            </w:r>
            <w:r>
              <w:rPr>
                <w:rFonts w:hint="default" w:ascii="Times New Roman" w:hAnsi="Times New Roman" w:eastAsia="宋体" w:cs="Times New Roman"/>
                <w:b w:val="0"/>
                <w:bCs w:val="0"/>
                <w:color w:val="auto"/>
                <w:spacing w:val="0"/>
                <w:sz w:val="21"/>
                <w:szCs w:val="21"/>
                <w:highlight w:val="none"/>
                <w:lang w:val="en-US" w:eastAsia="zh-CN"/>
              </w:rPr>
              <w:t>洗</w:t>
            </w:r>
            <w:r>
              <w:rPr>
                <w:rFonts w:hint="default" w:ascii="Times New Roman" w:hAnsi="Times New Roman" w:eastAsia="宋体" w:cs="Times New Roman"/>
                <w:b w:val="0"/>
                <w:bCs w:val="0"/>
                <w:color w:val="auto"/>
                <w:spacing w:val="0"/>
                <w:sz w:val="21"/>
                <w:szCs w:val="21"/>
                <w:highlight w:val="none"/>
              </w:rPr>
              <w:t>煤厂厂房占地面积为8858平方米，总建筑面积为15975.48平方米</w:t>
            </w:r>
            <w:r>
              <w:rPr>
                <w:rFonts w:hint="default" w:ascii="Times New Roman" w:hAnsi="Times New Roman" w:eastAsia="宋体" w:cs="Times New Roman"/>
                <w:b w:val="0"/>
                <w:bCs w:val="0"/>
                <w:color w:val="auto"/>
                <w:spacing w:val="0"/>
                <w:sz w:val="21"/>
                <w:szCs w:val="21"/>
                <w:highlight w:val="none"/>
                <w:lang w:eastAsia="zh-CN"/>
              </w:rPr>
              <w:t>，</w:t>
            </w:r>
            <w:r>
              <w:rPr>
                <w:rFonts w:hint="default" w:ascii="Times New Roman" w:hAnsi="Times New Roman" w:eastAsia="宋体" w:cs="Times New Roman"/>
                <w:b w:val="0"/>
                <w:bCs w:val="0"/>
                <w:color w:val="auto"/>
                <w:spacing w:val="0"/>
                <w:sz w:val="21"/>
                <w:szCs w:val="21"/>
                <w:highlight w:val="none"/>
              </w:rPr>
              <w:t>现生产能力为</w:t>
            </w:r>
            <w:r>
              <w:rPr>
                <w:rFonts w:hint="default" w:ascii="Times New Roman" w:hAnsi="Times New Roman" w:eastAsia="宋体" w:cs="Times New Roman"/>
                <w:b w:val="0"/>
                <w:bCs w:val="0"/>
                <w:color w:val="auto"/>
                <w:spacing w:val="0"/>
                <w:sz w:val="21"/>
                <w:szCs w:val="21"/>
                <w:highlight w:val="none"/>
                <w:lang w:val="en-US" w:eastAsia="zh-CN"/>
              </w:rPr>
              <w:t>240</w:t>
            </w:r>
            <w:r>
              <w:rPr>
                <w:rFonts w:hint="default" w:ascii="Times New Roman" w:hAnsi="Times New Roman" w:eastAsia="宋体" w:cs="Times New Roman"/>
                <w:b w:val="0"/>
                <w:bCs w:val="0"/>
                <w:color w:val="auto"/>
                <w:spacing w:val="0"/>
                <w:sz w:val="21"/>
                <w:szCs w:val="21"/>
                <w:highlight w:val="none"/>
              </w:rPr>
              <w:t>万吨/年。</w:t>
            </w:r>
            <w:r>
              <w:rPr>
                <w:rFonts w:hint="default" w:ascii="Times New Roman" w:hAnsi="Times New Roman" w:eastAsia="宋体" w:cs="Times New Roman"/>
                <w:b w:val="0"/>
                <w:bCs w:val="0"/>
                <w:color w:val="auto"/>
                <w:spacing w:val="0"/>
                <w:sz w:val="21"/>
                <w:szCs w:val="21"/>
                <w:highlight w:val="none"/>
                <w:lang w:val="en-US" w:eastAsia="zh-CN"/>
              </w:rPr>
              <w:t>选煤工艺</w:t>
            </w:r>
            <w:r>
              <w:rPr>
                <w:rFonts w:hint="default" w:ascii="Times New Roman" w:hAnsi="Times New Roman" w:eastAsia="宋体" w:cs="Times New Roman"/>
                <w:b w:val="0"/>
                <w:bCs w:val="0"/>
                <w:color w:val="auto"/>
                <w:spacing w:val="0"/>
                <w:sz w:val="21"/>
                <w:szCs w:val="21"/>
                <w:highlight w:val="none"/>
              </w:rPr>
              <w:t>采用不脱泥、不分级重介质选煤工艺，单系统主</w:t>
            </w:r>
            <w:r>
              <w:rPr>
                <w:rFonts w:hint="eastAsia" w:ascii="Times New Roman" w:hAnsi="Times New Roman" w:eastAsia="宋体" w:cs="Times New Roman"/>
                <w:b w:val="0"/>
                <w:bCs w:val="0"/>
                <w:color w:val="auto"/>
                <w:spacing w:val="0"/>
                <w:sz w:val="21"/>
                <w:szCs w:val="21"/>
                <w:highlight w:val="none"/>
                <w:lang w:val="en-US" w:eastAsia="zh-CN"/>
              </w:rPr>
              <w:t>设</w:t>
            </w:r>
            <w:r>
              <w:rPr>
                <w:rFonts w:hint="default" w:ascii="Times New Roman" w:hAnsi="Times New Roman" w:eastAsia="宋体" w:cs="Times New Roman"/>
                <w:b w:val="0"/>
                <w:bCs w:val="0"/>
                <w:color w:val="auto"/>
                <w:spacing w:val="0"/>
                <w:sz w:val="21"/>
                <w:szCs w:val="21"/>
                <w:highlight w:val="none"/>
              </w:rPr>
              <w:t>备应采用单台大直径无压给料三产品重介旋流器</w:t>
            </w:r>
            <w:r>
              <w:rPr>
                <w:rFonts w:hint="default" w:ascii="Times New Roman" w:hAnsi="Times New Roman" w:eastAsia="宋体" w:cs="Times New Roman"/>
                <w:b w:val="0"/>
                <w:bCs w:val="0"/>
                <w:color w:val="auto"/>
                <w:spacing w:val="0"/>
                <w:sz w:val="21"/>
                <w:szCs w:val="21"/>
                <w:highlight w:val="none"/>
                <w:lang w:eastAsia="zh-CN"/>
              </w:rPr>
              <w:t>。</w:t>
            </w:r>
            <w:r>
              <w:rPr>
                <w:rFonts w:hint="default" w:ascii="Times New Roman" w:hAnsi="Times New Roman" w:eastAsia="宋体" w:cs="Times New Roman"/>
                <w:b w:val="0"/>
                <w:bCs w:val="0"/>
                <w:color w:val="auto"/>
                <w:spacing w:val="0"/>
                <w:sz w:val="21"/>
                <w:szCs w:val="21"/>
                <w:highlight w:val="none"/>
                <w:lang w:val="en-US" w:eastAsia="zh-CN"/>
              </w:rPr>
              <w:t>洗煤厂设置40t/d污水处理站，处理生活污水，处理后的污水回用于洗煤。</w:t>
            </w:r>
          </w:p>
          <w:p w14:paraId="48DD8422">
            <w:pPr>
              <w:keepNext w:val="0"/>
              <w:keepLines w:val="0"/>
              <w:widowControl/>
              <w:suppressLineNumbers w:val="0"/>
              <w:spacing w:before="0" w:beforeAutospacing="0" w:after="0" w:afterAutospacing="0" w:line="360" w:lineRule="auto"/>
              <w:ind w:left="0" w:right="0" w:firstLine="420" w:firstLineChars="200"/>
              <w:jc w:val="left"/>
              <w:rPr>
                <w:rFonts w:hint="eastAsia"/>
                <w:color w:val="auto"/>
                <w:sz w:val="21"/>
                <w:highlight w:val="none"/>
                <w:lang w:val="en-US" w:eastAsia="zh-CN"/>
              </w:rPr>
            </w:pPr>
            <w:r>
              <w:rPr>
                <w:rFonts w:hint="eastAsia" w:cs="Times New Roman"/>
                <w:color w:val="auto"/>
                <w:kern w:val="21"/>
                <w:sz w:val="21"/>
                <w:szCs w:val="21"/>
                <w:highlight w:val="none"/>
                <w:vertAlign w:val="baseline"/>
                <w:lang w:val="en-US" w:eastAsia="zh-CN"/>
              </w:rPr>
              <w:t>洗煤一厂锅炉房位于工业广场内，</w:t>
            </w:r>
            <w:r>
              <w:rPr>
                <w:rFonts w:hint="eastAsia" w:cs="Times New Roman"/>
                <w:color w:val="auto"/>
                <w:kern w:val="21"/>
                <w:sz w:val="21"/>
                <w:szCs w:val="21"/>
                <w:highlight w:val="none"/>
                <w:lang w:val="en-US" w:eastAsia="zh-CN"/>
              </w:rPr>
              <w:t>现有工程洗煤一厂锅炉房占地面积560m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，锅炉房为地上4层，地下1层建筑，高约15米，，</w:t>
            </w:r>
            <w:r>
              <w:rPr>
                <w:rFonts w:hint="eastAsia" w:cs="Times New Roman"/>
                <w:color w:val="FF0000"/>
                <w:kern w:val="21"/>
                <w:sz w:val="21"/>
                <w:szCs w:val="21"/>
                <w:highlight w:val="none"/>
                <w:vertAlign w:val="baseline"/>
                <w:lang w:val="en-US" w:eastAsia="zh-CN"/>
              </w:rPr>
              <w:t>锅炉房内一层东侧为灰渣库，占地面积300m</w:t>
            </w:r>
            <w:r>
              <w:rPr>
                <w:rFonts w:hint="eastAsia" w:cs="Times New Roman"/>
                <w:color w:val="FF0000"/>
                <w:kern w:val="21"/>
                <w:sz w:val="21"/>
                <w:szCs w:val="21"/>
                <w:highlight w:val="none"/>
                <w:vertAlign w:val="superscript"/>
                <w:lang w:val="en-US" w:eastAsia="zh-CN"/>
              </w:rPr>
              <w:t>2</w:t>
            </w:r>
            <w:r>
              <w:rPr>
                <w:rFonts w:hint="eastAsia" w:cs="Times New Roman"/>
                <w:color w:val="FF0000"/>
                <w:kern w:val="21"/>
                <w:sz w:val="21"/>
                <w:szCs w:val="21"/>
                <w:highlight w:val="none"/>
                <w:vertAlign w:val="baseline"/>
                <w:lang w:val="en-US" w:eastAsia="zh-CN"/>
              </w:rPr>
              <w:t>，内置1套除渣机。西侧为风机房建筑面积为160</w:t>
            </w:r>
            <w:r>
              <w:rPr>
                <w:rFonts w:hint="eastAsia" w:cs="Times New Roman"/>
                <w:color w:val="FF0000"/>
                <w:kern w:val="21"/>
                <w:sz w:val="21"/>
                <w:szCs w:val="21"/>
                <w:highlight w:val="none"/>
                <w:lang w:val="en-US" w:eastAsia="zh-CN"/>
              </w:rPr>
              <w:t>m</w:t>
            </w:r>
            <w:r>
              <w:rPr>
                <w:rFonts w:hint="eastAsia" w:cs="Times New Roman"/>
                <w:color w:val="FF0000"/>
                <w:kern w:val="21"/>
                <w:sz w:val="21"/>
                <w:szCs w:val="21"/>
                <w:highlight w:val="none"/>
                <w:vertAlign w:val="superscript"/>
                <w:lang w:val="en-US" w:eastAsia="zh-CN"/>
              </w:rPr>
              <w:t>2</w:t>
            </w:r>
            <w:r>
              <w:rPr>
                <w:rFonts w:hint="eastAsia" w:cs="Times New Roman"/>
                <w:color w:val="FF0000"/>
                <w:kern w:val="21"/>
                <w:sz w:val="21"/>
                <w:szCs w:val="21"/>
                <w:highlight w:val="none"/>
                <w:vertAlign w:val="baseline"/>
                <w:lang w:val="en-US" w:eastAsia="zh-CN"/>
              </w:rPr>
              <w:t>，内置3套引风机。北侧为库房60</w:t>
            </w:r>
            <w:r>
              <w:rPr>
                <w:rFonts w:hint="eastAsia" w:cs="Times New Roman"/>
                <w:color w:val="FF0000"/>
                <w:kern w:val="21"/>
                <w:sz w:val="21"/>
                <w:szCs w:val="21"/>
                <w:highlight w:val="none"/>
                <w:lang w:val="en-US" w:eastAsia="zh-CN"/>
              </w:rPr>
              <w:t>m</w:t>
            </w:r>
            <w:r>
              <w:rPr>
                <w:rFonts w:hint="eastAsia" w:cs="Times New Roman"/>
                <w:color w:val="FF0000"/>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；锅炉房内二层南侧为锅炉间，建筑面积460</w:t>
            </w:r>
            <w:r>
              <w:rPr>
                <w:rFonts w:hint="eastAsia" w:cs="Times New Roman"/>
                <w:color w:val="auto"/>
                <w:kern w:val="21"/>
                <w:sz w:val="21"/>
                <w:szCs w:val="21"/>
                <w:highlight w:val="none"/>
                <w:lang w:val="en-US" w:eastAsia="zh-CN"/>
              </w:rPr>
              <w:t>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，内置</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eastAsia" w:cs="Times New Roman"/>
                <w:color w:val="auto"/>
                <w:kern w:val="21"/>
                <w:sz w:val="21"/>
                <w:szCs w:val="21"/>
                <w:highlight w:val="none"/>
                <w:lang w:val="en-US" w:eastAsia="zh-CN"/>
              </w:rPr>
              <w:t>。北侧为配电室、休息室，建筑面积100m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；锅炉房内北侧三层为闲置房间100</w:t>
            </w:r>
            <w:r>
              <w:rPr>
                <w:rFonts w:hint="eastAsia" w:cs="Times New Roman"/>
                <w:color w:val="auto"/>
                <w:kern w:val="21"/>
                <w:sz w:val="21"/>
                <w:szCs w:val="21"/>
                <w:highlight w:val="none"/>
                <w:lang w:val="en-US" w:eastAsia="zh-CN"/>
              </w:rPr>
              <w:t>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；锅炉房内北侧四层为上料皮带间，建筑面积</w:t>
            </w:r>
            <w:r>
              <w:rPr>
                <w:rFonts w:hint="eastAsia" w:cs="Times New Roman"/>
                <w:color w:val="auto"/>
                <w:kern w:val="21"/>
                <w:sz w:val="21"/>
                <w:szCs w:val="21"/>
                <w:highlight w:val="none"/>
                <w:lang w:val="en-US" w:eastAsia="zh-CN"/>
              </w:rPr>
              <w:t>160m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；锅炉房内北侧负一层为水泵房，建筑面积</w:t>
            </w:r>
            <w:r>
              <w:rPr>
                <w:rFonts w:hint="eastAsia" w:cs="Times New Roman"/>
                <w:color w:val="auto"/>
                <w:kern w:val="21"/>
                <w:sz w:val="21"/>
                <w:szCs w:val="21"/>
                <w:highlight w:val="none"/>
                <w:lang w:val="en-US" w:eastAsia="zh-CN"/>
              </w:rPr>
              <w:t>60m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w:t>
            </w:r>
            <w:r>
              <w:rPr>
                <w:rFonts w:hint="eastAsia"/>
                <w:color w:val="auto"/>
                <w:highlight w:val="none"/>
                <w:lang w:val="en-US" w:eastAsia="zh-CN"/>
              </w:rPr>
              <w:t>内置1个70t水箱，3台补水泵，1套软化水制备系统。现</w:t>
            </w:r>
            <w:r>
              <w:rPr>
                <w:rFonts w:hint="eastAsia" w:cs="Times New Roman"/>
                <w:color w:val="auto"/>
                <w:kern w:val="21"/>
                <w:sz w:val="21"/>
                <w:szCs w:val="21"/>
                <w:highlight w:val="none"/>
                <w:lang w:val="en-US" w:eastAsia="zh-CN"/>
              </w:rPr>
              <w:t>有工程洗煤一厂锅炉房</w:t>
            </w:r>
            <w:r>
              <w:rPr>
                <w:rFonts w:hint="eastAsia"/>
                <w:color w:val="auto"/>
                <w:highlight w:val="none"/>
                <w:lang w:val="en-US" w:eastAsia="zh-CN"/>
              </w:rPr>
              <w:t>内设</w:t>
            </w:r>
            <w:r>
              <w:rPr>
                <w:rFonts w:hint="eastAsia" w:cs="Times New Roman"/>
                <w:color w:val="auto"/>
                <w:kern w:val="21"/>
                <w:sz w:val="21"/>
                <w:szCs w:val="21"/>
                <w:highlight w:val="none"/>
                <w:lang w:val="en-US" w:eastAsia="zh-CN"/>
              </w:rPr>
              <w:t>4台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w:t>
            </w:r>
            <w:r>
              <w:rPr>
                <w:rFonts w:hint="eastAsia"/>
                <w:color w:val="auto"/>
                <w:highlight w:val="none"/>
                <w:lang w:val="en-US" w:eastAsia="zh-CN"/>
              </w:rPr>
              <w:t>用于</w:t>
            </w:r>
            <w:r>
              <w:rPr>
                <w:rFonts w:hint="default"/>
                <w:color w:val="auto"/>
                <w:highlight w:val="none"/>
                <w:lang w:val="en-US" w:eastAsia="zh-CN"/>
              </w:rPr>
              <w:t>山下工业广场供热及机电科副井热风</w:t>
            </w:r>
            <w:r>
              <w:rPr>
                <w:rFonts w:hint="eastAsia"/>
                <w:color w:val="auto"/>
                <w:highlight w:val="none"/>
                <w:lang w:val="en-US" w:eastAsia="zh-CN"/>
              </w:rPr>
              <w:t>，其中3台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w:t>
            </w:r>
            <w:r>
              <w:rPr>
                <w:rFonts w:hint="eastAsia"/>
                <w:color w:val="auto"/>
                <w:highlight w:val="none"/>
                <w:lang w:val="en-US" w:eastAsia="zh-CN"/>
              </w:rPr>
              <w:t>废气分别通过各自配备的布袋除尘器处理后，共同经60m烟囱排放（DA001），另外1台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w:t>
            </w:r>
            <w:r>
              <w:rPr>
                <w:rFonts w:hint="eastAsia"/>
                <w:color w:val="auto"/>
                <w:highlight w:val="none"/>
                <w:lang w:val="en-US" w:eastAsia="zh-CN"/>
              </w:rPr>
              <w:t>废气通过布袋除尘器处理后，经45m烟囱排放（DA002）。</w:t>
            </w:r>
            <w:r>
              <w:rPr>
                <w:rFonts w:hint="eastAsia"/>
                <w:color w:val="auto"/>
                <w:sz w:val="21"/>
                <w:highlight w:val="none"/>
                <w:lang w:val="en-US" w:eastAsia="zh-CN"/>
              </w:rPr>
              <w:t>锅炉燃料煤矿自产，随时供应。1处露天灰渣暂存场，用于灰渣存储。</w:t>
            </w:r>
          </w:p>
          <w:p w14:paraId="19683EB2">
            <w:pPr>
              <w:keepNext w:val="0"/>
              <w:keepLines w:val="0"/>
              <w:widowControl/>
              <w:suppressLineNumbers w:val="0"/>
              <w:spacing w:before="0" w:beforeAutospacing="0" w:after="0" w:afterAutospacing="0" w:line="360" w:lineRule="auto"/>
              <w:ind w:left="0" w:right="0" w:firstLine="420" w:firstLineChars="200"/>
              <w:jc w:val="left"/>
              <w:rPr>
                <w:rFonts w:hint="default"/>
                <w:color w:val="auto"/>
                <w:sz w:val="21"/>
                <w:highlight w:val="none"/>
                <w:lang w:val="en-US" w:eastAsia="zh-CN"/>
              </w:rPr>
            </w:pPr>
            <w:r>
              <w:rPr>
                <w:rFonts w:hint="eastAsia"/>
                <w:color w:val="auto"/>
                <w:sz w:val="21"/>
                <w:highlight w:val="none"/>
                <w:lang w:val="en-US" w:eastAsia="zh-CN"/>
              </w:rPr>
              <w:t>东山煤矿现有工程除工业广场</w:t>
            </w:r>
            <w:r>
              <w:rPr>
                <w:rFonts w:hint="eastAsia" w:cs="Times New Roman"/>
                <w:color w:val="auto"/>
                <w:kern w:val="21"/>
                <w:sz w:val="21"/>
                <w:szCs w:val="21"/>
                <w:highlight w:val="none"/>
                <w:vertAlign w:val="baseline"/>
                <w:lang w:val="en-US" w:eastAsia="zh-CN"/>
              </w:rPr>
              <w:t>洗煤一厂锅炉房内</w:t>
            </w:r>
            <w:r>
              <w:rPr>
                <w:rFonts w:hint="eastAsia" w:cs="Times New Roman"/>
                <w:color w:val="auto"/>
                <w:kern w:val="21"/>
                <w:sz w:val="21"/>
                <w:szCs w:val="21"/>
                <w:highlight w:val="none"/>
                <w:lang w:val="en-US" w:eastAsia="zh-CN"/>
              </w:rPr>
              <w:t>4台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燃煤锅炉外，还包括下料井2台</w:t>
            </w:r>
            <w:r>
              <w:rPr>
                <w:rFonts w:hint="eastAsia" w:ascii="Times New Roman" w:hAnsi="Times New Roman" w:cs="Times New Roman"/>
                <w:color w:val="auto"/>
                <w:kern w:val="21"/>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t/h</w:t>
            </w:r>
            <w:r>
              <w:rPr>
                <w:rFonts w:hint="eastAsia" w:cs="Times New Roman"/>
                <w:color w:val="auto"/>
                <w:kern w:val="21"/>
                <w:sz w:val="21"/>
                <w:szCs w:val="21"/>
                <w:highlight w:val="none"/>
                <w:lang w:val="en-US" w:eastAsia="zh-CN"/>
              </w:rPr>
              <w:t>燃煤锅炉（DA005、DA007）及排矸井3台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燃煤锅炉（DA003、DA004、DA006），下料井及排矸井锅炉现状态为断开状态，作为应急锅炉，启用时间不定。</w:t>
            </w:r>
          </w:p>
          <w:p w14:paraId="5522DD6C">
            <w:pPr>
              <w:keepNext w:val="0"/>
              <w:keepLines w:val="0"/>
              <w:numPr>
                <w:ilvl w:val="0"/>
                <w:numId w:val="5"/>
              </w:numPr>
              <w:suppressLineNumbers w:val="0"/>
              <w:shd w:val="clear"/>
              <w:adjustRightInd w:val="0"/>
              <w:spacing w:before="0" w:beforeAutospacing="0" w:after="0" w:afterAutospacing="0" w:line="360" w:lineRule="auto"/>
              <w:ind w:left="0" w:right="0" w:firstLine="422" w:firstLineChars="200"/>
              <w:textAlignment w:val="baseline"/>
              <w:rPr>
                <w:rFonts w:hint="default"/>
                <w:b/>
                <w:bCs/>
                <w:color w:val="auto"/>
                <w:szCs w:val="21"/>
                <w:highlight w:val="none"/>
              </w:rPr>
            </w:pPr>
            <w:r>
              <w:rPr>
                <w:rFonts w:hint="default"/>
                <w:b/>
                <w:bCs/>
                <w:color w:val="auto"/>
                <w:szCs w:val="21"/>
                <w:highlight w:val="none"/>
              </w:rPr>
              <w:t>环评手续及排污许可履行情况</w:t>
            </w:r>
          </w:p>
          <w:p w14:paraId="21615361">
            <w:pPr>
              <w:keepNext w:val="0"/>
              <w:keepLines w:val="0"/>
              <w:suppressLineNumbers w:val="0"/>
              <w:shd w:val="clear"/>
              <w:spacing w:before="0" w:beforeAutospacing="0" w:after="0" w:afterAutospacing="0"/>
              <w:ind w:left="0" w:right="0"/>
              <w:jc w:val="center"/>
              <w:rPr>
                <w:rFonts w:hint="default"/>
                <w:b/>
                <w:bCs/>
                <w:color w:val="auto"/>
                <w:szCs w:val="21"/>
                <w:highlight w:val="none"/>
              </w:rPr>
            </w:pPr>
            <w:r>
              <w:rPr>
                <w:rFonts w:hint="default"/>
                <w:b/>
                <w:bCs/>
                <w:color w:val="auto"/>
                <w:szCs w:val="21"/>
                <w:highlight w:val="none"/>
              </w:rPr>
              <w:t>表2-</w:t>
            </w:r>
            <w:r>
              <w:rPr>
                <w:rFonts w:hint="eastAsia"/>
                <w:b/>
                <w:bCs/>
                <w:color w:val="auto"/>
                <w:szCs w:val="21"/>
                <w:highlight w:val="none"/>
              </w:rPr>
              <w:t>6</w:t>
            </w:r>
            <w:r>
              <w:rPr>
                <w:rFonts w:hint="default"/>
                <w:b/>
                <w:bCs/>
                <w:color w:val="auto"/>
                <w:szCs w:val="21"/>
                <w:highlight w:val="none"/>
              </w:rPr>
              <w:t>环评</w:t>
            </w:r>
            <w:r>
              <w:rPr>
                <w:rFonts w:hint="eastAsia"/>
                <w:b/>
                <w:bCs/>
                <w:color w:val="auto"/>
                <w:szCs w:val="21"/>
                <w:highlight w:val="none"/>
              </w:rPr>
              <w:t>手续</w:t>
            </w:r>
            <w:r>
              <w:rPr>
                <w:rFonts w:hint="default"/>
                <w:b/>
                <w:bCs/>
                <w:color w:val="auto"/>
                <w:szCs w:val="21"/>
                <w:highlight w:val="none"/>
              </w:rPr>
              <w:t>情况</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0"/>
              <w:gridCol w:w="3229"/>
              <w:gridCol w:w="2208"/>
              <w:gridCol w:w="2220"/>
            </w:tblGrid>
            <w:tr w14:paraId="020884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3" w:type="pct"/>
                  <w:vAlign w:val="center"/>
                </w:tcPr>
                <w:p w14:paraId="161EBC1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序号</w:t>
                  </w:r>
                </w:p>
              </w:tc>
              <w:tc>
                <w:tcPr>
                  <w:tcW w:w="1955" w:type="pct"/>
                  <w:vAlign w:val="center"/>
                </w:tcPr>
                <w:p w14:paraId="01FAFD8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项目名称</w:t>
                  </w:r>
                </w:p>
              </w:tc>
              <w:tc>
                <w:tcPr>
                  <w:tcW w:w="1337" w:type="pct"/>
                  <w:vAlign w:val="center"/>
                </w:tcPr>
                <w:p w14:paraId="3978359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审批部门</w:t>
                  </w:r>
                </w:p>
              </w:tc>
              <w:tc>
                <w:tcPr>
                  <w:tcW w:w="1344" w:type="pct"/>
                  <w:vAlign w:val="center"/>
                </w:tcPr>
                <w:p w14:paraId="1A6D116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环评批复</w:t>
                  </w:r>
                </w:p>
              </w:tc>
            </w:tr>
            <w:tr w14:paraId="0AE6DA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3" w:type="pct"/>
                  <w:vAlign w:val="center"/>
                </w:tcPr>
                <w:p w14:paraId="2A5F637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cr/>
                  </w:r>
                  <w:r>
                    <w:rPr>
                      <w:rFonts w:hint="default"/>
                      <w:color w:val="auto"/>
                      <w:sz w:val="18"/>
                      <w:szCs w:val="18"/>
                      <w:highlight w:val="none"/>
                    </w:rPr>
                    <w:t>1</w:t>
                  </w:r>
                </w:p>
              </w:tc>
              <w:tc>
                <w:tcPr>
                  <w:tcW w:w="1955" w:type="pct"/>
                  <w:vAlign w:val="center"/>
                </w:tcPr>
                <w:p w14:paraId="6C2058E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left"/>
                    <w:textAlignment w:val="auto"/>
                    <w:rPr>
                      <w:rFonts w:hint="eastAsia" w:eastAsia="宋体"/>
                      <w:color w:val="auto"/>
                      <w:sz w:val="18"/>
                      <w:szCs w:val="18"/>
                      <w:highlight w:val="none"/>
                      <w:lang w:val="en-US" w:eastAsia="zh-CN"/>
                    </w:rPr>
                  </w:pPr>
                  <w:r>
                    <w:rPr>
                      <w:rFonts w:hint="eastAsia" w:ascii="宋体" w:hAnsi="宋体" w:cs="宋体"/>
                      <w:color w:val="auto"/>
                      <w:kern w:val="0"/>
                      <w:sz w:val="18"/>
                      <w:szCs w:val="18"/>
                      <w:highlight w:val="none"/>
                      <w:lang w:val="en-US" w:eastAsia="zh-CN" w:bidi="ar"/>
                    </w:rPr>
                    <w:t>龙煤集团鸡西分公司东山选煤厂技术改造项目</w:t>
                  </w:r>
                  <w:r>
                    <w:rPr>
                      <w:rFonts w:hint="eastAsia" w:ascii="宋体" w:hAnsi="宋体" w:cs="宋体"/>
                      <w:color w:val="auto"/>
                      <w:kern w:val="0"/>
                      <w:sz w:val="18"/>
                      <w:szCs w:val="18"/>
                      <w:highlight w:val="none"/>
                      <w:lang w:bidi="ar"/>
                    </w:rPr>
                    <w:t>环境影响报告</w:t>
                  </w:r>
                  <w:r>
                    <w:rPr>
                      <w:rFonts w:hint="eastAsia" w:ascii="宋体" w:hAnsi="宋体" w:cs="宋体"/>
                      <w:color w:val="auto"/>
                      <w:kern w:val="0"/>
                      <w:sz w:val="18"/>
                      <w:szCs w:val="18"/>
                      <w:highlight w:val="none"/>
                      <w:lang w:val="en-US" w:eastAsia="zh-CN" w:bidi="ar"/>
                    </w:rPr>
                    <w:t>书</w:t>
                  </w:r>
                </w:p>
              </w:tc>
              <w:tc>
                <w:tcPr>
                  <w:tcW w:w="1337" w:type="pct"/>
                  <w:vAlign w:val="center"/>
                </w:tcPr>
                <w:p w14:paraId="5177BA2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黑龙江省环境保护厅</w:t>
                  </w:r>
                </w:p>
              </w:tc>
              <w:tc>
                <w:tcPr>
                  <w:tcW w:w="1344" w:type="pct"/>
                  <w:vAlign w:val="center"/>
                </w:tcPr>
                <w:p w14:paraId="000FE9E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lang w:val="en-US" w:eastAsia="zh-CN"/>
                    </w:rPr>
                    <w:t>黑</w:t>
                  </w:r>
                  <w:r>
                    <w:rPr>
                      <w:rFonts w:hint="default"/>
                      <w:color w:val="auto"/>
                      <w:sz w:val="18"/>
                      <w:szCs w:val="18"/>
                      <w:highlight w:val="none"/>
                    </w:rPr>
                    <w:t>环</w:t>
                  </w:r>
                  <w:r>
                    <w:rPr>
                      <w:rFonts w:hint="eastAsia"/>
                      <w:color w:val="auto"/>
                      <w:sz w:val="18"/>
                      <w:szCs w:val="18"/>
                      <w:highlight w:val="none"/>
                      <w:lang w:val="en-US" w:eastAsia="zh-CN"/>
                    </w:rPr>
                    <w:t>函</w:t>
                  </w:r>
                  <w:r>
                    <w:rPr>
                      <w:rFonts w:hint="default"/>
                      <w:color w:val="auto"/>
                      <w:sz w:val="18"/>
                      <w:szCs w:val="18"/>
                      <w:highlight w:val="none"/>
                    </w:rPr>
                    <w:t>[20</w:t>
                  </w:r>
                  <w:r>
                    <w:rPr>
                      <w:rFonts w:hint="eastAsia"/>
                      <w:color w:val="auto"/>
                      <w:sz w:val="18"/>
                      <w:szCs w:val="18"/>
                      <w:highlight w:val="none"/>
                      <w:lang w:val="en-US" w:eastAsia="zh-CN"/>
                    </w:rPr>
                    <w:t>08</w:t>
                  </w:r>
                  <w:r>
                    <w:rPr>
                      <w:rFonts w:hint="default"/>
                      <w:color w:val="auto"/>
                      <w:sz w:val="18"/>
                      <w:szCs w:val="18"/>
                      <w:highlight w:val="none"/>
                    </w:rPr>
                    <w:t>]</w:t>
                  </w:r>
                  <w:r>
                    <w:rPr>
                      <w:rFonts w:hint="eastAsia"/>
                      <w:color w:val="auto"/>
                      <w:sz w:val="18"/>
                      <w:szCs w:val="18"/>
                      <w:highlight w:val="none"/>
                      <w:lang w:val="en-US" w:eastAsia="zh-CN"/>
                    </w:rPr>
                    <w:t>417</w:t>
                  </w:r>
                  <w:r>
                    <w:rPr>
                      <w:rFonts w:hint="default"/>
                      <w:color w:val="auto"/>
                      <w:sz w:val="18"/>
                      <w:szCs w:val="18"/>
                      <w:highlight w:val="none"/>
                    </w:rPr>
                    <w:t>号</w:t>
                  </w:r>
                </w:p>
              </w:tc>
            </w:tr>
            <w:tr w14:paraId="49DC3F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3" w:type="pct"/>
                  <w:vAlign w:val="center"/>
                </w:tcPr>
                <w:p w14:paraId="3FC13BC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2</w:t>
                  </w:r>
                </w:p>
              </w:tc>
              <w:tc>
                <w:tcPr>
                  <w:tcW w:w="1955" w:type="pct"/>
                  <w:vAlign w:val="center"/>
                </w:tcPr>
                <w:p w14:paraId="6DEE7D3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left"/>
                    <w:textAlignment w:val="auto"/>
                    <w:rPr>
                      <w:rFonts w:hint="default" w:ascii="宋体" w:hAnsi="宋体" w:cs="宋体"/>
                      <w:color w:val="auto"/>
                      <w:kern w:val="0"/>
                      <w:sz w:val="18"/>
                      <w:szCs w:val="18"/>
                      <w:highlight w:val="none"/>
                      <w:lang w:val="en-US" w:eastAsia="zh-CN" w:bidi="ar"/>
                    </w:rPr>
                  </w:pPr>
                  <w:r>
                    <w:rPr>
                      <w:rFonts w:hint="eastAsia" w:ascii="宋体" w:hAnsi="宋体" w:cs="宋体"/>
                      <w:color w:val="auto"/>
                      <w:kern w:val="0"/>
                      <w:sz w:val="18"/>
                      <w:szCs w:val="18"/>
                      <w:highlight w:val="none"/>
                      <w:lang w:val="en-US" w:eastAsia="zh-CN" w:bidi="ar"/>
                    </w:rPr>
                    <w:t>龙梅股份公司鸡西分公司东山煤矿矿井水处理工程</w:t>
                  </w:r>
                  <w:r>
                    <w:rPr>
                      <w:rFonts w:hint="eastAsia" w:ascii="宋体" w:hAnsi="宋体" w:cs="宋体"/>
                      <w:color w:val="auto"/>
                      <w:kern w:val="0"/>
                      <w:sz w:val="18"/>
                      <w:szCs w:val="18"/>
                      <w:highlight w:val="none"/>
                      <w:lang w:bidi="ar"/>
                    </w:rPr>
                    <w:t>环境影响报告</w:t>
                  </w:r>
                  <w:r>
                    <w:rPr>
                      <w:rFonts w:hint="eastAsia" w:ascii="宋体" w:hAnsi="宋体" w:cs="宋体"/>
                      <w:color w:val="auto"/>
                      <w:kern w:val="0"/>
                      <w:sz w:val="18"/>
                      <w:szCs w:val="18"/>
                      <w:highlight w:val="none"/>
                      <w:lang w:val="en-US" w:eastAsia="zh-CN" w:bidi="ar"/>
                    </w:rPr>
                    <w:t>书</w:t>
                  </w:r>
                </w:p>
              </w:tc>
              <w:tc>
                <w:tcPr>
                  <w:tcW w:w="1337" w:type="pct"/>
                  <w:vAlign w:val="center"/>
                </w:tcPr>
                <w:p w14:paraId="2B5B81E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鸡西市环境保护局</w:t>
                  </w:r>
                </w:p>
              </w:tc>
              <w:tc>
                <w:tcPr>
                  <w:tcW w:w="1344" w:type="pct"/>
                  <w:vAlign w:val="center"/>
                </w:tcPr>
                <w:p w14:paraId="3D15C40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鸡环建函</w:t>
                  </w:r>
                  <w:r>
                    <w:rPr>
                      <w:rFonts w:hint="default"/>
                      <w:color w:val="auto"/>
                      <w:sz w:val="18"/>
                      <w:szCs w:val="18"/>
                      <w:highlight w:val="none"/>
                    </w:rPr>
                    <w:t>[20</w:t>
                  </w:r>
                  <w:r>
                    <w:rPr>
                      <w:rFonts w:hint="eastAsia"/>
                      <w:color w:val="auto"/>
                      <w:sz w:val="18"/>
                      <w:szCs w:val="18"/>
                      <w:highlight w:val="none"/>
                      <w:lang w:val="en-US" w:eastAsia="zh-CN"/>
                    </w:rPr>
                    <w:t>09</w:t>
                  </w:r>
                  <w:r>
                    <w:rPr>
                      <w:rFonts w:hint="default"/>
                      <w:color w:val="auto"/>
                      <w:sz w:val="18"/>
                      <w:szCs w:val="18"/>
                      <w:highlight w:val="none"/>
                    </w:rPr>
                    <w:t>]</w:t>
                  </w:r>
                  <w:r>
                    <w:rPr>
                      <w:rFonts w:hint="eastAsia"/>
                      <w:color w:val="auto"/>
                      <w:sz w:val="18"/>
                      <w:szCs w:val="18"/>
                      <w:highlight w:val="none"/>
                      <w:lang w:val="en-US" w:eastAsia="zh-CN"/>
                    </w:rPr>
                    <w:t>77</w:t>
                  </w:r>
                  <w:r>
                    <w:rPr>
                      <w:rFonts w:hint="default"/>
                      <w:color w:val="auto"/>
                      <w:sz w:val="18"/>
                      <w:szCs w:val="18"/>
                      <w:highlight w:val="none"/>
                    </w:rPr>
                    <w:t>号</w:t>
                  </w:r>
                </w:p>
              </w:tc>
            </w:tr>
          </w:tbl>
          <w:p w14:paraId="78113A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现有工程</w:t>
            </w:r>
            <w:r>
              <w:rPr>
                <w:rFonts w:hint="default" w:ascii="Times New Roman" w:hAnsi="Times New Roman" w:eastAsia="宋体" w:cs="Times New Roman"/>
                <w:color w:val="auto"/>
                <w:sz w:val="21"/>
                <w:szCs w:val="21"/>
                <w:highlight w:val="none"/>
              </w:rPr>
              <w:t>企业排污许可证编号为：</w:t>
            </w:r>
            <w:r>
              <w:rPr>
                <w:rFonts w:hint="default" w:ascii="Times New Roman" w:hAnsi="Times New Roman" w:eastAsia="宋体" w:cs="Times New Roman"/>
                <w:i w:val="0"/>
                <w:iCs w:val="0"/>
                <w:caps w:val="0"/>
                <w:color w:val="auto"/>
                <w:spacing w:val="0"/>
                <w:sz w:val="21"/>
                <w:szCs w:val="21"/>
                <w:highlight w:val="none"/>
                <w:shd w:val="clear" w:fill="FFFFFF"/>
              </w:rPr>
              <w:t>91230300777869661M013Q</w:t>
            </w:r>
            <w:r>
              <w:rPr>
                <w:rFonts w:hint="default" w:ascii="Times New Roman" w:hAnsi="Times New Roman" w:eastAsia="宋体" w:cs="Times New Roman"/>
                <w:color w:val="auto"/>
                <w:kern w:val="0"/>
                <w:sz w:val="21"/>
                <w:szCs w:val="21"/>
                <w:highlight w:val="none"/>
                <w:lang w:val="en-US" w:eastAsia="zh-CN" w:bidi="ar"/>
              </w:rPr>
              <w:t>，有效期限自2023年8月1</w:t>
            </w:r>
            <w:r>
              <w:rPr>
                <w:rFonts w:hint="eastAsia" w:cs="Times New Roman"/>
                <w:color w:val="auto"/>
                <w:kern w:val="0"/>
                <w:sz w:val="21"/>
                <w:szCs w:val="21"/>
                <w:highlight w:val="none"/>
                <w:lang w:val="en-US" w:eastAsia="zh-CN" w:bidi="ar"/>
              </w:rPr>
              <w:t>9</w:t>
            </w:r>
            <w:r>
              <w:rPr>
                <w:rFonts w:hint="default" w:ascii="Times New Roman" w:hAnsi="Times New Roman" w:eastAsia="宋体" w:cs="Times New Roman"/>
                <w:color w:val="auto"/>
                <w:kern w:val="0"/>
                <w:sz w:val="21"/>
                <w:szCs w:val="21"/>
                <w:highlight w:val="none"/>
                <w:lang w:val="en-US" w:eastAsia="zh-CN" w:bidi="ar"/>
              </w:rPr>
              <w:t>日至2028年8月1</w:t>
            </w:r>
            <w:r>
              <w:rPr>
                <w:rFonts w:hint="eastAsia" w:cs="Times New Roman"/>
                <w:color w:val="auto"/>
                <w:kern w:val="0"/>
                <w:sz w:val="21"/>
                <w:szCs w:val="21"/>
                <w:highlight w:val="none"/>
                <w:lang w:val="en-US" w:eastAsia="zh-CN" w:bidi="ar"/>
              </w:rPr>
              <w:t>8</w:t>
            </w:r>
            <w:r>
              <w:rPr>
                <w:rFonts w:hint="default" w:ascii="Times New Roman" w:hAnsi="Times New Roman" w:eastAsia="宋体" w:cs="Times New Roman"/>
                <w:color w:val="auto"/>
                <w:kern w:val="0"/>
                <w:sz w:val="21"/>
                <w:szCs w:val="21"/>
                <w:highlight w:val="none"/>
                <w:lang w:val="en-US" w:eastAsia="zh-CN" w:bidi="ar"/>
              </w:rPr>
              <w:t>日止</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lang w:val="en-US" w:eastAsia="zh-CN"/>
              </w:rPr>
              <w:t>本次项目投产运行前，应及时变更排污许可证。企业已填报执行年报。</w:t>
            </w:r>
          </w:p>
          <w:p w14:paraId="04217BC8">
            <w:pPr>
              <w:keepNext w:val="0"/>
              <w:keepLines w:val="0"/>
              <w:widowControl/>
              <w:suppressLineNumbers w:val="0"/>
              <w:autoSpaceDE/>
              <w:autoSpaceDN/>
              <w:spacing w:before="0" w:beforeAutospacing="0" w:after="0" w:afterAutospacing="0" w:line="360" w:lineRule="auto"/>
              <w:ind w:left="0" w:right="0" w:firstLine="422" w:firstLineChars="200"/>
              <w:rPr>
                <w:rFonts w:hint="eastAsia"/>
                <w:b/>
                <w:bCs/>
                <w:color w:val="auto"/>
                <w:szCs w:val="21"/>
                <w:highlight w:val="none"/>
              </w:rPr>
            </w:pPr>
            <w:r>
              <w:rPr>
                <w:rFonts w:hint="eastAsia" w:ascii="Times New Roman" w:hAnsi="Times New Roman" w:cs="Times New Roman"/>
                <w:b/>
                <w:bCs/>
                <w:color w:val="auto"/>
                <w:sz w:val="21"/>
                <w:szCs w:val="21"/>
                <w:highlight w:val="none"/>
                <w:lang w:val="en-US" w:eastAsia="zh-CN"/>
              </w:rPr>
              <w:t>2、</w:t>
            </w:r>
            <w:r>
              <w:rPr>
                <w:rFonts w:hint="eastAsia"/>
                <w:b/>
                <w:bCs/>
                <w:color w:val="auto"/>
                <w:szCs w:val="21"/>
                <w:highlight w:val="none"/>
              </w:rPr>
              <w:t>现有项目污染情况</w:t>
            </w:r>
          </w:p>
          <w:p w14:paraId="46145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color w:val="auto"/>
                <w:sz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r>
              <w:rPr>
                <w:rFonts w:hint="eastAsia" w:cs="Times New Roman"/>
                <w:color w:val="auto"/>
                <w:sz w:val="21"/>
                <w:szCs w:val="21"/>
                <w:highlight w:val="none"/>
                <w:lang w:val="en-US" w:eastAsia="zh-CN"/>
              </w:rPr>
              <w:t>现有工程</w:t>
            </w:r>
            <w:r>
              <w:rPr>
                <w:rFonts w:hint="eastAsia" w:cs="Times New Roman"/>
                <w:bCs/>
                <w:color w:val="auto"/>
                <w:sz w:val="21"/>
                <w:szCs w:val="21"/>
                <w:highlight w:val="none"/>
                <w:lang w:val="en-US" w:eastAsia="zh-CN"/>
              </w:rPr>
              <w:t>洗煤一厂锅炉房</w:t>
            </w:r>
            <w:r>
              <w:rPr>
                <w:rFonts w:hint="eastAsia"/>
                <w:color w:val="auto"/>
                <w:highlight w:val="none"/>
                <w:lang w:val="en-US" w:eastAsia="zh-CN"/>
              </w:rPr>
              <w:t>3台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w:t>
            </w:r>
            <w:r>
              <w:rPr>
                <w:rFonts w:hint="eastAsia"/>
                <w:color w:val="auto"/>
                <w:highlight w:val="none"/>
                <w:lang w:val="en-US" w:eastAsia="zh-CN"/>
              </w:rPr>
              <w:t>废气分别通过各自配备的布袋除尘器处理后，共同经60m烟囱排放（DA001），另外1台</w:t>
            </w:r>
            <w:r>
              <w:rPr>
                <w:rFonts w:hint="default" w:ascii="Times New Roman" w:hAnsi="Times New Roman" w:eastAsia="宋体" w:cs="Times New Roman"/>
                <w:color w:val="auto"/>
                <w:kern w:val="21"/>
                <w:sz w:val="21"/>
                <w:szCs w:val="21"/>
                <w:highlight w:val="none"/>
                <w:lang w:val="en-US" w:eastAsia="zh-CN"/>
              </w:rPr>
              <w:t>10t/h</w:t>
            </w:r>
            <w:r>
              <w:rPr>
                <w:rFonts w:hint="eastAsia" w:cs="Times New Roman"/>
                <w:color w:val="auto"/>
                <w:kern w:val="21"/>
                <w:sz w:val="21"/>
                <w:szCs w:val="21"/>
                <w:highlight w:val="none"/>
                <w:lang w:val="en-US" w:eastAsia="zh-CN"/>
              </w:rPr>
              <w:t>燃煤锅炉</w:t>
            </w:r>
            <w:r>
              <w:rPr>
                <w:rFonts w:hint="eastAsia"/>
                <w:color w:val="auto"/>
                <w:highlight w:val="none"/>
                <w:lang w:val="en-US" w:eastAsia="zh-CN"/>
              </w:rPr>
              <w:t>废气通过布袋除尘器处理后，经45m烟囱排放（DA002）</w:t>
            </w:r>
            <w:r>
              <w:rPr>
                <w:rFonts w:hint="eastAsia"/>
                <w:color w:val="auto"/>
                <w:sz w:val="21"/>
                <w:highlight w:val="none"/>
                <w:lang w:val="en-US" w:eastAsia="zh-CN"/>
              </w:rPr>
              <w:t>。灰渣暂存于灰渣暂存场，洒水降尘，定期及时清运，不在厂内长时间暂存。</w:t>
            </w:r>
          </w:p>
          <w:p w14:paraId="25EDAF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bCs/>
                <w:color w:val="auto"/>
                <w:sz w:val="21"/>
                <w:szCs w:val="21"/>
                <w:highlight w:val="none"/>
              </w:rPr>
            </w:pPr>
            <w:r>
              <w:rPr>
                <w:rFonts w:hint="eastAsia"/>
                <w:color w:val="auto"/>
                <w:sz w:val="21"/>
                <w:highlight w:val="none"/>
                <w:lang w:val="en-US" w:eastAsia="zh-CN"/>
              </w:rPr>
              <w:t>根据现有工程2024年1月检测报告（正常工况下）可知，</w:t>
            </w:r>
            <w:r>
              <w:rPr>
                <w:rFonts w:hint="eastAsia" w:cs="Times New Roman"/>
                <w:bCs/>
                <w:color w:val="auto"/>
                <w:sz w:val="21"/>
                <w:szCs w:val="21"/>
                <w:highlight w:val="none"/>
                <w:lang w:val="en-US" w:eastAsia="zh-CN"/>
              </w:rPr>
              <w:t>洗煤一厂锅炉房</w:t>
            </w:r>
            <w:r>
              <w:rPr>
                <w:rFonts w:hint="eastAsia"/>
                <w:color w:val="auto"/>
                <w:sz w:val="21"/>
                <w:highlight w:val="none"/>
                <w:lang w:val="en-US" w:eastAsia="zh-CN"/>
              </w:rPr>
              <w:t>DA001烟囱</w:t>
            </w:r>
            <w:r>
              <w:rPr>
                <w:rFonts w:hint="default"/>
                <w:color w:val="auto"/>
                <w:szCs w:val="21"/>
                <w:highlight w:val="none"/>
              </w:rPr>
              <w:t>有组织废气颗粒物</w:t>
            </w:r>
            <w:r>
              <w:rPr>
                <w:rFonts w:hint="eastAsia"/>
                <w:color w:val="auto"/>
                <w:szCs w:val="21"/>
                <w:highlight w:val="none"/>
              </w:rPr>
              <w:t>排放</w:t>
            </w:r>
            <w:r>
              <w:rPr>
                <w:rFonts w:hint="default"/>
                <w:color w:val="auto"/>
                <w:szCs w:val="21"/>
                <w:highlight w:val="none"/>
              </w:rPr>
              <w:t>浓度</w:t>
            </w:r>
            <w:r>
              <w:rPr>
                <w:rFonts w:hint="eastAsia"/>
                <w:color w:val="auto"/>
                <w:szCs w:val="21"/>
                <w:highlight w:val="none"/>
                <w:lang w:val="en-US" w:eastAsia="zh-CN"/>
              </w:rPr>
              <w:t>最大值</w:t>
            </w:r>
            <w:r>
              <w:rPr>
                <w:rFonts w:hint="default"/>
                <w:color w:val="auto"/>
                <w:szCs w:val="21"/>
                <w:highlight w:val="none"/>
              </w:rPr>
              <w:t>为</w:t>
            </w:r>
            <w:r>
              <w:rPr>
                <w:rFonts w:hint="eastAsia"/>
                <w:color w:val="auto"/>
                <w:szCs w:val="21"/>
                <w:highlight w:val="none"/>
                <w:lang w:val="en-US" w:eastAsia="zh-CN"/>
              </w:rPr>
              <w:t>41</w:t>
            </w:r>
            <w:r>
              <w:rPr>
                <w:rFonts w:hint="default"/>
                <w:color w:val="auto"/>
                <w:szCs w:val="21"/>
                <w:highlight w:val="none"/>
              </w:rPr>
              <w:t>mg/m</w:t>
            </w:r>
            <w:r>
              <w:rPr>
                <w:rFonts w:hint="eastAsia"/>
                <w:color w:val="auto"/>
                <w:szCs w:val="21"/>
                <w:highlight w:val="none"/>
                <w:vertAlign w:val="superscript"/>
              </w:rPr>
              <w:t>3</w:t>
            </w:r>
            <w:r>
              <w:rPr>
                <w:rFonts w:hint="eastAsia"/>
                <w:color w:val="auto"/>
                <w:szCs w:val="21"/>
                <w:highlight w:val="none"/>
              </w:rPr>
              <w:t>，</w:t>
            </w:r>
            <w:r>
              <w:rPr>
                <w:rFonts w:hint="default"/>
                <w:color w:val="auto"/>
                <w:szCs w:val="21"/>
                <w:highlight w:val="none"/>
              </w:rPr>
              <w:t>二氧化硫</w:t>
            </w:r>
            <w:r>
              <w:rPr>
                <w:rFonts w:hint="eastAsia"/>
                <w:color w:val="auto"/>
                <w:szCs w:val="21"/>
                <w:highlight w:val="none"/>
              </w:rPr>
              <w:t>排放</w:t>
            </w:r>
            <w:r>
              <w:rPr>
                <w:rFonts w:hint="default"/>
                <w:color w:val="auto"/>
                <w:szCs w:val="21"/>
                <w:highlight w:val="none"/>
              </w:rPr>
              <w:t>浓度</w:t>
            </w:r>
            <w:r>
              <w:rPr>
                <w:rFonts w:hint="eastAsia"/>
                <w:color w:val="auto"/>
                <w:szCs w:val="21"/>
                <w:highlight w:val="none"/>
                <w:lang w:val="en-US" w:eastAsia="zh-CN"/>
              </w:rPr>
              <w:t>最大值</w:t>
            </w:r>
            <w:r>
              <w:rPr>
                <w:rFonts w:hint="default"/>
                <w:color w:val="auto"/>
                <w:szCs w:val="21"/>
                <w:highlight w:val="none"/>
              </w:rPr>
              <w:t>为</w:t>
            </w:r>
            <w:r>
              <w:rPr>
                <w:rFonts w:hint="eastAsia"/>
                <w:color w:val="auto"/>
                <w:szCs w:val="21"/>
                <w:highlight w:val="none"/>
                <w:lang w:val="en-US" w:eastAsia="zh-CN"/>
              </w:rPr>
              <w:t>191</w:t>
            </w:r>
            <w:r>
              <w:rPr>
                <w:rFonts w:hint="default"/>
                <w:color w:val="auto"/>
                <w:szCs w:val="21"/>
                <w:highlight w:val="none"/>
              </w:rPr>
              <w:t>mg/m</w:t>
            </w:r>
            <w:r>
              <w:rPr>
                <w:rFonts w:hint="eastAsia"/>
                <w:color w:val="auto"/>
                <w:szCs w:val="21"/>
                <w:highlight w:val="none"/>
                <w:vertAlign w:val="superscript"/>
              </w:rPr>
              <w:t>3</w:t>
            </w:r>
            <w:r>
              <w:rPr>
                <w:rFonts w:hint="eastAsia"/>
                <w:color w:val="auto"/>
                <w:szCs w:val="21"/>
                <w:highlight w:val="none"/>
              </w:rPr>
              <w:t>，</w:t>
            </w:r>
            <w:r>
              <w:rPr>
                <w:rFonts w:hint="default"/>
                <w:color w:val="auto"/>
                <w:szCs w:val="21"/>
                <w:highlight w:val="none"/>
              </w:rPr>
              <w:t xml:space="preserve"> 氮氧化物</w:t>
            </w:r>
            <w:r>
              <w:rPr>
                <w:rFonts w:hint="eastAsia"/>
                <w:color w:val="auto"/>
                <w:szCs w:val="21"/>
                <w:highlight w:val="none"/>
              </w:rPr>
              <w:t>排放</w:t>
            </w:r>
            <w:r>
              <w:rPr>
                <w:rFonts w:hint="default"/>
                <w:color w:val="auto"/>
                <w:szCs w:val="21"/>
                <w:highlight w:val="none"/>
              </w:rPr>
              <w:t>浓度</w:t>
            </w:r>
            <w:r>
              <w:rPr>
                <w:rFonts w:hint="eastAsia"/>
                <w:color w:val="auto"/>
                <w:szCs w:val="21"/>
                <w:highlight w:val="none"/>
                <w:lang w:val="en-US" w:eastAsia="zh-CN"/>
              </w:rPr>
              <w:t>最大值</w:t>
            </w:r>
            <w:r>
              <w:rPr>
                <w:rFonts w:hint="default"/>
                <w:color w:val="auto"/>
                <w:szCs w:val="21"/>
                <w:highlight w:val="none"/>
              </w:rPr>
              <w:t>为</w:t>
            </w:r>
            <w:r>
              <w:rPr>
                <w:rFonts w:hint="eastAsia"/>
                <w:color w:val="auto"/>
                <w:szCs w:val="21"/>
                <w:highlight w:val="none"/>
                <w:lang w:val="en-US" w:eastAsia="zh-CN"/>
              </w:rPr>
              <w:t>243</w:t>
            </w:r>
            <w:r>
              <w:rPr>
                <w:rFonts w:hint="default"/>
                <w:color w:val="auto"/>
                <w:szCs w:val="21"/>
                <w:highlight w:val="none"/>
              </w:rPr>
              <w:t>mg/m</w:t>
            </w:r>
            <w:r>
              <w:rPr>
                <w:rFonts w:hint="eastAsia"/>
                <w:color w:val="auto"/>
                <w:szCs w:val="21"/>
                <w:highlight w:val="none"/>
                <w:vertAlign w:val="superscript"/>
              </w:rPr>
              <w:t>3</w:t>
            </w:r>
            <w:r>
              <w:rPr>
                <w:rFonts w:hint="eastAsia"/>
                <w:color w:val="auto"/>
                <w:szCs w:val="21"/>
                <w:highlight w:val="none"/>
              </w:rPr>
              <w:t>，汞排放</w:t>
            </w:r>
            <w:r>
              <w:rPr>
                <w:rFonts w:hint="default"/>
                <w:color w:val="auto"/>
                <w:szCs w:val="21"/>
                <w:highlight w:val="none"/>
              </w:rPr>
              <w:t>浓度为</w:t>
            </w:r>
            <w:r>
              <w:rPr>
                <w:rFonts w:hint="eastAsia"/>
                <w:color w:val="auto"/>
                <w:szCs w:val="21"/>
                <w:highlight w:val="none"/>
              </w:rPr>
              <w:t>＜0.00</w:t>
            </w:r>
            <w:r>
              <w:rPr>
                <w:rFonts w:hint="eastAsia"/>
                <w:color w:val="auto"/>
                <w:szCs w:val="21"/>
                <w:highlight w:val="none"/>
                <w:lang w:val="en-US" w:eastAsia="zh-CN"/>
              </w:rPr>
              <w:t>5</w:t>
            </w:r>
            <w:r>
              <w:rPr>
                <w:rFonts w:hint="default"/>
                <w:color w:val="auto"/>
                <w:szCs w:val="21"/>
                <w:highlight w:val="none"/>
              </w:rPr>
              <w:t>mg/m</w:t>
            </w:r>
            <w:r>
              <w:rPr>
                <w:rFonts w:hint="eastAsia"/>
                <w:color w:val="auto"/>
                <w:szCs w:val="21"/>
                <w:highlight w:val="none"/>
                <w:vertAlign w:val="superscript"/>
              </w:rPr>
              <w:t>3</w:t>
            </w:r>
            <w:r>
              <w:rPr>
                <w:rFonts w:hint="eastAsia"/>
                <w:color w:val="auto"/>
                <w:szCs w:val="21"/>
                <w:highlight w:val="none"/>
              </w:rPr>
              <w:t>，烟气黑度（级）＜1</w:t>
            </w:r>
            <w:r>
              <w:rPr>
                <w:rFonts w:hint="eastAsia"/>
                <w:color w:val="auto"/>
                <w:szCs w:val="21"/>
                <w:highlight w:val="none"/>
                <w:lang w:eastAsia="zh-CN"/>
              </w:rPr>
              <w:t>；</w:t>
            </w:r>
            <w:r>
              <w:rPr>
                <w:rFonts w:hint="eastAsia"/>
                <w:color w:val="auto"/>
                <w:szCs w:val="21"/>
                <w:highlight w:val="none"/>
                <w:lang w:val="en-US" w:eastAsia="zh-CN"/>
              </w:rPr>
              <w:t>DA002</w:t>
            </w:r>
            <w:r>
              <w:rPr>
                <w:rFonts w:hint="default"/>
                <w:color w:val="auto"/>
                <w:szCs w:val="21"/>
                <w:highlight w:val="none"/>
              </w:rPr>
              <w:t>有组织废气颗粒物</w:t>
            </w:r>
            <w:r>
              <w:rPr>
                <w:rFonts w:hint="eastAsia"/>
                <w:color w:val="auto"/>
                <w:szCs w:val="21"/>
                <w:highlight w:val="none"/>
              </w:rPr>
              <w:t>排放</w:t>
            </w:r>
            <w:r>
              <w:rPr>
                <w:rFonts w:hint="default"/>
                <w:color w:val="auto"/>
                <w:szCs w:val="21"/>
                <w:highlight w:val="none"/>
              </w:rPr>
              <w:t>浓度</w:t>
            </w:r>
            <w:r>
              <w:rPr>
                <w:rFonts w:hint="eastAsia"/>
                <w:color w:val="auto"/>
                <w:szCs w:val="21"/>
                <w:highlight w:val="none"/>
                <w:lang w:val="en-US" w:eastAsia="zh-CN"/>
              </w:rPr>
              <w:t>最大值</w:t>
            </w:r>
            <w:r>
              <w:rPr>
                <w:rFonts w:hint="default"/>
                <w:color w:val="auto"/>
                <w:szCs w:val="21"/>
                <w:highlight w:val="none"/>
              </w:rPr>
              <w:t>为</w:t>
            </w:r>
            <w:r>
              <w:rPr>
                <w:rFonts w:hint="eastAsia"/>
                <w:color w:val="auto"/>
                <w:szCs w:val="21"/>
                <w:highlight w:val="none"/>
                <w:lang w:val="en-US" w:eastAsia="zh-CN"/>
              </w:rPr>
              <w:t>45</w:t>
            </w:r>
            <w:r>
              <w:rPr>
                <w:rFonts w:hint="default"/>
                <w:color w:val="auto"/>
                <w:szCs w:val="21"/>
                <w:highlight w:val="none"/>
              </w:rPr>
              <w:t>mg/m</w:t>
            </w:r>
            <w:r>
              <w:rPr>
                <w:rFonts w:hint="eastAsia"/>
                <w:color w:val="auto"/>
                <w:szCs w:val="21"/>
                <w:highlight w:val="none"/>
                <w:vertAlign w:val="superscript"/>
              </w:rPr>
              <w:t>3</w:t>
            </w:r>
            <w:r>
              <w:rPr>
                <w:rFonts w:hint="eastAsia"/>
                <w:color w:val="auto"/>
                <w:szCs w:val="21"/>
                <w:highlight w:val="none"/>
              </w:rPr>
              <w:t>，</w:t>
            </w:r>
            <w:r>
              <w:rPr>
                <w:rFonts w:hint="default"/>
                <w:color w:val="auto"/>
                <w:szCs w:val="21"/>
                <w:highlight w:val="none"/>
              </w:rPr>
              <w:t>二氧化硫</w:t>
            </w:r>
            <w:r>
              <w:rPr>
                <w:rFonts w:hint="eastAsia"/>
                <w:color w:val="auto"/>
                <w:szCs w:val="21"/>
                <w:highlight w:val="none"/>
              </w:rPr>
              <w:t>排放</w:t>
            </w:r>
            <w:r>
              <w:rPr>
                <w:rFonts w:hint="default"/>
                <w:color w:val="auto"/>
                <w:szCs w:val="21"/>
                <w:highlight w:val="none"/>
              </w:rPr>
              <w:t>浓度</w:t>
            </w:r>
            <w:r>
              <w:rPr>
                <w:rFonts w:hint="eastAsia"/>
                <w:color w:val="auto"/>
                <w:szCs w:val="21"/>
                <w:highlight w:val="none"/>
                <w:lang w:val="en-US" w:eastAsia="zh-CN"/>
              </w:rPr>
              <w:t>最大值</w:t>
            </w:r>
            <w:r>
              <w:rPr>
                <w:rFonts w:hint="default"/>
                <w:color w:val="auto"/>
                <w:szCs w:val="21"/>
                <w:highlight w:val="none"/>
              </w:rPr>
              <w:t>为</w:t>
            </w:r>
            <w:r>
              <w:rPr>
                <w:rFonts w:hint="eastAsia"/>
                <w:color w:val="auto"/>
                <w:szCs w:val="21"/>
                <w:highlight w:val="none"/>
                <w:lang w:val="en-US" w:eastAsia="zh-CN"/>
              </w:rPr>
              <w:t>212</w:t>
            </w:r>
            <w:r>
              <w:rPr>
                <w:rFonts w:hint="default"/>
                <w:color w:val="auto"/>
                <w:szCs w:val="21"/>
                <w:highlight w:val="none"/>
              </w:rPr>
              <w:t>mg/m</w:t>
            </w:r>
            <w:r>
              <w:rPr>
                <w:rFonts w:hint="eastAsia"/>
                <w:color w:val="auto"/>
                <w:szCs w:val="21"/>
                <w:highlight w:val="none"/>
                <w:vertAlign w:val="superscript"/>
              </w:rPr>
              <w:t>3</w:t>
            </w:r>
            <w:r>
              <w:rPr>
                <w:rFonts w:hint="eastAsia"/>
                <w:color w:val="auto"/>
                <w:szCs w:val="21"/>
                <w:highlight w:val="none"/>
              </w:rPr>
              <w:t>，</w:t>
            </w:r>
            <w:r>
              <w:rPr>
                <w:rFonts w:hint="default"/>
                <w:color w:val="auto"/>
                <w:szCs w:val="21"/>
                <w:highlight w:val="none"/>
              </w:rPr>
              <w:t xml:space="preserve"> 氮氧化物</w:t>
            </w:r>
            <w:r>
              <w:rPr>
                <w:rFonts w:hint="eastAsia"/>
                <w:color w:val="auto"/>
                <w:szCs w:val="21"/>
                <w:highlight w:val="none"/>
              </w:rPr>
              <w:t>排放</w:t>
            </w:r>
            <w:r>
              <w:rPr>
                <w:rFonts w:hint="default"/>
                <w:color w:val="auto"/>
                <w:szCs w:val="21"/>
                <w:highlight w:val="none"/>
              </w:rPr>
              <w:t>浓度</w:t>
            </w:r>
            <w:r>
              <w:rPr>
                <w:rFonts w:hint="eastAsia"/>
                <w:color w:val="auto"/>
                <w:szCs w:val="21"/>
                <w:highlight w:val="none"/>
                <w:lang w:val="en-US" w:eastAsia="zh-CN"/>
              </w:rPr>
              <w:t>最大值</w:t>
            </w:r>
            <w:r>
              <w:rPr>
                <w:rFonts w:hint="default"/>
                <w:color w:val="auto"/>
                <w:szCs w:val="21"/>
                <w:highlight w:val="none"/>
              </w:rPr>
              <w:t>为</w:t>
            </w:r>
            <w:r>
              <w:rPr>
                <w:rFonts w:hint="eastAsia"/>
                <w:color w:val="auto"/>
                <w:szCs w:val="21"/>
                <w:highlight w:val="none"/>
                <w:lang w:val="en-US" w:eastAsia="zh-CN"/>
              </w:rPr>
              <w:t>186</w:t>
            </w:r>
            <w:r>
              <w:rPr>
                <w:rFonts w:hint="default"/>
                <w:color w:val="auto"/>
                <w:szCs w:val="21"/>
                <w:highlight w:val="none"/>
              </w:rPr>
              <w:t>mg/m</w:t>
            </w:r>
            <w:r>
              <w:rPr>
                <w:rFonts w:hint="eastAsia"/>
                <w:color w:val="auto"/>
                <w:szCs w:val="21"/>
                <w:highlight w:val="none"/>
                <w:vertAlign w:val="superscript"/>
              </w:rPr>
              <w:t>3</w:t>
            </w:r>
            <w:r>
              <w:rPr>
                <w:rFonts w:hint="eastAsia"/>
                <w:color w:val="auto"/>
                <w:szCs w:val="21"/>
                <w:highlight w:val="none"/>
              </w:rPr>
              <w:t>，汞排放</w:t>
            </w:r>
            <w:r>
              <w:rPr>
                <w:rFonts w:hint="default"/>
                <w:color w:val="auto"/>
                <w:szCs w:val="21"/>
                <w:highlight w:val="none"/>
              </w:rPr>
              <w:t>浓度为</w:t>
            </w:r>
            <w:r>
              <w:rPr>
                <w:rFonts w:hint="eastAsia"/>
                <w:color w:val="auto"/>
                <w:szCs w:val="21"/>
                <w:highlight w:val="none"/>
              </w:rPr>
              <w:t>＜0.00</w:t>
            </w:r>
            <w:r>
              <w:rPr>
                <w:rFonts w:hint="eastAsia"/>
                <w:color w:val="auto"/>
                <w:szCs w:val="21"/>
                <w:highlight w:val="none"/>
                <w:lang w:val="en-US" w:eastAsia="zh-CN"/>
              </w:rPr>
              <w:t>5</w:t>
            </w:r>
            <w:r>
              <w:rPr>
                <w:rFonts w:hint="default"/>
                <w:color w:val="auto"/>
                <w:szCs w:val="21"/>
                <w:highlight w:val="none"/>
              </w:rPr>
              <w:t>mg/m</w:t>
            </w:r>
            <w:r>
              <w:rPr>
                <w:rFonts w:hint="eastAsia"/>
                <w:color w:val="auto"/>
                <w:szCs w:val="21"/>
                <w:highlight w:val="none"/>
                <w:vertAlign w:val="superscript"/>
              </w:rPr>
              <w:t>3</w:t>
            </w:r>
            <w:r>
              <w:rPr>
                <w:rFonts w:hint="eastAsia"/>
                <w:color w:val="auto"/>
                <w:szCs w:val="21"/>
                <w:highlight w:val="none"/>
              </w:rPr>
              <w:t>，烟气黑度（级）＜1</w:t>
            </w:r>
            <w:r>
              <w:rPr>
                <w:rFonts w:hint="eastAsia"/>
                <w:color w:val="auto"/>
                <w:szCs w:val="21"/>
                <w:highlight w:val="none"/>
                <w:lang w:eastAsia="zh-CN"/>
              </w:rPr>
              <w:t>。</w:t>
            </w:r>
            <w:r>
              <w:rPr>
                <w:rFonts w:hint="eastAsia"/>
                <w:color w:val="auto"/>
                <w:szCs w:val="21"/>
                <w:highlight w:val="none"/>
              </w:rPr>
              <w:t>锅炉废气污染物有组织排放</w:t>
            </w:r>
            <w:r>
              <w:rPr>
                <w:rFonts w:hint="default"/>
                <w:color w:val="auto"/>
                <w:szCs w:val="21"/>
                <w:highlight w:val="none"/>
              </w:rPr>
              <w:t>均符合《锅炉大气污染物排放标准》 (GB13271-2014)表</w:t>
            </w:r>
            <w:r>
              <w:rPr>
                <w:rFonts w:hint="eastAsia"/>
                <w:color w:val="auto"/>
                <w:szCs w:val="21"/>
                <w:highlight w:val="none"/>
                <w:lang w:val="en-US" w:eastAsia="zh-CN"/>
              </w:rPr>
              <w:t>1</w:t>
            </w:r>
            <w:r>
              <w:rPr>
                <w:rFonts w:hint="eastAsia"/>
                <w:color w:val="auto"/>
                <w:szCs w:val="21"/>
                <w:highlight w:val="none"/>
              </w:rPr>
              <w:t>燃煤</w:t>
            </w:r>
            <w:r>
              <w:rPr>
                <w:rFonts w:hint="default"/>
                <w:color w:val="auto"/>
                <w:szCs w:val="21"/>
                <w:highlight w:val="none"/>
              </w:rPr>
              <w:t>锅炉标准限值要求</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Cs/>
                <w:color w:val="auto"/>
                <w:sz w:val="21"/>
                <w:szCs w:val="21"/>
                <w:highlight w:val="none"/>
              </w:rPr>
              <w:t>厂界无组织</w:t>
            </w:r>
            <w:r>
              <w:rPr>
                <w:rFonts w:hint="eastAsia" w:cs="Times New Roman"/>
                <w:bCs/>
                <w:color w:val="auto"/>
                <w:sz w:val="21"/>
                <w:szCs w:val="21"/>
                <w:highlight w:val="none"/>
                <w:lang w:val="en-US" w:eastAsia="zh-CN"/>
              </w:rPr>
              <w:t>颗粒物</w:t>
            </w:r>
            <w:r>
              <w:rPr>
                <w:rFonts w:hint="default" w:ascii="Times New Roman" w:hAnsi="Times New Roman" w:eastAsia="宋体" w:cs="Times New Roman"/>
                <w:bCs/>
                <w:color w:val="auto"/>
                <w:sz w:val="21"/>
                <w:szCs w:val="21"/>
                <w:highlight w:val="none"/>
              </w:rPr>
              <w:t>的浓度最大值为：</w:t>
            </w:r>
            <w:r>
              <w:rPr>
                <w:rFonts w:hint="eastAsia" w:cs="Times New Roman"/>
                <w:bCs/>
                <w:color w:val="auto"/>
                <w:sz w:val="21"/>
                <w:szCs w:val="21"/>
                <w:highlight w:val="none"/>
                <w:lang w:val="en-US" w:eastAsia="zh-CN"/>
              </w:rPr>
              <w:t>0.316</w:t>
            </w:r>
            <w:r>
              <w:rPr>
                <w:rFonts w:hint="default" w:ascii="Times New Roman" w:hAnsi="Times New Roman" w:eastAsia="宋体" w:cs="Times New Roman"/>
                <w:bCs/>
                <w:color w:val="auto"/>
                <w:sz w:val="21"/>
                <w:szCs w:val="21"/>
                <w:highlight w:val="none"/>
              </w:rPr>
              <w:t>mg/m</w:t>
            </w:r>
            <w:r>
              <w:rPr>
                <w:rFonts w:hint="default" w:ascii="Times New Roman" w:hAnsi="Times New Roman" w:eastAsia="宋体" w:cs="Times New Roman"/>
                <w:bCs/>
                <w:color w:val="auto"/>
                <w:sz w:val="21"/>
                <w:szCs w:val="21"/>
                <w:highlight w:val="none"/>
                <w:vertAlign w:val="superscript"/>
              </w:rPr>
              <w:t>3</w:t>
            </w:r>
            <w:r>
              <w:rPr>
                <w:rFonts w:hint="default" w:ascii="Times New Roman" w:hAnsi="Times New Roman" w:eastAsia="宋体" w:cs="Times New Roman"/>
                <w:bCs/>
                <w:color w:val="auto"/>
                <w:sz w:val="21"/>
                <w:szCs w:val="21"/>
                <w:highlight w:val="none"/>
              </w:rPr>
              <w:t>，满足</w:t>
            </w:r>
            <w:r>
              <w:rPr>
                <w:rFonts w:hint="eastAsia" w:ascii="宋体" w:hAnsi="宋体" w:cs="宋体"/>
                <w:color w:val="auto"/>
                <w:kern w:val="0"/>
                <w:sz w:val="21"/>
                <w:szCs w:val="21"/>
                <w:highlight w:val="none"/>
              </w:rPr>
              <w:t>《大气污染物综合排放标准》（</w:t>
            </w:r>
            <w:r>
              <w:rPr>
                <w:rFonts w:hint="default" w:ascii="Times New Roman" w:hAnsi="Times New Roman" w:cs="Times New Roman"/>
                <w:color w:val="auto"/>
                <w:kern w:val="0"/>
                <w:sz w:val="21"/>
                <w:szCs w:val="21"/>
                <w:highlight w:val="none"/>
              </w:rPr>
              <w:t>GB16297-1996</w:t>
            </w:r>
            <w:r>
              <w:rPr>
                <w:rFonts w:hint="eastAsia" w:ascii="宋体" w:hAnsi="宋体" w:cs="宋体"/>
                <w:color w:val="auto"/>
                <w:kern w:val="0"/>
                <w:sz w:val="21"/>
                <w:szCs w:val="21"/>
                <w:highlight w:val="none"/>
              </w:rPr>
              <w:t>）表</w:t>
            </w:r>
            <w:r>
              <w:rPr>
                <w:rFonts w:hint="default" w:ascii="Times New Roman" w:hAnsi="Times New Roman" w:cs="Times New Roman"/>
                <w:color w:val="auto"/>
                <w:kern w:val="0"/>
                <w:sz w:val="21"/>
                <w:szCs w:val="21"/>
                <w:highlight w:val="none"/>
              </w:rPr>
              <w:t>2</w:t>
            </w:r>
            <w:r>
              <w:rPr>
                <w:rFonts w:hint="eastAsia" w:ascii="宋体" w:hAnsi="宋体" w:cs="宋体"/>
                <w:color w:val="auto"/>
                <w:kern w:val="0"/>
                <w:sz w:val="21"/>
                <w:szCs w:val="21"/>
                <w:highlight w:val="none"/>
              </w:rPr>
              <w:t>中</w:t>
            </w:r>
            <w:r>
              <w:rPr>
                <w:rFonts w:hint="default" w:ascii="Times New Roman" w:hAnsi="Times New Roman" w:cs="Times New Roman"/>
                <w:color w:val="auto"/>
                <w:sz w:val="21"/>
                <w:szCs w:val="21"/>
                <w:highlight w:val="none"/>
              </w:rPr>
              <w:t>无组织排放监控浓度限值</w:t>
            </w:r>
            <w:r>
              <w:rPr>
                <w:rFonts w:hint="default" w:ascii="Times New Roman" w:hAnsi="Times New Roman" w:eastAsia="宋体" w:cs="Times New Roman"/>
                <w:bCs/>
                <w:color w:val="auto"/>
                <w:sz w:val="21"/>
                <w:szCs w:val="21"/>
                <w:highlight w:val="none"/>
              </w:rPr>
              <w:t>。</w:t>
            </w:r>
          </w:p>
          <w:p w14:paraId="6A4084D3">
            <w:pPr>
              <w:keepNext w:val="0"/>
              <w:keepLines w:val="0"/>
              <w:widowControl/>
              <w:suppressLineNumbers w:val="0"/>
              <w:autoSpaceDE/>
              <w:autoSpaceDN/>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lang w:val="en-US" w:eastAsia="zh-CN"/>
              </w:rPr>
            </w:pPr>
            <w:r>
              <w:rPr>
                <w:rFonts w:hint="eastAsia" w:cs="Times New Roman"/>
                <w:bCs/>
                <w:color w:val="auto"/>
                <w:sz w:val="21"/>
                <w:szCs w:val="21"/>
                <w:highlight w:val="none"/>
                <w:lang w:val="en-US" w:eastAsia="zh-CN"/>
              </w:rPr>
              <w:t>根据现有工程监测数据计算得出，大气污染物排放量为</w:t>
            </w:r>
            <w:r>
              <w:rPr>
                <w:rFonts w:hint="eastAsia"/>
                <w:bCs/>
                <w:color w:val="auto"/>
                <w:szCs w:val="21"/>
                <w:highlight w:val="none"/>
                <w:lang w:eastAsia="zh-CN"/>
              </w:rPr>
              <w:t>颗粒物：</w:t>
            </w:r>
            <w:r>
              <w:rPr>
                <w:rFonts w:hint="eastAsia"/>
                <w:bCs/>
                <w:color w:val="auto"/>
                <w:szCs w:val="21"/>
                <w:highlight w:val="none"/>
                <w:lang w:val="en-US" w:eastAsia="zh-CN"/>
              </w:rPr>
              <w:t>5.282</w:t>
            </w:r>
            <w:r>
              <w:rPr>
                <w:rFonts w:hint="eastAsia"/>
                <w:bCs/>
                <w:color w:val="auto"/>
                <w:szCs w:val="21"/>
                <w:highlight w:val="none"/>
                <w:lang w:eastAsia="zh-CN"/>
              </w:rPr>
              <w:t>t/a、二氧化硫：</w:t>
            </w:r>
            <w:r>
              <w:rPr>
                <w:rFonts w:hint="eastAsia"/>
                <w:bCs/>
                <w:color w:val="auto"/>
                <w:szCs w:val="21"/>
                <w:highlight w:val="none"/>
                <w:lang w:val="en-US" w:eastAsia="zh-CN"/>
              </w:rPr>
              <w:t>24.764</w:t>
            </w:r>
            <w:r>
              <w:rPr>
                <w:rFonts w:hint="eastAsia"/>
                <w:bCs/>
                <w:color w:val="auto"/>
                <w:szCs w:val="21"/>
                <w:highlight w:val="none"/>
                <w:lang w:eastAsia="zh-CN"/>
              </w:rPr>
              <w:t>t/a、氮氧化物：</w:t>
            </w:r>
            <w:r>
              <w:rPr>
                <w:rFonts w:hint="eastAsia"/>
                <w:bCs/>
                <w:color w:val="auto"/>
                <w:szCs w:val="21"/>
                <w:highlight w:val="none"/>
                <w:lang w:val="en-US" w:eastAsia="zh-CN"/>
              </w:rPr>
              <w:t>28.41</w:t>
            </w:r>
            <w:r>
              <w:rPr>
                <w:rFonts w:hint="eastAsia"/>
                <w:bCs/>
                <w:color w:val="auto"/>
                <w:szCs w:val="21"/>
                <w:highlight w:val="none"/>
                <w:lang w:eastAsia="zh-CN"/>
              </w:rPr>
              <w:t>t/a</w:t>
            </w:r>
            <w:r>
              <w:rPr>
                <w:rFonts w:hint="eastAsia" w:cs="Times New Roman"/>
                <w:color w:val="auto"/>
                <w:sz w:val="21"/>
                <w:szCs w:val="21"/>
                <w:highlight w:val="none"/>
                <w:lang w:val="en-US" w:eastAsia="zh-CN"/>
              </w:rPr>
              <w:t>。</w:t>
            </w:r>
          </w:p>
          <w:p w14:paraId="5CE73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bCs/>
                <w:color w:val="auto"/>
                <w:sz w:val="21"/>
                <w:szCs w:val="21"/>
                <w:highlight w:val="none"/>
                <w:lang w:val="en-US" w:eastAsia="zh-CN"/>
              </w:rPr>
              <w:t>大气污染物许可排放量为</w:t>
            </w:r>
            <w:r>
              <w:rPr>
                <w:rFonts w:hint="eastAsia"/>
                <w:color w:val="auto"/>
                <w:sz w:val="21"/>
                <w:highlight w:val="none"/>
                <w:lang w:val="en-US" w:eastAsia="zh-CN"/>
              </w:rPr>
              <w:t>颗粒物10.122785</w:t>
            </w:r>
            <w:r>
              <w:rPr>
                <w:rFonts w:hint="eastAsia"/>
                <w:bCs/>
                <w:color w:val="auto"/>
                <w:sz w:val="21"/>
                <w:szCs w:val="21"/>
                <w:highlight w:val="none"/>
                <w:lang w:eastAsia="zh-CN"/>
              </w:rPr>
              <w:t>t/a</w:t>
            </w:r>
            <w:r>
              <w:rPr>
                <w:rFonts w:hint="eastAsia"/>
                <w:color w:val="auto"/>
                <w:sz w:val="21"/>
                <w:highlight w:val="none"/>
                <w:lang w:val="en-US" w:eastAsia="zh-CN"/>
              </w:rPr>
              <w:t>，二氧化硫40.491138</w:t>
            </w:r>
            <w:r>
              <w:rPr>
                <w:rFonts w:hint="eastAsia"/>
                <w:bCs/>
                <w:color w:val="auto"/>
                <w:sz w:val="21"/>
                <w:szCs w:val="21"/>
                <w:highlight w:val="none"/>
                <w:lang w:eastAsia="zh-CN"/>
              </w:rPr>
              <w:t>t/a</w:t>
            </w:r>
            <w:r>
              <w:rPr>
                <w:rFonts w:hint="eastAsia"/>
                <w:color w:val="auto"/>
                <w:sz w:val="21"/>
                <w:highlight w:val="none"/>
                <w:lang w:val="en-US" w:eastAsia="zh-CN"/>
              </w:rPr>
              <w:t>，氮氧化物50.613923</w:t>
            </w:r>
            <w:r>
              <w:rPr>
                <w:rFonts w:hint="eastAsia"/>
                <w:bCs/>
                <w:color w:val="auto"/>
                <w:sz w:val="21"/>
                <w:szCs w:val="21"/>
                <w:highlight w:val="none"/>
                <w:lang w:eastAsia="zh-CN"/>
              </w:rPr>
              <w:t>t/a</w:t>
            </w:r>
            <w:r>
              <w:rPr>
                <w:rFonts w:hint="default" w:ascii="Times New Roman" w:hAnsi="Times New Roman" w:cs="Times New Roman"/>
                <w:color w:val="auto"/>
                <w:sz w:val="21"/>
                <w:szCs w:val="21"/>
                <w:highlight w:val="none"/>
              </w:rPr>
              <w:t>。</w:t>
            </w:r>
          </w:p>
          <w:p w14:paraId="06721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废水：</w:t>
            </w:r>
            <w:r>
              <w:rPr>
                <w:rFonts w:hint="eastAsia" w:cs="Times New Roman"/>
                <w:color w:val="auto"/>
                <w:kern w:val="0"/>
                <w:sz w:val="21"/>
                <w:szCs w:val="21"/>
                <w:highlight w:val="none"/>
                <w:lang w:val="en-US" w:eastAsia="zh-CN" w:bidi="ar"/>
              </w:rPr>
              <w:t>锅炉排污水，回用于除渣，不外排。生活污水经</w:t>
            </w:r>
            <w:r>
              <w:rPr>
                <w:rFonts w:hint="eastAsia"/>
                <w:color w:val="auto"/>
                <w:highlight w:val="none"/>
                <w:lang w:val="en-US" w:eastAsia="zh-CN"/>
              </w:rPr>
              <w:t>厂区内污水处理站处理后，回用洗煤，</w:t>
            </w:r>
            <w:r>
              <w:rPr>
                <w:rFonts w:hint="eastAsia" w:cs="Times New Roman"/>
                <w:color w:val="auto"/>
                <w:kern w:val="0"/>
                <w:sz w:val="21"/>
                <w:szCs w:val="21"/>
                <w:highlight w:val="none"/>
                <w:lang w:val="en-US" w:eastAsia="zh-CN" w:bidi="ar"/>
              </w:rPr>
              <w:t>不外排；洗煤废水及清洗车间废水，全部回用，零排放。</w:t>
            </w:r>
          </w:p>
          <w:p w14:paraId="68C39A16">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cs="Times New Roman"/>
                <w:color w:val="auto"/>
                <w:sz w:val="21"/>
                <w:szCs w:val="21"/>
                <w:highlight w:val="none"/>
                <w:lang w:eastAsia="zh-CN"/>
              </w:rPr>
            </w:pPr>
            <w:r>
              <w:rPr>
                <w:rFonts w:hint="eastAsia" w:cs="Times New Roman"/>
                <w:color w:val="auto"/>
                <w:kern w:val="2"/>
                <w:sz w:val="21"/>
                <w:szCs w:val="21"/>
                <w:highlight w:val="none"/>
                <w:lang w:val="en-US" w:eastAsia="zh-CN" w:bidi="ar-SA"/>
              </w:rPr>
              <w:t>噪声：</w:t>
            </w: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选用低噪声设备，基础减振</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隔声等措施，</w:t>
            </w:r>
            <w:r>
              <w:rPr>
                <w:rFonts w:hint="eastAsia" w:ascii="Times New Roman" w:hAnsi="Times New Roman" w:eastAsia="宋体" w:cs="Times New Roman"/>
                <w:bCs/>
                <w:color w:val="auto"/>
                <w:sz w:val="21"/>
                <w:szCs w:val="21"/>
                <w:highlight w:val="none"/>
                <w:lang w:val="en-US" w:eastAsia="zh-CN"/>
              </w:rPr>
              <w:t>符合</w:t>
            </w:r>
            <w:r>
              <w:rPr>
                <w:rFonts w:hint="default" w:ascii="Times New Roman" w:hAnsi="Times New Roman" w:eastAsia="宋体" w:cs="Times New Roman"/>
                <w:bCs/>
                <w:color w:val="auto"/>
                <w:sz w:val="21"/>
                <w:szCs w:val="21"/>
                <w:highlight w:val="none"/>
              </w:rPr>
              <w:t>《工业企业厂界环境噪声排放标准》（GB12348-2008）中的2类标准要求</w:t>
            </w:r>
            <w:r>
              <w:rPr>
                <w:rFonts w:hint="default" w:ascii="Times New Roman" w:hAnsi="Times New Roman" w:cs="Times New Roman"/>
                <w:color w:val="auto"/>
                <w:sz w:val="21"/>
                <w:szCs w:val="21"/>
                <w:highlight w:val="none"/>
                <w:lang w:eastAsia="zh-CN"/>
              </w:rPr>
              <w:t>。</w:t>
            </w:r>
          </w:p>
          <w:p w14:paraId="62F2D7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固废：</w:t>
            </w:r>
            <w:r>
              <w:rPr>
                <w:rFonts w:hint="default" w:ascii="Times New Roman" w:hAnsi="Times New Roman" w:cs="Times New Roman"/>
                <w:bCs/>
                <w:color w:val="auto"/>
                <w:sz w:val="21"/>
                <w:szCs w:val="21"/>
                <w:highlight w:val="none"/>
                <w:lang w:val="en-US" w:eastAsia="zh-CN"/>
              </w:rPr>
              <w:t>锅炉灰渣约为</w:t>
            </w:r>
            <w:r>
              <w:rPr>
                <w:rFonts w:hint="default" w:ascii="Times New Roman" w:hAnsi="Times New Roman" w:cs="Times New Roman"/>
                <w:snapToGrid w:val="0"/>
                <w:color w:val="auto"/>
                <w:kern w:val="21"/>
                <w:sz w:val="21"/>
                <w:szCs w:val="21"/>
                <w:highlight w:val="none"/>
                <w:lang w:val="en-US" w:eastAsia="zh-CN"/>
              </w:rPr>
              <w:t>12731</w:t>
            </w:r>
            <w:r>
              <w:rPr>
                <w:rFonts w:hint="default" w:ascii="Times New Roman" w:hAnsi="Times New Roman" w:eastAsia="宋体" w:cs="Times New Roman"/>
                <w:snapToGrid w:val="0"/>
                <w:color w:val="auto"/>
                <w:kern w:val="21"/>
                <w:sz w:val="21"/>
                <w:szCs w:val="21"/>
                <w:highlight w:val="none"/>
                <w:lang w:val="en-US" w:eastAsia="zh-CN"/>
              </w:rPr>
              <w:t>t/a</w:t>
            </w:r>
            <w:r>
              <w:rPr>
                <w:rFonts w:hint="default" w:ascii="Times New Roman" w:hAnsi="Times New Roman" w:cs="Times New Roman"/>
                <w:bCs/>
                <w:color w:val="auto"/>
                <w:sz w:val="21"/>
                <w:szCs w:val="21"/>
                <w:highlight w:val="none"/>
                <w:lang w:val="en-US" w:eastAsia="zh-CN"/>
              </w:rPr>
              <w:t>，用于铺路；生活垃圾，由市政环卫部门统一收集处理；</w:t>
            </w:r>
            <w:r>
              <w:rPr>
                <w:rFonts w:hint="default" w:ascii="Times New Roman" w:hAnsi="Times New Roman" w:eastAsia="宋体" w:cs="Times New Roman"/>
                <w:color w:val="auto"/>
                <w:spacing w:val="12"/>
                <w:sz w:val="21"/>
                <w:szCs w:val="21"/>
                <w:highlight w:val="none"/>
              </w:rPr>
              <w:t>矸石产生量为99.552万</w:t>
            </w:r>
            <w:r>
              <w:rPr>
                <w:rFonts w:hint="eastAsia" w:ascii="Times New Roman" w:hAnsi="Times New Roman" w:eastAsia="宋体" w:cs="Times New Roman"/>
                <w:color w:val="auto"/>
                <w:spacing w:val="12"/>
                <w:sz w:val="21"/>
                <w:szCs w:val="21"/>
                <w:highlight w:val="none"/>
                <w:lang w:val="en-US" w:eastAsia="zh-CN"/>
              </w:rPr>
              <w:t>t</w:t>
            </w:r>
            <w:r>
              <w:rPr>
                <w:rFonts w:hint="default" w:ascii="Times New Roman" w:hAnsi="Times New Roman" w:eastAsia="宋体" w:cs="Times New Roman"/>
                <w:color w:val="auto"/>
                <w:spacing w:val="12"/>
                <w:sz w:val="21"/>
                <w:szCs w:val="21"/>
                <w:highlight w:val="none"/>
              </w:rPr>
              <w:t>/</w:t>
            </w:r>
            <w:r>
              <w:rPr>
                <w:rFonts w:hint="eastAsia" w:ascii="Times New Roman" w:hAnsi="Times New Roman" w:eastAsia="宋体" w:cs="Times New Roman"/>
                <w:color w:val="auto"/>
                <w:spacing w:val="12"/>
                <w:sz w:val="21"/>
                <w:szCs w:val="21"/>
                <w:highlight w:val="none"/>
                <w:lang w:val="en-US" w:eastAsia="zh-CN"/>
              </w:rPr>
              <w:t>a</w:t>
            </w:r>
            <w:r>
              <w:rPr>
                <w:rFonts w:hint="eastAsia" w:ascii="Times New Roman" w:hAnsi="Times New Roman" w:eastAsia="宋体" w:cs="Times New Roman"/>
                <w:color w:val="auto"/>
                <w:spacing w:val="12"/>
                <w:sz w:val="21"/>
                <w:szCs w:val="21"/>
                <w:highlight w:val="none"/>
                <w:lang w:eastAsia="zh-CN"/>
              </w:rPr>
              <w:t>，</w:t>
            </w:r>
            <w:r>
              <w:rPr>
                <w:rFonts w:hint="eastAsia" w:ascii="Times New Roman" w:hAnsi="Times New Roman" w:eastAsia="宋体" w:cs="Times New Roman"/>
                <w:color w:val="auto"/>
                <w:spacing w:val="6"/>
                <w:sz w:val="21"/>
                <w:szCs w:val="21"/>
                <w:highlight w:val="none"/>
                <w:lang w:val="en-US" w:eastAsia="zh-CN"/>
              </w:rPr>
              <w:t>矸</w:t>
            </w:r>
            <w:r>
              <w:rPr>
                <w:rFonts w:hint="default" w:ascii="Times New Roman" w:hAnsi="Times New Roman" w:eastAsia="宋体" w:cs="Times New Roman"/>
                <w:color w:val="auto"/>
                <w:spacing w:val="6"/>
                <w:sz w:val="21"/>
                <w:szCs w:val="21"/>
                <w:highlight w:val="none"/>
              </w:rPr>
              <w:t>石存放在北侧</w:t>
            </w:r>
            <w:r>
              <w:rPr>
                <w:rFonts w:hint="eastAsia" w:ascii="Times New Roman" w:hAnsi="Times New Roman" w:eastAsia="宋体" w:cs="Times New Roman"/>
                <w:color w:val="auto"/>
                <w:spacing w:val="6"/>
                <w:sz w:val="21"/>
                <w:szCs w:val="21"/>
                <w:highlight w:val="none"/>
                <w:lang w:val="en-US" w:eastAsia="zh-CN"/>
              </w:rPr>
              <w:t>矸</w:t>
            </w:r>
            <w:r>
              <w:rPr>
                <w:rFonts w:hint="default" w:ascii="Times New Roman" w:hAnsi="Times New Roman" w:eastAsia="宋体" w:cs="Times New Roman"/>
                <w:color w:val="auto"/>
                <w:spacing w:val="6"/>
                <w:sz w:val="21"/>
                <w:szCs w:val="21"/>
                <w:highlight w:val="none"/>
              </w:rPr>
              <w:t>石山，综合利用</w:t>
            </w:r>
            <w:r>
              <w:rPr>
                <w:rFonts w:hint="eastAsia" w:ascii="Times New Roman" w:hAnsi="Times New Roman" w:eastAsia="宋体" w:cs="Times New Roman"/>
                <w:color w:val="auto"/>
                <w:spacing w:val="12"/>
                <w:sz w:val="21"/>
                <w:szCs w:val="21"/>
                <w:highlight w:val="none"/>
                <w:lang w:eastAsia="zh-CN"/>
              </w:rPr>
              <w:t>；</w:t>
            </w:r>
            <w:r>
              <w:rPr>
                <w:rFonts w:hint="default" w:ascii="Times New Roman" w:hAnsi="Times New Roman" w:eastAsia="宋体" w:cs="Times New Roman"/>
                <w:color w:val="auto"/>
                <w:spacing w:val="12"/>
                <w:sz w:val="21"/>
                <w:szCs w:val="21"/>
                <w:highlight w:val="none"/>
              </w:rPr>
              <w:t>尾煤泥3.968万</w:t>
            </w:r>
            <w:r>
              <w:rPr>
                <w:rFonts w:hint="eastAsia" w:ascii="Times New Roman" w:hAnsi="Times New Roman" w:eastAsia="宋体" w:cs="Times New Roman"/>
                <w:color w:val="auto"/>
                <w:spacing w:val="12"/>
                <w:sz w:val="21"/>
                <w:szCs w:val="21"/>
                <w:highlight w:val="none"/>
                <w:lang w:val="en-US" w:eastAsia="zh-CN"/>
              </w:rPr>
              <w:t>t</w:t>
            </w:r>
            <w:r>
              <w:rPr>
                <w:rFonts w:hint="default" w:ascii="Times New Roman" w:hAnsi="Times New Roman" w:eastAsia="宋体" w:cs="Times New Roman"/>
                <w:color w:val="auto"/>
                <w:spacing w:val="12"/>
                <w:sz w:val="21"/>
                <w:szCs w:val="21"/>
                <w:highlight w:val="none"/>
              </w:rPr>
              <w:t>/</w:t>
            </w:r>
            <w:r>
              <w:rPr>
                <w:rFonts w:hint="default" w:ascii="Times New Roman" w:hAnsi="Times New Roman" w:eastAsia="宋体" w:cs="Times New Roman"/>
                <w:color w:val="auto"/>
                <w:spacing w:val="4"/>
                <w:sz w:val="21"/>
                <w:szCs w:val="21"/>
                <w:highlight w:val="none"/>
              </w:rPr>
              <w:t xml:space="preserve"> </w:t>
            </w:r>
            <w:r>
              <w:rPr>
                <w:rFonts w:hint="eastAsia" w:ascii="Times New Roman" w:hAnsi="Times New Roman" w:eastAsia="宋体" w:cs="Times New Roman"/>
                <w:color w:val="auto"/>
                <w:spacing w:val="4"/>
                <w:sz w:val="21"/>
                <w:szCs w:val="21"/>
                <w:highlight w:val="none"/>
                <w:lang w:val="en-US" w:eastAsia="zh-CN"/>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pacing w:val="5"/>
                <w:sz w:val="21"/>
                <w:szCs w:val="21"/>
                <w:highlight w:val="none"/>
              </w:rPr>
              <w:t>煤泥作为燃料外售</w:t>
            </w:r>
            <w:r>
              <w:rPr>
                <w:rFonts w:hint="eastAsia" w:ascii="Times New Roman" w:hAnsi="Times New Roman" w:eastAsia="宋体" w:cs="Times New Roman"/>
                <w:color w:val="auto"/>
                <w:spacing w:val="5"/>
                <w:sz w:val="21"/>
                <w:szCs w:val="21"/>
                <w:highlight w:val="none"/>
                <w:lang w:eastAsia="zh-CN"/>
              </w:rPr>
              <w:t>；</w:t>
            </w:r>
            <w:r>
              <w:rPr>
                <w:rFonts w:hint="eastAsia" w:ascii="Times New Roman" w:hAnsi="Times New Roman" w:eastAsia="宋体" w:cs="Times New Roman"/>
                <w:color w:val="auto"/>
                <w:spacing w:val="5"/>
                <w:sz w:val="21"/>
                <w:szCs w:val="21"/>
                <w:highlight w:val="none"/>
                <w:lang w:val="en-US" w:eastAsia="zh-CN"/>
              </w:rPr>
              <w:t>废滤袋约为1t/a</w:t>
            </w:r>
            <w:r>
              <w:rPr>
                <w:rFonts w:hint="default" w:ascii="Times New Roman" w:hAnsi="Times New Roman" w:eastAsia="宋体" w:cs="Times New Roman"/>
                <w:color w:val="auto"/>
                <w:kern w:val="0"/>
                <w:sz w:val="21"/>
                <w:szCs w:val="21"/>
                <w:highlight w:val="none"/>
                <w:lang w:val="en-US" w:eastAsia="zh-CN" w:bidi="ar"/>
              </w:rPr>
              <w:t>。</w:t>
            </w:r>
          </w:p>
          <w:p w14:paraId="3A9CCD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eastAsia="宋体"/>
                <w:b/>
                <w:bCs/>
                <w:color w:val="auto"/>
                <w:sz w:val="21"/>
                <w:szCs w:val="21"/>
                <w:highlight w:val="none"/>
                <w:lang w:val="en-US" w:eastAsia="zh-CN"/>
              </w:rPr>
            </w:pPr>
            <w:r>
              <w:rPr>
                <w:rFonts w:hint="default"/>
                <w:b/>
                <w:bCs/>
                <w:color w:val="auto"/>
                <w:sz w:val="21"/>
                <w:szCs w:val="21"/>
                <w:highlight w:val="none"/>
              </w:rPr>
              <w:t>3、</w:t>
            </w:r>
            <w:r>
              <w:rPr>
                <w:rFonts w:hint="eastAsia"/>
                <w:b/>
                <w:bCs/>
                <w:color w:val="auto"/>
                <w:sz w:val="21"/>
                <w:szCs w:val="21"/>
                <w:highlight w:val="none"/>
              </w:rPr>
              <w:t>原有环境污染问题</w:t>
            </w:r>
          </w:p>
          <w:p w14:paraId="23D9FCC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textAlignment w:val="auto"/>
              <w:rPr>
                <w:rFonts w:hint="default"/>
                <w:color w:val="FF0000"/>
                <w:highlight w:val="none"/>
                <w:lang w:val="en-US" w:eastAsia="zh-CN"/>
              </w:rPr>
            </w:pPr>
            <w:r>
              <w:rPr>
                <w:rFonts w:hint="eastAsia" w:cs="Times New Roman"/>
                <w:color w:val="auto"/>
                <w:kern w:val="21"/>
                <w:sz w:val="21"/>
                <w:szCs w:val="21"/>
                <w:highlight w:val="none"/>
                <w:vertAlign w:val="baseline"/>
                <w:lang w:val="en-US" w:eastAsia="zh-CN"/>
              </w:rPr>
              <w:t xml:space="preserve">    </w:t>
            </w:r>
            <w:r>
              <w:rPr>
                <w:rFonts w:hint="eastAsia" w:cs="Times New Roman"/>
                <w:color w:val="FF0000"/>
                <w:kern w:val="21"/>
                <w:sz w:val="21"/>
                <w:szCs w:val="21"/>
                <w:highlight w:val="none"/>
                <w:vertAlign w:val="baseline"/>
                <w:lang w:val="en-US" w:eastAsia="zh-CN"/>
              </w:rPr>
              <w:t>根据《产业结构调整指导目录》（2024年本），</w:t>
            </w:r>
            <w:r>
              <w:rPr>
                <w:rFonts w:hint="eastAsia" w:cs="Times New Roman"/>
                <w:color w:val="FF0000"/>
                <w:kern w:val="21"/>
                <w:sz w:val="21"/>
                <w:szCs w:val="21"/>
                <w:highlight w:val="none"/>
                <w:lang w:val="en-US" w:eastAsia="zh-CN"/>
              </w:rPr>
              <w:t>下料井2台</w:t>
            </w:r>
            <w:r>
              <w:rPr>
                <w:rFonts w:hint="eastAsia" w:ascii="Times New Roman" w:hAnsi="Times New Roman" w:cs="Times New Roman"/>
                <w:color w:val="FF0000"/>
                <w:kern w:val="21"/>
                <w:sz w:val="21"/>
                <w:szCs w:val="21"/>
                <w:highlight w:val="none"/>
                <w:lang w:val="en-US" w:eastAsia="zh-CN"/>
              </w:rPr>
              <w:t>4</w:t>
            </w:r>
            <w:r>
              <w:rPr>
                <w:rFonts w:hint="default" w:ascii="Times New Roman" w:hAnsi="Times New Roman" w:eastAsia="宋体" w:cs="Times New Roman"/>
                <w:color w:val="FF0000"/>
                <w:kern w:val="21"/>
                <w:sz w:val="21"/>
                <w:szCs w:val="21"/>
                <w:highlight w:val="none"/>
                <w:lang w:val="en-US" w:eastAsia="zh-CN"/>
              </w:rPr>
              <w:t>t/h</w:t>
            </w:r>
            <w:r>
              <w:rPr>
                <w:rFonts w:hint="eastAsia" w:cs="Times New Roman"/>
                <w:color w:val="FF0000"/>
                <w:kern w:val="21"/>
                <w:sz w:val="21"/>
                <w:szCs w:val="21"/>
                <w:highlight w:val="none"/>
                <w:lang w:val="en-US" w:eastAsia="zh-CN"/>
              </w:rPr>
              <w:t>燃煤锅炉及排矸井3台</w:t>
            </w:r>
            <w:r>
              <w:rPr>
                <w:rFonts w:hint="default" w:ascii="Times New Roman" w:hAnsi="Times New Roman" w:eastAsia="宋体" w:cs="Times New Roman"/>
                <w:color w:val="FF0000"/>
                <w:kern w:val="21"/>
                <w:sz w:val="21"/>
                <w:szCs w:val="21"/>
                <w:highlight w:val="none"/>
                <w:lang w:val="en-US" w:eastAsia="zh-CN"/>
              </w:rPr>
              <w:t>10t/h</w:t>
            </w:r>
            <w:r>
              <w:rPr>
                <w:rFonts w:hint="eastAsia" w:cs="Times New Roman"/>
                <w:color w:val="FF0000"/>
                <w:kern w:val="21"/>
                <w:sz w:val="21"/>
                <w:szCs w:val="21"/>
                <w:highlight w:val="none"/>
                <w:lang w:val="en-US" w:eastAsia="zh-CN"/>
              </w:rPr>
              <w:t>燃煤锅炉均为淘汰类，不可作为应急锅炉使用。</w:t>
            </w:r>
          </w:p>
          <w:p w14:paraId="57E4419D">
            <w:pPr>
              <w:pStyle w:val="9"/>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2" w:firstLineChars="200"/>
              <w:textAlignment w:val="auto"/>
              <w:rPr>
                <w:rFonts w:hint="eastAsia" w:cs="Times New Roman"/>
                <w:b/>
                <w:bCs/>
                <w:color w:val="FF0000"/>
                <w:kern w:val="21"/>
                <w:sz w:val="21"/>
                <w:szCs w:val="21"/>
                <w:highlight w:val="none"/>
                <w:vertAlign w:val="baseline"/>
                <w:lang w:val="en-US" w:eastAsia="zh-CN"/>
              </w:rPr>
            </w:pPr>
            <w:r>
              <w:rPr>
                <w:rFonts w:hint="eastAsia" w:cs="Times New Roman"/>
                <w:b/>
                <w:bCs/>
                <w:color w:val="FF0000"/>
                <w:kern w:val="21"/>
                <w:sz w:val="21"/>
                <w:szCs w:val="21"/>
                <w:highlight w:val="none"/>
                <w:vertAlign w:val="baseline"/>
                <w:lang w:val="en-US" w:eastAsia="zh-CN"/>
              </w:rPr>
              <w:t>4、整改措施</w:t>
            </w:r>
          </w:p>
          <w:p w14:paraId="2480ADAC">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textAlignment w:val="auto"/>
              <w:rPr>
                <w:rFonts w:hint="default"/>
                <w:color w:val="auto"/>
                <w:highlight w:val="none"/>
                <w:lang w:val="en-US" w:eastAsia="zh-CN"/>
              </w:rPr>
            </w:pPr>
            <w:r>
              <w:rPr>
                <w:rFonts w:hint="eastAsia" w:cs="Times New Roman"/>
                <w:color w:val="FF0000"/>
                <w:kern w:val="21"/>
                <w:sz w:val="21"/>
                <w:szCs w:val="21"/>
                <w:highlight w:val="none"/>
                <w:vertAlign w:val="baseline"/>
                <w:lang w:val="en-US" w:eastAsia="zh-CN"/>
              </w:rPr>
              <w:t xml:space="preserve">    </w:t>
            </w:r>
            <w:r>
              <w:rPr>
                <w:rFonts w:hint="eastAsia" w:cs="Times New Roman"/>
                <w:color w:val="FF0000"/>
                <w:kern w:val="21"/>
                <w:sz w:val="21"/>
                <w:szCs w:val="21"/>
                <w:highlight w:val="none"/>
                <w:lang w:val="en-US" w:eastAsia="zh-CN"/>
              </w:rPr>
              <w:t>下料井2台</w:t>
            </w:r>
            <w:r>
              <w:rPr>
                <w:rFonts w:hint="eastAsia" w:ascii="Times New Roman" w:hAnsi="Times New Roman" w:cs="Times New Roman"/>
                <w:color w:val="FF0000"/>
                <w:kern w:val="21"/>
                <w:sz w:val="21"/>
                <w:szCs w:val="21"/>
                <w:highlight w:val="none"/>
                <w:lang w:val="en-US" w:eastAsia="zh-CN"/>
              </w:rPr>
              <w:t>4</w:t>
            </w:r>
            <w:r>
              <w:rPr>
                <w:rFonts w:hint="default" w:ascii="Times New Roman" w:hAnsi="Times New Roman" w:eastAsia="宋体" w:cs="Times New Roman"/>
                <w:color w:val="FF0000"/>
                <w:kern w:val="21"/>
                <w:sz w:val="21"/>
                <w:szCs w:val="21"/>
                <w:highlight w:val="none"/>
                <w:lang w:val="en-US" w:eastAsia="zh-CN"/>
              </w:rPr>
              <w:t>t/h</w:t>
            </w:r>
            <w:r>
              <w:rPr>
                <w:rFonts w:hint="eastAsia" w:cs="Times New Roman"/>
                <w:color w:val="FF0000"/>
                <w:kern w:val="21"/>
                <w:sz w:val="21"/>
                <w:szCs w:val="21"/>
                <w:highlight w:val="none"/>
                <w:lang w:val="en-US" w:eastAsia="zh-CN"/>
              </w:rPr>
              <w:t>燃煤锅炉及排矸井3台</w:t>
            </w:r>
            <w:r>
              <w:rPr>
                <w:rFonts w:hint="default" w:ascii="Times New Roman" w:hAnsi="Times New Roman" w:eastAsia="宋体" w:cs="Times New Roman"/>
                <w:color w:val="FF0000"/>
                <w:kern w:val="21"/>
                <w:sz w:val="21"/>
                <w:szCs w:val="21"/>
                <w:highlight w:val="none"/>
                <w:lang w:val="en-US" w:eastAsia="zh-CN"/>
              </w:rPr>
              <w:t>10t/h</w:t>
            </w:r>
            <w:r>
              <w:rPr>
                <w:rFonts w:hint="eastAsia" w:cs="Times New Roman"/>
                <w:color w:val="FF0000"/>
                <w:kern w:val="21"/>
                <w:sz w:val="21"/>
                <w:szCs w:val="21"/>
                <w:highlight w:val="none"/>
                <w:lang w:val="en-US" w:eastAsia="zh-CN"/>
              </w:rPr>
              <w:t>燃煤锅炉全部淘汰。</w:t>
            </w:r>
          </w:p>
        </w:tc>
      </w:tr>
    </w:tbl>
    <w:p w14:paraId="18AA0F78">
      <w:pPr>
        <w:pStyle w:val="31"/>
        <w:spacing w:before="0" w:beforeAutospacing="0" w:after="158" w:afterLines="50" w:afterAutospacing="0"/>
        <w:jc w:val="center"/>
        <w:outlineLvl w:val="0"/>
        <w:rPr>
          <w:rFonts w:hint="default" w:ascii="Times New Roman" w:hAnsi="Times New Roman" w:eastAsia="仿宋_GB2312" w:cs="Times New Roman"/>
          <w:b/>
          <w:bCs/>
          <w:color w:val="auto"/>
          <w:highlight w:val="none"/>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0DFA1042">
      <w:pPr>
        <w:pStyle w:val="31"/>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5" w:name="_Toc8233"/>
      <w:r>
        <w:rPr>
          <w:rFonts w:hint="default" w:ascii="Times New Roman" w:hAnsi="Times New Roman" w:eastAsia="黑体" w:cs="Times New Roman"/>
          <w:snapToGrid w:val="0"/>
          <w:color w:val="auto"/>
          <w:kern w:val="21"/>
          <w:sz w:val="30"/>
          <w:szCs w:val="30"/>
          <w:highlight w:val="none"/>
        </w:rPr>
        <w:t>三、区域环境质量现状、环境保护目标及评价标准</w:t>
      </w:r>
      <w:bookmarkEnd w:id="5"/>
    </w:p>
    <w:tbl>
      <w:tblPr>
        <w:tblStyle w:val="37"/>
        <w:tblW w:w="504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2"/>
        <w:gridCol w:w="8253"/>
      </w:tblGrid>
      <w:tr w14:paraId="2BF513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52" w:type="pct"/>
            <w:vAlign w:val="center"/>
          </w:tcPr>
          <w:p w14:paraId="0C1EF2B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区域环境质量现状</w:t>
            </w:r>
          </w:p>
        </w:tc>
        <w:tc>
          <w:tcPr>
            <w:tcW w:w="4547" w:type="pct"/>
            <w:vAlign w:val="center"/>
          </w:tcPr>
          <w:p w14:paraId="34FA43D3">
            <w:pPr>
              <w:keepNext w:val="0"/>
              <w:keepLines w:val="0"/>
              <w:widowControl/>
              <w:numPr>
                <w:ilvl w:val="0"/>
                <w:numId w:val="6"/>
              </w:numPr>
              <w:suppressLineNumbers w:val="0"/>
              <w:spacing w:before="0" w:beforeAutospacing="0" w:after="0" w:afterAutospacing="0" w:line="360" w:lineRule="auto"/>
              <w:ind w:left="0" w:right="0" w:firstLine="422" w:firstLineChars="200"/>
              <w:rPr>
                <w:rFonts w:hint="default"/>
                <w:b/>
                <w:bCs/>
                <w:color w:val="auto"/>
                <w:highlight w:val="none"/>
              </w:rPr>
            </w:pPr>
            <w:r>
              <w:rPr>
                <w:rFonts w:hint="default"/>
                <w:b/>
                <w:bCs/>
                <w:color w:val="auto"/>
                <w:highlight w:val="none"/>
              </w:rPr>
              <w:t>大气环境</w:t>
            </w:r>
          </w:p>
          <w:p w14:paraId="43B24685">
            <w:pPr>
              <w:keepNext w:val="0"/>
              <w:keepLines w:val="0"/>
              <w:widowControl/>
              <w:suppressLineNumbers w:val="0"/>
              <w:adjustRightInd/>
              <w:snapToGrid/>
              <w:spacing w:before="0" w:beforeAutospacing="0" w:after="0" w:afterAutospacing="0" w:line="360" w:lineRule="auto"/>
              <w:ind w:left="0" w:right="0" w:firstLine="420" w:firstLineChars="200"/>
              <w:rPr>
                <w:rFonts w:hint="default"/>
                <w:color w:val="auto"/>
                <w:highlight w:val="none"/>
              </w:rPr>
            </w:pPr>
            <w:r>
              <w:rPr>
                <w:rFonts w:hint="default"/>
                <w:color w:val="auto"/>
                <w:sz w:val="21"/>
                <w:highlight w:val="none"/>
              </w:rPr>
              <w:t>根据</w:t>
            </w:r>
            <w:r>
              <w:rPr>
                <w:rFonts w:hint="eastAsia" w:ascii="宋体" w:hAnsi="宋体" w:cs="宋体"/>
                <w:color w:val="auto"/>
                <w:szCs w:val="21"/>
                <w:highlight w:val="none"/>
              </w:rPr>
              <w:t>《</w:t>
            </w:r>
            <w:r>
              <w:rPr>
                <w:rFonts w:hint="default" w:ascii="Times New Roman" w:hAnsi="Times New Roman" w:cs="Times New Roman"/>
                <w:color w:val="auto"/>
                <w:szCs w:val="21"/>
                <w:highlight w:val="none"/>
              </w:rPr>
              <w:t>202</w:t>
            </w:r>
            <w:r>
              <w:rPr>
                <w:rFonts w:hint="eastAsia" w:cs="Times New Roman"/>
                <w:color w:val="auto"/>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sz w:val="21"/>
                <w:szCs w:val="21"/>
                <w:highlight w:val="none"/>
                <w:lang w:val="en-US" w:eastAsia="zh-CN"/>
              </w:rPr>
              <w:t>黑龙江省生态环境质量状况</w:t>
            </w:r>
            <w:r>
              <w:rPr>
                <w:rFonts w:hint="eastAsia" w:ascii="宋体" w:hAnsi="宋体" w:cs="宋体"/>
                <w:color w:val="auto"/>
                <w:szCs w:val="21"/>
                <w:highlight w:val="none"/>
              </w:rPr>
              <w:t>》</w:t>
            </w:r>
            <w:r>
              <w:rPr>
                <w:rFonts w:hint="default"/>
                <w:color w:val="auto"/>
                <w:highlight w:val="none"/>
              </w:rPr>
              <w:t>中公布的数据。</w:t>
            </w:r>
            <w:r>
              <w:rPr>
                <w:rFonts w:hint="eastAsia"/>
                <w:color w:val="auto"/>
                <w:highlight w:val="none"/>
                <w:lang w:val="en-US" w:eastAsia="zh-CN"/>
              </w:rPr>
              <w:t>2024年鸡西市各项污染物年均浓度综合情况如下表。</w:t>
            </w:r>
          </w:p>
          <w:p w14:paraId="1F441EA6">
            <w:pPr>
              <w:keepNext w:val="0"/>
              <w:keepLines w:val="0"/>
              <w:widowControl/>
              <w:suppressLineNumbers w:val="0"/>
              <w:adjustRightInd/>
              <w:snapToGrid/>
              <w:spacing w:before="0" w:beforeAutospacing="0" w:after="0" w:afterAutospacing="0"/>
              <w:ind w:left="0" w:right="0"/>
              <w:jc w:val="center"/>
              <w:rPr>
                <w:rFonts w:hint="default"/>
                <w:b/>
                <w:bCs/>
                <w:color w:val="auto"/>
                <w:highlight w:val="none"/>
              </w:rPr>
            </w:pPr>
            <w:r>
              <w:rPr>
                <w:rFonts w:hint="default"/>
                <w:b/>
                <w:bCs/>
                <w:color w:val="auto"/>
                <w:highlight w:val="none"/>
              </w:rPr>
              <w:t>表3-</w:t>
            </w:r>
            <w:r>
              <w:rPr>
                <w:rFonts w:hint="eastAsia"/>
                <w:b/>
                <w:bCs/>
                <w:color w:val="auto"/>
                <w:highlight w:val="none"/>
                <w:lang w:val="en-US" w:eastAsia="zh-CN"/>
              </w:rPr>
              <w:t>1 鸡西市</w:t>
            </w:r>
            <w:r>
              <w:rPr>
                <w:rFonts w:hint="default"/>
                <w:b/>
                <w:bCs/>
                <w:color w:val="auto"/>
                <w:highlight w:val="none"/>
              </w:rPr>
              <w:t>202</w:t>
            </w:r>
            <w:r>
              <w:rPr>
                <w:rFonts w:hint="eastAsia"/>
                <w:b/>
                <w:bCs/>
                <w:color w:val="auto"/>
                <w:highlight w:val="none"/>
                <w:lang w:val="en-US" w:eastAsia="zh-CN"/>
              </w:rPr>
              <w:t>4</w:t>
            </w:r>
            <w:r>
              <w:rPr>
                <w:rFonts w:hint="default"/>
                <w:b/>
                <w:bCs/>
                <w:color w:val="auto"/>
                <w:highlight w:val="none"/>
              </w:rPr>
              <w:t>年环境空气质量统计表   单位：μg/m</w:t>
            </w:r>
            <w:r>
              <w:rPr>
                <w:rFonts w:hint="default"/>
                <w:b/>
                <w:bCs/>
                <w:color w:val="auto"/>
                <w:highlight w:val="none"/>
                <w:vertAlign w:val="superscript"/>
              </w:rPr>
              <w:t>3</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2991"/>
              <w:gridCol w:w="1049"/>
              <w:gridCol w:w="829"/>
              <w:gridCol w:w="940"/>
              <w:gridCol w:w="1191"/>
            </w:tblGrid>
            <w:tr w14:paraId="5076CD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1CA83C2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2979" w:type="dxa"/>
                  <w:tcBorders>
                    <w:tl2br w:val="nil"/>
                    <w:tr2bl w:val="nil"/>
                  </w:tcBorders>
                  <w:vAlign w:val="center"/>
                </w:tcPr>
                <w:p w14:paraId="74E2B99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eastAsia="zh-CN"/>
                    </w:rPr>
                    <w:t>年度</w:t>
                  </w:r>
                  <w:r>
                    <w:rPr>
                      <w:rFonts w:hint="default" w:ascii="Times New Roman" w:hAnsi="Times New Roman" w:eastAsia="宋体" w:cs="Times New Roman"/>
                      <w:color w:val="auto"/>
                      <w:sz w:val="18"/>
                      <w:szCs w:val="18"/>
                      <w:highlight w:val="none"/>
                    </w:rPr>
                    <w:t>评价指标</w:t>
                  </w:r>
                </w:p>
              </w:tc>
              <w:tc>
                <w:tcPr>
                  <w:tcW w:w="1045" w:type="dxa"/>
                  <w:tcBorders>
                    <w:tl2br w:val="nil"/>
                    <w:tr2bl w:val="nil"/>
                  </w:tcBorders>
                  <w:vAlign w:val="center"/>
                </w:tcPr>
                <w:p w14:paraId="69DD170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现状浓度</w:t>
                  </w:r>
                </w:p>
              </w:tc>
              <w:tc>
                <w:tcPr>
                  <w:tcW w:w="826" w:type="dxa"/>
                  <w:tcBorders>
                    <w:tl2br w:val="nil"/>
                    <w:tr2bl w:val="nil"/>
                  </w:tcBorders>
                  <w:vAlign w:val="center"/>
                </w:tcPr>
                <w:p w14:paraId="506498F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标准值</w:t>
                  </w:r>
                </w:p>
              </w:tc>
              <w:tc>
                <w:tcPr>
                  <w:tcW w:w="936" w:type="dxa"/>
                  <w:tcBorders>
                    <w:tl2br w:val="nil"/>
                    <w:tr2bl w:val="nil"/>
                  </w:tcBorders>
                  <w:vAlign w:val="center"/>
                </w:tcPr>
                <w:p w14:paraId="4DCF328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占标率</w:t>
                  </w:r>
                  <w:r>
                    <w:rPr>
                      <w:rFonts w:hint="default" w:ascii="Times New Roman" w:hAnsi="Times New Roman" w:eastAsia="宋体" w:cs="Times New Roman"/>
                      <w:color w:val="auto"/>
                      <w:sz w:val="18"/>
                      <w:szCs w:val="18"/>
                      <w:highlight w:val="none"/>
                      <w:lang w:val="en-US" w:eastAsia="zh-CN"/>
                    </w:rPr>
                    <w:t>%</w:t>
                  </w:r>
                </w:p>
              </w:tc>
              <w:tc>
                <w:tcPr>
                  <w:tcW w:w="1185" w:type="dxa"/>
                  <w:tcBorders>
                    <w:tl2br w:val="nil"/>
                    <w:tr2bl w:val="nil"/>
                  </w:tcBorders>
                  <w:vAlign w:val="center"/>
                </w:tcPr>
                <w:p w14:paraId="7C17133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达标情况</w:t>
                  </w:r>
                </w:p>
              </w:tc>
            </w:tr>
            <w:tr w14:paraId="5AE9E9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F329F8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2.5</w:t>
                  </w:r>
                </w:p>
              </w:tc>
              <w:tc>
                <w:tcPr>
                  <w:tcW w:w="2979" w:type="dxa"/>
                  <w:tcBorders>
                    <w:tl2br w:val="nil"/>
                    <w:tr2bl w:val="nil"/>
                  </w:tcBorders>
                  <w:vAlign w:val="center"/>
                </w:tcPr>
                <w:p w14:paraId="01574B7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4814ABE1">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27</w:t>
                  </w:r>
                </w:p>
              </w:tc>
              <w:tc>
                <w:tcPr>
                  <w:tcW w:w="826" w:type="dxa"/>
                  <w:tcBorders>
                    <w:tl2br w:val="nil"/>
                    <w:tr2bl w:val="nil"/>
                  </w:tcBorders>
                  <w:vAlign w:val="center"/>
                </w:tcPr>
                <w:p w14:paraId="09292FB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35</w:t>
                  </w:r>
                </w:p>
              </w:tc>
              <w:tc>
                <w:tcPr>
                  <w:tcW w:w="936" w:type="dxa"/>
                  <w:tcBorders>
                    <w:tl2br w:val="nil"/>
                    <w:tr2bl w:val="nil"/>
                  </w:tcBorders>
                  <w:vAlign w:val="center"/>
                </w:tcPr>
                <w:p w14:paraId="2C7F1E5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77.1</w:t>
                  </w:r>
                </w:p>
              </w:tc>
              <w:tc>
                <w:tcPr>
                  <w:tcW w:w="1185" w:type="dxa"/>
                  <w:tcBorders>
                    <w:tl2br w:val="nil"/>
                    <w:tr2bl w:val="nil"/>
                  </w:tcBorders>
                  <w:vAlign w:val="center"/>
                </w:tcPr>
                <w:p w14:paraId="501E528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达</w:t>
                  </w:r>
                  <w:r>
                    <w:rPr>
                      <w:rFonts w:hint="default" w:ascii="Times New Roman" w:hAnsi="Times New Roman" w:eastAsia="宋体" w:cs="Times New Roman"/>
                      <w:color w:val="auto"/>
                      <w:sz w:val="18"/>
                      <w:szCs w:val="18"/>
                      <w:highlight w:val="none"/>
                    </w:rPr>
                    <w:t>标</w:t>
                  </w:r>
                </w:p>
              </w:tc>
            </w:tr>
            <w:tr w14:paraId="16CE16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62086A9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10</w:t>
                  </w:r>
                </w:p>
              </w:tc>
              <w:tc>
                <w:tcPr>
                  <w:tcW w:w="2979" w:type="dxa"/>
                  <w:tcBorders>
                    <w:tl2br w:val="nil"/>
                    <w:tr2bl w:val="nil"/>
                  </w:tcBorders>
                  <w:vAlign w:val="center"/>
                </w:tcPr>
                <w:p w14:paraId="55F023E0">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566EF2A5">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46</w:t>
                  </w:r>
                </w:p>
              </w:tc>
              <w:tc>
                <w:tcPr>
                  <w:tcW w:w="826" w:type="dxa"/>
                  <w:tcBorders>
                    <w:tl2br w:val="nil"/>
                    <w:tr2bl w:val="nil"/>
                  </w:tcBorders>
                  <w:vAlign w:val="center"/>
                </w:tcPr>
                <w:p w14:paraId="2EDB689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70</w:t>
                  </w:r>
                </w:p>
              </w:tc>
              <w:tc>
                <w:tcPr>
                  <w:tcW w:w="936" w:type="dxa"/>
                  <w:tcBorders>
                    <w:tl2br w:val="nil"/>
                    <w:tr2bl w:val="nil"/>
                  </w:tcBorders>
                  <w:vAlign w:val="center"/>
                </w:tcPr>
                <w:p w14:paraId="7B7E44F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65.7</w:t>
                  </w:r>
                </w:p>
              </w:tc>
              <w:tc>
                <w:tcPr>
                  <w:tcW w:w="1185" w:type="dxa"/>
                  <w:tcBorders>
                    <w:tl2br w:val="nil"/>
                    <w:tr2bl w:val="nil"/>
                  </w:tcBorders>
                  <w:vAlign w:val="center"/>
                </w:tcPr>
                <w:p w14:paraId="77A630F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610EC8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186A5E8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color w:val="auto"/>
                      <w:sz w:val="18"/>
                      <w:szCs w:val="18"/>
                      <w:highlight w:val="none"/>
                      <w:vertAlign w:val="subscript"/>
                    </w:rPr>
                    <w:t>2</w:t>
                  </w:r>
                </w:p>
              </w:tc>
              <w:tc>
                <w:tcPr>
                  <w:tcW w:w="2979" w:type="dxa"/>
                  <w:tcBorders>
                    <w:tl2br w:val="nil"/>
                    <w:tr2bl w:val="nil"/>
                  </w:tcBorders>
                  <w:vAlign w:val="center"/>
                </w:tcPr>
                <w:p w14:paraId="5BAE6E3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7C4F6EA6">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17</w:t>
                  </w:r>
                </w:p>
              </w:tc>
              <w:tc>
                <w:tcPr>
                  <w:tcW w:w="826" w:type="dxa"/>
                  <w:tcBorders>
                    <w:tl2br w:val="nil"/>
                    <w:tr2bl w:val="nil"/>
                  </w:tcBorders>
                  <w:vAlign w:val="center"/>
                </w:tcPr>
                <w:p w14:paraId="30D6AA0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tcBorders>
                    <w:tl2br w:val="nil"/>
                    <w:tr2bl w:val="nil"/>
                  </w:tcBorders>
                  <w:vAlign w:val="center"/>
                </w:tcPr>
                <w:p w14:paraId="6BF2095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42.5</w:t>
                  </w:r>
                </w:p>
              </w:tc>
              <w:tc>
                <w:tcPr>
                  <w:tcW w:w="1185" w:type="dxa"/>
                  <w:tcBorders>
                    <w:tl2br w:val="nil"/>
                    <w:tr2bl w:val="nil"/>
                  </w:tcBorders>
                  <w:vAlign w:val="center"/>
                </w:tcPr>
                <w:p w14:paraId="2E5DA36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775B38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4E32DF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p>
              </w:tc>
              <w:tc>
                <w:tcPr>
                  <w:tcW w:w="2979" w:type="dxa"/>
                  <w:tcBorders>
                    <w:tl2br w:val="nil"/>
                    <w:tr2bl w:val="nil"/>
                  </w:tcBorders>
                  <w:vAlign w:val="center"/>
                </w:tcPr>
                <w:p w14:paraId="4A2F9A3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021F3512">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826" w:type="dxa"/>
                  <w:tcBorders>
                    <w:tl2br w:val="nil"/>
                    <w:tr2bl w:val="nil"/>
                  </w:tcBorders>
                  <w:vAlign w:val="center"/>
                </w:tcPr>
                <w:p w14:paraId="21641CC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60</w:t>
                  </w:r>
                </w:p>
              </w:tc>
              <w:tc>
                <w:tcPr>
                  <w:tcW w:w="936" w:type="dxa"/>
                  <w:tcBorders>
                    <w:tl2br w:val="nil"/>
                    <w:tr2bl w:val="nil"/>
                  </w:tcBorders>
                  <w:vAlign w:val="center"/>
                </w:tcPr>
                <w:p w14:paraId="378337D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13.3</w:t>
                  </w:r>
                </w:p>
              </w:tc>
              <w:tc>
                <w:tcPr>
                  <w:tcW w:w="1185" w:type="dxa"/>
                  <w:tcBorders>
                    <w:tl2br w:val="nil"/>
                    <w:tr2bl w:val="nil"/>
                  </w:tcBorders>
                  <w:vAlign w:val="center"/>
                </w:tcPr>
                <w:p w14:paraId="4CE9AF8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5F8422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E3CBD8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w:t>
                  </w:r>
                </w:p>
              </w:tc>
              <w:tc>
                <w:tcPr>
                  <w:tcW w:w="2979" w:type="dxa"/>
                  <w:tcBorders>
                    <w:tl2br w:val="nil"/>
                    <w:tr2bl w:val="nil"/>
                  </w:tcBorders>
                  <w:vAlign w:val="center"/>
                </w:tcPr>
                <w:p w14:paraId="3DBF0652">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第95百分位数日平均浓度（</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eastAsia" w:ascii="Times New Roman" w:hAnsi="Times New Roman" w:eastAsia="宋体" w:cs="Times New Roman"/>
                      <w:color w:val="auto"/>
                      <w:sz w:val="18"/>
                      <w:szCs w:val="18"/>
                      <w:highlight w:val="none"/>
                      <w:vertAlign w:val="baseline"/>
                      <w:lang w:eastAsia="zh-CN"/>
                    </w:rPr>
                    <w:t>）</w:t>
                  </w:r>
                </w:p>
              </w:tc>
              <w:tc>
                <w:tcPr>
                  <w:tcW w:w="1045" w:type="dxa"/>
                  <w:tcBorders>
                    <w:tl2br w:val="nil"/>
                    <w:tr2bl w:val="nil"/>
                  </w:tcBorders>
                  <w:vAlign w:val="center"/>
                </w:tcPr>
                <w:p w14:paraId="46E5646C">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826" w:type="dxa"/>
                  <w:tcBorders>
                    <w:tl2br w:val="nil"/>
                    <w:tr2bl w:val="nil"/>
                  </w:tcBorders>
                  <w:vAlign w:val="center"/>
                </w:tcPr>
                <w:p w14:paraId="214B731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tcBorders>
                    <w:tl2br w:val="nil"/>
                    <w:tr2bl w:val="nil"/>
                  </w:tcBorders>
                  <w:vAlign w:val="center"/>
                </w:tcPr>
                <w:p w14:paraId="67A7DE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25.0</w:t>
                  </w:r>
                </w:p>
              </w:tc>
              <w:tc>
                <w:tcPr>
                  <w:tcW w:w="1185" w:type="dxa"/>
                  <w:tcBorders>
                    <w:tl2br w:val="nil"/>
                    <w:tr2bl w:val="nil"/>
                  </w:tcBorders>
                  <w:vAlign w:val="center"/>
                </w:tcPr>
                <w:p w14:paraId="632A022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776036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3284700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O</w:t>
                  </w:r>
                  <w:r>
                    <w:rPr>
                      <w:rFonts w:hint="eastAsia" w:cs="Times New Roman"/>
                      <w:color w:val="auto"/>
                      <w:sz w:val="18"/>
                      <w:szCs w:val="18"/>
                      <w:highlight w:val="none"/>
                      <w:vertAlign w:val="subscript"/>
                      <w:lang w:val="en-US" w:eastAsia="zh-CN"/>
                    </w:rPr>
                    <w:t>3</w:t>
                  </w:r>
                </w:p>
              </w:tc>
              <w:tc>
                <w:tcPr>
                  <w:tcW w:w="2979" w:type="dxa"/>
                  <w:tcBorders>
                    <w:tl2br w:val="nil"/>
                    <w:tr2bl w:val="nil"/>
                  </w:tcBorders>
                  <w:vAlign w:val="center"/>
                </w:tcPr>
                <w:p w14:paraId="535526A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第90</w:t>
                  </w:r>
                  <w:r>
                    <w:rPr>
                      <w:rFonts w:hint="default" w:ascii="Times New Roman" w:hAnsi="Times New Roman" w:eastAsia="宋体" w:cs="Times New Roman"/>
                      <w:color w:val="auto"/>
                      <w:sz w:val="18"/>
                      <w:szCs w:val="18"/>
                      <w:highlight w:val="none"/>
                    </w:rPr>
                    <w:t>百分位数8h平均</w:t>
                  </w:r>
                  <w:r>
                    <w:rPr>
                      <w:rFonts w:hint="eastAsia" w:cs="Times New Roman"/>
                      <w:color w:val="auto"/>
                      <w:sz w:val="18"/>
                      <w:szCs w:val="18"/>
                      <w:highlight w:val="none"/>
                      <w:lang w:val="en-US" w:eastAsia="zh-CN"/>
                    </w:rPr>
                    <w:t>质量</w:t>
                  </w:r>
                  <w:r>
                    <w:rPr>
                      <w:rFonts w:hint="default" w:ascii="Times New Roman" w:hAnsi="Times New Roman" w:eastAsia="宋体" w:cs="Times New Roman"/>
                      <w:color w:val="auto"/>
                      <w:sz w:val="18"/>
                      <w:szCs w:val="18"/>
                      <w:highlight w:val="none"/>
                    </w:rPr>
                    <w:t>浓度</w:t>
                  </w:r>
                </w:p>
              </w:tc>
              <w:tc>
                <w:tcPr>
                  <w:tcW w:w="1045" w:type="dxa"/>
                  <w:tcBorders>
                    <w:tl2br w:val="nil"/>
                    <w:tr2bl w:val="nil"/>
                  </w:tcBorders>
                  <w:vAlign w:val="center"/>
                </w:tcPr>
                <w:p w14:paraId="53207EC2">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826" w:type="dxa"/>
                  <w:tcBorders>
                    <w:tl2br w:val="nil"/>
                    <w:tr2bl w:val="nil"/>
                  </w:tcBorders>
                  <w:vAlign w:val="center"/>
                </w:tcPr>
                <w:p w14:paraId="6A6ED9B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160</w:t>
                  </w:r>
                </w:p>
              </w:tc>
              <w:tc>
                <w:tcPr>
                  <w:tcW w:w="936" w:type="dxa"/>
                  <w:tcBorders>
                    <w:tl2br w:val="nil"/>
                    <w:tr2bl w:val="nil"/>
                  </w:tcBorders>
                  <w:vAlign w:val="center"/>
                </w:tcPr>
                <w:p w14:paraId="018C7F3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56.3</w:t>
                  </w:r>
                </w:p>
              </w:tc>
              <w:tc>
                <w:tcPr>
                  <w:tcW w:w="1185" w:type="dxa"/>
                  <w:tcBorders>
                    <w:tl2br w:val="nil"/>
                    <w:tr2bl w:val="nil"/>
                  </w:tcBorders>
                  <w:vAlign w:val="center"/>
                </w:tcPr>
                <w:p w14:paraId="3DBC3FB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bl>
          <w:p w14:paraId="22223C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rPr>
            </w:pPr>
            <w:r>
              <w:rPr>
                <w:rFonts w:hint="eastAsia" w:cs="Times New Roman"/>
                <w:color w:val="auto"/>
                <w:sz w:val="21"/>
                <w:szCs w:val="21"/>
                <w:highlight w:val="none"/>
                <w:lang w:val="en-US" w:eastAsia="zh-CN"/>
              </w:rPr>
              <w:t>由表3-1可知，2024年鸡西市空气基本污染物中</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eastAsia"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val="en-US" w:eastAsia="zh-CN"/>
              </w:rPr>
              <w:t>年平均质量浓度</w:t>
            </w:r>
            <w:r>
              <w:rPr>
                <w:rFonts w:hint="eastAsia" w:cs="Times New Roman"/>
                <w:color w:val="auto"/>
                <w:sz w:val="21"/>
                <w:szCs w:val="21"/>
                <w:highlight w:val="none"/>
                <w:vertAlign w:val="baseline"/>
                <w:lang w:val="en-US" w:eastAsia="zh-CN"/>
              </w:rPr>
              <w:t>及</w:t>
            </w:r>
            <w:r>
              <w:rPr>
                <w:rFonts w:hint="default" w:ascii="Times New Roman" w:hAnsi="Times New Roman" w:eastAsia="宋体" w:cs="Times New Roman"/>
                <w:color w:val="auto"/>
                <w:sz w:val="21"/>
                <w:szCs w:val="21"/>
                <w:highlight w:val="none"/>
              </w:rPr>
              <w:t>CO</w:t>
            </w:r>
            <w:r>
              <w:rPr>
                <w:rFonts w:hint="eastAsia" w:cs="Times New Roman"/>
                <w:color w:val="auto"/>
                <w:sz w:val="21"/>
                <w:szCs w:val="21"/>
                <w:highlight w:val="none"/>
                <w:lang w:val="en-US" w:eastAsia="zh-CN"/>
              </w:rPr>
              <w:t>第95百分位数日平均浓度、O</w:t>
            </w:r>
            <w:r>
              <w:rPr>
                <w:rFonts w:hint="eastAsia" w:cs="Times New Roman"/>
                <w:color w:val="auto"/>
                <w:sz w:val="21"/>
                <w:szCs w:val="21"/>
                <w:highlight w:val="none"/>
                <w:vertAlign w:val="subscript"/>
                <w:lang w:val="en-US" w:eastAsia="zh-CN"/>
              </w:rPr>
              <w:t>3</w:t>
            </w:r>
            <w:r>
              <w:rPr>
                <w:rFonts w:hint="eastAsia" w:cs="Times New Roman"/>
                <w:color w:val="auto"/>
                <w:sz w:val="21"/>
                <w:szCs w:val="21"/>
                <w:highlight w:val="none"/>
                <w:lang w:val="en-US" w:eastAsia="zh-CN"/>
              </w:rPr>
              <w:t>第90</w:t>
            </w:r>
            <w:r>
              <w:rPr>
                <w:rFonts w:hint="default" w:ascii="Times New Roman" w:hAnsi="Times New Roman" w:eastAsia="宋体" w:cs="Times New Roman"/>
                <w:color w:val="auto"/>
                <w:sz w:val="21"/>
                <w:szCs w:val="21"/>
                <w:highlight w:val="none"/>
              </w:rPr>
              <w:t>百分位数8h平均</w:t>
            </w:r>
            <w:r>
              <w:rPr>
                <w:rFonts w:hint="eastAsia" w:cs="Times New Roman"/>
                <w:color w:val="auto"/>
                <w:sz w:val="21"/>
                <w:szCs w:val="21"/>
                <w:highlight w:val="none"/>
                <w:lang w:val="en-US" w:eastAsia="zh-CN"/>
              </w:rPr>
              <w:t>质量</w:t>
            </w:r>
            <w:r>
              <w:rPr>
                <w:rFonts w:hint="default" w:ascii="Times New Roman" w:hAnsi="Times New Roman" w:eastAsia="宋体" w:cs="Times New Roman"/>
                <w:color w:val="auto"/>
                <w:sz w:val="21"/>
                <w:szCs w:val="21"/>
                <w:highlight w:val="none"/>
              </w:rPr>
              <w:t>浓度</w:t>
            </w:r>
            <w:r>
              <w:rPr>
                <w:rFonts w:hint="eastAsia" w:ascii="Times New Roman" w:hAnsi="Times New Roman" w:eastAsia="宋体" w:cs="Times New Roman"/>
                <w:color w:val="auto"/>
                <w:sz w:val="21"/>
                <w:szCs w:val="21"/>
                <w:highlight w:val="none"/>
                <w:lang w:val="en-US" w:eastAsia="zh-CN"/>
              </w:rPr>
              <w:t>均</w:t>
            </w:r>
            <w:r>
              <w:rPr>
                <w:rFonts w:hint="eastAsia" w:ascii="Times New Roman" w:hAnsi="Times New Roman" w:eastAsia="宋体" w:cs="Times New Roman"/>
                <w:color w:val="auto"/>
                <w:sz w:val="21"/>
                <w:szCs w:val="21"/>
                <w:highlight w:val="none"/>
                <w:vertAlign w:val="baseline"/>
                <w:lang w:val="en-US" w:eastAsia="zh-CN"/>
              </w:rPr>
              <w:t>满足</w:t>
            </w:r>
            <w:r>
              <w:rPr>
                <w:rFonts w:hint="default" w:ascii="Times New Roman" w:hAnsi="Times New Roman" w:cs="Times New Roman"/>
                <w:color w:val="auto"/>
                <w:kern w:val="0"/>
                <w:sz w:val="21"/>
                <w:szCs w:val="21"/>
                <w:highlight w:val="none"/>
              </w:rPr>
              <w:t>《环境空气质量标准》（GB3095-2012）中的二级标准</w:t>
            </w:r>
            <w:r>
              <w:rPr>
                <w:rFonts w:hint="eastAsia" w:cs="Times New Roman"/>
                <w:color w:val="auto"/>
                <w:kern w:val="0"/>
                <w:sz w:val="21"/>
                <w:szCs w:val="21"/>
                <w:highlight w:val="none"/>
                <w:lang w:eastAsia="zh-CN"/>
              </w:rPr>
              <w:t>，</w:t>
            </w:r>
            <w:r>
              <w:rPr>
                <w:rFonts w:hint="eastAsia" w:ascii="Times New Roman" w:hAnsi="Times New Roman" w:cs="Times New Roman"/>
                <w:color w:val="auto"/>
                <w:kern w:val="0"/>
                <w:sz w:val="21"/>
                <w:szCs w:val="21"/>
                <w:highlight w:val="none"/>
                <w:lang w:val="en-US" w:eastAsia="zh-CN"/>
              </w:rPr>
              <w:t>因此判定本项目区域环境空气质量为达标区。</w:t>
            </w:r>
          </w:p>
          <w:p w14:paraId="5A618E0A">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其他</w:t>
            </w:r>
            <w:r>
              <w:rPr>
                <w:rFonts w:hint="default" w:ascii="Times New Roman" w:hAnsi="Times New Roman" w:cs="Times New Roman"/>
                <w:color w:val="auto"/>
                <w:szCs w:val="21"/>
                <w:highlight w:val="none"/>
              </w:rPr>
              <w:t>污染物</w:t>
            </w:r>
            <w:r>
              <w:rPr>
                <w:rFonts w:hint="eastAsia" w:ascii="Times New Roman" w:hAnsi="Times New Roman" w:cs="Times New Roman"/>
                <w:color w:val="auto"/>
                <w:szCs w:val="21"/>
                <w:highlight w:val="none"/>
                <w:lang w:eastAsia="zh-CN"/>
              </w:rPr>
              <w:t>：</w:t>
            </w:r>
          </w:p>
          <w:p w14:paraId="413309EB">
            <w:pPr>
              <w:pStyle w:val="3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其他</w:t>
            </w:r>
            <w:r>
              <w:rPr>
                <w:rFonts w:hint="default" w:ascii="Times New Roman" w:hAnsi="Times New Roman" w:eastAsia="宋体" w:cs="Times New Roman"/>
                <w:color w:val="auto"/>
                <w:sz w:val="21"/>
                <w:szCs w:val="21"/>
                <w:highlight w:val="none"/>
              </w:rPr>
              <w:t>污染物为总悬浮颗粒物，</w:t>
            </w:r>
            <w:r>
              <w:rPr>
                <w:rFonts w:hint="default" w:ascii="Times New Roman" w:hAnsi="Times New Roman" w:eastAsia="宋体" w:cs="Times New Roman"/>
                <w:color w:val="auto"/>
                <w:sz w:val="21"/>
                <w:szCs w:val="21"/>
                <w:highlight w:val="none"/>
                <w:lang w:val="en-US" w:eastAsia="zh-CN"/>
              </w:rPr>
              <w:t>引用</w:t>
            </w:r>
            <w:r>
              <w:rPr>
                <w:rFonts w:hint="eastAsia"/>
                <w:color w:val="auto"/>
                <w:sz w:val="21"/>
                <w:szCs w:val="21"/>
                <w:highlight w:val="none"/>
                <w:lang w:val="en-US" w:eastAsia="zh-CN"/>
              </w:rPr>
              <w:t>鸡西晟源环境检测有限公司</w:t>
            </w:r>
            <w:r>
              <w:rPr>
                <w:rFonts w:hint="default" w:ascii="Times New Roman" w:hAnsi="Times New Roman" w:eastAsia="宋体" w:cs="Times New Roman"/>
                <w:color w:val="auto"/>
                <w:sz w:val="21"/>
                <w:szCs w:val="21"/>
                <w:highlight w:val="none"/>
                <w:lang w:val="en-US" w:eastAsia="zh-CN"/>
              </w:rPr>
              <w:t>出具的</w:t>
            </w:r>
            <w:r>
              <w:rPr>
                <w:rFonts w:hint="eastAsia"/>
                <w:color w:val="auto"/>
                <w:sz w:val="21"/>
                <w:szCs w:val="21"/>
                <w:highlight w:val="none"/>
              </w:rPr>
              <w:t>《</w:t>
            </w:r>
            <w:r>
              <w:rPr>
                <w:rFonts w:hint="eastAsia"/>
                <w:color w:val="auto"/>
                <w:sz w:val="21"/>
                <w:szCs w:val="21"/>
                <w:highlight w:val="none"/>
                <w:lang w:val="en-US" w:eastAsia="zh-CN"/>
              </w:rPr>
              <w:t>鸡西市茂江煤炭洗选有限公司建设</w:t>
            </w:r>
            <w:r>
              <w:rPr>
                <w:rFonts w:hint="default"/>
                <w:color w:val="auto"/>
                <w:sz w:val="21"/>
                <w:szCs w:val="21"/>
                <w:highlight w:val="none"/>
              </w:rPr>
              <w:t>项目</w:t>
            </w:r>
            <w:r>
              <w:rPr>
                <w:rFonts w:hint="eastAsia"/>
                <w:color w:val="auto"/>
                <w:sz w:val="21"/>
                <w:szCs w:val="21"/>
                <w:highlight w:val="none"/>
                <w:lang w:val="en-US" w:eastAsia="zh-CN"/>
              </w:rPr>
              <w:t>环境影响报告表</w:t>
            </w:r>
            <w:r>
              <w:rPr>
                <w:rFonts w:hint="eastAsia"/>
                <w:color w:val="auto"/>
                <w:sz w:val="21"/>
                <w:szCs w:val="21"/>
                <w:highlight w:val="none"/>
              </w:rPr>
              <w:t>》的</w:t>
            </w:r>
            <w:r>
              <w:rPr>
                <w:rFonts w:hint="eastAsia"/>
                <w:color w:val="auto"/>
                <w:sz w:val="21"/>
                <w:szCs w:val="21"/>
                <w:highlight w:val="none"/>
                <w:lang w:val="en-US" w:eastAsia="zh-CN"/>
              </w:rPr>
              <w:t>检</w:t>
            </w:r>
            <w:r>
              <w:rPr>
                <w:rFonts w:hint="eastAsia"/>
                <w:color w:val="auto"/>
                <w:sz w:val="21"/>
                <w:szCs w:val="21"/>
                <w:highlight w:val="none"/>
              </w:rPr>
              <w:t>测报告（编号</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SY-BG-20240614-07</w:t>
            </w:r>
            <w:r>
              <w:rPr>
                <w:rFonts w:hint="eastAsia"/>
                <w:color w:val="auto"/>
                <w:sz w:val="21"/>
                <w:szCs w:val="21"/>
                <w:highlight w:val="none"/>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监测点位位于本项目西南侧3771米处。</w:t>
            </w:r>
            <w:r>
              <w:rPr>
                <w:rFonts w:hint="default" w:ascii="Times New Roman" w:hAnsi="Times New Roman" w:cs="Times New Roman"/>
                <w:color w:val="auto"/>
                <w:sz w:val="21"/>
                <w:szCs w:val="21"/>
                <w:highlight w:val="none"/>
              </w:rPr>
              <w:t>202</w:t>
            </w: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月</w:t>
            </w: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日</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日对项目所在区域进行监测，TSP连续监测24小时，</w:t>
            </w:r>
            <w:r>
              <w:rPr>
                <w:rFonts w:hint="default" w:ascii="Times New Roman" w:hAnsi="Times New Roman" w:cs="Times New Roman"/>
                <w:color w:val="auto"/>
                <w:kern w:val="0"/>
                <w:sz w:val="21"/>
                <w:szCs w:val="21"/>
                <w:highlight w:val="none"/>
                <w:lang w:val="en-US" w:eastAsia="zh-CN"/>
              </w:rPr>
              <w:t>连续监测三天</w:t>
            </w:r>
            <w:r>
              <w:rPr>
                <w:rFonts w:hint="eastAsia" w:ascii="Times New Roman" w:hAnsi="Times New Roman" w:cs="Times New Roman"/>
                <w:color w:val="auto"/>
                <w:kern w:val="0"/>
                <w:sz w:val="21"/>
                <w:szCs w:val="21"/>
                <w:highlight w:val="none"/>
                <w:lang w:val="en-US" w:eastAsia="zh-CN"/>
              </w:rPr>
              <w:t>。</w:t>
            </w:r>
            <w:r>
              <w:rPr>
                <w:rFonts w:hint="eastAsia"/>
                <w:color w:val="auto"/>
                <w:sz w:val="21"/>
                <w:szCs w:val="21"/>
                <w:highlight w:val="none"/>
                <w:lang w:val="en-US" w:eastAsia="zh-CN"/>
              </w:rPr>
              <w:t>根据</w:t>
            </w:r>
            <w:r>
              <w:rPr>
                <w:rFonts w:hint="eastAsia"/>
                <w:color w:val="auto"/>
                <w:sz w:val="21"/>
                <w:szCs w:val="21"/>
                <w:highlight w:val="none"/>
              </w:rPr>
              <w:t>《建设项目环境影响报告表编制技术指南（污染影响类）（试行）》</w:t>
            </w:r>
            <w:r>
              <w:rPr>
                <w:rFonts w:hint="eastAsia"/>
                <w:color w:val="auto"/>
                <w:sz w:val="21"/>
                <w:szCs w:val="21"/>
                <w:highlight w:val="none"/>
                <w:lang w:val="en-US" w:eastAsia="zh-CN"/>
              </w:rPr>
              <w:t>中要求“引用建设项目周边5千米范围内近3年的现有监测数据”，本项目引用点位位于本项目周边5千米范围内，且为3年内监测数据，故引用合理可行。</w:t>
            </w:r>
            <w:r>
              <w:rPr>
                <w:rFonts w:hint="default" w:ascii="Times New Roman" w:hAnsi="Times New Roman" w:cs="Times New Roman"/>
                <w:color w:val="auto"/>
                <w:sz w:val="21"/>
                <w:szCs w:val="21"/>
                <w:highlight w:val="none"/>
              </w:rPr>
              <w:t>监测点位见图3-</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w:t>
            </w:r>
          </w:p>
          <w:p w14:paraId="3680B8D8">
            <w:pPr>
              <w:pStyle w:val="35"/>
              <w:keepNext w:val="0"/>
              <w:keepLines w:val="0"/>
              <w:suppressLineNumbers w:val="0"/>
              <w:spacing w:before="0" w:beforeAutospacing="0" w:after="0" w:afterAutospacing="0" w:line="240" w:lineRule="auto"/>
              <w:ind w:left="0" w:right="0" w:firstLine="0" w:firstLineChars="0"/>
              <w:rPr>
                <w:rFonts w:hint="eastAsia" w:eastAsia="宋体"/>
                <w:color w:val="auto"/>
                <w:sz w:val="21"/>
                <w:szCs w:val="21"/>
                <w:highlight w:val="none"/>
                <w:lang w:eastAsia="zh-CN"/>
              </w:rPr>
            </w:pPr>
            <w:r>
              <w:rPr>
                <w:rFonts w:hint="default"/>
                <w:color w:val="auto"/>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3992880</wp:posOffset>
                      </wp:positionH>
                      <wp:positionV relativeFrom="paragraph">
                        <wp:posOffset>1701165</wp:posOffset>
                      </wp:positionV>
                      <wp:extent cx="1130300" cy="855345"/>
                      <wp:effectExtent l="4445" t="4445" r="8255" b="16510"/>
                      <wp:wrapNone/>
                      <wp:docPr id="34" name="文本框 34"/>
                      <wp:cNvGraphicFramePr/>
                      <a:graphic xmlns:a="http://schemas.openxmlformats.org/drawingml/2006/main">
                        <a:graphicData uri="http://schemas.microsoft.com/office/word/2010/wordprocessingShape">
                          <wps:wsp>
                            <wps:cNvSpPr txBox="1"/>
                            <wps:spPr>
                              <a:xfrm>
                                <a:off x="0" y="0"/>
                                <a:ext cx="1130300" cy="8553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0BFF6EC">
                                  <w:pPr>
                                    <w:jc w:val="center"/>
                                    <w:rPr>
                                      <w:rFonts w:hint="eastAsia"/>
                                      <w:lang w:val="en-US" w:eastAsia="zh-CN"/>
                                    </w:rPr>
                                  </w:pPr>
                                  <w:r>
                                    <w:rPr>
                                      <w:rFonts w:hint="eastAsia"/>
                                      <w:lang w:val="en-US" w:eastAsia="zh-CN"/>
                                    </w:rPr>
                                    <w:t>图例</w:t>
                                  </w:r>
                                </w:p>
                                <w:p w14:paraId="53396DBE">
                                  <w:pPr>
                                    <w:jc w:val="both"/>
                                    <w:rPr>
                                      <w:rFonts w:hint="default"/>
                                      <w:lang w:val="en-US" w:eastAsia="zh-CN"/>
                                    </w:rPr>
                                  </w:pPr>
                                  <w:r>
                                    <w:rPr>
                                      <w:rFonts w:hint="eastAsia"/>
                                      <w:color w:val="FF0000"/>
                                      <w:lang w:val="en-US" w:eastAsia="zh-CN"/>
                                    </w:rPr>
                                    <w:t>□</w:t>
                                  </w:r>
                                  <w:r>
                                    <w:rPr>
                                      <w:rFonts w:hint="eastAsia"/>
                                      <w:lang w:val="en-US" w:eastAsia="zh-CN"/>
                                    </w:rPr>
                                    <w:t>项目位置</w:t>
                                  </w:r>
                                </w:p>
                                <w:p w14:paraId="1C6F0AF2">
                                  <w:pPr>
                                    <w:jc w:val="both"/>
                                    <w:rPr>
                                      <w:rFonts w:hint="eastAsia" w:eastAsia="宋体"/>
                                      <w:lang w:val="en-US" w:eastAsia="zh-CN"/>
                                    </w:rPr>
                                  </w:pPr>
                                  <w:r>
                                    <w:drawing>
                                      <wp:inline distT="0" distB="0" distL="114300" distR="114300">
                                        <wp:extent cx="302895" cy="282575"/>
                                        <wp:effectExtent l="0" t="0" r="1905" b="3175"/>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7"/>
                                                <a:stretch>
                                                  <a:fillRect/>
                                                </a:stretch>
                                              </pic:blipFill>
                                              <pic:spPr>
                                                <a:xfrm>
                                                  <a:off x="0" y="0"/>
                                                  <a:ext cx="302895" cy="282575"/>
                                                </a:xfrm>
                                                <a:prstGeom prst="rect">
                                                  <a:avLst/>
                                                </a:prstGeom>
                                                <a:noFill/>
                                                <a:ln>
                                                  <a:noFill/>
                                                </a:ln>
                                              </pic:spPr>
                                            </pic:pic>
                                          </a:graphicData>
                                        </a:graphic>
                                      </wp:inline>
                                    </w:drawing>
                                  </w:r>
                                  <w:r>
                                    <w:rPr>
                                      <w:rFonts w:hint="eastAsia"/>
                                      <w:lang w:val="en-US" w:eastAsia="zh-CN"/>
                                    </w:rPr>
                                    <w:t>监测点位</w:t>
                                  </w:r>
                                </w:p>
                              </w:txbxContent>
                            </wps:txbx>
                            <wps:bodyPr upright="1"/>
                          </wps:wsp>
                        </a:graphicData>
                      </a:graphic>
                    </wp:anchor>
                  </w:drawing>
                </mc:Choice>
                <mc:Fallback>
                  <w:pict>
                    <v:shape id="_x0000_s1026" o:spid="_x0000_s1026" o:spt="202" type="#_x0000_t202" style="position:absolute;left:0pt;margin-left:314.4pt;margin-top:133.95pt;height:67.35pt;width:89pt;z-index:251670528;mso-width-relative:page;mso-height-relative:page;" fillcolor="#FFFFFF" filled="t" stroked="t" coordsize="21600,21600" o:gfxdata="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EdgDCdoAAAALAQAADwAAAAAAAAABACAA&#10;AAAiAAAAZHJzL2Rvd25yZXYueG1sUEsBAhQAFAAAAAgAh07iQG2nP7QLAgAAOAQAAA4AAAAAAAAA&#10;AQAgAAAAKQEAAGRycy9lMm9Eb2MueG1sUEsFBgAAAAAGAAYAWQEAAKYFAAAAAA==&#10;">
                      <v:fill on="t" focussize="0,0"/>
                      <v:stroke color="#000000" joinstyle="miter"/>
                      <v:imagedata o:title=""/>
                      <o:lock v:ext="edit" aspectratio="f"/>
                      <v:textbox>
                        <w:txbxContent>
                          <w:p w14:paraId="00BFF6EC">
                            <w:pPr>
                              <w:jc w:val="center"/>
                              <w:rPr>
                                <w:rFonts w:hint="eastAsia"/>
                                <w:lang w:val="en-US" w:eastAsia="zh-CN"/>
                              </w:rPr>
                            </w:pPr>
                            <w:r>
                              <w:rPr>
                                <w:rFonts w:hint="eastAsia"/>
                                <w:lang w:val="en-US" w:eastAsia="zh-CN"/>
                              </w:rPr>
                              <w:t>图例</w:t>
                            </w:r>
                          </w:p>
                          <w:p w14:paraId="53396DBE">
                            <w:pPr>
                              <w:jc w:val="both"/>
                              <w:rPr>
                                <w:rFonts w:hint="default"/>
                                <w:lang w:val="en-US" w:eastAsia="zh-CN"/>
                              </w:rPr>
                            </w:pPr>
                            <w:r>
                              <w:rPr>
                                <w:rFonts w:hint="eastAsia"/>
                                <w:color w:val="FF0000"/>
                                <w:lang w:val="en-US" w:eastAsia="zh-CN"/>
                              </w:rPr>
                              <w:t>□</w:t>
                            </w:r>
                            <w:r>
                              <w:rPr>
                                <w:rFonts w:hint="eastAsia"/>
                                <w:lang w:val="en-US" w:eastAsia="zh-CN"/>
                              </w:rPr>
                              <w:t>项目位置</w:t>
                            </w:r>
                          </w:p>
                          <w:p w14:paraId="1C6F0AF2">
                            <w:pPr>
                              <w:jc w:val="both"/>
                              <w:rPr>
                                <w:rFonts w:hint="eastAsia" w:eastAsia="宋体"/>
                                <w:lang w:val="en-US" w:eastAsia="zh-CN"/>
                              </w:rPr>
                            </w:pPr>
                            <w:r>
                              <w:drawing>
                                <wp:inline distT="0" distB="0" distL="114300" distR="114300">
                                  <wp:extent cx="302895" cy="282575"/>
                                  <wp:effectExtent l="0" t="0" r="1905" b="3175"/>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7"/>
                                          <a:stretch>
                                            <a:fillRect/>
                                          </a:stretch>
                                        </pic:blipFill>
                                        <pic:spPr>
                                          <a:xfrm>
                                            <a:off x="0" y="0"/>
                                            <a:ext cx="302895" cy="282575"/>
                                          </a:xfrm>
                                          <a:prstGeom prst="rect">
                                            <a:avLst/>
                                          </a:prstGeom>
                                          <a:noFill/>
                                          <a:ln>
                                            <a:noFill/>
                                          </a:ln>
                                        </pic:spPr>
                                      </pic:pic>
                                    </a:graphicData>
                                  </a:graphic>
                                </wp:inline>
                              </w:drawing>
                            </w:r>
                            <w:r>
                              <w:rPr>
                                <w:rFonts w:hint="eastAsia"/>
                                <w:lang w:val="en-US" w:eastAsia="zh-CN"/>
                              </w:rPr>
                              <w:t>监测点位</w:t>
                            </w:r>
                          </w:p>
                        </w:txbxContent>
                      </v:textbox>
                    </v:shape>
                  </w:pict>
                </mc:Fallback>
              </mc:AlternateContent>
            </w:r>
            <w:r>
              <w:rPr>
                <w:rFonts w:hint="eastAsia" w:eastAsia="宋体"/>
                <w:color w:val="auto"/>
                <w:sz w:val="21"/>
                <w:szCs w:val="21"/>
                <w:highlight w:val="none"/>
                <w:lang w:eastAsia="zh-CN"/>
              </w:rPr>
              <w:drawing>
                <wp:inline distT="0" distB="0" distL="114300" distR="114300">
                  <wp:extent cx="5096510" cy="2548255"/>
                  <wp:effectExtent l="0" t="0" r="8890" b="4445"/>
                  <wp:docPr id="18" name="图片 18" descr="大气现状监测引用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大气现状监测引用点位"/>
                          <pic:cNvPicPr>
                            <a:picLocks noChangeAspect="1"/>
                          </pic:cNvPicPr>
                        </pic:nvPicPr>
                        <pic:blipFill>
                          <a:blip r:embed="rId18"/>
                          <a:stretch>
                            <a:fillRect/>
                          </a:stretch>
                        </pic:blipFill>
                        <pic:spPr>
                          <a:xfrm>
                            <a:off x="0" y="0"/>
                            <a:ext cx="5096510" cy="2548255"/>
                          </a:xfrm>
                          <a:prstGeom prst="rect">
                            <a:avLst/>
                          </a:prstGeom>
                        </pic:spPr>
                      </pic:pic>
                    </a:graphicData>
                  </a:graphic>
                </wp:inline>
              </w:drawing>
            </w:r>
          </w:p>
          <w:p w14:paraId="41D5383D">
            <w:pPr>
              <w:keepNext w:val="0"/>
              <w:keepLines w:val="0"/>
              <w:widowControl/>
              <w:suppressLineNumbers w:val="0"/>
              <w:adjustRightInd/>
              <w:snapToGrid/>
              <w:spacing w:before="0" w:beforeAutospacing="0" w:after="0" w:afterAutospacing="0" w:line="240" w:lineRule="auto"/>
              <w:ind w:left="0" w:right="0"/>
              <w:jc w:val="center"/>
              <w:rPr>
                <w:rFonts w:hint="default"/>
                <w:b/>
                <w:bCs w:val="0"/>
                <w:color w:val="auto"/>
                <w:szCs w:val="21"/>
                <w:highlight w:val="none"/>
                <w:u w:val="none"/>
              </w:rPr>
            </w:pPr>
            <w:r>
              <w:rPr>
                <w:rFonts w:hint="default"/>
                <w:b/>
                <w:bCs w:val="0"/>
                <w:color w:val="auto"/>
                <w:kern w:val="0"/>
                <w:sz w:val="21"/>
                <w:szCs w:val="21"/>
                <w:highlight w:val="none"/>
              </w:rPr>
              <w:t>图3-1 大气监测点位图</w:t>
            </w:r>
          </w:p>
          <w:p w14:paraId="4F2A1F59">
            <w:pPr>
              <w:keepNext w:val="0"/>
              <w:keepLines w:val="0"/>
              <w:widowControl/>
              <w:suppressLineNumbers w:val="0"/>
              <w:adjustRightInd/>
              <w:snapToGrid/>
              <w:spacing w:before="0" w:beforeAutospacing="0" w:after="0" w:afterAutospacing="0" w:line="360" w:lineRule="auto"/>
              <w:ind w:left="0" w:right="0" w:firstLine="420" w:firstLineChars="200"/>
              <w:rPr>
                <w:rFonts w:hint="default"/>
                <w:color w:val="auto"/>
                <w:highlight w:val="none"/>
                <w:u w:val="none"/>
              </w:rPr>
            </w:pPr>
            <w:r>
              <w:rPr>
                <w:rFonts w:hint="default"/>
                <w:color w:val="auto"/>
                <w:highlight w:val="none"/>
                <w:u w:val="none"/>
              </w:rPr>
              <w:t>监测点基本信息见表3-</w:t>
            </w:r>
            <w:r>
              <w:rPr>
                <w:rFonts w:hint="eastAsia"/>
                <w:color w:val="auto"/>
                <w:highlight w:val="none"/>
                <w:u w:val="none"/>
              </w:rPr>
              <w:t>2</w:t>
            </w:r>
            <w:r>
              <w:rPr>
                <w:rFonts w:hint="default"/>
                <w:color w:val="auto"/>
                <w:highlight w:val="none"/>
                <w:u w:val="none"/>
              </w:rPr>
              <w:t>，评价结果见表3-</w:t>
            </w:r>
            <w:r>
              <w:rPr>
                <w:rFonts w:hint="eastAsia"/>
                <w:color w:val="auto"/>
                <w:highlight w:val="none"/>
                <w:u w:val="none"/>
              </w:rPr>
              <w:t>3</w:t>
            </w:r>
            <w:r>
              <w:rPr>
                <w:rFonts w:hint="default"/>
                <w:color w:val="auto"/>
                <w:highlight w:val="none"/>
                <w:u w:val="none"/>
              </w:rPr>
              <w:t>。</w:t>
            </w:r>
          </w:p>
          <w:p w14:paraId="2D27A854">
            <w:pPr>
              <w:keepNext w:val="0"/>
              <w:keepLines w:val="0"/>
              <w:suppressLineNumbers w:val="0"/>
              <w:adjustRightInd w:val="0"/>
              <w:snapToGrid w:val="0"/>
              <w:spacing w:before="0" w:beforeAutospacing="0" w:after="0" w:afterAutospacing="0"/>
              <w:ind w:left="0" w:right="0"/>
              <w:jc w:val="center"/>
              <w:rPr>
                <w:rFonts w:hint="default"/>
                <w:b/>
                <w:bCs/>
                <w:color w:val="auto"/>
                <w:kern w:val="0"/>
                <w:szCs w:val="21"/>
                <w:highlight w:val="none"/>
                <w:u w:val="none"/>
              </w:rPr>
            </w:pPr>
            <w:r>
              <w:rPr>
                <w:rFonts w:hint="eastAsia"/>
                <w:b/>
                <w:bCs/>
                <w:color w:val="auto"/>
                <w:kern w:val="0"/>
                <w:szCs w:val="21"/>
                <w:highlight w:val="none"/>
                <w:u w:val="none"/>
              </w:rPr>
              <w:t>表3-2  监测点基本信息表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542"/>
              <w:gridCol w:w="1210"/>
              <w:gridCol w:w="1400"/>
              <w:gridCol w:w="1514"/>
              <w:gridCol w:w="1530"/>
            </w:tblGrid>
            <w:tr w14:paraId="5B856F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1" w:type="dxa"/>
                  <w:tcBorders>
                    <w:tl2br w:val="nil"/>
                    <w:tr2bl w:val="nil"/>
                  </w:tcBorders>
                  <w:noWrap w:val="0"/>
                  <w:vAlign w:val="center"/>
                </w:tcPr>
                <w:p w14:paraId="6A30172D">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名称</w:t>
                  </w:r>
                </w:p>
              </w:tc>
              <w:tc>
                <w:tcPr>
                  <w:tcW w:w="1542" w:type="dxa"/>
                  <w:tcBorders>
                    <w:tl2br w:val="nil"/>
                    <w:tr2bl w:val="nil"/>
                  </w:tcBorders>
                  <w:noWrap w:val="0"/>
                  <w:vAlign w:val="center"/>
                </w:tcPr>
                <w:p w14:paraId="56EFEA2F">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default"/>
                      <w:color w:val="auto"/>
                      <w:kern w:val="0"/>
                      <w:sz w:val="18"/>
                      <w:szCs w:val="18"/>
                      <w:highlight w:val="none"/>
                    </w:rPr>
                    <w:t>坐标</w:t>
                  </w:r>
                  <w:r>
                    <w:rPr>
                      <w:rFonts w:hint="eastAsia"/>
                      <w:color w:val="auto"/>
                      <w:kern w:val="0"/>
                      <w:sz w:val="18"/>
                      <w:szCs w:val="18"/>
                      <w:highlight w:val="none"/>
                      <w:lang w:val="en-US" w:eastAsia="zh-CN"/>
                    </w:rPr>
                    <w:t>/°</w:t>
                  </w:r>
                </w:p>
              </w:tc>
              <w:tc>
                <w:tcPr>
                  <w:tcW w:w="1210" w:type="dxa"/>
                  <w:tcBorders>
                    <w:tl2br w:val="nil"/>
                    <w:tr2bl w:val="nil"/>
                  </w:tcBorders>
                  <w:noWrap w:val="0"/>
                  <w:vAlign w:val="center"/>
                </w:tcPr>
                <w:p w14:paraId="797EAB6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监测因子</w:t>
                  </w:r>
                </w:p>
              </w:tc>
              <w:tc>
                <w:tcPr>
                  <w:tcW w:w="1400" w:type="dxa"/>
                  <w:tcBorders>
                    <w:tl2br w:val="nil"/>
                    <w:tr2bl w:val="nil"/>
                  </w:tcBorders>
                  <w:noWrap w:val="0"/>
                  <w:vAlign w:val="center"/>
                </w:tcPr>
                <w:p w14:paraId="704AD25F">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监测时段</w:t>
                  </w:r>
                </w:p>
              </w:tc>
              <w:tc>
                <w:tcPr>
                  <w:tcW w:w="1514" w:type="dxa"/>
                  <w:tcBorders>
                    <w:tl2br w:val="nil"/>
                    <w:tr2bl w:val="nil"/>
                  </w:tcBorders>
                  <w:noWrap w:val="0"/>
                  <w:vAlign w:val="center"/>
                </w:tcPr>
                <w:p w14:paraId="273A23F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相对厂址方位</w:t>
                  </w:r>
                </w:p>
              </w:tc>
              <w:tc>
                <w:tcPr>
                  <w:tcW w:w="1530" w:type="dxa"/>
                  <w:tcBorders>
                    <w:tl2br w:val="nil"/>
                    <w:tr2bl w:val="nil"/>
                  </w:tcBorders>
                  <w:noWrap w:val="0"/>
                  <w:vAlign w:val="center"/>
                </w:tcPr>
                <w:p w14:paraId="3F7E7C65">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相对厂界距离/m</w:t>
                  </w:r>
                </w:p>
              </w:tc>
            </w:tr>
            <w:tr w14:paraId="1E3C0F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841" w:type="dxa"/>
                  <w:tcBorders>
                    <w:tl2br w:val="nil"/>
                    <w:tr2bl w:val="nil"/>
                  </w:tcBorders>
                  <w:noWrap w:val="0"/>
                  <w:vAlign w:val="center"/>
                </w:tcPr>
                <w:p w14:paraId="7EB69435">
                  <w:pPr>
                    <w:keepNext w:val="0"/>
                    <w:keepLines w:val="0"/>
                    <w:suppressLineNumbers w:val="0"/>
                    <w:adjustRightInd w:val="0"/>
                    <w:snapToGrid w:val="0"/>
                    <w:spacing w:before="0" w:beforeAutospacing="0" w:after="0" w:afterAutospacing="0"/>
                    <w:ind w:left="0" w:right="0"/>
                    <w:jc w:val="both"/>
                    <w:rPr>
                      <w:rFonts w:hint="default" w:eastAsia="宋体"/>
                      <w:color w:val="auto"/>
                      <w:sz w:val="18"/>
                      <w:szCs w:val="18"/>
                      <w:highlight w:val="none"/>
                      <w:lang w:val="en-US" w:eastAsia="zh-CN"/>
                    </w:rPr>
                  </w:pPr>
                  <w:r>
                    <w:rPr>
                      <w:rFonts w:hint="eastAsia"/>
                      <w:color w:val="auto"/>
                      <w:sz w:val="18"/>
                      <w:szCs w:val="18"/>
                      <w:highlight w:val="none"/>
                      <w:lang w:val="en-US" w:eastAsia="zh-CN"/>
                    </w:rPr>
                    <w:t>引用监测点位</w:t>
                  </w:r>
                </w:p>
              </w:tc>
              <w:tc>
                <w:tcPr>
                  <w:tcW w:w="1542" w:type="dxa"/>
                  <w:tcBorders>
                    <w:tl2br w:val="nil"/>
                    <w:tr2bl w:val="nil"/>
                  </w:tcBorders>
                  <w:noWrap w:val="0"/>
                  <w:vAlign w:val="center"/>
                </w:tcPr>
                <w:p w14:paraId="631BA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u w:val="none"/>
                    </w:rPr>
                  </w:pPr>
                  <w:r>
                    <w:rPr>
                      <w:rFonts w:hint="default"/>
                      <w:color w:val="auto"/>
                      <w:sz w:val="18"/>
                      <w:szCs w:val="18"/>
                      <w:highlight w:val="none"/>
                      <w:u w:val="none"/>
                    </w:rPr>
                    <w:t>130.91977000</w:t>
                  </w:r>
                </w:p>
                <w:p w14:paraId="0D311F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u w:val="none"/>
                    </w:rPr>
                    <w:t>45.17619845</w:t>
                  </w:r>
                </w:p>
              </w:tc>
              <w:tc>
                <w:tcPr>
                  <w:tcW w:w="1210" w:type="dxa"/>
                  <w:tcBorders>
                    <w:tl2br w:val="nil"/>
                    <w:tr2bl w:val="nil"/>
                  </w:tcBorders>
                  <w:noWrap w:val="0"/>
                  <w:vAlign w:val="center"/>
                </w:tcPr>
                <w:p w14:paraId="1E126EC0">
                  <w:pPr>
                    <w:keepNext w:val="0"/>
                    <w:keepLines w:val="0"/>
                    <w:widowControl/>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default"/>
                      <w:color w:val="auto"/>
                      <w:kern w:val="0"/>
                      <w:sz w:val="18"/>
                      <w:szCs w:val="18"/>
                      <w:highlight w:val="none"/>
                    </w:rPr>
                    <w:t>TSP</w:t>
                  </w:r>
                </w:p>
              </w:tc>
              <w:tc>
                <w:tcPr>
                  <w:tcW w:w="1400" w:type="dxa"/>
                  <w:tcBorders>
                    <w:tl2br w:val="nil"/>
                    <w:tr2bl w:val="nil"/>
                  </w:tcBorders>
                  <w:noWrap w:val="0"/>
                  <w:vAlign w:val="center"/>
                </w:tcPr>
                <w:p w14:paraId="26B0737A">
                  <w:pPr>
                    <w:keepNext w:val="0"/>
                    <w:keepLines w:val="0"/>
                    <w:widowControl/>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kern w:val="0"/>
                      <w:sz w:val="18"/>
                      <w:szCs w:val="18"/>
                      <w:highlight w:val="none"/>
                    </w:rPr>
                    <w:t>24小时平均</w:t>
                  </w:r>
                </w:p>
              </w:tc>
              <w:tc>
                <w:tcPr>
                  <w:tcW w:w="1514" w:type="dxa"/>
                  <w:tcBorders>
                    <w:tl2br w:val="nil"/>
                    <w:tr2bl w:val="nil"/>
                  </w:tcBorders>
                  <w:noWrap w:val="0"/>
                  <w:vAlign w:val="center"/>
                </w:tcPr>
                <w:p w14:paraId="69A71D92">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SW</w:t>
                  </w:r>
                </w:p>
              </w:tc>
              <w:tc>
                <w:tcPr>
                  <w:tcW w:w="1530" w:type="dxa"/>
                  <w:tcBorders>
                    <w:tl2br w:val="nil"/>
                    <w:tr2bl w:val="nil"/>
                  </w:tcBorders>
                  <w:noWrap w:val="0"/>
                  <w:vAlign w:val="center"/>
                </w:tcPr>
                <w:p w14:paraId="26A945E8">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3771</w:t>
                  </w:r>
                </w:p>
              </w:tc>
            </w:tr>
          </w:tbl>
          <w:p w14:paraId="41BA37FA">
            <w:pPr>
              <w:pStyle w:val="53"/>
              <w:keepNext w:val="0"/>
              <w:keepLines w:val="0"/>
              <w:suppressLineNumbers w:val="0"/>
              <w:spacing w:before="0" w:beforeLines="0" w:beforeAutospacing="0" w:after="0" w:afterLines="0" w:afterAutospacing="0"/>
              <w:ind w:left="0" w:right="0" w:firstLine="0" w:firstLineChars="0"/>
              <w:jc w:val="center"/>
              <w:rPr>
                <w:rFonts w:hint="default"/>
                <w:b/>
                <w:bCs/>
                <w:color w:val="auto"/>
                <w:sz w:val="21"/>
                <w:szCs w:val="21"/>
                <w:highlight w:val="none"/>
              </w:rPr>
            </w:pPr>
            <w:r>
              <w:rPr>
                <w:rFonts w:hint="default"/>
                <w:b/>
                <w:bCs/>
                <w:color w:val="auto"/>
                <w:sz w:val="21"/>
                <w:szCs w:val="21"/>
                <w:highlight w:val="none"/>
              </w:rPr>
              <w:t>表3-</w:t>
            </w:r>
            <w:r>
              <w:rPr>
                <w:rFonts w:hint="eastAsia"/>
                <w:b/>
                <w:bCs/>
                <w:color w:val="auto"/>
                <w:sz w:val="21"/>
                <w:szCs w:val="21"/>
                <w:highlight w:val="none"/>
                <w:lang w:val="en-US" w:eastAsia="zh-CN"/>
              </w:rPr>
              <w:t>3</w:t>
            </w:r>
            <w:r>
              <w:rPr>
                <w:rFonts w:hint="default"/>
                <w:b/>
                <w:bCs/>
                <w:color w:val="auto"/>
                <w:sz w:val="21"/>
                <w:szCs w:val="21"/>
                <w:highlight w:val="none"/>
              </w:rPr>
              <w:t>监测结果</w:t>
            </w:r>
          </w:p>
          <w:tbl>
            <w:tblPr>
              <w:tblStyle w:val="37"/>
              <w:tblW w:w="499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1146"/>
              <w:gridCol w:w="1146"/>
              <w:gridCol w:w="1147"/>
              <w:gridCol w:w="1273"/>
              <w:gridCol w:w="1021"/>
              <w:gridCol w:w="1148"/>
            </w:tblGrid>
            <w:tr w14:paraId="51ACF0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46" w:type="dxa"/>
                  <w:tcBorders>
                    <w:tl2br w:val="nil"/>
                    <w:tr2bl w:val="nil"/>
                  </w:tcBorders>
                  <w:noWrap w:val="0"/>
                  <w:vAlign w:val="center"/>
                </w:tcPr>
                <w:p w14:paraId="78D6EEA9">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名称</w:t>
                  </w:r>
                </w:p>
              </w:tc>
              <w:tc>
                <w:tcPr>
                  <w:tcW w:w="1146" w:type="dxa"/>
                  <w:tcBorders>
                    <w:tl2br w:val="nil"/>
                    <w:tr2bl w:val="nil"/>
                  </w:tcBorders>
                  <w:noWrap w:val="0"/>
                  <w:vAlign w:val="center"/>
                </w:tcPr>
                <w:p w14:paraId="24D61490">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污染物</w:t>
                  </w:r>
                </w:p>
              </w:tc>
              <w:tc>
                <w:tcPr>
                  <w:tcW w:w="1146" w:type="dxa"/>
                  <w:tcBorders>
                    <w:tl2br w:val="nil"/>
                    <w:tr2bl w:val="nil"/>
                  </w:tcBorders>
                  <w:noWrap w:val="0"/>
                  <w:vAlign w:val="center"/>
                </w:tcPr>
                <w:p w14:paraId="214564F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评价标准（μg/m</w:t>
                  </w:r>
                  <w:r>
                    <w:rPr>
                      <w:rFonts w:hint="default"/>
                      <w:color w:val="auto"/>
                      <w:kern w:val="0"/>
                      <w:sz w:val="18"/>
                      <w:szCs w:val="18"/>
                      <w:highlight w:val="none"/>
                      <w:vertAlign w:val="superscript"/>
                    </w:rPr>
                    <w:t>3</w:t>
                  </w:r>
                  <w:r>
                    <w:rPr>
                      <w:rFonts w:hint="default"/>
                      <w:color w:val="auto"/>
                      <w:kern w:val="0"/>
                      <w:sz w:val="18"/>
                      <w:szCs w:val="18"/>
                      <w:highlight w:val="none"/>
                    </w:rPr>
                    <w:t>）</w:t>
                  </w:r>
                </w:p>
              </w:tc>
              <w:tc>
                <w:tcPr>
                  <w:tcW w:w="1147" w:type="dxa"/>
                  <w:tcBorders>
                    <w:tl2br w:val="nil"/>
                    <w:tr2bl w:val="nil"/>
                  </w:tcBorders>
                  <w:noWrap w:val="0"/>
                  <w:vAlign w:val="center"/>
                </w:tcPr>
                <w:p w14:paraId="51AEA014">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浓度范围（μg/m</w:t>
                  </w:r>
                  <w:r>
                    <w:rPr>
                      <w:rFonts w:hint="default"/>
                      <w:color w:val="auto"/>
                      <w:kern w:val="0"/>
                      <w:sz w:val="18"/>
                      <w:szCs w:val="18"/>
                      <w:highlight w:val="none"/>
                      <w:vertAlign w:val="superscript"/>
                    </w:rPr>
                    <w:t>3</w:t>
                  </w:r>
                  <w:r>
                    <w:rPr>
                      <w:rFonts w:hint="default"/>
                      <w:color w:val="auto"/>
                      <w:kern w:val="0"/>
                      <w:sz w:val="18"/>
                      <w:szCs w:val="18"/>
                      <w:highlight w:val="none"/>
                    </w:rPr>
                    <w:t>）</w:t>
                  </w:r>
                </w:p>
              </w:tc>
              <w:tc>
                <w:tcPr>
                  <w:tcW w:w="1273" w:type="dxa"/>
                  <w:tcBorders>
                    <w:tl2br w:val="nil"/>
                    <w:tr2bl w:val="nil"/>
                  </w:tcBorders>
                  <w:noWrap w:val="0"/>
                  <w:vAlign w:val="center"/>
                </w:tcPr>
                <w:p w14:paraId="2F79A575">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最大占标率%</w:t>
                  </w:r>
                </w:p>
              </w:tc>
              <w:tc>
                <w:tcPr>
                  <w:tcW w:w="1021" w:type="dxa"/>
                  <w:tcBorders>
                    <w:tl2br w:val="nil"/>
                    <w:tr2bl w:val="nil"/>
                  </w:tcBorders>
                  <w:noWrap w:val="0"/>
                  <w:vAlign w:val="center"/>
                </w:tcPr>
                <w:p w14:paraId="11DE3BE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超标率%</w:t>
                  </w:r>
                </w:p>
              </w:tc>
              <w:tc>
                <w:tcPr>
                  <w:tcW w:w="1148" w:type="dxa"/>
                  <w:tcBorders>
                    <w:tl2br w:val="nil"/>
                    <w:tr2bl w:val="nil"/>
                  </w:tcBorders>
                  <w:noWrap w:val="0"/>
                  <w:vAlign w:val="center"/>
                </w:tcPr>
                <w:p w14:paraId="0FB4798C">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达标情况</w:t>
                  </w:r>
                </w:p>
              </w:tc>
            </w:tr>
            <w:tr w14:paraId="582DC8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146" w:type="dxa"/>
                  <w:tcBorders>
                    <w:tl2br w:val="nil"/>
                    <w:tr2bl w:val="nil"/>
                  </w:tcBorders>
                  <w:noWrap w:val="0"/>
                  <w:vAlign w:val="center"/>
                </w:tcPr>
                <w:p w14:paraId="0D439AB8">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val="en-US" w:eastAsia="zh-CN"/>
                    </w:rPr>
                    <w:t>引用监测点位</w:t>
                  </w:r>
                </w:p>
              </w:tc>
              <w:tc>
                <w:tcPr>
                  <w:tcW w:w="1146" w:type="dxa"/>
                  <w:tcBorders>
                    <w:tl2br w:val="nil"/>
                    <w:tr2bl w:val="nil"/>
                  </w:tcBorders>
                  <w:noWrap w:val="0"/>
                  <w:vAlign w:val="center"/>
                </w:tcPr>
                <w:p w14:paraId="79E7915D">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TSP</w:t>
                  </w:r>
                </w:p>
              </w:tc>
              <w:tc>
                <w:tcPr>
                  <w:tcW w:w="1146" w:type="dxa"/>
                  <w:tcBorders>
                    <w:tl2br w:val="nil"/>
                    <w:tr2bl w:val="nil"/>
                  </w:tcBorders>
                  <w:noWrap w:val="0"/>
                  <w:vAlign w:val="center"/>
                </w:tcPr>
                <w:p w14:paraId="34BE20FE">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300</w:t>
                  </w:r>
                </w:p>
              </w:tc>
              <w:tc>
                <w:tcPr>
                  <w:tcW w:w="1147" w:type="dxa"/>
                  <w:tcBorders>
                    <w:tl2br w:val="nil"/>
                    <w:tr2bl w:val="nil"/>
                  </w:tcBorders>
                  <w:noWrap w:val="0"/>
                  <w:vAlign w:val="center"/>
                </w:tcPr>
                <w:p w14:paraId="5736958D">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18"/>
                      <w:szCs w:val="18"/>
                      <w:highlight w:val="none"/>
                      <w:lang w:val="en-US"/>
                    </w:rPr>
                  </w:pPr>
                  <w:r>
                    <w:rPr>
                      <w:rFonts w:hint="eastAsia" w:cs="Times New Roman"/>
                      <w:color w:val="auto"/>
                      <w:sz w:val="18"/>
                      <w:szCs w:val="18"/>
                      <w:highlight w:val="none"/>
                      <w:lang w:val="en-US" w:eastAsia="zh-CN"/>
                    </w:rPr>
                    <w:t>44-52</w:t>
                  </w:r>
                </w:p>
              </w:tc>
              <w:tc>
                <w:tcPr>
                  <w:tcW w:w="1273" w:type="dxa"/>
                  <w:tcBorders>
                    <w:tl2br w:val="nil"/>
                    <w:tr2bl w:val="nil"/>
                  </w:tcBorders>
                  <w:noWrap w:val="0"/>
                  <w:vAlign w:val="center"/>
                </w:tcPr>
                <w:p w14:paraId="09B7FEA0">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17.3</w:t>
                  </w:r>
                </w:p>
              </w:tc>
              <w:tc>
                <w:tcPr>
                  <w:tcW w:w="1021" w:type="dxa"/>
                  <w:tcBorders>
                    <w:tl2br w:val="nil"/>
                    <w:tr2bl w:val="nil"/>
                  </w:tcBorders>
                  <w:noWrap w:val="0"/>
                  <w:vAlign w:val="center"/>
                </w:tcPr>
                <w:p w14:paraId="57840071">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0</w:t>
                  </w:r>
                </w:p>
              </w:tc>
              <w:tc>
                <w:tcPr>
                  <w:tcW w:w="1148" w:type="dxa"/>
                  <w:tcBorders>
                    <w:tl2br w:val="nil"/>
                    <w:tr2bl w:val="nil"/>
                  </w:tcBorders>
                  <w:noWrap w:val="0"/>
                  <w:vAlign w:val="center"/>
                </w:tcPr>
                <w:p w14:paraId="46F689CD">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达标</w:t>
                  </w:r>
                </w:p>
              </w:tc>
            </w:tr>
          </w:tbl>
          <w:p w14:paraId="76765313">
            <w:pPr>
              <w:keepNext w:val="0"/>
              <w:keepLines w:val="0"/>
              <w:widowControl/>
              <w:suppressLineNumbers w:val="0"/>
              <w:spacing w:before="0" w:beforeAutospacing="0" w:after="0" w:afterAutospacing="0" w:line="360" w:lineRule="auto"/>
              <w:ind w:left="0" w:right="0" w:firstLine="420" w:firstLineChars="200"/>
              <w:rPr>
                <w:rFonts w:hint="eastAsia" w:eastAsia="宋体"/>
                <w:color w:val="auto"/>
                <w:highlight w:val="none"/>
                <w:lang w:eastAsia="zh-CN"/>
              </w:rPr>
            </w:pPr>
            <w:r>
              <w:rPr>
                <w:rFonts w:hint="default"/>
                <w:color w:val="auto"/>
                <w:sz w:val="21"/>
                <w:szCs w:val="21"/>
                <w:highlight w:val="none"/>
              </w:rPr>
              <w:t>根据现状检测结果可知，项目所在地</w:t>
            </w:r>
            <w:r>
              <w:rPr>
                <w:rFonts w:hint="eastAsia"/>
                <w:color w:val="auto"/>
                <w:sz w:val="21"/>
                <w:szCs w:val="21"/>
                <w:highlight w:val="none"/>
                <w:lang w:val="en-US" w:eastAsia="zh-CN"/>
              </w:rPr>
              <w:t>TSP24小时平均</w:t>
            </w:r>
            <w:r>
              <w:rPr>
                <w:rFonts w:hint="eastAsia"/>
                <w:color w:val="auto"/>
                <w:sz w:val="21"/>
                <w:szCs w:val="21"/>
                <w:highlight w:val="none"/>
              </w:rPr>
              <w:t>值可满足《环境空气质量标准》（GB3095-2012）</w:t>
            </w:r>
            <w:r>
              <w:rPr>
                <w:rFonts w:hint="eastAsia"/>
                <w:color w:val="auto"/>
                <w:sz w:val="21"/>
                <w:szCs w:val="21"/>
                <w:highlight w:val="none"/>
                <w:lang w:val="en-US" w:eastAsia="zh-CN"/>
              </w:rPr>
              <w:t>及修改单</w:t>
            </w:r>
            <w:r>
              <w:rPr>
                <w:rFonts w:hint="eastAsia"/>
                <w:color w:val="auto"/>
                <w:sz w:val="21"/>
                <w:szCs w:val="21"/>
                <w:highlight w:val="none"/>
              </w:rPr>
              <w:t>二级标准要求，区域环境空气质量良好</w:t>
            </w:r>
            <w:r>
              <w:rPr>
                <w:rFonts w:hint="eastAsia"/>
                <w:color w:val="auto"/>
                <w:sz w:val="21"/>
                <w:szCs w:val="21"/>
                <w:highlight w:val="none"/>
                <w:lang w:eastAsia="zh-CN"/>
              </w:rPr>
              <w:t>。</w:t>
            </w:r>
          </w:p>
          <w:p w14:paraId="52360CC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2、地表水环境</w:t>
            </w:r>
          </w:p>
          <w:p w14:paraId="15B269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bCs/>
                <w:color w:val="auto"/>
                <w:szCs w:val="21"/>
                <w:highlight w:val="none"/>
                <w:lang w:val="en-US" w:eastAsia="zh-CN"/>
              </w:rPr>
            </w:pPr>
            <w:bookmarkStart w:id="6" w:name="_Toc207005094"/>
            <w:bookmarkStart w:id="7" w:name="_Toc318898968"/>
            <w:bookmarkStart w:id="8" w:name="_Toc301514512"/>
            <w:bookmarkStart w:id="9" w:name="_Toc218321831"/>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区域地表水体为穆棱河</w:t>
            </w:r>
            <w:r>
              <w:rPr>
                <w:rFonts w:hint="default" w:ascii="Times New Roman" w:hAnsi="Times New Roman" w:cs="Times New Roman"/>
                <w:color w:val="auto"/>
                <w:sz w:val="21"/>
                <w:szCs w:val="21"/>
                <w:highlight w:val="none"/>
                <w:lang w:val="en-US" w:eastAsia="zh-CN"/>
              </w:rPr>
              <w:t>。</w:t>
            </w:r>
            <w:r>
              <w:rPr>
                <w:rFonts w:hint="eastAsia"/>
                <w:color w:val="auto"/>
                <w:sz w:val="21"/>
                <w:szCs w:val="21"/>
                <w:highlight w:val="none"/>
              </w:rPr>
              <w:t>根据</w:t>
            </w:r>
            <w:r>
              <w:rPr>
                <w:rFonts w:hint="eastAsia"/>
                <w:bCs/>
                <w:color w:val="auto"/>
                <w:sz w:val="21"/>
                <w:szCs w:val="21"/>
                <w:highlight w:val="none"/>
              </w:rPr>
              <w:t>鸡西市生态环境局网站公布的202</w:t>
            </w:r>
            <w:r>
              <w:rPr>
                <w:rFonts w:hint="eastAsia"/>
                <w:bCs/>
                <w:color w:val="auto"/>
                <w:sz w:val="21"/>
                <w:szCs w:val="21"/>
                <w:highlight w:val="none"/>
                <w:lang w:val="en-US" w:eastAsia="zh-CN"/>
              </w:rPr>
              <w:t>4</w:t>
            </w:r>
            <w:r>
              <w:rPr>
                <w:rFonts w:hint="eastAsia"/>
                <w:bCs/>
                <w:color w:val="auto"/>
                <w:sz w:val="21"/>
                <w:szCs w:val="21"/>
                <w:highlight w:val="none"/>
              </w:rPr>
              <w:t>年1月</w:t>
            </w:r>
            <w:r>
              <w:rPr>
                <w:rFonts w:hint="eastAsia"/>
                <w:bCs/>
                <w:color w:val="auto"/>
                <w:sz w:val="21"/>
                <w:szCs w:val="21"/>
                <w:highlight w:val="none"/>
                <w:lang w:eastAsia="zh-CN"/>
              </w:rPr>
              <w:t>—</w:t>
            </w:r>
            <w:r>
              <w:rPr>
                <w:rFonts w:hint="eastAsia"/>
                <w:bCs/>
                <w:color w:val="auto"/>
                <w:sz w:val="21"/>
                <w:szCs w:val="21"/>
                <w:highlight w:val="none"/>
              </w:rPr>
              <w:t>12月《鸡西市地表水国控考核断面水质信息公开》，穆棱河知一桥、穆棱河河口内断面全年达到</w:t>
            </w:r>
            <w:r>
              <w:rPr>
                <w:rFonts w:hint="default" w:ascii="Times New Roman" w:hAnsi="Times New Roman" w:cs="Times New Roman"/>
                <w:bCs/>
                <w:color w:val="auto"/>
                <w:sz w:val="21"/>
                <w:szCs w:val="21"/>
                <w:highlight w:val="none"/>
              </w:rPr>
              <w:t>Ⅲ</w:t>
            </w:r>
            <w:r>
              <w:rPr>
                <w:rFonts w:hint="eastAsia"/>
                <w:bCs/>
                <w:color w:val="auto"/>
                <w:sz w:val="21"/>
                <w:szCs w:val="21"/>
                <w:highlight w:val="none"/>
              </w:rPr>
              <w:t>类水质类别标准</w:t>
            </w:r>
            <w:r>
              <w:rPr>
                <w:rFonts w:hint="default" w:ascii="Times New Roman" w:hAnsi="Times New Roman" w:cs="Times New Roman"/>
                <w:color w:val="auto"/>
                <w:sz w:val="21"/>
                <w:szCs w:val="21"/>
                <w:highlight w:val="none"/>
                <w:lang w:val="zh-TW" w:eastAsia="zh-TW"/>
              </w:rPr>
              <w:t>。</w:t>
            </w:r>
            <w:bookmarkEnd w:id="6"/>
            <w:bookmarkEnd w:id="7"/>
            <w:bookmarkEnd w:id="8"/>
            <w:bookmarkEnd w:id="9"/>
          </w:p>
          <w:p w14:paraId="359E0F02">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3、声环境</w:t>
            </w:r>
          </w:p>
          <w:p w14:paraId="794C3D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根据《202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sz w:val="21"/>
                <w:szCs w:val="21"/>
                <w:highlight w:val="none"/>
                <w:lang w:val="en-US" w:eastAsia="zh-CN"/>
              </w:rPr>
              <w:t>黑龙江省生态环境质量状况</w:t>
            </w:r>
            <w:r>
              <w:rPr>
                <w:rFonts w:hint="default" w:ascii="Times New Roman" w:hAnsi="Times New Roman" w:eastAsia="宋体" w:cs="Times New Roman"/>
                <w:color w:val="auto"/>
                <w:sz w:val="21"/>
                <w:szCs w:val="21"/>
                <w:highlight w:val="none"/>
              </w:rPr>
              <w:t>》数据可知，202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kern w:val="0"/>
                <w:sz w:val="21"/>
                <w:szCs w:val="21"/>
                <w:highlight w:val="none"/>
                <w:lang w:val="en-US" w:eastAsia="zh-CN" w:bidi="ar"/>
              </w:rPr>
              <w:t>鸡西市区域昼间声环境质量为二级，等效声级为5</w:t>
            </w:r>
            <w:r>
              <w:rPr>
                <w:rFonts w:hint="eastAsia" w:cs="Times New Roman"/>
                <w:color w:val="auto"/>
                <w:kern w:val="0"/>
                <w:sz w:val="21"/>
                <w:szCs w:val="21"/>
                <w:highlight w:val="none"/>
                <w:lang w:val="en-US" w:eastAsia="zh-CN" w:bidi="ar"/>
              </w:rPr>
              <w:t>3.6</w:t>
            </w:r>
            <w:r>
              <w:rPr>
                <w:rFonts w:hint="default" w:ascii="Times New Roman" w:hAnsi="Times New Roman" w:eastAsia="宋体" w:cs="Times New Roman"/>
                <w:color w:val="auto"/>
                <w:kern w:val="0"/>
                <w:sz w:val="21"/>
                <w:szCs w:val="21"/>
                <w:highlight w:val="none"/>
                <w:lang w:val="en-US" w:eastAsia="zh-CN" w:bidi="ar"/>
              </w:rPr>
              <w:t>dB(A)</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道路交通昼间声环境质量为一级，等效声级为6</w:t>
            </w:r>
            <w:r>
              <w:rPr>
                <w:rFonts w:hint="eastAsia" w:cs="Times New Roman"/>
                <w:color w:val="auto"/>
                <w:kern w:val="0"/>
                <w:sz w:val="21"/>
                <w:szCs w:val="21"/>
                <w:highlight w:val="none"/>
                <w:lang w:val="en-US" w:eastAsia="zh-CN" w:bidi="ar"/>
              </w:rPr>
              <w:t>5.8</w:t>
            </w:r>
            <w:r>
              <w:rPr>
                <w:rFonts w:hint="default" w:ascii="Times New Roman" w:hAnsi="Times New Roman" w:eastAsia="宋体" w:cs="Times New Roman"/>
                <w:color w:val="auto"/>
                <w:kern w:val="0"/>
                <w:sz w:val="21"/>
                <w:szCs w:val="21"/>
                <w:highlight w:val="none"/>
                <w:lang w:val="en-US" w:eastAsia="zh-CN" w:bidi="ar"/>
              </w:rPr>
              <w:t>dB(A)；功能区昼间达标率100%；功能区夜间达标率100%。</w:t>
            </w:r>
          </w:p>
          <w:p w14:paraId="1F8CCBBC">
            <w:pPr>
              <w:pStyle w:val="15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 w:val="21"/>
                <w:szCs w:val="21"/>
                <w:highlight w:val="none"/>
                <w:lang w:eastAsia="zh-CN"/>
              </w:rPr>
              <w:t>根据</w:t>
            </w:r>
            <w:r>
              <w:rPr>
                <w:rFonts w:hint="eastAsia" w:cs="Times New Roman"/>
                <w:color w:val="auto"/>
                <w:sz w:val="21"/>
                <w:szCs w:val="21"/>
                <w:highlight w:val="none"/>
                <w:lang w:val="en-US" w:eastAsia="zh-CN"/>
              </w:rPr>
              <w:t>鸡西晟源环境</w:t>
            </w:r>
            <w:r>
              <w:rPr>
                <w:rFonts w:hint="default" w:ascii="Times New Roman" w:hAnsi="Times New Roman" w:cs="Times New Roman"/>
                <w:color w:val="auto"/>
                <w:highlight w:val="none"/>
                <w:lang w:eastAsia="zh-CN"/>
              </w:rPr>
              <w:t>检测</w:t>
            </w:r>
            <w:r>
              <w:rPr>
                <w:rFonts w:hint="default" w:ascii="Times New Roman" w:hAnsi="Times New Roman" w:cs="Times New Roman"/>
                <w:color w:val="auto"/>
                <w:highlight w:val="none"/>
              </w:rPr>
              <w:t>有限公司</w:t>
            </w:r>
            <w:r>
              <w:rPr>
                <w:rFonts w:hint="default" w:ascii="Times New Roman" w:hAnsi="Times New Roman" w:cs="Times New Roman"/>
                <w:color w:val="auto"/>
                <w:sz w:val="21"/>
                <w:szCs w:val="21"/>
                <w:highlight w:val="none"/>
              </w:rPr>
              <w:t>于</w:t>
            </w:r>
            <w:r>
              <w:rPr>
                <w:rFonts w:hint="default" w:ascii="Times New Roman" w:hAnsi="Times New Roman" w:cs="Times New Roman"/>
                <w:color w:val="auto"/>
                <w:sz w:val="21"/>
                <w:szCs w:val="21"/>
                <w:highlight w:val="none"/>
                <w:lang w:val="en-US" w:eastAsia="zh-CN"/>
              </w:rPr>
              <w:t>202</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年</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月</w:t>
            </w: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rPr>
              <w:t>日对</w:t>
            </w:r>
            <w:r>
              <w:rPr>
                <w:rFonts w:hint="eastAsia" w:ascii="Times New Roman" w:hAnsi="Times New Roman" w:cs="Times New Roman"/>
                <w:color w:val="auto"/>
                <w:sz w:val="21"/>
                <w:szCs w:val="21"/>
                <w:highlight w:val="none"/>
                <w:lang w:eastAsia="zh-CN"/>
              </w:rPr>
              <w:t>本</w:t>
            </w:r>
            <w:r>
              <w:rPr>
                <w:rFonts w:hint="eastAsia" w:ascii="Times New Roman" w:hAnsi="Times New Roman" w:cs="Times New Roman"/>
                <w:color w:val="auto"/>
                <w:highlight w:val="none"/>
                <w:lang w:eastAsia="zh-CN"/>
              </w:rPr>
              <w:t>项目</w:t>
            </w:r>
            <w:r>
              <w:rPr>
                <w:rFonts w:hint="default" w:ascii="Times New Roman" w:hAnsi="Times New Roman" w:cs="Times New Roman"/>
                <w:color w:val="auto"/>
                <w:sz w:val="21"/>
                <w:szCs w:val="21"/>
                <w:highlight w:val="none"/>
                <w:lang w:eastAsia="zh-CN"/>
              </w:rPr>
              <w:t>厂界</w:t>
            </w:r>
            <w:r>
              <w:rPr>
                <w:rFonts w:hint="eastAsia" w:cs="Times New Roman"/>
                <w:color w:val="auto"/>
                <w:sz w:val="21"/>
                <w:szCs w:val="21"/>
                <w:lang w:val="en-US" w:eastAsia="zh-CN"/>
              </w:rPr>
              <w:t>西侧职工家属楼</w:t>
            </w:r>
            <w:r>
              <w:rPr>
                <w:rFonts w:hint="default" w:ascii="Times New Roman" w:hAnsi="Times New Roman" w:cs="Times New Roman"/>
                <w:color w:val="auto"/>
                <w:sz w:val="21"/>
                <w:szCs w:val="21"/>
                <w:highlight w:val="none"/>
                <w:lang w:eastAsia="zh-CN"/>
              </w:rPr>
              <w:t>敏感点噪声</w:t>
            </w:r>
            <w:r>
              <w:rPr>
                <w:rFonts w:hint="default" w:ascii="Times New Roman" w:hAnsi="Times New Roman" w:cs="Times New Roman"/>
                <w:color w:val="auto"/>
                <w:sz w:val="21"/>
                <w:szCs w:val="21"/>
                <w:highlight w:val="none"/>
              </w:rPr>
              <w:t>进行监测</w:t>
            </w:r>
            <w:r>
              <w:rPr>
                <w:rFonts w:hint="default" w:ascii="Times New Roman" w:hAnsi="Times New Roman" w:cs="Times New Roman"/>
                <w:color w:val="auto"/>
                <w:sz w:val="21"/>
                <w:szCs w:val="21"/>
                <w:highlight w:val="none"/>
                <w:lang w:eastAsia="zh-CN"/>
              </w:rPr>
              <w:t>可知：敏感点</w:t>
            </w:r>
            <w:r>
              <w:rPr>
                <w:rFonts w:hint="default" w:ascii="Times New Roman" w:hAnsi="Times New Roman" w:cs="Times New Roman"/>
                <w:color w:val="auto"/>
                <w:szCs w:val="21"/>
                <w:highlight w:val="none"/>
              </w:rPr>
              <w:t>昼间、夜间</w:t>
            </w:r>
            <w:r>
              <w:rPr>
                <w:rFonts w:hint="default" w:ascii="Times New Roman" w:hAnsi="Times New Roman" w:cs="Times New Roman"/>
                <w:color w:val="auto"/>
                <w:sz w:val="21"/>
                <w:szCs w:val="21"/>
                <w:highlight w:val="none"/>
                <w:lang w:eastAsia="zh-CN"/>
              </w:rPr>
              <w:t>噪声值</w:t>
            </w:r>
            <w:r>
              <w:rPr>
                <w:rFonts w:hint="default" w:ascii="Times New Roman" w:hAnsi="Times New Roman" w:cs="Times New Roman"/>
                <w:color w:val="auto"/>
                <w:szCs w:val="21"/>
                <w:highlight w:val="none"/>
              </w:rPr>
              <w:t>满足《声环境质量标准》（GB3096-2008）表1中2类声环境功能区环境噪声限值。</w:t>
            </w:r>
          </w:p>
          <w:p w14:paraId="1EA18205">
            <w:pPr>
              <w:pStyle w:val="7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rPr>
              <w:t>3-2</w:t>
            </w:r>
            <w:r>
              <w:rPr>
                <w:rFonts w:hint="default" w:ascii="Times New Roman" w:hAnsi="Times New Roman" w:eastAsia="宋体" w:cs="Times New Roman"/>
                <w:b/>
                <w:bCs/>
                <w:color w:val="auto"/>
                <w:sz w:val="21"/>
                <w:szCs w:val="21"/>
                <w:highlight w:val="none"/>
                <w:lang w:val="en-US" w:eastAsia="zh-CN"/>
              </w:rPr>
              <w:t xml:space="preserve"> </w:t>
            </w:r>
            <w:r>
              <w:rPr>
                <w:rFonts w:hint="eastAsia" w:ascii="宋体" w:hAnsi="宋体" w:eastAsia="宋体" w:cs="宋体"/>
                <w:b/>
                <w:bCs/>
                <w:color w:val="auto"/>
                <w:sz w:val="21"/>
                <w:szCs w:val="21"/>
                <w:highlight w:val="none"/>
              </w:rPr>
              <w:t>噪声监测结果</w:t>
            </w:r>
            <w:r>
              <w:rPr>
                <w:rFonts w:hint="eastAsia" w:ascii="宋体" w:hAnsi="宋体" w:eastAsia="宋体" w:cs="宋体"/>
                <w:b/>
                <w:bCs/>
                <w:color w:val="auto"/>
                <w:sz w:val="21"/>
                <w:szCs w:val="21"/>
                <w:highlight w:val="none"/>
                <w:lang w:val="en-US" w:eastAsia="zh-CN"/>
              </w:rPr>
              <w:t xml:space="preserve">   单位dB（A）</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93"/>
              <w:gridCol w:w="1458"/>
              <w:gridCol w:w="1463"/>
              <w:gridCol w:w="1458"/>
              <w:gridCol w:w="1465"/>
            </w:tblGrid>
            <w:tr w14:paraId="01AD9E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64" w:type="pct"/>
                  <w:vMerge w:val="restart"/>
                  <w:vAlign w:val="center"/>
                </w:tcPr>
                <w:p w14:paraId="004CFFDF">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监测点</w:t>
                  </w:r>
                  <w:r>
                    <w:rPr>
                      <w:rFonts w:hint="default" w:ascii="Times New Roman" w:hAnsi="Times New Roman" w:cs="Times New Roman"/>
                      <w:color w:val="auto"/>
                      <w:sz w:val="18"/>
                      <w:szCs w:val="18"/>
                      <w:highlight w:val="none"/>
                      <w:lang w:eastAsia="zh-CN"/>
                    </w:rPr>
                    <w:t>位</w:t>
                  </w:r>
                </w:p>
              </w:tc>
              <w:tc>
                <w:tcPr>
                  <w:tcW w:w="1817" w:type="pct"/>
                  <w:gridSpan w:val="2"/>
                  <w:vAlign w:val="center"/>
                </w:tcPr>
                <w:p w14:paraId="0A90547A">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w:t>
                  </w:r>
                  <w:r>
                    <w:rPr>
                      <w:rFonts w:hint="eastAsia" w:ascii="Times New Roman" w:hAnsi="Times New Roman" w:eastAsia="宋体" w:cs="Times New Roman"/>
                      <w:color w:val="auto"/>
                      <w:sz w:val="18"/>
                      <w:szCs w:val="18"/>
                      <w:highlight w:val="none"/>
                      <w:lang w:val="en-US" w:eastAsia="zh-CN"/>
                    </w:rPr>
                    <w:t>5</w:t>
                  </w:r>
                  <w:r>
                    <w:rPr>
                      <w:rFonts w:hint="default" w:ascii="Times New Roman" w:hAnsi="Times New Roman" w:eastAsia="宋体" w:cs="Times New Roman"/>
                      <w:color w:val="auto"/>
                      <w:sz w:val="18"/>
                      <w:szCs w:val="18"/>
                      <w:highlight w:val="none"/>
                    </w:rPr>
                    <w:t>年</w:t>
                  </w:r>
                  <w:r>
                    <w:rPr>
                      <w:rFonts w:hint="eastAsia" w:cs="Times New Roman"/>
                      <w:color w:val="auto"/>
                      <w:sz w:val="18"/>
                      <w:szCs w:val="18"/>
                      <w:highlight w:val="none"/>
                      <w:lang w:val="en-US" w:eastAsia="zh-CN"/>
                    </w:rPr>
                    <w:t>10</w:t>
                  </w:r>
                  <w:r>
                    <w:rPr>
                      <w:rFonts w:hint="default" w:ascii="Times New Roman" w:hAnsi="Times New Roman" w:eastAsia="宋体" w:cs="Times New Roman"/>
                      <w:color w:val="auto"/>
                      <w:sz w:val="18"/>
                      <w:szCs w:val="18"/>
                      <w:highlight w:val="none"/>
                    </w:rPr>
                    <w:t>月</w:t>
                  </w:r>
                  <w:r>
                    <w:rPr>
                      <w:rFonts w:hint="eastAsia" w:cs="Times New Roman"/>
                      <w:color w:val="auto"/>
                      <w:sz w:val="18"/>
                      <w:szCs w:val="18"/>
                      <w:highlight w:val="none"/>
                      <w:lang w:val="en-US" w:eastAsia="zh-CN"/>
                    </w:rPr>
                    <w:t>9</w:t>
                  </w:r>
                  <w:r>
                    <w:rPr>
                      <w:rFonts w:hint="default" w:ascii="Times New Roman" w:hAnsi="Times New Roman" w:eastAsia="宋体" w:cs="Times New Roman"/>
                      <w:color w:val="auto"/>
                      <w:sz w:val="18"/>
                      <w:szCs w:val="18"/>
                      <w:highlight w:val="none"/>
                    </w:rPr>
                    <w:t>日</w:t>
                  </w:r>
                </w:p>
              </w:tc>
              <w:tc>
                <w:tcPr>
                  <w:tcW w:w="1818" w:type="pct"/>
                  <w:gridSpan w:val="2"/>
                  <w:vAlign w:val="center"/>
                </w:tcPr>
                <w:p w14:paraId="2A154E69">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限值</w:t>
                  </w:r>
                </w:p>
              </w:tc>
            </w:tr>
            <w:tr w14:paraId="4A846B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64" w:type="pct"/>
                  <w:vMerge w:val="continue"/>
                  <w:vAlign w:val="center"/>
                </w:tcPr>
                <w:p w14:paraId="5D5B6D43">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907" w:type="pct"/>
                  <w:vAlign w:val="center"/>
                </w:tcPr>
                <w:p w14:paraId="0C060CA9">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昼间</w:t>
                  </w:r>
                </w:p>
              </w:tc>
              <w:tc>
                <w:tcPr>
                  <w:tcW w:w="909" w:type="pct"/>
                  <w:vAlign w:val="center"/>
                </w:tcPr>
                <w:p w14:paraId="58E8FD52">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夜间</w:t>
                  </w:r>
                </w:p>
              </w:tc>
              <w:tc>
                <w:tcPr>
                  <w:tcW w:w="907" w:type="pct"/>
                  <w:vAlign w:val="center"/>
                </w:tcPr>
                <w:p w14:paraId="42999431">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昼间</w:t>
                  </w:r>
                </w:p>
              </w:tc>
              <w:tc>
                <w:tcPr>
                  <w:tcW w:w="910" w:type="pct"/>
                  <w:vAlign w:val="center"/>
                </w:tcPr>
                <w:p w14:paraId="3D85B375">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夜间</w:t>
                  </w:r>
                </w:p>
              </w:tc>
            </w:tr>
            <w:tr w14:paraId="349992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4" w:type="pct"/>
                  <w:vAlign w:val="center"/>
                </w:tcPr>
                <w:p w14:paraId="5F18A838">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rPr>
                  </w:pPr>
                  <w:r>
                    <w:rPr>
                      <w:rFonts w:hint="eastAsia" w:ascii="Times New Roman" w:hAnsi="Times New Roman" w:eastAsia="宋体" w:cs="Times New Roman"/>
                      <w:b w:val="0"/>
                      <w:bCs w:val="0"/>
                      <w:color w:val="auto"/>
                      <w:spacing w:val="0"/>
                      <w:sz w:val="18"/>
                      <w:szCs w:val="18"/>
                      <w:lang w:val="en-US" w:eastAsia="zh-CN"/>
                    </w:rPr>
                    <w:t>西侧</w:t>
                  </w:r>
                  <w:r>
                    <w:rPr>
                      <w:rFonts w:hint="eastAsia" w:cs="Times New Roman"/>
                      <w:b w:val="0"/>
                      <w:bCs w:val="0"/>
                      <w:color w:val="auto"/>
                      <w:spacing w:val="0"/>
                      <w:sz w:val="18"/>
                      <w:szCs w:val="18"/>
                      <w:lang w:val="en-US" w:eastAsia="zh-CN"/>
                    </w:rPr>
                    <w:t>职工家属楼</w:t>
                  </w:r>
                </w:p>
              </w:tc>
              <w:tc>
                <w:tcPr>
                  <w:tcW w:w="907" w:type="pct"/>
                  <w:vAlign w:val="center"/>
                </w:tcPr>
                <w:p w14:paraId="2C5784A9">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56</w:t>
                  </w:r>
                </w:p>
              </w:tc>
              <w:tc>
                <w:tcPr>
                  <w:tcW w:w="909" w:type="pct"/>
                  <w:vAlign w:val="center"/>
                </w:tcPr>
                <w:p w14:paraId="141A6672">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47</w:t>
                  </w:r>
                </w:p>
              </w:tc>
              <w:tc>
                <w:tcPr>
                  <w:tcW w:w="907" w:type="pct"/>
                  <w:vAlign w:val="center"/>
                </w:tcPr>
                <w:p w14:paraId="6B57839F">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60</w:t>
                  </w:r>
                </w:p>
              </w:tc>
              <w:tc>
                <w:tcPr>
                  <w:tcW w:w="910" w:type="pct"/>
                  <w:vAlign w:val="center"/>
                </w:tcPr>
                <w:p w14:paraId="33A00BFC">
                  <w:pPr>
                    <w:pStyle w:val="15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bidi="ar"/>
                    </w:rPr>
                  </w:pPr>
                  <w:r>
                    <w:rPr>
                      <w:rFonts w:hint="default" w:ascii="Times New Roman" w:hAnsi="Times New Roman" w:cs="Times New Roman"/>
                      <w:color w:val="auto"/>
                      <w:sz w:val="18"/>
                      <w:szCs w:val="18"/>
                      <w:highlight w:val="none"/>
                      <w:lang w:val="en-US" w:eastAsia="zh-CN" w:bidi="ar"/>
                    </w:rPr>
                    <w:t>50</w:t>
                  </w:r>
                </w:p>
              </w:tc>
            </w:tr>
          </w:tbl>
          <w:p w14:paraId="1E712CBA">
            <w:pPr>
              <w:pStyle w:val="53"/>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22" w:firstLineChars="200"/>
              <w:textAlignment w:val="auto"/>
              <w:rPr>
                <w:rFonts w:hint="default"/>
                <w:b/>
                <w:color w:val="auto"/>
                <w:sz w:val="21"/>
                <w:szCs w:val="21"/>
                <w:highlight w:val="none"/>
              </w:rPr>
            </w:pPr>
            <w:r>
              <w:rPr>
                <w:rFonts w:hint="default"/>
                <w:b/>
                <w:color w:val="auto"/>
                <w:sz w:val="21"/>
                <w:szCs w:val="21"/>
                <w:highlight w:val="none"/>
              </w:rPr>
              <w:t>4、生态环境</w:t>
            </w:r>
          </w:p>
          <w:p w14:paraId="21B39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color w:val="auto"/>
                <w:kern w:val="0"/>
                <w:szCs w:val="21"/>
                <w:highlight w:val="none"/>
              </w:rPr>
            </w:pPr>
            <w:r>
              <w:rPr>
                <w:rFonts w:hint="default"/>
                <w:color w:val="auto"/>
                <w:kern w:val="0"/>
                <w:szCs w:val="21"/>
                <w:highlight w:val="none"/>
              </w:rPr>
              <w:t>本项目</w:t>
            </w:r>
            <w:r>
              <w:rPr>
                <w:rFonts w:hint="eastAsia"/>
                <w:color w:val="auto"/>
                <w:kern w:val="0"/>
                <w:szCs w:val="21"/>
                <w:highlight w:val="none"/>
                <w:lang w:val="en-US" w:eastAsia="zh-CN"/>
              </w:rPr>
              <w:t>位于</w:t>
            </w:r>
            <w:r>
              <w:rPr>
                <w:rFonts w:hint="eastAsia"/>
                <w:color w:val="auto"/>
                <w:highlight w:val="none"/>
                <w:lang w:val="en-US" w:eastAsia="zh-CN"/>
              </w:rPr>
              <w:t>鸡西市恒山区小恒山东山煤矿</w:t>
            </w:r>
            <w:r>
              <w:rPr>
                <w:rFonts w:hint="default"/>
                <w:color w:val="auto"/>
                <w:kern w:val="0"/>
                <w:szCs w:val="21"/>
                <w:highlight w:val="none"/>
              </w:rPr>
              <w:t>，用地范围内无生态环境保护目标，因此不进行生态现状调查。</w:t>
            </w:r>
          </w:p>
          <w:p w14:paraId="3B30B30A">
            <w:pPr>
              <w:pStyle w:val="53"/>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firstLineChars="200"/>
              <w:textAlignment w:val="auto"/>
              <w:rPr>
                <w:rFonts w:hint="default"/>
                <w:b/>
                <w:color w:val="auto"/>
                <w:sz w:val="21"/>
                <w:szCs w:val="21"/>
                <w:highlight w:val="none"/>
              </w:rPr>
            </w:pPr>
            <w:r>
              <w:rPr>
                <w:rFonts w:hint="default"/>
                <w:b/>
                <w:color w:val="auto"/>
                <w:sz w:val="21"/>
                <w:szCs w:val="21"/>
                <w:highlight w:val="none"/>
              </w:rPr>
              <w:t>5、地下水、土壤环境</w:t>
            </w:r>
          </w:p>
          <w:p w14:paraId="6A3275F3">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rPr>
            </w:pPr>
            <w:r>
              <w:rPr>
                <w:rFonts w:hint="default"/>
                <w:color w:val="auto"/>
                <w:kern w:val="0"/>
                <w:sz w:val="21"/>
                <w:szCs w:val="21"/>
                <w:highlight w:val="none"/>
              </w:rPr>
              <w:t>本项目不存在土壤、地下水污染途径，因此，不进行土壤、地下水环境质量现状监测。</w:t>
            </w:r>
          </w:p>
        </w:tc>
      </w:tr>
      <w:tr w14:paraId="6DED8E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2" w:hRule="atLeast"/>
          <w:jc w:val="center"/>
        </w:trPr>
        <w:tc>
          <w:tcPr>
            <w:tcW w:w="452" w:type="pct"/>
            <w:vAlign w:val="center"/>
          </w:tcPr>
          <w:p w14:paraId="78FE18A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环境保护目标</w:t>
            </w:r>
          </w:p>
        </w:tc>
        <w:tc>
          <w:tcPr>
            <w:tcW w:w="4547" w:type="pct"/>
            <w:vAlign w:val="center"/>
          </w:tcPr>
          <w:p w14:paraId="00B9C712">
            <w:pPr>
              <w:keepNext w:val="0"/>
              <w:keepLines w:val="0"/>
              <w:widowControl/>
              <w:suppressLineNumbers w:val="0"/>
              <w:spacing w:before="0" w:beforeAutospacing="0" w:after="0" w:afterAutospacing="0" w:line="360" w:lineRule="auto"/>
              <w:ind w:left="0" w:right="0" w:firstLine="420" w:firstLineChars="200"/>
              <w:jc w:val="left"/>
              <w:rPr>
                <w:rFonts w:hint="default"/>
                <w:color w:val="auto"/>
                <w:highlight w:val="none"/>
                <w:lang w:val="en-US" w:eastAsia="zh-CN"/>
              </w:rPr>
            </w:pPr>
            <w:r>
              <w:rPr>
                <w:rFonts w:hint="default"/>
                <w:color w:val="auto"/>
                <w:kern w:val="0"/>
                <w:szCs w:val="21"/>
                <w:highlight w:val="none"/>
              </w:rPr>
              <w:t>本项目位于</w:t>
            </w:r>
            <w:r>
              <w:rPr>
                <w:rFonts w:hint="eastAsia"/>
                <w:color w:val="auto"/>
                <w:highlight w:val="none"/>
                <w:lang w:val="en-US" w:eastAsia="zh-CN"/>
              </w:rPr>
              <w:t>鸡西市恒山区小恒山东山煤矿</w:t>
            </w:r>
            <w:r>
              <w:rPr>
                <w:rFonts w:hint="default"/>
                <w:color w:val="auto"/>
                <w:kern w:val="0"/>
                <w:szCs w:val="21"/>
                <w:highlight w:val="none"/>
              </w:rPr>
              <w:t>，</w:t>
            </w:r>
            <w:r>
              <w:rPr>
                <w:rFonts w:hint="default" w:ascii="Times New Roman" w:hAnsi="Times New Roman" w:eastAsia="宋体" w:cs="Times New Roman"/>
                <w:bCs/>
                <w:color w:val="auto"/>
                <w:szCs w:val="21"/>
                <w:highlight w:val="none"/>
              </w:rPr>
              <w:t>本项目厂界外500米范围内无地下水集中式饮用水水源和热水、矿泉水、温泉等特殊地下水资源；无自然保护区</w:t>
            </w:r>
            <w:r>
              <w:rPr>
                <w:rFonts w:hint="eastAsia" w:cs="Times New Roman"/>
                <w:bCs/>
                <w:color w:val="auto"/>
                <w:szCs w:val="21"/>
                <w:highlight w:val="none"/>
                <w:lang w:val="en-US" w:eastAsia="zh-CN"/>
              </w:rPr>
              <w:t>及</w:t>
            </w:r>
            <w:r>
              <w:rPr>
                <w:rFonts w:hint="default" w:ascii="Times New Roman" w:hAnsi="Times New Roman" w:eastAsia="宋体" w:cs="Times New Roman"/>
                <w:bCs/>
                <w:color w:val="auto"/>
                <w:szCs w:val="21"/>
                <w:highlight w:val="none"/>
              </w:rPr>
              <w:t>风景名胜区</w:t>
            </w:r>
            <w:r>
              <w:rPr>
                <w:rFonts w:hint="eastAsia" w:cs="Times New Roman"/>
                <w:bCs/>
                <w:color w:val="auto"/>
                <w:szCs w:val="21"/>
                <w:highlight w:val="none"/>
                <w:lang w:eastAsia="zh-CN"/>
              </w:rPr>
              <w:t>；</w:t>
            </w:r>
            <w:r>
              <w:rPr>
                <w:rFonts w:hint="default"/>
                <w:color w:val="auto"/>
                <w:highlight w:val="none"/>
              </w:rPr>
              <w:t>本项目不涉及生态环境保护目标</w:t>
            </w:r>
            <w:r>
              <w:rPr>
                <w:rFonts w:hint="eastAsia"/>
                <w:color w:val="auto"/>
                <w:highlight w:val="none"/>
                <w:lang w:eastAsia="zh-CN"/>
              </w:rPr>
              <w:t>；</w:t>
            </w:r>
            <w:r>
              <w:rPr>
                <w:rFonts w:hint="eastAsia"/>
                <w:color w:val="auto"/>
                <w:highlight w:val="none"/>
                <w:lang w:val="en-US" w:eastAsia="zh-CN"/>
              </w:rPr>
              <w:t>本项目</w:t>
            </w:r>
            <w:r>
              <w:rPr>
                <w:rFonts w:hint="default" w:ascii="Times New Roman" w:hAnsi="Times New Roman" w:eastAsia="宋体" w:cs="Times New Roman"/>
                <w:bCs/>
                <w:color w:val="auto"/>
                <w:szCs w:val="21"/>
                <w:highlight w:val="none"/>
              </w:rPr>
              <w:t>50米范围内声环境保护目标</w:t>
            </w:r>
            <w:r>
              <w:rPr>
                <w:rFonts w:hint="eastAsia" w:cs="Times New Roman"/>
                <w:bCs/>
                <w:color w:val="auto"/>
                <w:szCs w:val="21"/>
                <w:highlight w:val="none"/>
                <w:lang w:val="en-US" w:eastAsia="zh-CN"/>
              </w:rPr>
              <w:t>及</w:t>
            </w:r>
            <w:r>
              <w:rPr>
                <w:rFonts w:hint="default" w:ascii="Times New Roman" w:hAnsi="Times New Roman" w:eastAsia="宋体" w:cs="Times New Roman"/>
                <w:bCs/>
                <w:color w:val="auto"/>
                <w:szCs w:val="21"/>
                <w:highlight w:val="none"/>
              </w:rPr>
              <w:t>500米范围内大气环境保护目标</w:t>
            </w:r>
            <w:r>
              <w:rPr>
                <w:rFonts w:hint="default"/>
                <w:color w:val="auto"/>
                <w:highlight w:val="none"/>
              </w:rPr>
              <w:t>，详见</w:t>
            </w:r>
            <w:r>
              <w:rPr>
                <w:rFonts w:hint="eastAsia"/>
                <w:color w:val="auto"/>
                <w:highlight w:val="none"/>
                <w:lang w:val="en-US" w:eastAsia="zh-CN"/>
              </w:rPr>
              <w:t>下</w:t>
            </w:r>
            <w:r>
              <w:rPr>
                <w:rFonts w:hint="default"/>
                <w:color w:val="auto"/>
                <w:highlight w:val="none"/>
              </w:rPr>
              <w:t>表</w:t>
            </w:r>
            <w:r>
              <w:rPr>
                <w:rFonts w:hint="eastAsia"/>
                <w:color w:val="auto"/>
                <w:highlight w:val="none"/>
                <w:lang w:eastAsia="zh-CN"/>
              </w:rPr>
              <w:t>。</w:t>
            </w:r>
          </w:p>
          <w:p w14:paraId="3020E185">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表3-</w:t>
            </w:r>
            <w:r>
              <w:rPr>
                <w:rFonts w:hint="eastAsia" w:cs="Times New Roman"/>
                <w:b/>
                <w:bCs/>
                <w:color w:val="auto"/>
                <w:szCs w:val="21"/>
                <w:highlight w:val="none"/>
                <w:lang w:val="en-US" w:eastAsia="zh-CN"/>
              </w:rPr>
              <w:t>4</w:t>
            </w:r>
            <w:r>
              <w:rPr>
                <w:rFonts w:hint="default" w:ascii="Times New Roman" w:hAnsi="Times New Roman" w:cs="Times New Roman"/>
                <w:b/>
                <w:bCs/>
                <w:color w:val="auto"/>
                <w:szCs w:val="21"/>
                <w:highlight w:val="none"/>
              </w:rPr>
              <w:t>环境空气保护目标一览表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6"/>
              <w:gridCol w:w="785"/>
              <w:gridCol w:w="1335"/>
              <w:gridCol w:w="1185"/>
              <w:gridCol w:w="652"/>
              <w:gridCol w:w="590"/>
              <w:gridCol w:w="1080"/>
              <w:gridCol w:w="918"/>
              <w:gridCol w:w="866"/>
            </w:tblGrid>
            <w:tr w14:paraId="683612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pct"/>
                  <w:vMerge w:val="restart"/>
                  <w:tcBorders>
                    <w:tl2br w:val="nil"/>
                    <w:tr2bl w:val="nil"/>
                  </w:tcBorders>
                  <w:noWrap w:val="0"/>
                  <w:vAlign w:val="center"/>
                </w:tcPr>
                <w:p w14:paraId="26F12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环境要素</w:t>
                  </w:r>
                </w:p>
              </w:tc>
              <w:tc>
                <w:tcPr>
                  <w:tcW w:w="488" w:type="pct"/>
                  <w:vMerge w:val="restart"/>
                  <w:tcBorders>
                    <w:tl2br w:val="nil"/>
                    <w:tr2bl w:val="nil"/>
                  </w:tcBorders>
                  <w:noWrap w:val="0"/>
                  <w:vAlign w:val="center"/>
                </w:tcPr>
                <w:p w14:paraId="683DF2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w:t>
                  </w:r>
                </w:p>
                <w:p w14:paraId="11388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对象</w:t>
                  </w:r>
                </w:p>
              </w:tc>
              <w:tc>
                <w:tcPr>
                  <w:tcW w:w="1567" w:type="pct"/>
                  <w:gridSpan w:val="2"/>
                  <w:tcBorders>
                    <w:tl2br w:val="nil"/>
                    <w:tr2bl w:val="nil"/>
                  </w:tcBorders>
                  <w:noWrap w:val="0"/>
                  <w:vAlign w:val="center"/>
                </w:tcPr>
                <w:p w14:paraId="032D8A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坐标</w:t>
                  </w:r>
                  <w:r>
                    <w:rPr>
                      <w:rFonts w:hint="default" w:ascii="Times New Roman" w:hAnsi="Times New Roman" w:cs="Times New Roman"/>
                      <w:color w:val="auto"/>
                      <w:kern w:val="0"/>
                      <w:sz w:val="18"/>
                      <w:szCs w:val="18"/>
                      <w:highlight w:val="none"/>
                    </w:rPr>
                    <w:t>/°</w:t>
                  </w:r>
                </w:p>
              </w:tc>
              <w:tc>
                <w:tcPr>
                  <w:tcW w:w="405" w:type="pct"/>
                  <w:vMerge w:val="restart"/>
                  <w:tcBorders>
                    <w:tl2br w:val="nil"/>
                    <w:tr2bl w:val="nil"/>
                  </w:tcBorders>
                  <w:noWrap w:val="0"/>
                  <w:vAlign w:val="center"/>
                </w:tcPr>
                <w:p w14:paraId="0D33BF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保护对象</w:t>
                  </w:r>
                </w:p>
              </w:tc>
              <w:tc>
                <w:tcPr>
                  <w:tcW w:w="367" w:type="pct"/>
                  <w:vMerge w:val="restart"/>
                  <w:tcBorders>
                    <w:tl2br w:val="nil"/>
                    <w:tr2bl w:val="nil"/>
                  </w:tcBorders>
                  <w:noWrap w:val="0"/>
                  <w:vAlign w:val="center"/>
                </w:tcPr>
                <w:p w14:paraId="28B21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保护内容</w:t>
                  </w:r>
                </w:p>
              </w:tc>
              <w:tc>
                <w:tcPr>
                  <w:tcW w:w="671" w:type="pct"/>
                  <w:vMerge w:val="restart"/>
                  <w:tcBorders>
                    <w:tl2br w:val="nil"/>
                    <w:tr2bl w:val="nil"/>
                  </w:tcBorders>
                  <w:noWrap w:val="0"/>
                  <w:vAlign w:val="center"/>
                </w:tcPr>
                <w:p w14:paraId="0C17AA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w:t>
                  </w:r>
                </w:p>
                <w:p w14:paraId="741D1B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功能区</w:t>
                  </w:r>
                </w:p>
              </w:tc>
              <w:tc>
                <w:tcPr>
                  <w:tcW w:w="571" w:type="pct"/>
                  <w:vMerge w:val="restart"/>
                  <w:tcBorders>
                    <w:tl2br w:val="nil"/>
                    <w:tr2bl w:val="nil"/>
                  </w:tcBorders>
                  <w:noWrap w:val="0"/>
                  <w:vAlign w:val="center"/>
                </w:tcPr>
                <w:p w14:paraId="15D5E6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相对厂址方位</w:t>
                  </w:r>
                </w:p>
              </w:tc>
              <w:tc>
                <w:tcPr>
                  <w:tcW w:w="538" w:type="pct"/>
                  <w:vMerge w:val="restart"/>
                  <w:tcBorders>
                    <w:tl2br w:val="nil"/>
                    <w:tr2bl w:val="nil"/>
                  </w:tcBorders>
                  <w:noWrap w:val="0"/>
                  <w:vAlign w:val="center"/>
                </w:tcPr>
                <w:p w14:paraId="65B8AE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相对厂界距离</w:t>
                  </w:r>
                </w:p>
              </w:tc>
            </w:tr>
            <w:tr w14:paraId="588D6E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389" w:type="pct"/>
                  <w:vMerge w:val="continue"/>
                  <w:tcBorders>
                    <w:tl2br w:val="nil"/>
                    <w:tr2bl w:val="nil"/>
                  </w:tcBorders>
                  <w:noWrap w:val="0"/>
                  <w:vAlign w:val="center"/>
                </w:tcPr>
                <w:p w14:paraId="7FE0C1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p>
              </w:tc>
              <w:tc>
                <w:tcPr>
                  <w:tcW w:w="488" w:type="pct"/>
                  <w:vMerge w:val="continue"/>
                  <w:tcBorders>
                    <w:tl2br w:val="nil"/>
                    <w:tr2bl w:val="nil"/>
                  </w:tcBorders>
                  <w:noWrap w:val="0"/>
                  <w:vAlign w:val="center"/>
                </w:tcPr>
                <w:p w14:paraId="645AC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p>
              </w:tc>
              <w:tc>
                <w:tcPr>
                  <w:tcW w:w="830" w:type="pct"/>
                  <w:tcBorders>
                    <w:tl2br w:val="nil"/>
                    <w:tr2bl w:val="nil"/>
                  </w:tcBorders>
                  <w:noWrap w:val="0"/>
                  <w:vAlign w:val="center"/>
                </w:tcPr>
                <w:p w14:paraId="1423D3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东经</w:t>
                  </w:r>
                </w:p>
              </w:tc>
              <w:tc>
                <w:tcPr>
                  <w:tcW w:w="737" w:type="pct"/>
                  <w:tcBorders>
                    <w:tl2br w:val="nil"/>
                    <w:tr2bl w:val="nil"/>
                  </w:tcBorders>
                  <w:noWrap w:val="0"/>
                  <w:vAlign w:val="center"/>
                </w:tcPr>
                <w:p w14:paraId="0876B1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北纬</w:t>
                  </w:r>
                </w:p>
              </w:tc>
              <w:tc>
                <w:tcPr>
                  <w:tcW w:w="405" w:type="pct"/>
                  <w:vMerge w:val="continue"/>
                  <w:tcBorders>
                    <w:tl2br w:val="nil"/>
                    <w:tr2bl w:val="nil"/>
                  </w:tcBorders>
                  <w:noWrap w:val="0"/>
                  <w:vAlign w:val="center"/>
                </w:tcPr>
                <w:p w14:paraId="2F2C05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367" w:type="pct"/>
                  <w:vMerge w:val="continue"/>
                  <w:tcBorders>
                    <w:tl2br w:val="nil"/>
                    <w:tr2bl w:val="nil"/>
                  </w:tcBorders>
                  <w:noWrap w:val="0"/>
                  <w:vAlign w:val="center"/>
                </w:tcPr>
                <w:p w14:paraId="13FAAF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671" w:type="pct"/>
                  <w:vMerge w:val="continue"/>
                  <w:tcBorders>
                    <w:tl2br w:val="nil"/>
                    <w:tr2bl w:val="nil"/>
                  </w:tcBorders>
                  <w:noWrap w:val="0"/>
                  <w:vAlign w:val="center"/>
                </w:tcPr>
                <w:p w14:paraId="1A986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571" w:type="pct"/>
                  <w:vMerge w:val="continue"/>
                  <w:tcBorders>
                    <w:tl2br w:val="nil"/>
                    <w:tr2bl w:val="nil"/>
                  </w:tcBorders>
                  <w:noWrap w:val="0"/>
                  <w:vAlign w:val="center"/>
                </w:tcPr>
                <w:p w14:paraId="4FA5E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538" w:type="pct"/>
                  <w:vMerge w:val="continue"/>
                  <w:tcBorders>
                    <w:tl2br w:val="nil"/>
                    <w:tr2bl w:val="nil"/>
                  </w:tcBorders>
                  <w:noWrap w:val="0"/>
                  <w:vAlign w:val="center"/>
                </w:tcPr>
                <w:p w14:paraId="0AC866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045E07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pct"/>
                  <w:vMerge w:val="restart"/>
                  <w:tcBorders>
                    <w:tl2br w:val="nil"/>
                    <w:tr2bl w:val="nil"/>
                  </w:tcBorders>
                  <w:noWrap w:val="0"/>
                  <w:vAlign w:val="center"/>
                </w:tcPr>
                <w:p w14:paraId="0557FC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大气环境</w:t>
                  </w:r>
                </w:p>
              </w:tc>
              <w:tc>
                <w:tcPr>
                  <w:tcW w:w="488" w:type="pct"/>
                  <w:tcBorders>
                    <w:tl2br w:val="nil"/>
                    <w:tr2bl w:val="nil"/>
                  </w:tcBorders>
                  <w:noWrap w:val="0"/>
                  <w:vAlign w:val="center"/>
                </w:tcPr>
                <w:p w14:paraId="6ED05A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小恒山街道居民楼</w:t>
                  </w:r>
                </w:p>
              </w:tc>
              <w:tc>
                <w:tcPr>
                  <w:tcW w:w="830" w:type="pct"/>
                  <w:tcBorders>
                    <w:tl2br w:val="nil"/>
                    <w:tr2bl w:val="nil"/>
                  </w:tcBorders>
                  <w:noWrap w:val="0"/>
                  <w:vAlign w:val="center"/>
                </w:tcPr>
                <w:p w14:paraId="04B69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 w:val="0"/>
                      <w:bCs w:val="0"/>
                      <w:color w:val="auto"/>
                      <w:sz w:val="18"/>
                      <w:szCs w:val="18"/>
                      <w:highlight w:val="none"/>
                      <w:lang w:val="en-US" w:eastAsia="zh-CN"/>
                    </w:rPr>
                  </w:pPr>
                  <w:r>
                    <w:rPr>
                      <w:rFonts w:hint="eastAsia"/>
                      <w:color w:val="auto"/>
                      <w:sz w:val="18"/>
                      <w:szCs w:val="18"/>
                      <w:highlight w:val="none"/>
                      <w:lang w:eastAsia="zh-CN"/>
                    </w:rPr>
                    <w:t>130.93937159</w:t>
                  </w:r>
                </w:p>
              </w:tc>
              <w:tc>
                <w:tcPr>
                  <w:tcW w:w="737" w:type="pct"/>
                  <w:tcBorders>
                    <w:tl2br w:val="nil"/>
                    <w:tr2bl w:val="nil"/>
                  </w:tcBorders>
                  <w:noWrap w:val="0"/>
                  <w:vAlign w:val="center"/>
                </w:tcPr>
                <w:p w14:paraId="00D828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 w:val="0"/>
                      <w:bCs w:val="0"/>
                      <w:color w:val="auto"/>
                      <w:sz w:val="18"/>
                      <w:szCs w:val="18"/>
                      <w:highlight w:val="none"/>
                      <w:lang w:val="en-US" w:eastAsia="zh-CN"/>
                    </w:rPr>
                  </w:pPr>
                  <w:r>
                    <w:rPr>
                      <w:rFonts w:hint="eastAsia"/>
                      <w:color w:val="auto"/>
                      <w:sz w:val="18"/>
                      <w:szCs w:val="18"/>
                      <w:highlight w:val="none"/>
                      <w:lang w:eastAsia="zh-CN"/>
                    </w:rPr>
                    <w:t>45.20804518</w:t>
                  </w:r>
                </w:p>
              </w:tc>
              <w:tc>
                <w:tcPr>
                  <w:tcW w:w="405" w:type="pct"/>
                  <w:tcBorders>
                    <w:tl2br w:val="nil"/>
                    <w:tr2bl w:val="nil"/>
                  </w:tcBorders>
                  <w:noWrap w:val="0"/>
                  <w:vAlign w:val="center"/>
                </w:tcPr>
                <w:p w14:paraId="52F59B47">
                  <w:pPr>
                    <w:pStyle w:val="53"/>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kern w:val="0"/>
                      <w:sz w:val="18"/>
                      <w:szCs w:val="18"/>
                      <w:highlight w:val="none"/>
                      <w:lang w:val="en-US" w:eastAsia="zh-CN"/>
                    </w:rPr>
                    <w:t>居民区</w:t>
                  </w:r>
                </w:p>
              </w:tc>
              <w:tc>
                <w:tcPr>
                  <w:tcW w:w="367" w:type="pct"/>
                  <w:tcBorders>
                    <w:tl2br w:val="nil"/>
                    <w:tr2bl w:val="nil"/>
                  </w:tcBorders>
                  <w:noWrap w:val="0"/>
                  <w:vAlign w:val="center"/>
                </w:tcPr>
                <w:p w14:paraId="79666206">
                  <w:pPr>
                    <w:pStyle w:val="53"/>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人群</w:t>
                  </w:r>
                </w:p>
              </w:tc>
              <w:tc>
                <w:tcPr>
                  <w:tcW w:w="671" w:type="pct"/>
                  <w:tcBorders>
                    <w:tl2br w:val="nil"/>
                    <w:tr2bl w:val="nil"/>
                  </w:tcBorders>
                  <w:noWrap w:val="0"/>
                  <w:vAlign w:val="center"/>
                </w:tcPr>
                <w:p w14:paraId="055FA1B4">
                  <w:pPr>
                    <w:pStyle w:val="53"/>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环境空气二类区</w:t>
                  </w:r>
                </w:p>
              </w:tc>
              <w:tc>
                <w:tcPr>
                  <w:tcW w:w="571" w:type="pct"/>
                  <w:tcBorders>
                    <w:tl2br w:val="nil"/>
                    <w:tr2bl w:val="nil"/>
                  </w:tcBorders>
                  <w:noWrap w:val="0"/>
                  <w:vAlign w:val="center"/>
                </w:tcPr>
                <w:p w14:paraId="340B5CB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NW</w:t>
                  </w:r>
                </w:p>
              </w:tc>
              <w:tc>
                <w:tcPr>
                  <w:tcW w:w="538" w:type="pct"/>
                  <w:tcBorders>
                    <w:tl2br w:val="nil"/>
                    <w:tr2bl w:val="nil"/>
                  </w:tcBorders>
                  <w:noWrap w:val="0"/>
                  <w:vAlign w:val="center"/>
                </w:tcPr>
                <w:p w14:paraId="4A08818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290m</w:t>
                  </w:r>
                </w:p>
              </w:tc>
            </w:tr>
            <w:tr w14:paraId="141EAC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pct"/>
                  <w:vMerge w:val="continue"/>
                  <w:tcBorders>
                    <w:tl2br w:val="nil"/>
                    <w:tr2bl w:val="nil"/>
                  </w:tcBorders>
                  <w:noWrap w:val="0"/>
                  <w:vAlign w:val="center"/>
                </w:tcPr>
                <w:p w14:paraId="30C17A0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p>
              </w:tc>
              <w:tc>
                <w:tcPr>
                  <w:tcW w:w="488" w:type="pct"/>
                  <w:tcBorders>
                    <w:tl2br w:val="nil"/>
                    <w:tr2bl w:val="nil"/>
                  </w:tcBorders>
                  <w:noWrap w:val="0"/>
                  <w:vAlign w:val="center"/>
                </w:tcPr>
                <w:p w14:paraId="2E4F3F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拆迁区</w:t>
                  </w:r>
                </w:p>
              </w:tc>
              <w:tc>
                <w:tcPr>
                  <w:tcW w:w="830" w:type="pct"/>
                  <w:tcBorders>
                    <w:tl2br w:val="nil"/>
                    <w:tr2bl w:val="nil"/>
                  </w:tcBorders>
                  <w:noWrap w:val="0"/>
                  <w:vAlign w:val="center"/>
                </w:tcPr>
                <w:p w14:paraId="42E9D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auto"/>
                      <w:sz w:val="18"/>
                      <w:szCs w:val="18"/>
                      <w:highlight w:val="none"/>
                      <w:lang w:eastAsia="zh-CN"/>
                    </w:rPr>
                  </w:pPr>
                  <w:r>
                    <w:rPr>
                      <w:rFonts w:hint="eastAsia"/>
                      <w:color w:val="auto"/>
                      <w:sz w:val="18"/>
                      <w:szCs w:val="18"/>
                      <w:highlight w:val="none"/>
                      <w:lang w:eastAsia="zh-CN"/>
                    </w:rPr>
                    <w:t>130.94323397</w:t>
                  </w:r>
                </w:p>
              </w:tc>
              <w:tc>
                <w:tcPr>
                  <w:tcW w:w="737" w:type="pct"/>
                  <w:tcBorders>
                    <w:tl2br w:val="nil"/>
                    <w:tr2bl w:val="nil"/>
                  </w:tcBorders>
                  <w:noWrap w:val="0"/>
                  <w:vAlign w:val="center"/>
                </w:tcPr>
                <w:p w14:paraId="2112D0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auto"/>
                      <w:sz w:val="18"/>
                      <w:szCs w:val="18"/>
                      <w:highlight w:val="none"/>
                      <w:lang w:eastAsia="zh-CN"/>
                    </w:rPr>
                  </w:pPr>
                  <w:r>
                    <w:rPr>
                      <w:rFonts w:hint="eastAsia"/>
                      <w:color w:val="auto"/>
                      <w:sz w:val="18"/>
                      <w:szCs w:val="18"/>
                      <w:highlight w:val="none"/>
                      <w:lang w:eastAsia="zh-CN"/>
                    </w:rPr>
                    <w:t>45.20878594</w:t>
                  </w:r>
                </w:p>
              </w:tc>
              <w:tc>
                <w:tcPr>
                  <w:tcW w:w="2554" w:type="pct"/>
                  <w:gridSpan w:val="5"/>
                  <w:tcBorders>
                    <w:tl2br w:val="nil"/>
                    <w:tr2bl w:val="nil"/>
                  </w:tcBorders>
                  <w:noWrap w:val="0"/>
                  <w:vAlign w:val="center"/>
                </w:tcPr>
                <w:p w14:paraId="627E013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kern w:val="0"/>
                      <w:sz w:val="18"/>
                      <w:szCs w:val="18"/>
                      <w:highlight w:val="none"/>
                      <w:lang w:val="en-US" w:eastAsia="zh-CN"/>
                    </w:rPr>
                    <w:t>已拆迁</w:t>
                  </w:r>
                </w:p>
              </w:tc>
            </w:tr>
            <w:tr w14:paraId="7FFBBE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pct"/>
                  <w:vMerge w:val="continue"/>
                  <w:tcBorders>
                    <w:tl2br w:val="nil"/>
                    <w:tr2bl w:val="nil"/>
                  </w:tcBorders>
                  <w:noWrap w:val="0"/>
                  <w:vAlign w:val="center"/>
                </w:tcPr>
                <w:p w14:paraId="48CE1F0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p>
              </w:tc>
              <w:tc>
                <w:tcPr>
                  <w:tcW w:w="488" w:type="pct"/>
                  <w:tcBorders>
                    <w:tl2br w:val="nil"/>
                    <w:tr2bl w:val="nil"/>
                  </w:tcBorders>
                  <w:noWrap w:val="0"/>
                  <w:vAlign w:val="center"/>
                </w:tcPr>
                <w:p w14:paraId="322BE01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西侧职工家属楼</w:t>
                  </w:r>
                </w:p>
              </w:tc>
              <w:tc>
                <w:tcPr>
                  <w:tcW w:w="830" w:type="pct"/>
                  <w:tcBorders>
                    <w:tl2br w:val="nil"/>
                    <w:tr2bl w:val="nil"/>
                  </w:tcBorders>
                  <w:noWrap w:val="0"/>
                  <w:vAlign w:val="center"/>
                </w:tcPr>
                <w:p w14:paraId="381BC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auto"/>
                      <w:sz w:val="18"/>
                      <w:szCs w:val="18"/>
                      <w:highlight w:val="none"/>
                      <w:lang w:eastAsia="zh-CN"/>
                    </w:rPr>
                  </w:pPr>
                  <w:r>
                    <w:rPr>
                      <w:rFonts w:hint="eastAsia"/>
                      <w:color w:val="auto"/>
                      <w:sz w:val="18"/>
                      <w:szCs w:val="18"/>
                      <w:highlight w:val="none"/>
                      <w:lang w:eastAsia="zh-CN"/>
                    </w:rPr>
                    <w:t>130.94220331</w:t>
                  </w:r>
                </w:p>
              </w:tc>
              <w:tc>
                <w:tcPr>
                  <w:tcW w:w="737" w:type="pct"/>
                  <w:tcBorders>
                    <w:tl2br w:val="nil"/>
                    <w:tr2bl w:val="nil"/>
                  </w:tcBorders>
                  <w:noWrap w:val="0"/>
                  <w:vAlign w:val="center"/>
                </w:tcPr>
                <w:p w14:paraId="531F9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auto"/>
                      <w:sz w:val="18"/>
                      <w:szCs w:val="18"/>
                      <w:highlight w:val="none"/>
                      <w:lang w:eastAsia="zh-CN"/>
                    </w:rPr>
                  </w:pPr>
                  <w:r>
                    <w:rPr>
                      <w:rFonts w:hint="eastAsia"/>
                      <w:color w:val="auto"/>
                      <w:sz w:val="18"/>
                      <w:szCs w:val="18"/>
                      <w:highlight w:val="none"/>
                      <w:lang w:eastAsia="zh-CN"/>
                    </w:rPr>
                    <w:t>45.20444479</w:t>
                  </w:r>
                </w:p>
              </w:tc>
              <w:tc>
                <w:tcPr>
                  <w:tcW w:w="652" w:type="dxa"/>
                  <w:tcBorders>
                    <w:tl2br w:val="nil"/>
                    <w:tr2bl w:val="nil"/>
                  </w:tcBorders>
                  <w:noWrap w:val="0"/>
                  <w:vAlign w:val="center"/>
                </w:tcPr>
                <w:p w14:paraId="21DE91F0">
                  <w:pPr>
                    <w:pStyle w:val="53"/>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居民区</w:t>
                  </w:r>
                </w:p>
              </w:tc>
              <w:tc>
                <w:tcPr>
                  <w:tcW w:w="590" w:type="dxa"/>
                  <w:tcBorders>
                    <w:tl2br w:val="nil"/>
                    <w:tr2bl w:val="nil"/>
                  </w:tcBorders>
                  <w:noWrap w:val="0"/>
                  <w:vAlign w:val="center"/>
                </w:tcPr>
                <w:p w14:paraId="23449A5E">
                  <w:pPr>
                    <w:pStyle w:val="53"/>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kern w:val="0"/>
                      <w:sz w:val="18"/>
                      <w:szCs w:val="18"/>
                      <w:highlight w:val="none"/>
                      <w:lang w:val="en-US" w:eastAsia="zh-CN"/>
                    </w:rPr>
                  </w:pPr>
                  <w:r>
                    <w:rPr>
                      <w:rFonts w:hint="default" w:ascii="Times New Roman" w:hAnsi="Times New Roman" w:cs="Times New Roman"/>
                      <w:color w:val="auto"/>
                      <w:sz w:val="18"/>
                      <w:szCs w:val="18"/>
                      <w:highlight w:val="none"/>
                      <w:lang w:val="en-US" w:eastAsia="zh-CN"/>
                    </w:rPr>
                    <w:t>人群</w:t>
                  </w:r>
                </w:p>
              </w:tc>
              <w:tc>
                <w:tcPr>
                  <w:tcW w:w="671" w:type="pct"/>
                  <w:tcBorders>
                    <w:tl2br w:val="nil"/>
                    <w:tr2bl w:val="nil"/>
                  </w:tcBorders>
                  <w:noWrap w:val="0"/>
                  <w:vAlign w:val="center"/>
                </w:tcPr>
                <w:p w14:paraId="1672F8C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color w:val="auto"/>
                      <w:kern w:val="0"/>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rPr>
                    <w:t>二类区</w:t>
                  </w:r>
                </w:p>
              </w:tc>
              <w:tc>
                <w:tcPr>
                  <w:tcW w:w="571" w:type="pct"/>
                  <w:tcBorders>
                    <w:tl2br w:val="nil"/>
                    <w:tr2bl w:val="nil"/>
                  </w:tcBorders>
                  <w:noWrap w:val="0"/>
                  <w:vAlign w:val="center"/>
                </w:tcPr>
                <w:p w14:paraId="58D898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W</w:t>
                  </w:r>
                </w:p>
              </w:tc>
              <w:tc>
                <w:tcPr>
                  <w:tcW w:w="538" w:type="pct"/>
                  <w:tcBorders>
                    <w:tl2br w:val="nil"/>
                    <w:tr2bl w:val="nil"/>
                  </w:tcBorders>
                  <w:noWrap w:val="0"/>
                  <w:vAlign w:val="center"/>
                </w:tcPr>
                <w:p w14:paraId="7BB1A9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6m</w:t>
                  </w:r>
                </w:p>
              </w:tc>
            </w:tr>
            <w:tr w14:paraId="5616F7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pct"/>
                  <w:tcBorders>
                    <w:tl2br w:val="nil"/>
                    <w:tr2bl w:val="nil"/>
                  </w:tcBorders>
                  <w:noWrap w:val="0"/>
                  <w:vAlign w:val="center"/>
                </w:tcPr>
                <w:p w14:paraId="7F9CB2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声环境</w:t>
                  </w:r>
                </w:p>
              </w:tc>
              <w:tc>
                <w:tcPr>
                  <w:tcW w:w="488" w:type="pct"/>
                  <w:tcBorders>
                    <w:tl2br w:val="nil"/>
                    <w:tr2bl w:val="nil"/>
                  </w:tcBorders>
                  <w:noWrap w:val="0"/>
                  <w:vAlign w:val="center"/>
                </w:tcPr>
                <w:p w14:paraId="666789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西侧职工家属楼</w:t>
                  </w:r>
                </w:p>
              </w:tc>
              <w:tc>
                <w:tcPr>
                  <w:tcW w:w="1335" w:type="dxa"/>
                  <w:tcBorders>
                    <w:tl2br w:val="nil"/>
                    <w:tr2bl w:val="nil"/>
                  </w:tcBorders>
                  <w:noWrap w:val="0"/>
                  <w:vAlign w:val="center"/>
                </w:tcPr>
                <w:p w14:paraId="198D1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auto"/>
                      <w:sz w:val="18"/>
                      <w:szCs w:val="18"/>
                      <w:highlight w:val="none"/>
                      <w:lang w:eastAsia="zh-CN"/>
                    </w:rPr>
                  </w:pPr>
                  <w:r>
                    <w:rPr>
                      <w:rFonts w:hint="eastAsia"/>
                      <w:color w:val="auto"/>
                      <w:sz w:val="18"/>
                      <w:szCs w:val="18"/>
                      <w:highlight w:val="none"/>
                      <w:lang w:eastAsia="zh-CN"/>
                    </w:rPr>
                    <w:t>130.94220331</w:t>
                  </w:r>
                </w:p>
              </w:tc>
              <w:tc>
                <w:tcPr>
                  <w:tcW w:w="1185" w:type="dxa"/>
                  <w:tcBorders>
                    <w:tl2br w:val="nil"/>
                    <w:tr2bl w:val="nil"/>
                  </w:tcBorders>
                  <w:noWrap w:val="0"/>
                  <w:vAlign w:val="center"/>
                </w:tcPr>
                <w:p w14:paraId="569F5F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olor w:val="auto"/>
                      <w:sz w:val="18"/>
                      <w:szCs w:val="18"/>
                      <w:highlight w:val="none"/>
                      <w:lang w:eastAsia="zh-CN"/>
                    </w:rPr>
                  </w:pPr>
                  <w:r>
                    <w:rPr>
                      <w:rFonts w:hint="eastAsia"/>
                      <w:color w:val="auto"/>
                      <w:sz w:val="18"/>
                      <w:szCs w:val="18"/>
                      <w:highlight w:val="none"/>
                      <w:lang w:eastAsia="zh-CN"/>
                    </w:rPr>
                    <w:t>45.20444479</w:t>
                  </w:r>
                </w:p>
              </w:tc>
              <w:tc>
                <w:tcPr>
                  <w:tcW w:w="652" w:type="dxa"/>
                  <w:tcBorders>
                    <w:tl2br w:val="nil"/>
                    <w:tr2bl w:val="nil"/>
                  </w:tcBorders>
                  <w:noWrap w:val="0"/>
                  <w:vAlign w:val="center"/>
                </w:tcPr>
                <w:p w14:paraId="371F7E7D">
                  <w:pPr>
                    <w:pStyle w:val="53"/>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居民区</w:t>
                  </w:r>
                </w:p>
              </w:tc>
              <w:tc>
                <w:tcPr>
                  <w:tcW w:w="590" w:type="dxa"/>
                  <w:tcBorders>
                    <w:tl2br w:val="nil"/>
                    <w:tr2bl w:val="nil"/>
                  </w:tcBorders>
                  <w:noWrap w:val="0"/>
                  <w:vAlign w:val="center"/>
                </w:tcPr>
                <w:p w14:paraId="72FE6BD3">
                  <w:pPr>
                    <w:pStyle w:val="53"/>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cs="Times New Roman"/>
                      <w:color w:val="auto"/>
                      <w:kern w:val="0"/>
                      <w:sz w:val="18"/>
                      <w:szCs w:val="18"/>
                      <w:highlight w:val="none"/>
                      <w:lang w:val="en-US" w:eastAsia="zh-CN"/>
                    </w:rPr>
                  </w:pPr>
                  <w:r>
                    <w:rPr>
                      <w:rFonts w:hint="default" w:ascii="Times New Roman" w:hAnsi="Times New Roman" w:cs="Times New Roman"/>
                      <w:color w:val="auto"/>
                      <w:sz w:val="18"/>
                      <w:szCs w:val="18"/>
                      <w:highlight w:val="none"/>
                      <w:lang w:val="en-US" w:eastAsia="zh-CN"/>
                    </w:rPr>
                    <w:t>人群</w:t>
                  </w:r>
                </w:p>
              </w:tc>
              <w:tc>
                <w:tcPr>
                  <w:tcW w:w="1080" w:type="dxa"/>
                  <w:tcBorders>
                    <w:tl2br w:val="nil"/>
                    <w:tr2bl w:val="nil"/>
                  </w:tcBorders>
                  <w:noWrap w:val="0"/>
                  <w:vAlign w:val="center"/>
                </w:tcPr>
                <w:p w14:paraId="0535748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kern w:val="0"/>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rPr>
                    <w:t>二类区</w:t>
                  </w:r>
                </w:p>
              </w:tc>
              <w:tc>
                <w:tcPr>
                  <w:tcW w:w="918" w:type="dxa"/>
                  <w:tcBorders>
                    <w:tl2br w:val="nil"/>
                    <w:tr2bl w:val="nil"/>
                  </w:tcBorders>
                  <w:noWrap w:val="0"/>
                  <w:vAlign w:val="center"/>
                </w:tcPr>
                <w:p w14:paraId="197EC3C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W</w:t>
                  </w:r>
                </w:p>
              </w:tc>
              <w:tc>
                <w:tcPr>
                  <w:tcW w:w="866" w:type="dxa"/>
                  <w:tcBorders>
                    <w:tl2br w:val="nil"/>
                    <w:tr2bl w:val="nil"/>
                  </w:tcBorders>
                  <w:noWrap w:val="0"/>
                  <w:vAlign w:val="center"/>
                </w:tcPr>
                <w:p w14:paraId="4AF2A6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6m</w:t>
                  </w:r>
                </w:p>
              </w:tc>
            </w:tr>
          </w:tbl>
          <w:p w14:paraId="3D68E0FF">
            <w:pPr>
              <w:keepNext w:val="0"/>
              <w:keepLines w:val="0"/>
              <w:suppressLineNumbers w:val="0"/>
              <w:spacing w:before="0" w:beforeAutospacing="0" w:after="0" w:afterAutospacing="0" w:line="360" w:lineRule="auto"/>
              <w:ind w:left="0" w:right="0"/>
              <w:jc w:val="both"/>
              <w:rPr>
                <w:rFonts w:hint="eastAsia" w:eastAsia="宋体"/>
                <w:color w:val="auto"/>
                <w:highlight w:val="none"/>
                <w:lang w:val="en-US" w:eastAsia="zh-CN"/>
              </w:rPr>
            </w:pPr>
          </w:p>
        </w:tc>
      </w:tr>
      <w:tr w14:paraId="7A2934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52" w:type="pct"/>
            <w:vAlign w:val="center"/>
          </w:tcPr>
          <w:p w14:paraId="58574F3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污染物排放控制标准</w:t>
            </w:r>
          </w:p>
        </w:tc>
        <w:tc>
          <w:tcPr>
            <w:tcW w:w="4547" w:type="pct"/>
            <w:vAlign w:val="center"/>
          </w:tcPr>
          <w:p w14:paraId="1037F9C3">
            <w:pPr>
              <w:pStyle w:val="98"/>
              <w:keepNext w:val="0"/>
              <w:keepLines w:val="0"/>
              <w:widowControl/>
              <w:numPr>
                <w:ilvl w:val="0"/>
                <w:numId w:val="7"/>
              </w:numPr>
              <w:suppressLineNumbers w:val="0"/>
              <w:adjustRightInd/>
              <w:spacing w:before="0" w:beforeAutospacing="0" w:after="0" w:afterAutospacing="0" w:line="360" w:lineRule="auto"/>
              <w:ind w:left="0" w:right="0" w:firstLine="422" w:firstLineChars="200"/>
              <w:jc w:val="both"/>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废气</w:t>
            </w:r>
          </w:p>
          <w:p w14:paraId="4F0AA340">
            <w:pPr>
              <w:keepNext w:val="0"/>
              <w:keepLines w:val="0"/>
              <w:suppressLineNumbers w:val="0"/>
              <w:spacing w:before="0" w:beforeAutospacing="0" w:after="0" w:afterAutospacing="0" w:line="360" w:lineRule="auto"/>
              <w:ind w:left="0" w:right="0" w:firstLine="420" w:firstLineChars="200"/>
              <w:rPr>
                <w:rFonts w:hint="eastAsia"/>
                <w:color w:val="auto"/>
                <w:kern w:val="0"/>
                <w:sz w:val="24"/>
                <w:szCs w:val="20"/>
                <w:highlight w:val="none"/>
              </w:rPr>
            </w:pPr>
            <w:r>
              <w:rPr>
                <w:rFonts w:hint="eastAsia"/>
                <w:color w:val="auto"/>
                <w:kern w:val="0"/>
                <w:szCs w:val="21"/>
                <w:highlight w:val="none"/>
              </w:rPr>
              <w:t>施工期</w:t>
            </w:r>
            <w:r>
              <w:rPr>
                <w:rFonts w:hint="eastAsia"/>
                <w:color w:val="auto"/>
                <w:kern w:val="0"/>
                <w:szCs w:val="21"/>
                <w:highlight w:val="none"/>
                <w:lang w:eastAsia="zh-CN"/>
              </w:rPr>
              <w:t>：</w:t>
            </w:r>
            <w:r>
              <w:rPr>
                <w:rFonts w:hint="eastAsia"/>
                <w:color w:val="auto"/>
                <w:kern w:val="0"/>
                <w:szCs w:val="21"/>
                <w:highlight w:val="none"/>
                <w:lang w:val="en-US" w:eastAsia="zh-CN"/>
              </w:rPr>
              <w:t>废气</w:t>
            </w:r>
            <w:r>
              <w:rPr>
                <w:rFonts w:hint="eastAsia"/>
                <w:color w:val="auto"/>
                <w:kern w:val="0"/>
                <w:szCs w:val="21"/>
                <w:highlight w:val="none"/>
              </w:rPr>
              <w:t>执行《大气污染物综合排放标准》（GB16297-1996）表2中无组织排放浓度限值要求，见表3-</w:t>
            </w:r>
            <w:r>
              <w:rPr>
                <w:rFonts w:hint="eastAsia"/>
                <w:color w:val="auto"/>
                <w:kern w:val="0"/>
                <w:szCs w:val="21"/>
                <w:highlight w:val="none"/>
                <w:lang w:val="en-US" w:eastAsia="zh-CN"/>
              </w:rPr>
              <w:t>5</w:t>
            </w:r>
            <w:r>
              <w:rPr>
                <w:rFonts w:hint="eastAsia"/>
                <w:color w:val="auto"/>
                <w:kern w:val="0"/>
                <w:szCs w:val="21"/>
                <w:highlight w:val="none"/>
              </w:rPr>
              <w:t>。</w:t>
            </w:r>
          </w:p>
          <w:p w14:paraId="6B423BE2">
            <w:pPr>
              <w:keepNext w:val="0"/>
              <w:keepLines w:val="0"/>
              <w:widowControl/>
              <w:suppressLineNumbers w:val="0"/>
              <w:spacing w:before="0" w:beforeAutospacing="0" w:after="0" w:afterAutospacing="0"/>
              <w:ind w:left="0" w:right="0"/>
              <w:jc w:val="center"/>
              <w:rPr>
                <w:rFonts w:hint="default"/>
                <w:b/>
                <w:bCs/>
                <w:color w:val="auto"/>
                <w:szCs w:val="21"/>
                <w:highlight w:val="none"/>
              </w:rPr>
            </w:pPr>
            <w:r>
              <w:rPr>
                <w:rFonts w:hint="eastAsia" w:ascii="宋体" w:hAnsi="宋体" w:cs="宋体"/>
                <w:b/>
                <w:bCs/>
                <w:color w:val="auto"/>
                <w:kern w:val="0"/>
                <w:szCs w:val="21"/>
                <w:highlight w:val="none"/>
                <w:lang w:bidi="ar"/>
              </w:rPr>
              <w:t>表</w:t>
            </w:r>
            <w:r>
              <w:rPr>
                <w:rFonts w:hint="default"/>
                <w:b/>
                <w:bCs/>
                <w:color w:val="auto"/>
                <w:kern w:val="0"/>
                <w:szCs w:val="21"/>
                <w:highlight w:val="none"/>
                <w:lang w:bidi="ar"/>
              </w:rPr>
              <w:t>3-</w:t>
            </w:r>
            <w:r>
              <w:rPr>
                <w:rFonts w:hint="eastAsia"/>
                <w:b/>
                <w:bCs/>
                <w:color w:val="auto"/>
                <w:kern w:val="0"/>
                <w:szCs w:val="21"/>
                <w:highlight w:val="none"/>
                <w:lang w:val="en-US" w:eastAsia="zh-CN" w:bidi="ar"/>
              </w:rPr>
              <w:t>5</w:t>
            </w:r>
            <w:r>
              <w:rPr>
                <w:rFonts w:hint="eastAsia" w:ascii="宋体" w:hAnsi="宋体" w:cs="宋体"/>
                <w:b/>
                <w:bCs/>
                <w:color w:val="auto"/>
                <w:kern w:val="0"/>
                <w:szCs w:val="21"/>
                <w:highlight w:val="none"/>
                <w:lang w:bidi="ar"/>
              </w:rPr>
              <w:t>颗粒物排放标准（单位：</w:t>
            </w:r>
            <w:r>
              <w:rPr>
                <w:rFonts w:hint="default"/>
                <w:b/>
                <w:bCs/>
                <w:color w:val="auto"/>
                <w:kern w:val="0"/>
                <w:szCs w:val="21"/>
                <w:highlight w:val="none"/>
                <w:lang w:bidi="ar"/>
              </w:rPr>
              <w:t>mg/m</w:t>
            </w:r>
            <w:r>
              <w:rPr>
                <w:rFonts w:hint="default"/>
                <w:b/>
                <w:bCs/>
                <w:color w:val="auto"/>
                <w:kern w:val="0"/>
                <w:szCs w:val="21"/>
                <w:highlight w:val="none"/>
                <w:vertAlign w:val="superscript"/>
                <w:lang w:bidi="ar"/>
              </w:rPr>
              <w:t>3</w:t>
            </w:r>
            <w:r>
              <w:rPr>
                <w:rFonts w:hint="eastAsia" w:ascii="宋体" w:hAnsi="宋体" w:cs="宋体"/>
                <w:b/>
                <w:bCs/>
                <w:color w:val="auto"/>
                <w:kern w:val="0"/>
                <w:szCs w:val="21"/>
                <w:highlight w:val="none"/>
                <w:lang w:bidi="ar"/>
              </w:rPr>
              <w:t>）</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1"/>
              <w:gridCol w:w="3250"/>
              <w:gridCol w:w="2547"/>
            </w:tblGrid>
            <w:tr w14:paraId="13B247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509BB34F">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污染物</w:t>
                  </w:r>
                </w:p>
              </w:tc>
              <w:tc>
                <w:tcPr>
                  <w:tcW w:w="3220" w:type="dxa"/>
                  <w:tcBorders>
                    <w:tl2br w:val="nil"/>
                    <w:tr2bl w:val="nil"/>
                  </w:tcBorders>
                  <w:noWrap w:val="0"/>
                  <w:vAlign w:val="center"/>
                </w:tcPr>
                <w:p w14:paraId="1D63ED8C">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无组织排放监控浓度限值</w:t>
                  </w:r>
                </w:p>
              </w:tc>
              <w:tc>
                <w:tcPr>
                  <w:tcW w:w="2523" w:type="dxa"/>
                  <w:tcBorders>
                    <w:tl2br w:val="nil"/>
                    <w:tr2bl w:val="nil"/>
                  </w:tcBorders>
                  <w:noWrap w:val="0"/>
                  <w:vAlign w:val="center"/>
                </w:tcPr>
                <w:p w14:paraId="0EE6E7ED">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最高允许排放浓度</w:t>
                  </w:r>
                </w:p>
              </w:tc>
            </w:tr>
            <w:tr w14:paraId="2E90FF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0E68116F">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颗粒物</w:t>
                  </w:r>
                </w:p>
              </w:tc>
              <w:tc>
                <w:tcPr>
                  <w:tcW w:w="3220" w:type="dxa"/>
                  <w:tcBorders>
                    <w:tl2br w:val="nil"/>
                    <w:tr2bl w:val="nil"/>
                  </w:tcBorders>
                  <w:noWrap w:val="0"/>
                  <w:vAlign w:val="center"/>
                </w:tcPr>
                <w:p w14:paraId="0F8EB3E0">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周界外浓度最高点</w:t>
                  </w:r>
                </w:p>
              </w:tc>
              <w:tc>
                <w:tcPr>
                  <w:tcW w:w="2523" w:type="dxa"/>
                  <w:tcBorders>
                    <w:tl2br w:val="nil"/>
                    <w:tr2bl w:val="nil"/>
                  </w:tcBorders>
                  <w:noWrap w:val="0"/>
                  <w:vAlign w:val="center"/>
                </w:tcPr>
                <w:p w14:paraId="340D175C">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1.0</w:t>
                  </w:r>
                </w:p>
              </w:tc>
            </w:tr>
          </w:tbl>
          <w:p w14:paraId="1626A32F">
            <w:pPr>
              <w:pStyle w:val="9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textAlignment w:val="auto"/>
              <w:rPr>
                <w:rFonts w:hint="eastAsia" w:ascii="Times New Roman" w:hAnsi="Times New Roman" w:eastAsia="宋体" w:cs="Times New Roman"/>
                <w:color w:val="auto"/>
                <w:kern w:val="0"/>
                <w:sz w:val="21"/>
                <w:szCs w:val="21"/>
                <w:highlight w:val="none"/>
                <w:lang w:eastAsia="zh-CN"/>
              </w:rPr>
            </w:pPr>
            <w:r>
              <w:rPr>
                <w:rFonts w:hint="eastAsia" w:cs="Times New Roman"/>
                <w:b w:val="0"/>
                <w:bCs w:val="0"/>
                <w:color w:val="auto"/>
                <w:sz w:val="21"/>
                <w:szCs w:val="21"/>
                <w:highlight w:val="none"/>
                <w:lang w:val="en-US" w:eastAsia="zh-CN"/>
              </w:rPr>
              <w:t>运营期：</w:t>
            </w:r>
            <w:r>
              <w:rPr>
                <w:rFonts w:hint="default" w:ascii="Times New Roman" w:hAnsi="Times New Roman" w:cs="Times New Roman"/>
                <w:color w:val="auto"/>
                <w:kern w:val="0"/>
                <w:sz w:val="21"/>
                <w:szCs w:val="21"/>
                <w:highlight w:val="none"/>
              </w:rPr>
              <w:t>锅炉烟气执行《锅炉大气污染物排放标准》（GB13271-2014）表2燃煤锅炉限值要求</w:t>
            </w:r>
            <w:r>
              <w:rPr>
                <w:rFonts w:hint="eastAsia" w:ascii="Times New Roman" w:hAnsi="Times New Roman"/>
                <w:color w:val="auto"/>
                <w:sz w:val="21"/>
                <w:szCs w:val="21"/>
                <w:highlight w:val="none"/>
                <w:lang w:eastAsia="zh-CN"/>
              </w:rPr>
              <w:t>；</w:t>
            </w:r>
            <w:r>
              <w:rPr>
                <w:rFonts w:hint="eastAsia" w:ascii="宋体" w:hAnsi="宋体" w:cs="宋体"/>
                <w:color w:val="auto"/>
                <w:kern w:val="0"/>
                <w:sz w:val="21"/>
                <w:szCs w:val="21"/>
                <w:highlight w:val="none"/>
              </w:rPr>
              <w:t>厂界颗粒物《大气污染物综合排放标准》（</w:t>
            </w:r>
            <w:r>
              <w:rPr>
                <w:rFonts w:hint="default" w:ascii="Times New Roman" w:hAnsi="Times New Roman" w:cs="Times New Roman"/>
                <w:color w:val="auto"/>
                <w:kern w:val="0"/>
                <w:sz w:val="21"/>
                <w:szCs w:val="21"/>
                <w:highlight w:val="none"/>
              </w:rPr>
              <w:t>GB16297-1996</w:t>
            </w:r>
            <w:r>
              <w:rPr>
                <w:rFonts w:hint="eastAsia" w:ascii="宋体" w:hAnsi="宋体" w:cs="宋体"/>
                <w:color w:val="auto"/>
                <w:kern w:val="0"/>
                <w:sz w:val="21"/>
                <w:szCs w:val="21"/>
                <w:highlight w:val="none"/>
              </w:rPr>
              <w:t>）表</w:t>
            </w:r>
            <w:r>
              <w:rPr>
                <w:rFonts w:hint="default" w:ascii="Times New Roman" w:hAnsi="Times New Roman" w:cs="Times New Roman"/>
                <w:color w:val="auto"/>
                <w:kern w:val="0"/>
                <w:sz w:val="21"/>
                <w:szCs w:val="21"/>
                <w:highlight w:val="none"/>
              </w:rPr>
              <w:t>2</w:t>
            </w:r>
            <w:r>
              <w:rPr>
                <w:rFonts w:hint="eastAsia" w:ascii="宋体" w:hAnsi="宋体" w:cs="宋体"/>
                <w:color w:val="auto"/>
                <w:kern w:val="0"/>
                <w:sz w:val="21"/>
                <w:szCs w:val="21"/>
                <w:highlight w:val="none"/>
              </w:rPr>
              <w:t>中</w:t>
            </w:r>
            <w:r>
              <w:rPr>
                <w:rFonts w:hint="default" w:ascii="Times New Roman" w:hAnsi="Times New Roman" w:cs="Times New Roman"/>
                <w:color w:val="auto"/>
                <w:sz w:val="21"/>
                <w:szCs w:val="21"/>
                <w:highlight w:val="none"/>
              </w:rPr>
              <w:t>无组织排放监控浓度限值</w:t>
            </w:r>
            <w:r>
              <w:rPr>
                <w:rFonts w:hint="eastAsia"/>
                <w:color w:val="auto"/>
                <w:sz w:val="21"/>
                <w:szCs w:val="21"/>
                <w:highlight w:val="none"/>
              </w:rPr>
              <w:t>。</w:t>
            </w:r>
          </w:p>
          <w:p w14:paraId="2AE61D73">
            <w:pPr>
              <w:keepNext w:val="0"/>
              <w:keepLines w:val="0"/>
              <w:suppressLineNumbers w:val="0"/>
              <w:spacing w:before="0" w:beforeAutospacing="0" w:after="0" w:afterAutospacing="0"/>
              <w:ind w:left="0" w:right="0"/>
              <w:jc w:val="center"/>
              <w:rPr>
                <w:rFonts w:hint="default" w:ascii="宋体" w:hAnsi="宋体" w:cs="宋体"/>
                <w:color w:val="auto"/>
                <w:szCs w:val="21"/>
                <w:highlight w:val="none"/>
              </w:rPr>
            </w:pPr>
            <w:r>
              <w:rPr>
                <w:rFonts w:hint="default"/>
                <w:b/>
                <w:bCs/>
                <w:color w:val="auto"/>
                <w:kern w:val="0"/>
                <w:szCs w:val="20"/>
                <w:highlight w:val="none"/>
              </w:rPr>
              <w:t>表3</w:t>
            </w:r>
            <w:r>
              <w:rPr>
                <w:rFonts w:hint="eastAsia"/>
                <w:b/>
                <w:bCs/>
                <w:color w:val="auto"/>
                <w:kern w:val="0"/>
                <w:szCs w:val="20"/>
                <w:highlight w:val="none"/>
                <w:lang w:val="en-US" w:eastAsia="zh-CN"/>
              </w:rPr>
              <w:t>-6</w:t>
            </w:r>
            <w:r>
              <w:rPr>
                <w:rFonts w:hint="eastAsia" w:ascii="宋体" w:hAnsi="宋体" w:cs="宋体"/>
                <w:b/>
                <w:color w:val="auto"/>
                <w:szCs w:val="21"/>
                <w:highlight w:val="none"/>
              </w:rPr>
              <w:t>锅炉</w:t>
            </w:r>
            <w:r>
              <w:rPr>
                <w:rFonts w:hint="eastAsia" w:ascii="宋体" w:hAnsi="宋体" w:cs="宋体"/>
                <w:b/>
                <w:color w:val="auto"/>
                <w:kern w:val="0"/>
                <w:szCs w:val="21"/>
                <w:highlight w:val="none"/>
              </w:rPr>
              <w:t>大气污染物排放标准</w:t>
            </w:r>
          </w:p>
          <w:tbl>
            <w:tblPr>
              <w:tblStyle w:val="3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
            <w:tblGrid>
              <w:gridCol w:w="3872"/>
              <w:gridCol w:w="4163"/>
            </w:tblGrid>
            <w:tr w14:paraId="0DF181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340" w:hRule="atLeast"/>
                <w:jc w:val="center"/>
              </w:trPr>
              <w:tc>
                <w:tcPr>
                  <w:tcW w:w="2409" w:type="pct"/>
                  <w:vMerge w:val="restart"/>
                  <w:tcBorders>
                    <w:tl2br w:val="nil"/>
                    <w:tr2bl w:val="nil"/>
                  </w:tcBorders>
                  <w:vAlign w:val="center"/>
                </w:tcPr>
                <w:p w14:paraId="1C2B0A3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污染物项目</w:t>
                  </w:r>
                </w:p>
              </w:tc>
              <w:tc>
                <w:tcPr>
                  <w:tcW w:w="2590" w:type="pct"/>
                  <w:tcBorders>
                    <w:tl2br w:val="nil"/>
                    <w:tr2bl w:val="nil"/>
                  </w:tcBorders>
                  <w:vAlign w:val="center"/>
                </w:tcPr>
                <w:p w14:paraId="7B41796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排放限值</w:t>
                  </w:r>
                </w:p>
              </w:tc>
            </w:tr>
            <w:tr w14:paraId="69607C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340" w:hRule="atLeast"/>
                <w:jc w:val="center"/>
              </w:trPr>
              <w:tc>
                <w:tcPr>
                  <w:tcW w:w="2409" w:type="pct"/>
                  <w:vMerge w:val="continue"/>
                  <w:tcBorders>
                    <w:tl2br w:val="nil"/>
                    <w:tr2bl w:val="nil"/>
                  </w:tcBorders>
                  <w:vAlign w:val="center"/>
                </w:tcPr>
                <w:p w14:paraId="0CC4BC8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p>
              </w:tc>
              <w:tc>
                <w:tcPr>
                  <w:tcW w:w="2590" w:type="pct"/>
                  <w:tcBorders>
                    <w:tl2br w:val="nil"/>
                    <w:tr2bl w:val="nil"/>
                  </w:tcBorders>
                  <w:vAlign w:val="center"/>
                </w:tcPr>
                <w:p w14:paraId="1716FB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燃煤锅炉</w:t>
                  </w:r>
                </w:p>
              </w:tc>
            </w:tr>
            <w:tr w14:paraId="03AA74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340" w:hRule="atLeast"/>
                <w:jc w:val="center"/>
              </w:trPr>
              <w:tc>
                <w:tcPr>
                  <w:tcW w:w="2409" w:type="pct"/>
                  <w:tcBorders>
                    <w:tl2br w:val="nil"/>
                    <w:tr2bl w:val="nil"/>
                  </w:tcBorders>
                  <w:vAlign w:val="center"/>
                </w:tcPr>
                <w:p w14:paraId="2147993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颗粒物</w:t>
                  </w:r>
                </w:p>
              </w:tc>
              <w:tc>
                <w:tcPr>
                  <w:tcW w:w="2590" w:type="pct"/>
                  <w:tcBorders>
                    <w:tl2br w:val="nil"/>
                    <w:tr2bl w:val="nil"/>
                  </w:tcBorders>
                  <w:vAlign w:val="center"/>
                </w:tcPr>
                <w:p w14:paraId="2D4443D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50mg/m</w:t>
                  </w:r>
                  <w:r>
                    <w:rPr>
                      <w:rFonts w:hint="default" w:ascii="Times New Roman" w:hAnsi="Times New Roman" w:cs="Times New Roman"/>
                      <w:bCs/>
                      <w:color w:val="auto"/>
                      <w:sz w:val="18"/>
                      <w:szCs w:val="18"/>
                      <w:highlight w:val="none"/>
                      <w:vertAlign w:val="superscript"/>
                    </w:rPr>
                    <w:t>3</w:t>
                  </w:r>
                </w:p>
              </w:tc>
            </w:tr>
            <w:tr w14:paraId="7E794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340" w:hRule="atLeast"/>
                <w:jc w:val="center"/>
              </w:trPr>
              <w:tc>
                <w:tcPr>
                  <w:tcW w:w="2409" w:type="pct"/>
                  <w:tcBorders>
                    <w:tl2br w:val="nil"/>
                    <w:tr2bl w:val="nil"/>
                  </w:tcBorders>
                  <w:vAlign w:val="center"/>
                </w:tcPr>
                <w:p w14:paraId="69F517F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二氧化硫</w:t>
                  </w:r>
                </w:p>
              </w:tc>
              <w:tc>
                <w:tcPr>
                  <w:tcW w:w="2590" w:type="pct"/>
                  <w:tcBorders>
                    <w:tl2br w:val="nil"/>
                    <w:tr2bl w:val="nil"/>
                  </w:tcBorders>
                  <w:vAlign w:val="center"/>
                </w:tcPr>
                <w:p w14:paraId="3068B79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300mg/m</w:t>
                  </w:r>
                  <w:r>
                    <w:rPr>
                      <w:rFonts w:hint="default" w:ascii="Times New Roman" w:hAnsi="Times New Roman" w:cs="Times New Roman"/>
                      <w:bCs/>
                      <w:color w:val="auto"/>
                      <w:sz w:val="18"/>
                      <w:szCs w:val="18"/>
                      <w:highlight w:val="none"/>
                      <w:vertAlign w:val="superscript"/>
                    </w:rPr>
                    <w:t>3</w:t>
                  </w:r>
                </w:p>
              </w:tc>
            </w:tr>
            <w:tr w14:paraId="76AA9C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340" w:hRule="atLeast"/>
                <w:jc w:val="center"/>
              </w:trPr>
              <w:tc>
                <w:tcPr>
                  <w:tcW w:w="2409" w:type="pct"/>
                  <w:tcBorders>
                    <w:tl2br w:val="nil"/>
                    <w:tr2bl w:val="nil"/>
                  </w:tcBorders>
                  <w:vAlign w:val="center"/>
                </w:tcPr>
                <w:p w14:paraId="0734FD0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氮氧化物</w:t>
                  </w:r>
                </w:p>
              </w:tc>
              <w:tc>
                <w:tcPr>
                  <w:tcW w:w="2590" w:type="pct"/>
                  <w:tcBorders>
                    <w:tl2br w:val="nil"/>
                    <w:tr2bl w:val="nil"/>
                  </w:tcBorders>
                  <w:vAlign w:val="center"/>
                </w:tcPr>
                <w:p w14:paraId="68225D4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300mg/m</w:t>
                  </w:r>
                  <w:r>
                    <w:rPr>
                      <w:rFonts w:hint="default" w:ascii="Times New Roman" w:hAnsi="Times New Roman" w:cs="Times New Roman"/>
                      <w:bCs/>
                      <w:color w:val="auto"/>
                      <w:sz w:val="18"/>
                      <w:szCs w:val="18"/>
                      <w:highlight w:val="none"/>
                      <w:vertAlign w:val="superscript"/>
                    </w:rPr>
                    <w:t>3</w:t>
                  </w:r>
                </w:p>
              </w:tc>
            </w:tr>
            <w:tr w14:paraId="29B3E5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340" w:hRule="atLeast"/>
                <w:jc w:val="center"/>
              </w:trPr>
              <w:tc>
                <w:tcPr>
                  <w:tcW w:w="2409" w:type="pct"/>
                  <w:tcBorders>
                    <w:tl2br w:val="nil"/>
                    <w:tr2bl w:val="nil"/>
                  </w:tcBorders>
                  <w:vAlign w:val="center"/>
                </w:tcPr>
                <w:p w14:paraId="1839DB5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烟气黑度（林格曼黑度）</w:t>
                  </w:r>
                </w:p>
              </w:tc>
              <w:tc>
                <w:tcPr>
                  <w:tcW w:w="2590" w:type="pct"/>
                  <w:tcBorders>
                    <w:tl2br w:val="nil"/>
                    <w:tr2bl w:val="nil"/>
                  </w:tcBorders>
                  <w:vAlign w:val="center"/>
                </w:tcPr>
                <w:p w14:paraId="38D6451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≤1级</w:t>
                  </w:r>
                </w:p>
              </w:tc>
            </w:tr>
          </w:tbl>
          <w:p w14:paraId="39DE0630">
            <w:pPr>
              <w:pStyle w:val="143"/>
              <w:keepNext w:val="0"/>
              <w:keepLines w:val="0"/>
              <w:suppressLineNumbers w:val="0"/>
              <w:snapToGrid/>
              <w:spacing w:before="0" w:beforeAutospacing="0" w:after="0" w:afterAutospacing="0" w:line="240" w:lineRule="auto"/>
              <w:ind w:left="0" w:right="0" w:firstLine="0" w:firstLineChars="0"/>
              <w:jc w:val="center"/>
              <w:rPr>
                <w:rFonts w:hint="eastAsia" w:ascii="宋体" w:hAnsi="宋体" w:cs="宋体"/>
                <w:b/>
                <w:color w:val="auto"/>
                <w:szCs w:val="21"/>
                <w:highlight w:val="none"/>
              </w:rPr>
            </w:pPr>
            <w:r>
              <w:rPr>
                <w:rFonts w:hint="eastAsia" w:ascii="宋体" w:hAnsi="宋体" w:cs="宋体"/>
                <w:b/>
                <w:bCs/>
                <w:color w:val="auto"/>
                <w:kern w:val="0"/>
                <w:sz w:val="21"/>
                <w:szCs w:val="21"/>
                <w:highlight w:val="none"/>
                <w:lang w:val="en-US" w:eastAsia="zh-CN"/>
              </w:rPr>
              <w:t>表</w:t>
            </w:r>
            <w:r>
              <w:rPr>
                <w:rFonts w:hint="default" w:ascii="Times New Roman" w:hAnsi="Times New Roman" w:cs="Times New Roman"/>
                <w:b/>
                <w:bCs/>
                <w:color w:val="auto"/>
                <w:kern w:val="0"/>
                <w:sz w:val="21"/>
                <w:szCs w:val="21"/>
                <w:highlight w:val="none"/>
                <w:lang w:val="en-US" w:eastAsia="zh-CN"/>
              </w:rPr>
              <w:t>3-</w:t>
            </w:r>
            <w:r>
              <w:rPr>
                <w:rFonts w:hint="eastAsia" w:cs="Times New Roman"/>
                <w:b/>
                <w:bCs/>
                <w:color w:val="auto"/>
                <w:kern w:val="0"/>
                <w:sz w:val="21"/>
                <w:szCs w:val="21"/>
                <w:highlight w:val="none"/>
                <w:lang w:val="en-US" w:eastAsia="zh-CN"/>
              </w:rPr>
              <w:t>7</w:t>
            </w:r>
            <w:r>
              <w:rPr>
                <w:rFonts w:hint="eastAsia" w:ascii="宋体" w:hAnsi="宋体" w:cs="宋体"/>
                <w:b/>
                <w:color w:val="auto"/>
                <w:szCs w:val="21"/>
                <w:highlight w:val="none"/>
              </w:rPr>
              <w:t>大气污染物综合排放标准</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5"/>
              <w:gridCol w:w="2717"/>
              <w:gridCol w:w="3535"/>
            </w:tblGrid>
            <w:tr w14:paraId="27EFAB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vMerge w:val="restart"/>
                  <w:tcBorders>
                    <w:tl2br w:val="nil"/>
                    <w:tr2bl w:val="nil"/>
                  </w:tcBorders>
                  <w:vAlign w:val="center"/>
                </w:tcPr>
                <w:p w14:paraId="5AC26A0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5933" w:type="dxa"/>
                  <w:gridSpan w:val="2"/>
                  <w:tcBorders>
                    <w:tl2br w:val="nil"/>
                    <w:tr2bl w:val="nil"/>
                  </w:tcBorders>
                  <w:vAlign w:val="center"/>
                </w:tcPr>
                <w:p w14:paraId="1EF8B7C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无组织排放监控点</w:t>
                  </w:r>
                </w:p>
              </w:tc>
            </w:tr>
            <w:tr w14:paraId="45C8BE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vMerge w:val="continue"/>
                  <w:tcBorders>
                    <w:tl2br w:val="nil"/>
                    <w:tr2bl w:val="nil"/>
                  </w:tcBorders>
                  <w:vAlign w:val="center"/>
                </w:tcPr>
                <w:p w14:paraId="01368AA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2579" w:type="dxa"/>
                  <w:tcBorders>
                    <w:tl2br w:val="nil"/>
                    <w:tr2bl w:val="nil"/>
                  </w:tcBorders>
                  <w:vAlign w:val="center"/>
                </w:tcPr>
                <w:p w14:paraId="236FAC1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监控点</w:t>
                  </w:r>
                </w:p>
              </w:tc>
              <w:tc>
                <w:tcPr>
                  <w:tcW w:w="3354" w:type="dxa"/>
                  <w:tcBorders>
                    <w:tl2br w:val="nil"/>
                    <w:tr2bl w:val="nil"/>
                  </w:tcBorders>
                  <w:vAlign w:val="center"/>
                </w:tcPr>
                <w:p w14:paraId="6ED14AC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浓度限值（mg/m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w:t>
                  </w:r>
                </w:p>
              </w:tc>
            </w:tr>
            <w:tr w14:paraId="0DAB13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tcBorders>
                    <w:tl2br w:val="nil"/>
                    <w:tr2bl w:val="nil"/>
                  </w:tcBorders>
                  <w:vAlign w:val="center"/>
                </w:tcPr>
                <w:p w14:paraId="7A6B1FD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2579" w:type="dxa"/>
                  <w:tcBorders>
                    <w:tl2br w:val="nil"/>
                    <w:tr2bl w:val="nil"/>
                  </w:tcBorders>
                  <w:vAlign w:val="center"/>
                </w:tcPr>
                <w:p w14:paraId="1917EAF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周界外浓度最高点</w:t>
                  </w:r>
                </w:p>
              </w:tc>
              <w:tc>
                <w:tcPr>
                  <w:tcW w:w="3354" w:type="dxa"/>
                  <w:tcBorders>
                    <w:tl2br w:val="nil"/>
                    <w:tr2bl w:val="nil"/>
                  </w:tcBorders>
                  <w:vAlign w:val="center"/>
                </w:tcPr>
                <w:p w14:paraId="153AC8C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p>
              </w:tc>
            </w:tr>
          </w:tbl>
          <w:p w14:paraId="21A8C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2、废水</w:t>
            </w:r>
          </w:p>
          <w:p w14:paraId="5566F4A5">
            <w:pPr>
              <w:keepNext w:val="0"/>
              <w:keepLines w:val="0"/>
              <w:widowControl/>
              <w:numPr>
                <w:ilvl w:val="0"/>
                <w:numId w:val="0"/>
              </w:numPr>
              <w:suppressLineNumbers w:val="0"/>
              <w:spacing w:before="0" w:beforeAutospacing="0" w:after="0" w:afterAutospacing="0" w:line="360" w:lineRule="auto"/>
              <w:ind w:left="0" w:right="0" w:rightChars="0" w:firstLine="420" w:firstLineChars="20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本项目</w:t>
            </w:r>
            <w:r>
              <w:rPr>
                <w:rFonts w:hint="eastAsia" w:cs="Times New Roman"/>
                <w:color w:val="auto"/>
                <w:kern w:val="0"/>
                <w:szCs w:val="21"/>
                <w:highlight w:val="none"/>
                <w:lang w:val="en-US" w:eastAsia="zh-CN"/>
              </w:rPr>
              <w:t>无新增员工，故无新增生活污水</w:t>
            </w:r>
            <w:r>
              <w:rPr>
                <w:rFonts w:hint="eastAsia" w:ascii="Times New Roman" w:hAnsi="Times New Roman" w:eastAsia="宋体" w:cs="Times New Roman"/>
                <w:color w:val="auto"/>
                <w:kern w:val="0"/>
                <w:szCs w:val="21"/>
                <w:highlight w:val="none"/>
                <w:lang w:eastAsia="zh-CN"/>
              </w:rPr>
              <w:t>，</w:t>
            </w:r>
            <w:r>
              <w:rPr>
                <w:rFonts w:hint="eastAsia" w:ascii="Times New Roman" w:hAnsi="Times New Roman" w:eastAsia="宋体" w:cs="Times New Roman"/>
                <w:color w:val="FF0000"/>
                <w:kern w:val="0"/>
                <w:szCs w:val="21"/>
                <w:highlight w:val="none"/>
                <w:lang w:val="en-US" w:eastAsia="zh-CN"/>
              </w:rPr>
              <w:t>初期雨水依托东山煤矿洗煤一厂现有初期雨水收集池，初期雨水集中收集后回用洒水降尘，不外排，</w:t>
            </w:r>
            <w:r>
              <w:rPr>
                <w:rFonts w:hint="default" w:ascii="Times New Roman" w:hAnsi="Times New Roman" w:cs="Times New Roman"/>
                <w:color w:val="auto"/>
                <w:kern w:val="0"/>
                <w:szCs w:val="21"/>
                <w:highlight w:val="none"/>
              </w:rPr>
              <w:t>锅炉排污水</w:t>
            </w:r>
            <w:r>
              <w:rPr>
                <w:rFonts w:hint="eastAsia" w:cs="Times New Roman"/>
                <w:color w:val="auto"/>
                <w:kern w:val="0"/>
                <w:szCs w:val="21"/>
                <w:highlight w:val="none"/>
                <w:lang w:val="en-US" w:eastAsia="zh-CN"/>
              </w:rPr>
              <w:t>及软化处理废水</w:t>
            </w:r>
            <w:r>
              <w:rPr>
                <w:rFonts w:hint="eastAsia" w:ascii="Times New Roman" w:hAnsi="Times New Roman" w:cs="Times New Roman"/>
                <w:color w:val="auto"/>
                <w:kern w:val="0"/>
                <w:szCs w:val="21"/>
                <w:highlight w:val="none"/>
                <w:lang w:eastAsia="zh-CN"/>
              </w:rPr>
              <w:t>，</w:t>
            </w:r>
            <w:r>
              <w:rPr>
                <w:rFonts w:hint="default" w:ascii="Times New Roman" w:hAnsi="Times New Roman" w:cs="Times New Roman"/>
                <w:color w:val="auto"/>
                <w:sz w:val="21"/>
                <w:szCs w:val="21"/>
                <w:highlight w:val="none"/>
              </w:rPr>
              <w:t>暂存厂区</w:t>
            </w:r>
            <w:r>
              <w:rPr>
                <w:rFonts w:hint="eastAsia" w:cs="Times New Roman"/>
                <w:color w:val="auto"/>
                <w:sz w:val="21"/>
                <w:szCs w:val="21"/>
                <w:highlight w:val="none"/>
                <w:lang w:val="en-US" w:eastAsia="zh-CN"/>
              </w:rPr>
              <w:t>70</w:t>
            </w:r>
            <w:r>
              <w:rPr>
                <w:rFonts w:hint="default" w:ascii="Times New Roman" w:hAnsi="Times New Roman" w:cs="Times New Roman"/>
                <w:b w:val="0"/>
                <w:bCs w:val="0"/>
                <w:color w:val="auto"/>
                <w:sz w:val="21"/>
                <w:szCs w:val="21"/>
                <w:highlight w:val="none"/>
              </w:rPr>
              <w:t>m³</w:t>
            </w:r>
            <w:r>
              <w:rPr>
                <w:rFonts w:hint="default" w:ascii="Times New Roman" w:hAnsi="Times New Roman" w:cs="Times New Roman"/>
                <w:color w:val="auto"/>
                <w:sz w:val="21"/>
                <w:szCs w:val="21"/>
                <w:highlight w:val="none"/>
              </w:rPr>
              <w:t>防渗</w:t>
            </w:r>
            <w:r>
              <w:rPr>
                <w:rFonts w:hint="eastAsia" w:cs="Times New Roman"/>
                <w:color w:val="auto"/>
                <w:sz w:val="21"/>
                <w:szCs w:val="21"/>
                <w:highlight w:val="none"/>
                <w:lang w:val="en-US" w:eastAsia="zh-CN"/>
              </w:rPr>
              <w:t>储水罐</w:t>
            </w:r>
            <w:r>
              <w:rPr>
                <w:rFonts w:hint="default" w:ascii="Times New Roman" w:hAnsi="Times New Roman" w:cs="Times New Roman"/>
                <w:color w:val="auto"/>
                <w:sz w:val="21"/>
                <w:szCs w:val="21"/>
                <w:highlight w:val="none"/>
              </w:rPr>
              <w:t>内，</w:t>
            </w:r>
            <w:r>
              <w:rPr>
                <w:rFonts w:hint="eastAsia" w:cs="Times New Roman"/>
                <w:color w:val="auto"/>
                <w:sz w:val="21"/>
                <w:szCs w:val="21"/>
                <w:highlight w:val="none"/>
                <w:lang w:val="en-US" w:eastAsia="zh-CN"/>
              </w:rPr>
              <w:t>定期拉</w:t>
            </w:r>
            <w:r>
              <w:rPr>
                <w:rFonts w:hint="default" w:ascii="Times New Roman" w:hAnsi="Times New Roman" w:cs="Times New Roman"/>
                <w:color w:val="auto"/>
                <w:sz w:val="21"/>
                <w:szCs w:val="21"/>
                <w:highlight w:val="none"/>
              </w:rPr>
              <w:t>运至</w:t>
            </w:r>
            <w:r>
              <w:rPr>
                <w:rFonts w:hint="eastAsia" w:ascii="Times New Roman" w:hAnsi="Times New Roman" w:cs="Times New Roman"/>
                <w:color w:val="auto"/>
                <w:kern w:val="0"/>
                <w:sz w:val="21"/>
                <w:szCs w:val="21"/>
                <w:highlight w:val="none"/>
                <w:lang w:val="en-US" w:eastAsia="zh-CN" w:bidi="ar"/>
              </w:rPr>
              <w:t>恒山区污水处理厂</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rPr>
              <w:t>经</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rPr>
              <w:t>处理达标后</w:t>
            </w:r>
            <w:r>
              <w:rPr>
                <w:rFonts w:hint="default" w:ascii="Times New Roman" w:hAnsi="Times New Roman" w:eastAsia="宋体" w:cs="Times New Roman"/>
                <w:color w:val="auto"/>
                <w:sz w:val="21"/>
                <w:szCs w:val="21"/>
                <w:highlight w:val="none"/>
              </w:rPr>
              <w:t>排入小黄泥河，最终汇入穆棱河</w:t>
            </w:r>
            <w:r>
              <w:rPr>
                <w:rFonts w:hint="eastAsia"/>
                <w:color w:val="auto"/>
                <w:sz w:val="18"/>
                <w:szCs w:val="18"/>
                <w:highlight w:val="none"/>
                <w:lang w:val="en-US" w:eastAsia="zh-CN"/>
              </w:rPr>
              <w:t>。</w:t>
            </w:r>
            <w:r>
              <w:rPr>
                <w:rFonts w:hint="default" w:ascii="Times New Roman" w:hAnsi="Times New Roman" w:eastAsia="宋体" w:cs="Times New Roman"/>
                <w:color w:val="auto"/>
                <w:spacing w:val="0"/>
                <w:kern w:val="0"/>
                <w:sz w:val="21"/>
                <w:szCs w:val="21"/>
                <w:highlight w:val="none"/>
              </w:rPr>
              <w:t>本项目</w:t>
            </w:r>
            <w:r>
              <w:rPr>
                <w:rFonts w:hint="eastAsia" w:ascii="Times New Roman" w:hAnsi="Times New Roman" w:cs="Times New Roman"/>
                <w:color w:val="auto"/>
                <w:spacing w:val="0"/>
                <w:kern w:val="0"/>
                <w:sz w:val="21"/>
                <w:szCs w:val="21"/>
                <w:highlight w:val="none"/>
                <w:lang w:val="en-US" w:eastAsia="zh-CN"/>
              </w:rPr>
              <w:t>锅炉</w:t>
            </w:r>
            <w:r>
              <w:rPr>
                <w:rFonts w:hint="default" w:ascii="Times New Roman" w:hAnsi="Times New Roman" w:eastAsia="宋体" w:cs="Times New Roman"/>
                <w:color w:val="auto"/>
                <w:spacing w:val="0"/>
                <w:kern w:val="0"/>
                <w:sz w:val="21"/>
                <w:szCs w:val="21"/>
                <w:highlight w:val="none"/>
              </w:rPr>
              <w:t>产生的</w:t>
            </w:r>
            <w:r>
              <w:rPr>
                <w:rFonts w:hint="default" w:ascii="Times New Roman" w:hAnsi="Times New Roman" w:eastAsia="宋体" w:cs="Times New Roman"/>
                <w:color w:val="auto"/>
                <w:spacing w:val="0"/>
                <w:kern w:val="24"/>
                <w:sz w:val="21"/>
                <w:szCs w:val="21"/>
                <w:highlight w:val="none"/>
              </w:rPr>
              <w:t>废水</w:t>
            </w:r>
            <w:r>
              <w:rPr>
                <w:rFonts w:hint="eastAsia" w:ascii="Times New Roman" w:hAnsi="Times New Roman" w:cs="Times New Roman"/>
                <w:color w:val="auto"/>
                <w:spacing w:val="0"/>
                <w:kern w:val="24"/>
                <w:sz w:val="21"/>
                <w:szCs w:val="21"/>
                <w:highlight w:val="none"/>
                <w:lang w:val="en-US" w:eastAsia="zh-CN"/>
              </w:rPr>
              <w:t>污染物</w:t>
            </w:r>
            <w:r>
              <w:rPr>
                <w:rFonts w:hint="default" w:ascii="Times New Roman" w:hAnsi="Times New Roman" w:eastAsia="宋体" w:cs="Times New Roman"/>
                <w:bCs/>
                <w:color w:val="auto"/>
                <w:spacing w:val="0"/>
                <w:sz w:val="21"/>
                <w:szCs w:val="21"/>
                <w:highlight w:val="none"/>
              </w:rPr>
              <w:t>排放</w:t>
            </w:r>
            <w:r>
              <w:rPr>
                <w:rFonts w:hint="eastAsia" w:ascii="Times New Roman" w:hAnsi="Times New Roman" w:eastAsia="宋体" w:cs="Times New Roman"/>
                <w:bCs/>
                <w:color w:val="auto"/>
                <w:spacing w:val="0"/>
                <w:sz w:val="21"/>
                <w:szCs w:val="21"/>
                <w:highlight w:val="none"/>
                <w:lang w:val="en-US" w:eastAsia="zh-CN"/>
              </w:rPr>
              <w:t>应</w:t>
            </w:r>
            <w:r>
              <w:rPr>
                <w:rFonts w:hint="default" w:ascii="Times New Roman" w:hAnsi="Times New Roman" w:eastAsia="宋体" w:cs="Times New Roman"/>
                <w:color w:val="auto"/>
                <w:spacing w:val="0"/>
                <w:kern w:val="24"/>
                <w:sz w:val="21"/>
                <w:szCs w:val="21"/>
                <w:highlight w:val="none"/>
              </w:rPr>
              <w:t>满足</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lang w:val="en-US" w:eastAsia="zh-CN"/>
              </w:rPr>
              <w:t>进水水质</w:t>
            </w:r>
            <w:r>
              <w:rPr>
                <w:rFonts w:hint="eastAsia" w:cs="Times New Roman"/>
                <w:color w:val="auto"/>
                <w:sz w:val="21"/>
                <w:szCs w:val="21"/>
                <w:highlight w:val="none"/>
                <w:lang w:val="en-US" w:eastAsia="zh-CN"/>
              </w:rPr>
              <w:t>要求</w:t>
            </w:r>
            <w:r>
              <w:rPr>
                <w:rFonts w:hint="default" w:ascii="Times New Roman" w:hAnsi="Times New Roman" w:eastAsia="宋体" w:cs="Times New Roman"/>
                <w:color w:val="auto"/>
                <w:spacing w:val="0"/>
                <w:sz w:val="21"/>
                <w:szCs w:val="21"/>
                <w:highlight w:val="none"/>
              </w:rPr>
              <w:t>。</w:t>
            </w:r>
          </w:p>
          <w:p w14:paraId="3C6CE0C5">
            <w:pPr>
              <w:pStyle w:val="27"/>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color w:val="auto"/>
                <w:position w:val="6"/>
                <w:szCs w:val="21"/>
                <w:highlight w:val="none"/>
                <w:lang w:val="en-US" w:eastAsia="zh-CN"/>
              </w:rPr>
            </w:pPr>
            <w:r>
              <w:rPr>
                <w:rFonts w:hint="default" w:ascii="Times New Roman" w:hAnsi="Times New Roman" w:eastAsia="宋体" w:cs="Times New Roman"/>
                <w:b/>
                <w:color w:val="auto"/>
                <w:position w:val="6"/>
                <w:szCs w:val="21"/>
                <w:highlight w:val="none"/>
              </w:rPr>
              <w:t>表3-</w:t>
            </w:r>
            <w:r>
              <w:rPr>
                <w:rFonts w:hint="eastAsia" w:ascii="Times New Roman" w:hAnsi="Times New Roman" w:cs="Times New Roman"/>
                <w:b/>
                <w:color w:val="auto"/>
                <w:position w:val="6"/>
                <w:szCs w:val="21"/>
                <w:highlight w:val="none"/>
                <w:lang w:val="en-US" w:eastAsia="zh-CN"/>
              </w:rPr>
              <w:t>8</w:t>
            </w:r>
            <w:r>
              <w:rPr>
                <w:rFonts w:hint="default" w:ascii="Times New Roman" w:hAnsi="Times New Roman" w:eastAsia="宋体" w:cs="Times New Roman"/>
                <w:b/>
                <w:color w:val="auto"/>
                <w:position w:val="6"/>
                <w:szCs w:val="21"/>
                <w:highlight w:val="none"/>
              </w:rPr>
              <w:t>废水污染物排放执行标准表</w:t>
            </w:r>
            <w:r>
              <w:rPr>
                <w:rFonts w:hint="default" w:ascii="Times New Roman" w:hAnsi="Times New Roman" w:eastAsia="宋体" w:cs="Times New Roman"/>
                <w:b/>
                <w:color w:val="auto"/>
                <w:position w:val="6"/>
                <w:szCs w:val="21"/>
                <w:highlight w:val="none"/>
                <w:lang w:val="en-US" w:eastAsia="zh-CN"/>
              </w:rPr>
              <w:t xml:space="preserve">  单位：mg/L</w:t>
            </w:r>
          </w:p>
          <w:tbl>
            <w:tblPr>
              <w:tblStyle w:val="3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53"/>
              <w:gridCol w:w="4784"/>
            </w:tblGrid>
            <w:tr w14:paraId="0D1A05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254" w:type="dxa"/>
                  <w:vAlign w:val="center"/>
                </w:tcPr>
                <w:p w14:paraId="19B530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rPr>
                    <w:t>污染物种类</w:t>
                  </w:r>
                </w:p>
              </w:tc>
              <w:tc>
                <w:tcPr>
                  <w:tcW w:w="4785" w:type="dxa"/>
                  <w:vAlign w:val="center"/>
                </w:tcPr>
                <w:p w14:paraId="441E4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vertAlign w:val="baseline"/>
                    </w:rPr>
                  </w:pPr>
                  <w:r>
                    <w:rPr>
                      <w:rFonts w:hint="eastAsia" w:ascii="Times New Roman" w:hAnsi="Times New Roman" w:cs="Times New Roman"/>
                      <w:color w:val="auto"/>
                      <w:kern w:val="0"/>
                      <w:sz w:val="18"/>
                      <w:szCs w:val="18"/>
                      <w:highlight w:val="none"/>
                      <w:lang w:val="en-US" w:eastAsia="zh-CN" w:bidi="ar"/>
                    </w:rPr>
                    <w:t>恒山区污水处理</w:t>
                  </w:r>
                  <w:r>
                    <w:rPr>
                      <w:rFonts w:hint="eastAsia" w:ascii="宋体" w:hAnsi="宋体" w:cs="宋体"/>
                      <w:bCs/>
                      <w:color w:val="auto"/>
                      <w:sz w:val="18"/>
                      <w:szCs w:val="18"/>
                      <w:highlight w:val="none"/>
                      <w:lang w:val="en-US" w:eastAsia="zh-CN"/>
                    </w:rPr>
                    <w:t>厂</w:t>
                  </w:r>
                  <w:r>
                    <w:rPr>
                      <w:rFonts w:hint="default" w:ascii="Times New Roman" w:hAnsi="Times New Roman" w:cs="Times New Roman"/>
                      <w:color w:val="auto"/>
                      <w:sz w:val="18"/>
                      <w:szCs w:val="18"/>
                      <w:highlight w:val="none"/>
                      <w:vertAlign w:val="baseline"/>
                    </w:rPr>
                    <w:t>进水水质要求</w:t>
                  </w:r>
                </w:p>
              </w:tc>
            </w:tr>
            <w:tr w14:paraId="1A720E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254" w:type="dxa"/>
                  <w:vAlign w:val="center"/>
                </w:tcPr>
                <w:p w14:paraId="2C37F7D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position w:val="6"/>
                      <w:sz w:val="18"/>
                      <w:szCs w:val="18"/>
                      <w:highlight w:val="none"/>
                    </w:rPr>
                    <w:t>COD</w:t>
                  </w:r>
                </w:p>
              </w:tc>
              <w:tc>
                <w:tcPr>
                  <w:tcW w:w="4785" w:type="dxa"/>
                  <w:vAlign w:val="center"/>
                </w:tcPr>
                <w:p w14:paraId="7F70CD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5</w:t>
                  </w:r>
                  <w:r>
                    <w:rPr>
                      <w:rFonts w:hint="eastAsia" w:ascii="Times New Roman" w:hAnsi="Times New Roman" w:eastAsia="宋体" w:cs="Times New Roman"/>
                      <w:color w:val="auto"/>
                      <w:sz w:val="18"/>
                      <w:szCs w:val="18"/>
                      <w:highlight w:val="none"/>
                      <w:vertAlign w:val="baseline"/>
                      <w:lang w:val="en-US" w:eastAsia="zh-CN"/>
                    </w:rPr>
                    <w:t>00</w:t>
                  </w:r>
                </w:p>
              </w:tc>
            </w:tr>
            <w:tr w14:paraId="30F5A8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254" w:type="dxa"/>
                  <w:vAlign w:val="center"/>
                </w:tcPr>
                <w:p w14:paraId="17E3938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position w:val="6"/>
                      <w:sz w:val="18"/>
                      <w:szCs w:val="18"/>
                      <w:highlight w:val="none"/>
                    </w:rPr>
                    <w:t>氨氮</w:t>
                  </w:r>
                </w:p>
              </w:tc>
              <w:tc>
                <w:tcPr>
                  <w:tcW w:w="4785" w:type="dxa"/>
                  <w:vAlign w:val="center"/>
                </w:tcPr>
                <w:p w14:paraId="5A6F224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position w:val="6"/>
                      <w:sz w:val="18"/>
                      <w:szCs w:val="18"/>
                      <w:highlight w:val="none"/>
                      <w:lang w:val="en-US" w:eastAsia="zh-CN"/>
                    </w:rPr>
                    <w:t>45</w:t>
                  </w:r>
                </w:p>
              </w:tc>
            </w:tr>
            <w:tr w14:paraId="04C39F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254" w:type="dxa"/>
                  <w:vAlign w:val="center"/>
                </w:tcPr>
                <w:p w14:paraId="5A7AAA9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position w:val="6"/>
                      <w:sz w:val="18"/>
                      <w:szCs w:val="18"/>
                      <w:highlight w:val="none"/>
                    </w:rPr>
                    <w:t>SS</w:t>
                  </w:r>
                </w:p>
              </w:tc>
              <w:tc>
                <w:tcPr>
                  <w:tcW w:w="4785" w:type="dxa"/>
                  <w:vAlign w:val="center"/>
                </w:tcPr>
                <w:p w14:paraId="54D60E5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400</w:t>
                  </w:r>
                </w:p>
              </w:tc>
            </w:tr>
            <w:tr w14:paraId="6F4BEF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254" w:type="dxa"/>
                  <w:vAlign w:val="center"/>
                </w:tcPr>
                <w:p w14:paraId="455DAF0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position w:val="6"/>
                      <w:sz w:val="18"/>
                      <w:szCs w:val="18"/>
                      <w:highlight w:val="none"/>
                    </w:rPr>
                    <w:t>BOD</w:t>
                  </w:r>
                  <w:r>
                    <w:rPr>
                      <w:rFonts w:hint="default" w:ascii="Times New Roman" w:hAnsi="Times New Roman" w:cs="Times New Roman"/>
                      <w:color w:val="auto"/>
                      <w:position w:val="6"/>
                      <w:sz w:val="18"/>
                      <w:szCs w:val="18"/>
                      <w:highlight w:val="none"/>
                      <w:vertAlign w:val="subscript"/>
                    </w:rPr>
                    <w:t>5</w:t>
                  </w:r>
                </w:p>
              </w:tc>
              <w:tc>
                <w:tcPr>
                  <w:tcW w:w="4785" w:type="dxa"/>
                  <w:vAlign w:val="center"/>
                </w:tcPr>
                <w:p w14:paraId="6E212A5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rPr>
                  </w:pPr>
                  <w:r>
                    <w:rPr>
                      <w:rFonts w:hint="eastAsia" w:cs="Times New Roman"/>
                      <w:color w:val="auto"/>
                      <w:spacing w:val="5"/>
                      <w:sz w:val="18"/>
                      <w:szCs w:val="18"/>
                      <w:highlight w:val="none"/>
                      <w:lang w:val="en-US" w:eastAsia="zh-CN"/>
                    </w:rPr>
                    <w:t>350</w:t>
                  </w:r>
                </w:p>
              </w:tc>
            </w:tr>
            <w:tr w14:paraId="767B23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254" w:type="dxa"/>
                  <w:vAlign w:val="center"/>
                </w:tcPr>
                <w:p w14:paraId="38CD0FC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position w:val="6"/>
                      <w:sz w:val="18"/>
                      <w:szCs w:val="18"/>
                      <w:highlight w:val="none"/>
                    </w:rPr>
                    <w:t>PH</w:t>
                  </w:r>
                </w:p>
              </w:tc>
              <w:tc>
                <w:tcPr>
                  <w:tcW w:w="4785" w:type="dxa"/>
                  <w:vAlign w:val="center"/>
                </w:tcPr>
                <w:p w14:paraId="286AF38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position w:val="6"/>
                      <w:sz w:val="18"/>
                      <w:szCs w:val="18"/>
                      <w:highlight w:val="none"/>
                    </w:rPr>
                    <w:t>--</w:t>
                  </w:r>
                </w:p>
              </w:tc>
            </w:tr>
          </w:tbl>
          <w:p w14:paraId="7746D812">
            <w:pPr>
              <w:keepNext w:val="0"/>
              <w:keepLines w:val="0"/>
              <w:widowControl/>
              <w:numPr>
                <w:ilvl w:val="0"/>
                <w:numId w:val="0"/>
              </w:numPr>
              <w:suppressLineNumbers w:val="0"/>
              <w:spacing w:before="0" w:beforeAutospacing="0" w:after="0" w:afterAutospacing="0" w:line="360" w:lineRule="auto"/>
              <w:ind w:left="0" w:right="0" w:rightChars="0" w:firstLine="422" w:firstLineChars="200"/>
              <w:rPr>
                <w:rFonts w:hint="default" w:ascii="Times New Roman" w:hAnsi="Times New Roman" w:cs="Times New Roman"/>
                <w:b/>
                <w:color w:val="auto"/>
                <w:szCs w:val="21"/>
                <w:highlight w:val="none"/>
              </w:rPr>
            </w:pPr>
            <w:r>
              <w:rPr>
                <w:rFonts w:hint="eastAsia" w:cs="Times New Roman"/>
                <w:b/>
                <w:color w:val="auto"/>
                <w:szCs w:val="21"/>
                <w:highlight w:val="none"/>
                <w:lang w:val="en-US" w:eastAsia="zh-CN"/>
              </w:rPr>
              <w:t>3、</w:t>
            </w:r>
            <w:r>
              <w:rPr>
                <w:rFonts w:hint="default" w:ascii="Times New Roman" w:hAnsi="Times New Roman" w:cs="Times New Roman"/>
                <w:b/>
                <w:color w:val="auto"/>
                <w:szCs w:val="21"/>
                <w:highlight w:val="none"/>
              </w:rPr>
              <w:t>噪声</w:t>
            </w:r>
          </w:p>
          <w:p w14:paraId="6954550C">
            <w:pPr>
              <w:keepNext w:val="0"/>
              <w:keepLines w:val="0"/>
              <w:widowControl/>
              <w:suppressLineNumbers w:val="0"/>
              <w:spacing w:before="0" w:beforeAutospacing="0" w:after="0" w:afterAutospacing="0" w:line="360" w:lineRule="auto"/>
              <w:ind w:left="0" w:right="0" w:firstLine="420" w:firstLineChars="200"/>
              <w:rPr>
                <w:rFonts w:hint="default"/>
                <w:b/>
                <w:color w:val="auto"/>
                <w:szCs w:val="21"/>
                <w:highlight w:val="none"/>
              </w:rPr>
            </w:pPr>
            <w:r>
              <w:rPr>
                <w:rFonts w:hint="default"/>
                <w:color w:val="auto"/>
                <w:szCs w:val="21"/>
                <w:highlight w:val="none"/>
              </w:rPr>
              <w:t>施工期</w:t>
            </w:r>
            <w:r>
              <w:rPr>
                <w:rFonts w:hint="eastAsia"/>
                <w:color w:val="auto"/>
                <w:szCs w:val="21"/>
                <w:highlight w:val="none"/>
                <w:lang w:eastAsia="zh-CN"/>
              </w:rPr>
              <w:t>：</w:t>
            </w:r>
            <w:r>
              <w:rPr>
                <w:rFonts w:hint="default"/>
                <w:color w:val="auto"/>
                <w:szCs w:val="21"/>
                <w:highlight w:val="none"/>
              </w:rPr>
              <w:t>噪声执行《建筑施工场界环境噪声排放标准》（GB12523-2011）中噪声排放限值，具体标准见表3-</w:t>
            </w:r>
            <w:r>
              <w:rPr>
                <w:rFonts w:hint="eastAsia"/>
                <w:color w:val="auto"/>
                <w:szCs w:val="21"/>
                <w:highlight w:val="none"/>
                <w:lang w:val="en-US" w:eastAsia="zh-CN"/>
              </w:rPr>
              <w:t>8</w:t>
            </w:r>
            <w:r>
              <w:rPr>
                <w:rFonts w:hint="default"/>
                <w:color w:val="auto"/>
                <w:szCs w:val="21"/>
                <w:highlight w:val="none"/>
              </w:rPr>
              <w:t>。</w:t>
            </w:r>
          </w:p>
          <w:p w14:paraId="37BA3E51">
            <w:pPr>
              <w:keepNext w:val="0"/>
              <w:keepLines w:val="0"/>
              <w:suppressLineNumbers w:val="0"/>
              <w:spacing w:before="0" w:beforeAutospacing="0" w:after="0" w:afterAutospacing="0"/>
              <w:ind w:left="0" w:right="0"/>
              <w:jc w:val="center"/>
              <w:rPr>
                <w:rFonts w:hint="default"/>
                <w:color w:val="auto"/>
                <w:highlight w:val="none"/>
              </w:rPr>
            </w:pPr>
            <w:r>
              <w:rPr>
                <w:rFonts w:hint="default"/>
                <w:b/>
                <w:color w:val="auto"/>
                <w:szCs w:val="21"/>
                <w:highlight w:val="none"/>
              </w:rPr>
              <w:t>表3-</w:t>
            </w:r>
            <w:r>
              <w:rPr>
                <w:rFonts w:hint="eastAsia"/>
                <w:b/>
                <w:color w:val="auto"/>
                <w:szCs w:val="21"/>
                <w:highlight w:val="none"/>
                <w:lang w:val="en-US" w:eastAsia="zh-CN"/>
              </w:rPr>
              <w:t>8</w:t>
            </w:r>
            <w:r>
              <w:rPr>
                <w:rFonts w:hint="default"/>
                <w:b/>
                <w:color w:val="auto"/>
                <w:szCs w:val="21"/>
                <w:highlight w:val="none"/>
              </w:rPr>
              <w:t>建筑施工场界环境噪声排放标准 单位：dB(A)</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4"/>
              <w:gridCol w:w="3993"/>
            </w:tblGrid>
            <w:tr w14:paraId="64C9A5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54112ADF">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昼间</w:t>
                  </w:r>
                </w:p>
              </w:tc>
              <w:tc>
                <w:tcPr>
                  <w:tcW w:w="3789" w:type="dxa"/>
                  <w:tcBorders>
                    <w:tl2br w:val="nil"/>
                    <w:tr2bl w:val="nil"/>
                  </w:tcBorders>
                  <w:vAlign w:val="center"/>
                </w:tcPr>
                <w:p w14:paraId="1BB2F7ED">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夜间</w:t>
                  </w:r>
                </w:p>
              </w:tc>
            </w:tr>
            <w:tr w14:paraId="1E20E4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0968F3D6">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70</w:t>
                  </w:r>
                </w:p>
              </w:tc>
              <w:tc>
                <w:tcPr>
                  <w:tcW w:w="3789" w:type="dxa"/>
                  <w:tcBorders>
                    <w:tl2br w:val="nil"/>
                    <w:tr2bl w:val="nil"/>
                  </w:tcBorders>
                  <w:vAlign w:val="center"/>
                </w:tcPr>
                <w:p w14:paraId="05A8A5E5">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55</w:t>
                  </w:r>
                </w:p>
              </w:tc>
            </w:tr>
          </w:tbl>
          <w:p w14:paraId="1E57F1D3">
            <w:pPr>
              <w:pStyle w:val="10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firstLine="420" w:firstLineChars="200"/>
              <w:jc w:val="both"/>
              <w:textAlignment w:val="auto"/>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运营期：</w:t>
            </w:r>
            <w:r>
              <w:rPr>
                <w:rFonts w:hint="default" w:ascii="Times New Roman" w:hAnsi="Times New Roman" w:eastAsia="宋体" w:cs="Times New Roman"/>
                <w:b w:val="0"/>
                <w:bCs w:val="0"/>
                <w:color w:val="auto"/>
                <w:sz w:val="21"/>
                <w:szCs w:val="21"/>
                <w:highlight w:val="none"/>
                <w:lang w:val="en-US" w:eastAsia="zh-CN"/>
              </w:rPr>
              <w:t>根据鸡西市中心城区声环境功能区划图可知，本项目位置不在声环境功能区划内，</w:t>
            </w:r>
            <w:r>
              <w:rPr>
                <w:rFonts w:hint="default" w:ascii="Times New Roman" w:hAnsi="Times New Roman" w:eastAsia="宋体" w:cs="Times New Roman"/>
                <w:b w:val="0"/>
                <w:bCs w:val="0"/>
                <w:color w:val="auto"/>
                <w:sz w:val="21"/>
                <w:szCs w:val="21"/>
                <w:highlight w:val="none"/>
              </w:rPr>
              <w:t>根据《声环境质量标准》2类声环境功能区：指以商业金融、集市贸易为主要功能，或者居住、商业、工业混杂，需要维护住宅安静的区域。本项目位置属于居住、工业混杂区域，故属于2类声环境功能区。</w:t>
            </w:r>
            <w:r>
              <w:rPr>
                <w:rFonts w:hint="eastAsia" w:cs="Times New Roman"/>
                <w:color w:val="auto"/>
                <w:szCs w:val="21"/>
                <w:highlight w:val="none"/>
                <w:lang w:val="en-US" w:eastAsia="zh-CN"/>
              </w:rPr>
              <w:t>本项目</w:t>
            </w:r>
            <w:r>
              <w:rPr>
                <w:rFonts w:hint="eastAsia"/>
                <w:color w:val="auto"/>
                <w:sz w:val="21"/>
                <w:szCs w:val="21"/>
                <w:highlight w:val="none"/>
                <w:lang w:val="en-US" w:eastAsia="zh-CN"/>
              </w:rPr>
              <w:t>厂界</w:t>
            </w:r>
            <w:r>
              <w:rPr>
                <w:rFonts w:hint="default" w:ascii="Times New Roman" w:hAnsi="Times New Roman" w:cs="Times New Roman"/>
                <w:color w:val="auto"/>
                <w:szCs w:val="21"/>
                <w:highlight w:val="none"/>
              </w:rPr>
              <w:t>噪声执</w:t>
            </w:r>
            <w:r>
              <w:rPr>
                <w:rFonts w:hint="default" w:ascii="Times New Roman" w:hAnsi="Times New Roman" w:cs="Times New Roman"/>
                <w:color w:val="auto"/>
                <w:sz w:val="21"/>
                <w:szCs w:val="21"/>
                <w:highlight w:val="none"/>
              </w:rPr>
              <w:t>行《</w:t>
            </w:r>
            <w:r>
              <w:rPr>
                <w:rFonts w:hint="default" w:ascii="Times New Roman" w:hAnsi="Times New Roman" w:cs="Times New Roman"/>
                <w:color w:val="auto"/>
                <w:szCs w:val="21"/>
                <w:highlight w:val="none"/>
              </w:rPr>
              <w:t>工业企业厂界环境噪声排放标准》</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GB12348-2008</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表1中</w:t>
            </w:r>
            <w:r>
              <w:rPr>
                <w:rFonts w:hint="eastAsia" w:cs="Times New Roman"/>
                <w:color w:val="auto"/>
                <w:szCs w:val="21"/>
                <w:highlight w:val="none"/>
                <w:lang w:val="en-US" w:eastAsia="zh-CN"/>
              </w:rPr>
              <w:t>2</w:t>
            </w:r>
            <w:r>
              <w:rPr>
                <w:rFonts w:hint="default"/>
                <w:color w:val="auto"/>
                <w:sz w:val="21"/>
                <w:szCs w:val="21"/>
                <w:highlight w:val="none"/>
              </w:rPr>
              <w:t>类标准</w:t>
            </w:r>
            <w:r>
              <w:rPr>
                <w:rFonts w:hint="eastAsia"/>
                <w:color w:val="auto"/>
                <w:kern w:val="0"/>
                <w:szCs w:val="21"/>
                <w:highlight w:val="none"/>
                <w:lang w:val="en-US" w:eastAsia="zh-CN"/>
              </w:rPr>
              <w:t>。</w:t>
            </w:r>
          </w:p>
          <w:p w14:paraId="24BC20FD">
            <w:pPr>
              <w:pStyle w:val="73"/>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cs="Times New Roman"/>
                <w:snapToGrid w:val="0"/>
                <w:color w:val="auto"/>
                <w:spacing w:val="0"/>
                <w:sz w:val="21"/>
                <w:szCs w:val="21"/>
                <w:highlight w:val="none"/>
              </w:rPr>
            </w:pPr>
            <w:r>
              <w:rPr>
                <w:rFonts w:hint="default" w:ascii="Times New Roman" w:hAnsi="Times New Roman" w:eastAsia="宋体" w:cs="Times New Roman"/>
                <w:b/>
                <w:bCs/>
                <w:snapToGrid w:val="0"/>
                <w:color w:val="auto"/>
                <w:spacing w:val="0"/>
                <w:sz w:val="21"/>
                <w:szCs w:val="21"/>
                <w:highlight w:val="none"/>
              </w:rPr>
              <w:t>表3-</w:t>
            </w:r>
            <w:r>
              <w:rPr>
                <w:rFonts w:hint="eastAsia" w:ascii="Times New Roman" w:hAnsi="Times New Roman" w:eastAsia="宋体" w:cs="Times New Roman"/>
                <w:b/>
                <w:bCs/>
                <w:snapToGrid w:val="0"/>
                <w:color w:val="auto"/>
                <w:spacing w:val="0"/>
                <w:sz w:val="21"/>
                <w:szCs w:val="21"/>
                <w:highlight w:val="none"/>
                <w:lang w:val="en-US" w:eastAsia="zh-CN"/>
              </w:rPr>
              <w:t>9</w:t>
            </w:r>
            <w:r>
              <w:rPr>
                <w:rFonts w:hint="default" w:ascii="Times New Roman" w:hAnsi="Times New Roman" w:eastAsia="宋体" w:cs="Times New Roman"/>
                <w:b/>
                <w:bCs/>
                <w:snapToGrid w:val="0"/>
                <w:color w:val="auto"/>
                <w:spacing w:val="0"/>
                <w:sz w:val="21"/>
                <w:szCs w:val="21"/>
                <w:highlight w:val="none"/>
              </w:rPr>
              <w:t>工业企业厂界环境噪声排放标准</w:t>
            </w:r>
          </w:p>
          <w:tbl>
            <w:tblPr>
              <w:tblStyle w:val="3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2803"/>
              <w:gridCol w:w="2841"/>
            </w:tblGrid>
            <w:tr w14:paraId="05CD34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restart"/>
                  <w:tcBorders>
                    <w:tl2br w:val="nil"/>
                    <w:tr2bl w:val="nil"/>
                  </w:tcBorders>
                  <w:vAlign w:val="center"/>
                </w:tcPr>
                <w:p w14:paraId="3FBA1D8E">
                  <w:pPr>
                    <w:pStyle w:val="8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类别</w:t>
                  </w:r>
                </w:p>
              </w:tc>
              <w:tc>
                <w:tcPr>
                  <w:tcW w:w="3512" w:type="pct"/>
                  <w:gridSpan w:val="2"/>
                  <w:tcBorders>
                    <w:tl2br w:val="nil"/>
                    <w:tr2bl w:val="nil"/>
                  </w:tcBorders>
                  <w:vAlign w:val="center"/>
                </w:tcPr>
                <w:p w14:paraId="728CB9FE">
                  <w:pPr>
                    <w:pStyle w:val="8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标准值（dB（A））</w:t>
                  </w:r>
                </w:p>
              </w:tc>
            </w:tr>
            <w:tr w14:paraId="704940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continue"/>
                  <w:tcBorders>
                    <w:tl2br w:val="nil"/>
                    <w:tr2bl w:val="nil"/>
                  </w:tcBorders>
                  <w:vAlign w:val="center"/>
                </w:tcPr>
                <w:p w14:paraId="33F79591">
                  <w:pPr>
                    <w:pStyle w:val="8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p>
              </w:tc>
              <w:tc>
                <w:tcPr>
                  <w:tcW w:w="1744" w:type="pct"/>
                  <w:tcBorders>
                    <w:tl2br w:val="nil"/>
                    <w:tr2bl w:val="nil"/>
                  </w:tcBorders>
                  <w:vAlign w:val="center"/>
                </w:tcPr>
                <w:p w14:paraId="3463F8C6">
                  <w:pPr>
                    <w:pStyle w:val="8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昼间</w:t>
                  </w:r>
                </w:p>
              </w:tc>
              <w:tc>
                <w:tcPr>
                  <w:tcW w:w="1768" w:type="pct"/>
                  <w:tcBorders>
                    <w:tl2br w:val="nil"/>
                    <w:tr2bl w:val="nil"/>
                  </w:tcBorders>
                  <w:vAlign w:val="center"/>
                </w:tcPr>
                <w:p w14:paraId="77DD1119">
                  <w:pPr>
                    <w:pStyle w:val="8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夜间</w:t>
                  </w:r>
                </w:p>
              </w:tc>
            </w:tr>
            <w:tr w14:paraId="7635DE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tcBorders>
                    <w:tl2br w:val="nil"/>
                    <w:tr2bl w:val="nil"/>
                  </w:tcBorders>
                  <w:vAlign w:val="center"/>
                </w:tcPr>
                <w:p w14:paraId="26D36D2B">
                  <w:pPr>
                    <w:pStyle w:val="8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2</w:t>
                  </w:r>
                  <w:r>
                    <w:rPr>
                      <w:rFonts w:hint="default" w:ascii="Times New Roman" w:hAnsi="Times New Roman" w:cs="Times New Roman" w:eastAsiaTheme="minorEastAsia"/>
                      <w:color w:val="auto"/>
                      <w:sz w:val="18"/>
                      <w:szCs w:val="18"/>
                      <w:highlight w:val="none"/>
                    </w:rPr>
                    <w:t>类</w:t>
                  </w:r>
                </w:p>
              </w:tc>
              <w:tc>
                <w:tcPr>
                  <w:tcW w:w="1744" w:type="pct"/>
                  <w:tcBorders>
                    <w:tl2br w:val="nil"/>
                    <w:tr2bl w:val="nil"/>
                  </w:tcBorders>
                  <w:vAlign w:val="center"/>
                </w:tcPr>
                <w:p w14:paraId="4D1242B2">
                  <w:pPr>
                    <w:pStyle w:val="8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60</w:t>
                  </w:r>
                </w:p>
              </w:tc>
              <w:tc>
                <w:tcPr>
                  <w:tcW w:w="1768" w:type="pct"/>
                  <w:tcBorders>
                    <w:tl2br w:val="nil"/>
                    <w:tr2bl w:val="nil"/>
                  </w:tcBorders>
                  <w:vAlign w:val="center"/>
                </w:tcPr>
                <w:p w14:paraId="3AAE41C0">
                  <w:pPr>
                    <w:pStyle w:val="8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50</w:t>
                  </w:r>
                </w:p>
              </w:tc>
            </w:tr>
          </w:tbl>
          <w:p w14:paraId="7A8D5A69">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kern w:val="21"/>
                <w:szCs w:val="21"/>
                <w:highlight w:val="none"/>
              </w:rPr>
            </w:pPr>
            <w:r>
              <w:rPr>
                <w:rFonts w:hint="default" w:ascii="Times New Roman" w:hAnsi="Times New Roman" w:cs="Times New Roman"/>
                <w:b/>
                <w:bCs/>
                <w:color w:val="auto"/>
                <w:kern w:val="21"/>
                <w:szCs w:val="21"/>
                <w:highlight w:val="none"/>
              </w:rPr>
              <w:t>4、固体废物</w:t>
            </w:r>
          </w:p>
          <w:p w14:paraId="5A41DC7F">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21"/>
                <w:szCs w:val="21"/>
                <w:highlight w:val="none"/>
              </w:rPr>
              <w:t>一般固体废物处置执行《一般工业固体废物贮存和填埋污染控制标准》（GB18599-2020）</w:t>
            </w:r>
            <w:r>
              <w:rPr>
                <w:rFonts w:hint="eastAsia" w:cs="Times New Roman"/>
                <w:color w:val="auto"/>
                <w:kern w:val="21"/>
                <w:szCs w:val="21"/>
                <w:highlight w:val="none"/>
                <w:lang w:eastAsia="zh-CN"/>
              </w:rPr>
              <w:t>、</w:t>
            </w:r>
            <w:r>
              <w:rPr>
                <w:rFonts w:hint="eastAsia"/>
                <w:bCs/>
                <w:color w:val="auto"/>
                <w:szCs w:val="21"/>
                <w:highlight w:val="none"/>
              </w:rPr>
              <w:t>《固体废物分类与代码目录》（公告2024年第4号）</w:t>
            </w:r>
            <w:r>
              <w:rPr>
                <w:rFonts w:hint="eastAsia"/>
                <w:bCs/>
                <w:color w:val="auto"/>
                <w:szCs w:val="21"/>
                <w:highlight w:val="none"/>
                <w:lang w:eastAsia="zh-CN"/>
              </w:rPr>
              <w:t>，</w:t>
            </w:r>
            <w:r>
              <w:rPr>
                <w:rFonts w:hint="default"/>
                <w:color w:val="auto"/>
                <w:kern w:val="0"/>
                <w:szCs w:val="21"/>
                <w:highlight w:val="none"/>
              </w:rPr>
              <w:t>危险废物</w:t>
            </w:r>
            <w:r>
              <w:rPr>
                <w:rFonts w:hint="eastAsia"/>
                <w:color w:val="auto"/>
                <w:kern w:val="0"/>
                <w:szCs w:val="21"/>
                <w:highlight w:val="none"/>
                <w:lang w:val="en-US" w:eastAsia="zh-CN"/>
              </w:rPr>
              <w:t>满足</w:t>
            </w:r>
            <w:r>
              <w:rPr>
                <w:rFonts w:hint="eastAsia" w:ascii="宋体" w:hAnsi="宋体" w:cs="宋体"/>
                <w:color w:val="auto"/>
                <w:kern w:val="0"/>
                <w:szCs w:val="21"/>
                <w:highlight w:val="none"/>
                <w:lang w:bidi="ar"/>
              </w:rPr>
              <w:t>《危险废物贮存污染控制标准》（</w:t>
            </w:r>
            <w:r>
              <w:rPr>
                <w:rFonts w:hint="default"/>
                <w:color w:val="auto"/>
                <w:kern w:val="0"/>
                <w:szCs w:val="21"/>
                <w:highlight w:val="none"/>
                <w:lang w:bidi="ar"/>
              </w:rPr>
              <w:t>GB18597-2023</w:t>
            </w:r>
            <w:r>
              <w:rPr>
                <w:rFonts w:hint="eastAsia" w:ascii="宋体" w:hAnsi="宋体" w:cs="宋体"/>
                <w:color w:val="auto"/>
                <w:kern w:val="0"/>
                <w:szCs w:val="21"/>
                <w:highlight w:val="none"/>
                <w:lang w:bidi="ar"/>
              </w:rPr>
              <w:t>）</w:t>
            </w:r>
            <w:r>
              <w:rPr>
                <w:rFonts w:hint="default" w:ascii="Times New Roman" w:hAnsi="Times New Roman" w:cs="Times New Roman"/>
                <w:color w:val="auto"/>
                <w:kern w:val="21"/>
                <w:szCs w:val="21"/>
                <w:highlight w:val="none"/>
              </w:rPr>
              <w:t>。</w:t>
            </w:r>
          </w:p>
        </w:tc>
      </w:tr>
      <w:tr w14:paraId="1172A3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74" w:hRule="atLeast"/>
          <w:jc w:val="center"/>
        </w:trPr>
        <w:tc>
          <w:tcPr>
            <w:tcW w:w="452" w:type="pct"/>
            <w:tcBorders>
              <w:bottom w:val="single" w:color="auto" w:sz="4" w:space="0"/>
            </w:tcBorders>
            <w:vAlign w:val="center"/>
          </w:tcPr>
          <w:p w14:paraId="421DDB5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总量控制指标</w:t>
            </w:r>
          </w:p>
        </w:tc>
        <w:tc>
          <w:tcPr>
            <w:tcW w:w="4547" w:type="pct"/>
            <w:tcBorders>
              <w:bottom w:val="single" w:color="auto" w:sz="4" w:space="0"/>
            </w:tcBorders>
            <w:vAlign w:val="center"/>
          </w:tcPr>
          <w:p w14:paraId="2B186153">
            <w:pPr>
              <w:keepNext w:val="0"/>
              <w:keepLines w:val="0"/>
              <w:widowControl/>
              <w:suppressLineNumbers w:val="0"/>
              <w:spacing w:before="0" w:beforeAutospacing="0" w:after="0" w:afterAutospacing="0" w:line="240" w:lineRule="auto"/>
              <w:ind w:left="0" w:right="0" w:firstLine="422" w:firstLineChars="200"/>
              <w:jc w:val="center"/>
              <w:rPr>
                <w:rFonts w:hint="eastAsia" w:eastAsia="宋体"/>
                <w:b/>
                <w:color w:val="auto"/>
                <w:szCs w:val="21"/>
                <w:highlight w:val="none"/>
                <w:lang w:eastAsia="zh-CN"/>
              </w:rPr>
            </w:pPr>
            <w:r>
              <w:rPr>
                <w:rFonts w:hint="eastAsia"/>
                <w:b/>
                <w:color w:val="auto"/>
                <w:szCs w:val="21"/>
                <w:highlight w:val="none"/>
              </w:rPr>
              <w:t>表</w:t>
            </w:r>
            <w:r>
              <w:rPr>
                <w:rFonts w:hint="default"/>
                <w:b/>
                <w:color w:val="auto"/>
                <w:szCs w:val="21"/>
                <w:highlight w:val="none"/>
              </w:rPr>
              <w:t>3</w:t>
            </w:r>
            <w:r>
              <w:rPr>
                <w:rFonts w:hint="eastAsia"/>
                <w:b/>
                <w:color w:val="auto"/>
                <w:szCs w:val="21"/>
                <w:highlight w:val="none"/>
                <w:lang w:val="en-US" w:eastAsia="zh-CN"/>
              </w:rPr>
              <w:t>-10</w:t>
            </w:r>
            <w:r>
              <w:rPr>
                <w:rFonts w:hint="eastAsia"/>
                <w:b/>
                <w:color w:val="auto"/>
                <w:szCs w:val="21"/>
                <w:highlight w:val="none"/>
              </w:rPr>
              <w:t>总量控制表</w:t>
            </w:r>
            <w:r>
              <w:rPr>
                <w:rFonts w:hint="default"/>
                <w:b/>
                <w:color w:val="auto"/>
                <w:szCs w:val="21"/>
                <w:highlight w:val="none"/>
              </w:rPr>
              <w:t xml:space="preserve">  </w:t>
            </w:r>
            <w:r>
              <w:rPr>
                <w:rFonts w:hint="eastAsia"/>
                <w:b/>
                <w:color w:val="auto"/>
                <w:szCs w:val="21"/>
                <w:highlight w:val="none"/>
              </w:rPr>
              <w:t>单位：</w:t>
            </w:r>
            <w:r>
              <w:rPr>
                <w:rFonts w:hint="default"/>
                <w:b/>
                <w:color w:val="auto"/>
                <w:szCs w:val="21"/>
                <w:highlight w:val="none"/>
              </w:rPr>
              <w:t>t/a</w:t>
            </w:r>
          </w:p>
          <w:tbl>
            <w:tblPr>
              <w:tblStyle w:val="37"/>
              <w:tblW w:w="498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080"/>
              <w:gridCol w:w="1124"/>
              <w:gridCol w:w="1005"/>
              <w:gridCol w:w="923"/>
              <w:gridCol w:w="1002"/>
              <w:gridCol w:w="1003"/>
              <w:gridCol w:w="1004"/>
            </w:tblGrid>
            <w:tr w14:paraId="012A32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noWrap w:val="0"/>
                  <w:vAlign w:val="center"/>
                </w:tcPr>
                <w:p w14:paraId="13E69C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bCs/>
                      <w:color w:val="auto"/>
                      <w:sz w:val="18"/>
                      <w:szCs w:val="18"/>
                      <w:highlight w:val="none"/>
                    </w:rPr>
                    <w:t>名称</w:t>
                  </w:r>
                </w:p>
              </w:tc>
              <w:tc>
                <w:tcPr>
                  <w:tcW w:w="1080" w:type="dxa"/>
                  <w:noWrap w:val="0"/>
                  <w:vAlign w:val="center"/>
                </w:tcPr>
                <w:p w14:paraId="427BE3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现有工程</w:t>
                  </w:r>
                  <w:r>
                    <w:rPr>
                      <w:rFonts w:hint="eastAsia"/>
                      <w:color w:val="auto"/>
                      <w:sz w:val="18"/>
                      <w:szCs w:val="18"/>
                      <w:highlight w:val="none"/>
                    </w:rPr>
                    <w:t>实际排放量</w:t>
                  </w:r>
                  <w:r>
                    <w:rPr>
                      <w:rFonts w:hint="default"/>
                      <w:color w:val="auto"/>
                      <w:sz w:val="18"/>
                      <w:szCs w:val="18"/>
                      <w:highlight w:val="none"/>
                    </w:rPr>
                    <w:t>（t/a）</w:t>
                  </w:r>
                </w:p>
              </w:tc>
              <w:tc>
                <w:tcPr>
                  <w:tcW w:w="1124" w:type="dxa"/>
                  <w:noWrap w:val="0"/>
                  <w:vAlign w:val="center"/>
                </w:tcPr>
                <w:p w14:paraId="521108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rPr>
                    <w:t>现有工程许可</w:t>
                  </w:r>
                  <w:r>
                    <w:rPr>
                      <w:rFonts w:hint="default"/>
                      <w:color w:val="auto"/>
                      <w:sz w:val="18"/>
                      <w:szCs w:val="18"/>
                      <w:highlight w:val="none"/>
                    </w:rPr>
                    <w:t>排放量（t/a）</w:t>
                  </w:r>
                </w:p>
              </w:tc>
              <w:tc>
                <w:tcPr>
                  <w:tcW w:w="1005" w:type="dxa"/>
                  <w:noWrap w:val="0"/>
                  <w:vAlign w:val="center"/>
                </w:tcPr>
                <w:p w14:paraId="4037A1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本工程预测排放量（t/a）</w:t>
                  </w:r>
                </w:p>
              </w:tc>
              <w:tc>
                <w:tcPr>
                  <w:tcW w:w="923" w:type="dxa"/>
                  <w:noWrap w:val="0"/>
                  <w:vAlign w:val="center"/>
                </w:tcPr>
                <w:p w14:paraId="494360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“以新带老”削减</w:t>
                  </w:r>
                </w:p>
                <w:p w14:paraId="29EE0C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量（t/a）</w:t>
                  </w:r>
                </w:p>
              </w:tc>
              <w:tc>
                <w:tcPr>
                  <w:tcW w:w="1002" w:type="dxa"/>
                  <w:noWrap w:val="0"/>
                  <w:vAlign w:val="center"/>
                </w:tcPr>
                <w:p w14:paraId="0CFB17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总体工程预测排放总量（t/a）</w:t>
                  </w:r>
                </w:p>
              </w:tc>
              <w:tc>
                <w:tcPr>
                  <w:tcW w:w="1003" w:type="dxa"/>
                  <w:tcBorders>
                    <w:right w:val="nil"/>
                  </w:tcBorders>
                  <w:noWrap w:val="0"/>
                  <w:vAlign w:val="center"/>
                </w:tcPr>
                <w:p w14:paraId="4A0ED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总体工程排放增减量（t/a）</w:t>
                  </w:r>
                </w:p>
              </w:tc>
              <w:tc>
                <w:tcPr>
                  <w:tcW w:w="1004" w:type="dxa"/>
                  <w:noWrap w:val="0"/>
                  <w:vAlign w:val="center"/>
                </w:tcPr>
                <w:p w14:paraId="05E2A1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rPr>
                    <w:t>本工程</w:t>
                  </w:r>
                  <w:r>
                    <w:rPr>
                      <w:rFonts w:hint="default"/>
                      <w:color w:val="auto"/>
                      <w:sz w:val="18"/>
                      <w:szCs w:val="18"/>
                      <w:highlight w:val="none"/>
                    </w:rPr>
                    <w:t>核定排放总量（t/a）</w:t>
                  </w:r>
                </w:p>
              </w:tc>
            </w:tr>
            <w:tr w14:paraId="1A6C7A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noWrap w:val="0"/>
                  <w:vAlign w:val="center"/>
                </w:tcPr>
                <w:p w14:paraId="18C7A4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kern w:val="0"/>
                      <w:sz w:val="18"/>
                      <w:szCs w:val="18"/>
                      <w:highlight w:val="none"/>
                    </w:rPr>
                    <w:t>颗粒物</w:t>
                  </w:r>
                </w:p>
              </w:tc>
              <w:tc>
                <w:tcPr>
                  <w:tcW w:w="1080" w:type="dxa"/>
                  <w:noWrap w:val="0"/>
                  <w:vAlign w:val="center"/>
                </w:tcPr>
                <w:p w14:paraId="21FDE2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kern w:val="0"/>
                      <w:sz w:val="18"/>
                      <w:szCs w:val="18"/>
                      <w:highlight w:val="none"/>
                      <w:lang w:val="en-US" w:eastAsia="zh-CN" w:bidi="ar-SA"/>
                    </w:rPr>
                  </w:pPr>
                  <w:r>
                    <w:rPr>
                      <w:rFonts w:hint="eastAsia"/>
                      <w:bCs/>
                      <w:color w:val="auto"/>
                      <w:sz w:val="18"/>
                      <w:szCs w:val="18"/>
                      <w:highlight w:val="none"/>
                      <w:lang w:val="en-US" w:eastAsia="zh-CN"/>
                    </w:rPr>
                    <w:t>5.282</w:t>
                  </w:r>
                </w:p>
              </w:tc>
              <w:tc>
                <w:tcPr>
                  <w:tcW w:w="1124" w:type="dxa"/>
                  <w:noWrap w:val="0"/>
                  <w:vAlign w:val="center"/>
                </w:tcPr>
                <w:p w14:paraId="3494AB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10.122785</w:t>
                  </w:r>
                </w:p>
              </w:tc>
              <w:tc>
                <w:tcPr>
                  <w:tcW w:w="1005" w:type="dxa"/>
                  <w:noWrap w:val="0"/>
                  <w:vAlign w:val="center"/>
                </w:tcPr>
                <w:p w14:paraId="783F2C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kern w:val="0"/>
                      <w:sz w:val="18"/>
                      <w:szCs w:val="18"/>
                      <w:highlight w:val="none"/>
                      <w:lang w:val="en-US"/>
                    </w:rPr>
                  </w:pPr>
                  <w:r>
                    <w:rPr>
                      <w:rFonts w:hint="eastAsia" w:cs="Times New Roman"/>
                      <w:color w:val="auto"/>
                      <w:position w:val="0"/>
                      <w:sz w:val="18"/>
                      <w:szCs w:val="18"/>
                      <w:highlight w:val="none"/>
                      <w:lang w:val="en-US" w:eastAsia="zh-CN"/>
                    </w:rPr>
                    <w:t>2.843</w:t>
                  </w:r>
                </w:p>
              </w:tc>
              <w:tc>
                <w:tcPr>
                  <w:tcW w:w="923" w:type="dxa"/>
                  <w:noWrap w:val="0"/>
                  <w:vAlign w:val="center"/>
                </w:tcPr>
                <w:p w14:paraId="71F5AF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bCs/>
                      <w:color w:val="auto"/>
                      <w:sz w:val="18"/>
                      <w:szCs w:val="18"/>
                      <w:highlight w:val="none"/>
                      <w:lang w:val="en-US" w:eastAsia="zh-CN"/>
                    </w:rPr>
                    <w:t>5.282</w:t>
                  </w:r>
                </w:p>
              </w:tc>
              <w:tc>
                <w:tcPr>
                  <w:tcW w:w="1002" w:type="dxa"/>
                  <w:noWrap w:val="0"/>
                  <w:vAlign w:val="center"/>
                </w:tcPr>
                <w:p w14:paraId="7AE86C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highlight w:val="none"/>
                      <w:lang w:val="en-US"/>
                    </w:rPr>
                  </w:pPr>
                  <w:r>
                    <w:rPr>
                      <w:rFonts w:hint="eastAsia" w:cs="Times New Roman"/>
                      <w:color w:val="auto"/>
                      <w:position w:val="0"/>
                      <w:sz w:val="18"/>
                      <w:szCs w:val="18"/>
                      <w:highlight w:val="none"/>
                      <w:lang w:val="en-US" w:eastAsia="zh-CN"/>
                    </w:rPr>
                    <w:t>2.843</w:t>
                  </w:r>
                </w:p>
              </w:tc>
              <w:tc>
                <w:tcPr>
                  <w:tcW w:w="1003" w:type="dxa"/>
                  <w:noWrap w:val="0"/>
                  <w:vAlign w:val="center"/>
                </w:tcPr>
                <w:p w14:paraId="351023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r>
                    <w:rPr>
                      <w:rFonts w:hint="eastAsia" w:cs="Times New Roman"/>
                      <w:bCs/>
                      <w:color w:val="auto"/>
                      <w:sz w:val="18"/>
                      <w:szCs w:val="18"/>
                      <w:highlight w:val="none"/>
                      <w:lang w:val="en-US" w:eastAsia="zh-CN"/>
                    </w:rPr>
                    <w:t>439</w:t>
                  </w:r>
                </w:p>
              </w:tc>
              <w:tc>
                <w:tcPr>
                  <w:tcW w:w="1004" w:type="dxa"/>
                  <w:noWrap w:val="0"/>
                  <w:vAlign w:val="center"/>
                </w:tcPr>
                <w:p w14:paraId="0160C9D8">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kern w:val="0"/>
                      <w:sz w:val="18"/>
                      <w:szCs w:val="18"/>
                      <w:highlight w:val="none"/>
                      <w:lang w:val="en-US"/>
                    </w:rPr>
                  </w:pPr>
                  <w:r>
                    <w:rPr>
                      <w:rFonts w:hint="eastAsia" w:cs="Times New Roman"/>
                      <w:color w:val="auto"/>
                      <w:sz w:val="18"/>
                      <w:szCs w:val="18"/>
                      <w:highlight w:val="none"/>
                      <w:lang w:val="en-US" w:eastAsia="zh-CN"/>
                    </w:rPr>
                    <w:t>9.385</w:t>
                  </w:r>
                </w:p>
              </w:tc>
            </w:tr>
            <w:tr w14:paraId="72336C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876" w:type="dxa"/>
                  <w:noWrap w:val="0"/>
                  <w:vAlign w:val="center"/>
                </w:tcPr>
                <w:p w14:paraId="073D4A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1080" w:type="dxa"/>
                  <w:noWrap w:val="0"/>
                  <w:vAlign w:val="center"/>
                </w:tcPr>
                <w:p w14:paraId="588C8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kern w:val="0"/>
                      <w:sz w:val="18"/>
                      <w:szCs w:val="18"/>
                      <w:highlight w:val="none"/>
                      <w:lang w:val="en-US" w:eastAsia="zh-CN" w:bidi="ar-SA"/>
                    </w:rPr>
                  </w:pPr>
                  <w:r>
                    <w:rPr>
                      <w:rFonts w:hint="eastAsia"/>
                      <w:bCs/>
                      <w:color w:val="auto"/>
                      <w:sz w:val="18"/>
                      <w:szCs w:val="18"/>
                      <w:highlight w:val="none"/>
                      <w:lang w:val="en-US" w:eastAsia="zh-CN"/>
                    </w:rPr>
                    <w:t>24.764</w:t>
                  </w:r>
                </w:p>
              </w:tc>
              <w:tc>
                <w:tcPr>
                  <w:tcW w:w="1124" w:type="dxa"/>
                  <w:noWrap w:val="0"/>
                  <w:vAlign w:val="center"/>
                </w:tcPr>
                <w:p w14:paraId="424A08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40.491138</w:t>
                  </w:r>
                </w:p>
              </w:tc>
              <w:tc>
                <w:tcPr>
                  <w:tcW w:w="1005" w:type="dxa"/>
                  <w:noWrap w:val="0"/>
                  <w:vAlign w:val="center"/>
                </w:tcPr>
                <w:p w14:paraId="483DE4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position w:val="0"/>
                      <w:sz w:val="18"/>
                      <w:szCs w:val="18"/>
                      <w:highlight w:val="none"/>
                      <w:lang w:val="en-US" w:eastAsia="zh-CN"/>
                    </w:rPr>
                    <w:t>4.273</w:t>
                  </w:r>
                </w:p>
              </w:tc>
              <w:tc>
                <w:tcPr>
                  <w:tcW w:w="923" w:type="dxa"/>
                  <w:noWrap w:val="0"/>
                  <w:vAlign w:val="center"/>
                </w:tcPr>
                <w:p w14:paraId="70B42A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eastAsia="宋体"/>
                      <w:color w:val="auto"/>
                      <w:sz w:val="18"/>
                      <w:szCs w:val="18"/>
                      <w:highlight w:val="none"/>
                      <w:lang w:val="en-US" w:eastAsia="zh-CN"/>
                    </w:rPr>
                  </w:pPr>
                  <w:r>
                    <w:rPr>
                      <w:rFonts w:hint="eastAsia"/>
                      <w:bCs/>
                      <w:color w:val="auto"/>
                      <w:sz w:val="18"/>
                      <w:szCs w:val="18"/>
                      <w:highlight w:val="none"/>
                      <w:lang w:val="en-US" w:eastAsia="zh-CN"/>
                    </w:rPr>
                    <w:t>24.764</w:t>
                  </w:r>
                </w:p>
              </w:tc>
              <w:tc>
                <w:tcPr>
                  <w:tcW w:w="1002" w:type="dxa"/>
                  <w:noWrap w:val="0"/>
                  <w:vAlign w:val="center"/>
                </w:tcPr>
                <w:p w14:paraId="1AE154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position w:val="0"/>
                      <w:sz w:val="18"/>
                      <w:szCs w:val="18"/>
                      <w:highlight w:val="none"/>
                      <w:lang w:val="en-US" w:eastAsia="zh-CN"/>
                    </w:rPr>
                    <w:t>4.273</w:t>
                  </w:r>
                </w:p>
              </w:tc>
              <w:tc>
                <w:tcPr>
                  <w:tcW w:w="1003" w:type="dxa"/>
                  <w:noWrap w:val="0"/>
                  <w:vAlign w:val="center"/>
                </w:tcPr>
                <w:p w14:paraId="10815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s="Times New Roman"/>
                      <w:color w:val="auto"/>
                      <w:kern w:val="0"/>
                      <w:sz w:val="18"/>
                      <w:szCs w:val="18"/>
                      <w:highlight w:val="none"/>
                      <w:lang w:val="en-US" w:eastAsia="zh-CN" w:bidi="ar"/>
                    </w:rPr>
                  </w:pPr>
                  <w:r>
                    <w:rPr>
                      <w:rFonts w:hint="default" w:ascii="Times New Roman" w:hAnsi="Times New Roman" w:cs="Times New Roman"/>
                      <w:bCs/>
                      <w:color w:val="auto"/>
                      <w:sz w:val="18"/>
                      <w:szCs w:val="18"/>
                      <w:highlight w:val="none"/>
                      <w:lang w:val="en-US" w:eastAsia="zh-CN"/>
                    </w:rPr>
                    <w:t>-20.491</w:t>
                  </w:r>
                </w:p>
              </w:tc>
              <w:tc>
                <w:tcPr>
                  <w:tcW w:w="1004" w:type="dxa"/>
                  <w:noWrap w:val="0"/>
                  <w:vAlign w:val="center"/>
                </w:tcPr>
                <w:p w14:paraId="256E240E">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sz w:val="18"/>
                      <w:szCs w:val="18"/>
                      <w:highlight w:val="none"/>
                      <w:lang w:val="en-US" w:eastAsia="zh-CN"/>
                    </w:rPr>
                    <w:t>45.048</w:t>
                  </w:r>
                </w:p>
              </w:tc>
            </w:tr>
            <w:tr w14:paraId="2614C5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noWrap w:val="0"/>
                  <w:vAlign w:val="center"/>
                </w:tcPr>
                <w:p w14:paraId="0C435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1080" w:type="dxa"/>
                  <w:noWrap w:val="0"/>
                  <w:vAlign w:val="center"/>
                </w:tcPr>
                <w:p w14:paraId="2B3AF3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kern w:val="0"/>
                      <w:sz w:val="18"/>
                      <w:szCs w:val="18"/>
                      <w:highlight w:val="none"/>
                      <w:lang w:val="en-US" w:eastAsia="zh-CN" w:bidi="ar-SA"/>
                    </w:rPr>
                  </w:pPr>
                  <w:r>
                    <w:rPr>
                      <w:rFonts w:hint="eastAsia"/>
                      <w:bCs/>
                      <w:color w:val="auto"/>
                      <w:sz w:val="18"/>
                      <w:szCs w:val="18"/>
                      <w:highlight w:val="none"/>
                      <w:lang w:val="en-US" w:eastAsia="zh-CN"/>
                    </w:rPr>
                    <w:t>28.41</w:t>
                  </w:r>
                </w:p>
              </w:tc>
              <w:tc>
                <w:tcPr>
                  <w:tcW w:w="1124" w:type="dxa"/>
                  <w:noWrap w:val="0"/>
                  <w:vAlign w:val="center"/>
                </w:tcPr>
                <w:p w14:paraId="18833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50.613923</w:t>
                  </w:r>
                </w:p>
              </w:tc>
              <w:tc>
                <w:tcPr>
                  <w:tcW w:w="1005" w:type="dxa"/>
                  <w:noWrap w:val="0"/>
                  <w:vAlign w:val="center"/>
                </w:tcPr>
                <w:p w14:paraId="28CA6B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position w:val="0"/>
                      <w:sz w:val="18"/>
                      <w:szCs w:val="18"/>
                      <w:highlight w:val="none"/>
                      <w:lang w:val="en-US" w:eastAsia="zh-CN"/>
                    </w:rPr>
                    <w:t>27.072</w:t>
                  </w:r>
                </w:p>
              </w:tc>
              <w:tc>
                <w:tcPr>
                  <w:tcW w:w="923" w:type="dxa"/>
                  <w:noWrap w:val="0"/>
                  <w:vAlign w:val="center"/>
                </w:tcPr>
                <w:p w14:paraId="73AEA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eastAsia="宋体"/>
                      <w:color w:val="auto"/>
                      <w:sz w:val="18"/>
                      <w:szCs w:val="18"/>
                      <w:highlight w:val="none"/>
                      <w:lang w:val="en-US" w:eastAsia="zh-CN"/>
                    </w:rPr>
                  </w:pPr>
                  <w:r>
                    <w:rPr>
                      <w:rFonts w:hint="eastAsia"/>
                      <w:bCs/>
                      <w:color w:val="auto"/>
                      <w:sz w:val="18"/>
                      <w:szCs w:val="18"/>
                      <w:highlight w:val="none"/>
                      <w:lang w:val="en-US" w:eastAsia="zh-CN"/>
                    </w:rPr>
                    <w:t>28.41</w:t>
                  </w:r>
                </w:p>
              </w:tc>
              <w:tc>
                <w:tcPr>
                  <w:tcW w:w="1002" w:type="dxa"/>
                  <w:noWrap w:val="0"/>
                  <w:vAlign w:val="center"/>
                </w:tcPr>
                <w:p w14:paraId="7511CC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position w:val="0"/>
                      <w:sz w:val="18"/>
                      <w:szCs w:val="18"/>
                      <w:highlight w:val="none"/>
                      <w:lang w:val="en-US" w:eastAsia="zh-CN"/>
                    </w:rPr>
                    <w:t>27.072</w:t>
                  </w:r>
                </w:p>
              </w:tc>
              <w:tc>
                <w:tcPr>
                  <w:tcW w:w="1003" w:type="dxa"/>
                  <w:noWrap w:val="0"/>
                  <w:vAlign w:val="center"/>
                </w:tcPr>
                <w:p w14:paraId="53426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s="Times New Roman"/>
                      <w:color w:val="auto"/>
                      <w:kern w:val="0"/>
                      <w:sz w:val="18"/>
                      <w:szCs w:val="18"/>
                      <w:highlight w:val="none"/>
                      <w:lang w:val="en-US" w:eastAsia="zh-CN" w:bidi="ar"/>
                    </w:rPr>
                  </w:pPr>
                  <w:r>
                    <w:rPr>
                      <w:rFonts w:hint="default" w:ascii="Times New Roman" w:hAnsi="Times New Roman" w:cs="Times New Roman"/>
                      <w:bCs/>
                      <w:color w:val="auto"/>
                      <w:sz w:val="18"/>
                      <w:szCs w:val="18"/>
                      <w:highlight w:val="none"/>
                      <w:lang w:val="en-US" w:eastAsia="zh-CN"/>
                    </w:rPr>
                    <w:t>-1.338</w:t>
                  </w:r>
                </w:p>
              </w:tc>
              <w:tc>
                <w:tcPr>
                  <w:tcW w:w="1004" w:type="dxa"/>
                  <w:noWrap w:val="0"/>
                  <w:vAlign w:val="center"/>
                </w:tcPr>
                <w:p w14:paraId="37C38468">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cs="Times New Roman"/>
                      <w:color w:val="auto"/>
                      <w:sz w:val="18"/>
                      <w:szCs w:val="18"/>
                      <w:highlight w:val="none"/>
                      <w:lang w:val="en-US" w:eastAsia="zh-CN"/>
                    </w:rPr>
                    <w:t>56.31</w:t>
                  </w:r>
                </w:p>
              </w:tc>
            </w:tr>
            <w:tr w14:paraId="62BEB9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noWrap w:val="0"/>
                  <w:vAlign w:val="center"/>
                </w:tcPr>
                <w:p w14:paraId="3CE33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COD</w:t>
                  </w:r>
                </w:p>
              </w:tc>
              <w:tc>
                <w:tcPr>
                  <w:tcW w:w="1080" w:type="dxa"/>
                  <w:noWrap w:val="0"/>
                  <w:vAlign w:val="center"/>
                </w:tcPr>
                <w:p w14:paraId="08AB89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bCs/>
                      <w:color w:val="auto"/>
                      <w:sz w:val="18"/>
                      <w:szCs w:val="18"/>
                      <w:highlight w:val="none"/>
                      <w:lang w:val="en-US" w:eastAsia="zh-CN"/>
                    </w:rPr>
                  </w:pPr>
                  <w:r>
                    <w:rPr>
                      <w:rFonts w:hint="eastAsia"/>
                      <w:bCs/>
                      <w:color w:val="auto"/>
                      <w:sz w:val="18"/>
                      <w:szCs w:val="18"/>
                      <w:highlight w:val="none"/>
                      <w:lang w:val="en-US" w:eastAsia="zh-CN"/>
                    </w:rPr>
                    <w:t>/</w:t>
                  </w:r>
                </w:p>
              </w:tc>
              <w:tc>
                <w:tcPr>
                  <w:tcW w:w="1124" w:type="dxa"/>
                  <w:noWrap w:val="0"/>
                  <w:vAlign w:val="center"/>
                </w:tcPr>
                <w:p w14:paraId="3BC6B7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1005" w:type="dxa"/>
                  <w:noWrap w:val="0"/>
                  <w:vAlign w:val="center"/>
                </w:tcPr>
                <w:p w14:paraId="7BF9D6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position w:val="0"/>
                      <w:sz w:val="18"/>
                      <w:szCs w:val="18"/>
                      <w:highlight w:val="none"/>
                      <w:lang w:val="en-US" w:eastAsia="zh-CN"/>
                    </w:rPr>
                  </w:pPr>
                  <w:r>
                    <w:rPr>
                      <w:rFonts w:hint="eastAsia" w:cs="Times New Roman"/>
                      <w:bCs/>
                      <w:color w:val="auto"/>
                      <w:sz w:val="18"/>
                      <w:szCs w:val="18"/>
                      <w:highlight w:val="none"/>
                      <w:lang w:val="en-US" w:eastAsia="zh-CN"/>
                    </w:rPr>
                    <w:t>0.754</w:t>
                  </w:r>
                </w:p>
              </w:tc>
              <w:tc>
                <w:tcPr>
                  <w:tcW w:w="923" w:type="dxa"/>
                  <w:noWrap w:val="0"/>
                  <w:vAlign w:val="center"/>
                </w:tcPr>
                <w:p w14:paraId="7E36EA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bCs/>
                      <w:color w:val="auto"/>
                      <w:sz w:val="18"/>
                      <w:szCs w:val="18"/>
                      <w:highlight w:val="none"/>
                      <w:lang w:val="en-US" w:eastAsia="zh-CN"/>
                    </w:rPr>
                  </w:pPr>
                  <w:r>
                    <w:rPr>
                      <w:rFonts w:hint="eastAsia"/>
                      <w:bCs/>
                      <w:color w:val="auto"/>
                      <w:sz w:val="18"/>
                      <w:szCs w:val="18"/>
                      <w:highlight w:val="none"/>
                      <w:lang w:val="en-US" w:eastAsia="zh-CN"/>
                    </w:rPr>
                    <w:t>/</w:t>
                  </w:r>
                </w:p>
              </w:tc>
              <w:tc>
                <w:tcPr>
                  <w:tcW w:w="1002" w:type="dxa"/>
                  <w:noWrap w:val="0"/>
                  <w:vAlign w:val="center"/>
                </w:tcPr>
                <w:p w14:paraId="7A225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position w:val="0"/>
                      <w:sz w:val="18"/>
                      <w:szCs w:val="18"/>
                      <w:highlight w:val="none"/>
                      <w:lang w:val="en-US" w:eastAsia="zh-CN"/>
                    </w:rPr>
                  </w:pPr>
                  <w:r>
                    <w:rPr>
                      <w:rFonts w:hint="eastAsia" w:cs="Times New Roman"/>
                      <w:bCs/>
                      <w:color w:val="auto"/>
                      <w:sz w:val="18"/>
                      <w:szCs w:val="18"/>
                      <w:highlight w:val="none"/>
                      <w:lang w:val="en-US" w:eastAsia="zh-CN"/>
                    </w:rPr>
                    <w:t>0.754</w:t>
                  </w:r>
                </w:p>
              </w:tc>
              <w:tc>
                <w:tcPr>
                  <w:tcW w:w="1003" w:type="dxa"/>
                  <w:noWrap w:val="0"/>
                  <w:vAlign w:val="center"/>
                </w:tcPr>
                <w:p w14:paraId="685306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0.754</w:t>
                  </w:r>
                </w:p>
              </w:tc>
              <w:tc>
                <w:tcPr>
                  <w:tcW w:w="1004" w:type="dxa"/>
                  <w:noWrap w:val="0"/>
                  <w:vAlign w:val="center"/>
                </w:tcPr>
                <w:p w14:paraId="70995E6F">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4.474</w:t>
                  </w:r>
                </w:p>
              </w:tc>
            </w:tr>
          </w:tbl>
          <w:p w14:paraId="2B71F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Cs w:val="21"/>
                <w:highlight w:val="none"/>
                <w:lang w:val="en-US" w:eastAsia="zh-CN"/>
              </w:rPr>
            </w:pPr>
          </w:p>
        </w:tc>
      </w:tr>
    </w:tbl>
    <w:p w14:paraId="0DC4957F">
      <w:pPr>
        <w:pStyle w:val="31"/>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
          <w:sz w:val="36"/>
          <w:szCs w:val="36"/>
          <w:highlight w:val="none"/>
        </w:rPr>
        <w:br w:type="page"/>
      </w:r>
      <w:bookmarkStart w:id="10" w:name="_Toc17537"/>
      <w:r>
        <w:rPr>
          <w:rFonts w:hint="default" w:ascii="Times New Roman" w:hAnsi="Times New Roman" w:eastAsia="黑体" w:cs="Times New Roman"/>
          <w:snapToGrid w:val="0"/>
          <w:color w:val="auto"/>
          <w:kern w:val="21"/>
          <w:sz w:val="30"/>
          <w:szCs w:val="30"/>
          <w:highlight w:val="none"/>
        </w:rPr>
        <w:t>四、主要环境影响和保护措施</w:t>
      </w:r>
      <w:bookmarkEnd w:id="10"/>
    </w:p>
    <w:tbl>
      <w:tblPr>
        <w:tblStyle w:val="37"/>
        <w:tblW w:w="905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9"/>
        <w:gridCol w:w="8254"/>
      </w:tblGrid>
      <w:tr w14:paraId="66A66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11" w:hRule="atLeast"/>
          <w:jc w:val="center"/>
        </w:trPr>
        <w:tc>
          <w:tcPr>
            <w:tcW w:w="799" w:type="dxa"/>
            <w:noWrap w:val="0"/>
            <w:tcMar>
              <w:left w:w="28" w:type="dxa"/>
              <w:right w:w="28" w:type="dxa"/>
            </w:tcMar>
            <w:vAlign w:val="center"/>
          </w:tcPr>
          <w:p w14:paraId="33D268B1">
            <w:pPr>
              <w:pStyle w:val="31"/>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施工</w:t>
            </w:r>
          </w:p>
          <w:p w14:paraId="431D9B42">
            <w:pPr>
              <w:pStyle w:val="31"/>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期环</w:t>
            </w:r>
          </w:p>
          <w:p w14:paraId="4334F703">
            <w:pPr>
              <w:pStyle w:val="31"/>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境保</w:t>
            </w:r>
          </w:p>
          <w:p w14:paraId="7DF11A2E">
            <w:pPr>
              <w:pStyle w:val="31"/>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护措</w:t>
            </w:r>
          </w:p>
          <w:p w14:paraId="22712E47">
            <w:pPr>
              <w:pStyle w:val="31"/>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kern w:val="2"/>
                <w:sz w:val="21"/>
                <w:szCs w:val="21"/>
                <w:highlight w:val="none"/>
              </w:rPr>
            </w:pPr>
            <w:r>
              <w:rPr>
                <w:rFonts w:hint="default" w:ascii="Times New Roman" w:hAnsi="Times New Roman"/>
                <w:color w:val="auto"/>
                <w:kern w:val="2"/>
                <w:sz w:val="21"/>
                <w:szCs w:val="21"/>
                <w:highlight w:val="none"/>
              </w:rPr>
              <w:t>施</w:t>
            </w:r>
          </w:p>
        </w:tc>
        <w:tc>
          <w:tcPr>
            <w:tcW w:w="8254" w:type="dxa"/>
            <w:noWrap w:val="0"/>
            <w:vAlign w:val="center"/>
          </w:tcPr>
          <w:p w14:paraId="7D2FDF5C">
            <w:pPr>
              <w:keepNext w:val="0"/>
              <w:keepLines w:val="0"/>
              <w:pageBreakBefore w:val="0"/>
              <w:widowControl/>
              <w:numPr>
                <w:ilvl w:val="255"/>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bCs/>
                <w:color w:val="auto"/>
                <w:szCs w:val="21"/>
                <w:highlight w:val="none"/>
              </w:rPr>
            </w:pPr>
            <w:r>
              <w:rPr>
                <w:rFonts w:hint="eastAsia" w:cs="Times New Roman"/>
                <w:color w:val="auto"/>
                <w:kern w:val="21"/>
                <w:sz w:val="21"/>
                <w:szCs w:val="21"/>
                <w:highlight w:val="none"/>
                <w:vertAlign w:val="baseline"/>
                <w:lang w:val="en-US" w:eastAsia="zh-CN"/>
              </w:rPr>
              <w:t>本项目不新增占地面积，在原有锅炉房内建设。本项目将洗煤一厂锅炉房</w:t>
            </w:r>
            <w:r>
              <w:rPr>
                <w:rFonts w:hint="eastAsia" w:cs="Times New Roman"/>
                <w:color w:val="auto"/>
                <w:kern w:val="21"/>
                <w:sz w:val="21"/>
                <w:szCs w:val="21"/>
                <w:highlight w:val="none"/>
                <w:lang w:val="en-US" w:eastAsia="zh-CN"/>
              </w:rPr>
              <w:t>内</w:t>
            </w:r>
            <w:r>
              <w:rPr>
                <w:rFonts w:hint="default" w:ascii="Times New Roman" w:hAnsi="Times New Roman" w:eastAsia="宋体" w:cs="Times New Roman"/>
                <w:color w:val="auto"/>
                <w:kern w:val="21"/>
                <w:sz w:val="21"/>
                <w:szCs w:val="21"/>
                <w:highlight w:val="none"/>
                <w:vertAlign w:val="baseline"/>
                <w:lang w:val="en-US" w:eastAsia="zh-CN"/>
              </w:rPr>
              <w:t>现有</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eastAsia" w:cs="Times New Roman"/>
                <w:color w:val="auto"/>
                <w:kern w:val="21"/>
                <w:sz w:val="21"/>
                <w:szCs w:val="21"/>
                <w:highlight w:val="none"/>
                <w:lang w:val="en-US" w:eastAsia="zh-CN"/>
              </w:rPr>
              <w:t>及1套布袋除尘器淘汰</w:t>
            </w:r>
            <w:r>
              <w:rPr>
                <w:rFonts w:hint="default" w:ascii="Times New Roman" w:hAnsi="Times New Roman" w:eastAsia="宋体" w:cs="Times New Roman"/>
                <w:color w:val="auto"/>
                <w:kern w:val="21"/>
                <w:sz w:val="21"/>
                <w:szCs w:val="21"/>
                <w:highlight w:val="none"/>
                <w:vertAlign w:val="baseline"/>
                <w:lang w:val="en-US" w:eastAsia="zh-CN"/>
              </w:rPr>
              <w:t>，</w:t>
            </w:r>
            <w:r>
              <w:rPr>
                <w:rFonts w:hint="eastAsia"/>
                <w:color w:val="auto"/>
                <w:sz w:val="21"/>
                <w:highlight w:val="none"/>
                <w:lang w:val="en-US" w:eastAsia="zh-CN"/>
              </w:rPr>
              <w:t>现有</w:t>
            </w:r>
            <w:r>
              <w:rPr>
                <w:rFonts w:hint="eastAsia"/>
                <w:color w:val="auto"/>
                <w:highlight w:val="none"/>
                <w:lang w:val="en-US" w:eastAsia="zh-CN"/>
              </w:rPr>
              <w:t>45m烟囱（DA002）停用。</w:t>
            </w:r>
            <w:r>
              <w:rPr>
                <w:rFonts w:hint="default" w:ascii="Times New Roman" w:hAnsi="Times New Roman" w:eastAsia="宋体" w:cs="Times New Roman"/>
                <w:color w:val="auto"/>
                <w:kern w:val="21"/>
                <w:sz w:val="21"/>
                <w:szCs w:val="21"/>
                <w:highlight w:val="none"/>
                <w:vertAlign w:val="baseline"/>
                <w:lang w:val="en-US" w:eastAsia="zh-CN"/>
              </w:rPr>
              <w:t>新建</w:t>
            </w:r>
            <w:r>
              <w:rPr>
                <w:rFonts w:hint="eastAsia" w:cs="Times New Roman"/>
                <w:color w:val="auto"/>
                <w:sz w:val="21"/>
                <w:szCs w:val="21"/>
                <w:highlight w:val="none"/>
                <w:lang w:val="en-US" w:eastAsia="zh-CN"/>
              </w:rPr>
              <w:t>3台10t/h生物质蒸汽锅炉，淘汰的燃煤锅炉及布袋除尘器，均外售；</w:t>
            </w:r>
            <w:r>
              <w:rPr>
                <w:rFonts w:hint="eastAsia"/>
                <w:color w:val="auto"/>
                <w:highlight w:val="none"/>
                <w:lang w:val="en-US" w:eastAsia="zh-CN"/>
              </w:rPr>
              <w:t>新增</w:t>
            </w:r>
            <w:r>
              <w:rPr>
                <w:rFonts w:hint="eastAsia"/>
                <w:color w:val="auto"/>
                <w:sz w:val="21"/>
                <w:highlight w:val="none"/>
                <w:lang w:val="en-US" w:eastAsia="zh-CN"/>
              </w:rPr>
              <w:t>3套</w:t>
            </w:r>
            <w:r>
              <w:rPr>
                <w:rFonts w:hint="eastAsia"/>
                <w:color w:val="auto"/>
                <w:highlight w:val="none"/>
                <w:lang w:val="en-US" w:eastAsia="zh-CN"/>
              </w:rPr>
              <w:t>多管陶瓷除尘器。</w:t>
            </w:r>
            <w:r>
              <w:rPr>
                <w:rFonts w:hint="eastAsia"/>
                <w:color w:val="FF0000"/>
                <w:highlight w:val="none"/>
                <w:lang w:val="en-US" w:eastAsia="zh-CN"/>
              </w:rPr>
              <w:t>新建1间燃料库</w:t>
            </w:r>
            <w:r>
              <w:rPr>
                <w:rFonts w:hint="eastAsia" w:cs="Times New Roman"/>
                <w:color w:val="FF0000"/>
                <w:kern w:val="21"/>
                <w:sz w:val="21"/>
                <w:szCs w:val="21"/>
                <w:highlight w:val="none"/>
                <w:vertAlign w:val="baseline"/>
                <w:lang w:val="en-US" w:eastAsia="zh-CN"/>
              </w:rPr>
              <w:t>为彩钢结构</w:t>
            </w:r>
            <w:r>
              <w:rPr>
                <w:rFonts w:hint="eastAsia"/>
                <w:color w:val="auto"/>
                <w:highlight w:val="none"/>
                <w:lang w:val="en-US" w:eastAsia="zh-CN"/>
              </w:rPr>
              <w:t>。本项目无土建工程，</w:t>
            </w:r>
            <w:r>
              <w:rPr>
                <w:rFonts w:hint="eastAsia"/>
                <w:bCs/>
                <w:color w:val="auto"/>
                <w:szCs w:val="21"/>
                <w:highlight w:val="none"/>
              </w:rPr>
              <w:t>项目建设周期较短，对周围环境影响较小，施工期影响在施工结束后自然消除。</w:t>
            </w:r>
          </w:p>
          <w:p w14:paraId="481E4DCC">
            <w:pPr>
              <w:keepNext w:val="0"/>
              <w:keepLines w:val="0"/>
              <w:pageBreakBefore w:val="0"/>
              <w:widowControl/>
              <w:suppressLineNumbers w:val="0"/>
              <w:tabs>
                <w:tab w:val="left" w:pos="4005"/>
              </w:tabs>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b/>
                <w:color w:val="auto"/>
                <w:szCs w:val="21"/>
                <w:highlight w:val="none"/>
              </w:rPr>
            </w:pPr>
            <w:r>
              <w:rPr>
                <w:rFonts w:hint="eastAsia"/>
                <w:b/>
                <w:color w:val="auto"/>
                <w:szCs w:val="21"/>
                <w:highlight w:val="none"/>
              </w:rPr>
              <w:t>一</w:t>
            </w:r>
            <w:r>
              <w:rPr>
                <w:rFonts w:hint="default"/>
                <w:b/>
                <w:color w:val="auto"/>
                <w:szCs w:val="21"/>
                <w:highlight w:val="none"/>
              </w:rPr>
              <w:t>、废水防治措施</w:t>
            </w:r>
          </w:p>
          <w:p w14:paraId="633C91D0">
            <w:pPr>
              <w:pStyle w:val="15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s="Times New Roman"/>
                <w:color w:val="auto"/>
                <w:szCs w:val="21"/>
                <w:highlight w:val="none"/>
              </w:rPr>
            </w:pPr>
            <w:r>
              <w:rPr>
                <w:rFonts w:hint="default" w:cs="Times New Roman"/>
                <w:color w:val="auto"/>
                <w:szCs w:val="21"/>
                <w:highlight w:val="none"/>
              </w:rPr>
              <w:t>（1）施工废水</w:t>
            </w:r>
          </w:p>
          <w:p w14:paraId="26B4F7E8">
            <w:pPr>
              <w:pStyle w:val="15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s="Times New Roman"/>
                <w:color w:val="auto"/>
                <w:szCs w:val="21"/>
                <w:highlight w:val="none"/>
              </w:rPr>
            </w:pPr>
            <w:r>
              <w:rPr>
                <w:rFonts w:hint="eastAsia" w:cs="Times New Roman"/>
                <w:color w:val="auto"/>
                <w:szCs w:val="21"/>
                <w:highlight w:val="none"/>
                <w:lang w:val="en-US" w:eastAsia="zh-CN"/>
              </w:rPr>
              <w:t>本项目不涉及土建工程</w:t>
            </w:r>
            <w:r>
              <w:rPr>
                <w:rFonts w:hint="eastAsia" w:cs="Times New Roman"/>
                <w:color w:val="auto"/>
                <w:kern w:val="21"/>
                <w:sz w:val="21"/>
                <w:szCs w:val="21"/>
                <w:highlight w:val="none"/>
                <w:vertAlign w:val="baseline"/>
                <w:lang w:val="en-US" w:eastAsia="zh-CN"/>
              </w:rPr>
              <w:t>，废水主要为生活污水</w:t>
            </w:r>
            <w:r>
              <w:rPr>
                <w:rFonts w:hint="default" w:cs="Times New Roman"/>
                <w:color w:val="auto"/>
                <w:szCs w:val="21"/>
                <w:highlight w:val="none"/>
              </w:rPr>
              <w:t>。</w:t>
            </w:r>
          </w:p>
          <w:p w14:paraId="4D794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bCs/>
                <w:color w:val="auto"/>
                <w:szCs w:val="21"/>
                <w:highlight w:val="none"/>
              </w:rPr>
            </w:pPr>
            <w:r>
              <w:rPr>
                <w:rFonts w:hint="default"/>
                <w:color w:val="auto"/>
                <w:szCs w:val="21"/>
                <w:highlight w:val="none"/>
              </w:rPr>
              <w:t>生活污水主要为施工人员施工过程中产生的污水</w:t>
            </w:r>
            <w:r>
              <w:rPr>
                <w:rFonts w:hint="eastAsia"/>
                <w:color w:val="auto"/>
                <w:szCs w:val="21"/>
                <w:highlight w:val="none"/>
              </w:rPr>
              <w:t>，</w:t>
            </w:r>
            <w:r>
              <w:rPr>
                <w:rFonts w:hint="default"/>
                <w:color w:val="auto"/>
                <w:szCs w:val="21"/>
                <w:highlight w:val="none"/>
              </w:rPr>
              <w:t>施工人员生活污水</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定期拉</w:t>
            </w:r>
            <w:r>
              <w:rPr>
                <w:rFonts w:hint="default" w:ascii="Times New Roman" w:hAnsi="Times New Roman" w:cs="Times New Roman"/>
                <w:color w:val="auto"/>
                <w:sz w:val="21"/>
                <w:szCs w:val="21"/>
                <w:highlight w:val="none"/>
              </w:rPr>
              <w:t>运至</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rPr>
              <w:t>处理</w:t>
            </w:r>
            <w:r>
              <w:rPr>
                <w:rFonts w:hint="eastAsia"/>
                <w:color w:val="auto"/>
                <w:szCs w:val="21"/>
                <w:highlight w:val="none"/>
              </w:rPr>
              <w:t>。</w:t>
            </w:r>
          </w:p>
          <w:p w14:paraId="542770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b/>
                <w:color w:val="auto"/>
                <w:kern w:val="0"/>
                <w:szCs w:val="21"/>
                <w:highlight w:val="none"/>
              </w:rPr>
            </w:pPr>
            <w:r>
              <w:rPr>
                <w:rFonts w:hint="eastAsia"/>
                <w:b/>
                <w:color w:val="auto"/>
                <w:kern w:val="0"/>
                <w:szCs w:val="21"/>
                <w:highlight w:val="none"/>
              </w:rPr>
              <w:t>二</w:t>
            </w:r>
            <w:r>
              <w:rPr>
                <w:rFonts w:hint="default"/>
                <w:b/>
                <w:color w:val="auto"/>
                <w:kern w:val="0"/>
                <w:szCs w:val="21"/>
                <w:highlight w:val="none"/>
              </w:rPr>
              <w:t>、废气防治措施</w:t>
            </w:r>
          </w:p>
          <w:p w14:paraId="40265257">
            <w:pPr>
              <w:pStyle w:val="1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本项目施工期废气主要为建筑材料运输及装卸、</w:t>
            </w:r>
            <w:r>
              <w:rPr>
                <w:rFonts w:hint="eastAsia"/>
                <w:color w:val="auto"/>
                <w:kern w:val="0"/>
                <w:sz w:val="21"/>
                <w:szCs w:val="21"/>
                <w:highlight w:val="none"/>
                <w:lang w:val="en-US" w:eastAsia="zh-CN"/>
              </w:rPr>
              <w:t>彩钢结构库房搭建及设备安装</w:t>
            </w:r>
            <w:r>
              <w:rPr>
                <w:rFonts w:hint="default"/>
                <w:color w:val="auto"/>
                <w:kern w:val="0"/>
                <w:sz w:val="21"/>
                <w:szCs w:val="21"/>
                <w:highlight w:val="none"/>
              </w:rPr>
              <w:t>等过程产生的扬尘，施工机械和施工运输车辆产生的机动车尾气。</w:t>
            </w:r>
          </w:p>
          <w:p w14:paraId="3BC5E67E">
            <w:pPr>
              <w:pStyle w:val="1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治理措施：</w:t>
            </w:r>
          </w:p>
          <w:p w14:paraId="3D1EDB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1）施工扬尘</w:t>
            </w:r>
          </w:p>
          <w:p w14:paraId="1A967C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①</w:t>
            </w:r>
            <w:r>
              <w:rPr>
                <w:rFonts w:hint="eastAsia"/>
                <w:color w:val="auto"/>
                <w:kern w:val="0"/>
                <w:sz w:val="21"/>
                <w:szCs w:val="21"/>
                <w:highlight w:val="none"/>
                <w:lang w:val="en-US" w:eastAsia="zh-CN"/>
              </w:rPr>
              <w:t>装修及设备安装产生少量粉尘，</w:t>
            </w:r>
            <w:r>
              <w:rPr>
                <w:rFonts w:hint="default"/>
                <w:color w:val="auto"/>
                <w:kern w:val="0"/>
                <w:sz w:val="21"/>
                <w:szCs w:val="21"/>
                <w:highlight w:val="none"/>
              </w:rPr>
              <w:t>制定合理的施工计划，采取集中力量逐段施工方法，缩短施工周期，减少施工现场的工作面，减轻施工扬尘对环境的影响。</w:t>
            </w:r>
          </w:p>
          <w:p w14:paraId="0B885D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③施工车辆运输路线选择尽量避绕人口密集区、学校、医院等敏感点。</w:t>
            </w:r>
          </w:p>
          <w:p w14:paraId="2ECE0E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④在施工场地上设置专人负责建筑垃圾、建筑材料的处置、清运和堆放，堆放场地加盖</w:t>
            </w:r>
            <w:r>
              <w:rPr>
                <w:rFonts w:hint="eastAsia"/>
                <w:color w:val="auto"/>
                <w:kern w:val="0"/>
                <w:sz w:val="21"/>
                <w:szCs w:val="21"/>
                <w:highlight w:val="none"/>
                <w:lang w:eastAsia="zh-CN"/>
              </w:rPr>
              <w:t>篷布</w:t>
            </w:r>
            <w:r>
              <w:rPr>
                <w:rFonts w:hint="default"/>
                <w:color w:val="auto"/>
                <w:kern w:val="0"/>
                <w:sz w:val="21"/>
                <w:szCs w:val="21"/>
                <w:highlight w:val="none"/>
              </w:rPr>
              <w:t>，防止扬尘。</w:t>
            </w:r>
          </w:p>
          <w:p w14:paraId="4D13A6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⑤对建筑垃圾应及时处理、清运、以减少占地，防止扬尘污染，改善施工场地的环境。</w:t>
            </w:r>
          </w:p>
          <w:p w14:paraId="5398A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2）机械设备、车辆燃油废气防治措施如下：</w:t>
            </w:r>
          </w:p>
          <w:p w14:paraId="181F2C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①选用先进的施工机械，减少油耗和燃油废气污染；</w:t>
            </w:r>
          </w:p>
          <w:p w14:paraId="4BD499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②尽量使用电气化设备，少使用燃油设备；</w:t>
            </w:r>
          </w:p>
          <w:p w14:paraId="48A2BF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③做好设备的维修和养护工作，使机械设备处于良好的工作状态，减少油耗，同时降低污染。</w:t>
            </w:r>
          </w:p>
          <w:p w14:paraId="467405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bCs/>
                <w:color w:val="auto"/>
                <w:kern w:val="0"/>
                <w:szCs w:val="21"/>
                <w:highlight w:val="none"/>
              </w:rPr>
            </w:pPr>
            <w:r>
              <w:rPr>
                <w:rFonts w:hint="default"/>
                <w:color w:val="auto"/>
                <w:kern w:val="0"/>
                <w:sz w:val="21"/>
                <w:szCs w:val="21"/>
                <w:highlight w:val="none"/>
              </w:rPr>
              <w:t>经上述治理后，施工期产生的粉尘、扬尘对环境空气及敏感点的影响较小。满足《大气污染物综合排放标准》（GB16297-1996）表2中无组织排放标准要求。</w:t>
            </w:r>
          </w:p>
          <w:p w14:paraId="2753C7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b/>
                <w:color w:val="auto"/>
                <w:kern w:val="0"/>
                <w:sz w:val="21"/>
                <w:szCs w:val="21"/>
                <w:highlight w:val="none"/>
              </w:rPr>
            </w:pPr>
            <w:r>
              <w:rPr>
                <w:rFonts w:hint="eastAsia"/>
                <w:b/>
                <w:color w:val="auto"/>
                <w:kern w:val="0"/>
                <w:sz w:val="21"/>
                <w:szCs w:val="21"/>
                <w:highlight w:val="none"/>
              </w:rPr>
              <w:t>三</w:t>
            </w:r>
            <w:r>
              <w:rPr>
                <w:rFonts w:hint="default"/>
                <w:b/>
                <w:color w:val="auto"/>
                <w:kern w:val="0"/>
                <w:sz w:val="21"/>
                <w:szCs w:val="21"/>
                <w:highlight w:val="none"/>
              </w:rPr>
              <w:t>、噪声防治措施</w:t>
            </w:r>
          </w:p>
          <w:p w14:paraId="2FF9BA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施工期间，运输车辆和各种机械</w:t>
            </w:r>
            <w:r>
              <w:rPr>
                <w:rFonts w:hint="eastAsia"/>
                <w:color w:val="auto"/>
                <w:kern w:val="0"/>
                <w:sz w:val="21"/>
                <w:szCs w:val="21"/>
                <w:highlight w:val="none"/>
                <w:lang w:eastAsia="zh-CN"/>
              </w:rPr>
              <w:t>，</w:t>
            </w:r>
            <w:r>
              <w:rPr>
                <w:rFonts w:hint="eastAsia"/>
                <w:color w:val="auto"/>
                <w:kern w:val="0"/>
                <w:sz w:val="21"/>
                <w:szCs w:val="21"/>
                <w:highlight w:val="none"/>
                <w:lang w:val="en-US" w:eastAsia="zh-CN"/>
              </w:rPr>
              <w:t>设备安装</w:t>
            </w:r>
            <w:r>
              <w:rPr>
                <w:rFonts w:hint="default"/>
                <w:color w:val="auto"/>
                <w:kern w:val="0"/>
                <w:sz w:val="21"/>
                <w:szCs w:val="21"/>
                <w:highlight w:val="none"/>
              </w:rPr>
              <w:t>都是主要的噪声源，噪声源强在75~85dB（A）。建议在施工期间采取以下相应措施降低噪声：</w:t>
            </w:r>
          </w:p>
          <w:p w14:paraId="41B1A2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eastAsia"/>
                <w:color w:val="auto"/>
                <w:kern w:val="0"/>
                <w:sz w:val="21"/>
                <w:szCs w:val="21"/>
                <w:highlight w:val="none"/>
                <w:lang w:eastAsia="zh-CN"/>
              </w:rPr>
              <w:t>1.</w:t>
            </w:r>
            <w:r>
              <w:rPr>
                <w:rFonts w:hint="default"/>
                <w:color w:val="auto"/>
                <w:kern w:val="0"/>
                <w:sz w:val="21"/>
                <w:szCs w:val="21"/>
                <w:highlight w:val="none"/>
              </w:rPr>
              <w:t>加强施工管理，合理安排作业时间，严格按照施工噪声管理的有关规定；</w:t>
            </w:r>
          </w:p>
          <w:p w14:paraId="41619B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eastAsia"/>
                <w:color w:val="auto"/>
                <w:kern w:val="0"/>
                <w:sz w:val="21"/>
                <w:szCs w:val="21"/>
                <w:highlight w:val="none"/>
                <w:lang w:eastAsia="zh-CN"/>
              </w:rPr>
              <w:t>2.</w:t>
            </w:r>
            <w:r>
              <w:rPr>
                <w:rFonts w:hint="default"/>
                <w:color w:val="auto"/>
                <w:kern w:val="0"/>
                <w:sz w:val="21"/>
                <w:szCs w:val="21"/>
                <w:highlight w:val="none"/>
              </w:rPr>
              <w:t>尽量采用低噪声施工设备和噪声低的施工方法；</w:t>
            </w:r>
          </w:p>
          <w:p w14:paraId="647B2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eastAsia"/>
                <w:color w:val="auto"/>
                <w:kern w:val="0"/>
                <w:sz w:val="21"/>
                <w:szCs w:val="21"/>
                <w:highlight w:val="none"/>
                <w:lang w:eastAsia="zh-CN"/>
              </w:rPr>
              <w:t>3.</w:t>
            </w:r>
            <w:r>
              <w:rPr>
                <w:rFonts w:hint="default"/>
                <w:color w:val="auto"/>
                <w:kern w:val="0"/>
                <w:sz w:val="21"/>
                <w:szCs w:val="21"/>
                <w:highlight w:val="none"/>
              </w:rPr>
              <w:t>作业时在高噪声设备周围设置屏蔽；</w:t>
            </w:r>
          </w:p>
          <w:p w14:paraId="468F4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eastAsia"/>
                <w:color w:val="auto"/>
                <w:kern w:val="0"/>
                <w:sz w:val="21"/>
                <w:szCs w:val="21"/>
                <w:highlight w:val="none"/>
                <w:lang w:eastAsia="zh-CN"/>
              </w:rPr>
              <w:t>4.</w:t>
            </w:r>
            <w:r>
              <w:rPr>
                <w:rFonts w:hint="default"/>
                <w:color w:val="auto"/>
                <w:kern w:val="0"/>
                <w:sz w:val="21"/>
                <w:szCs w:val="21"/>
                <w:highlight w:val="none"/>
              </w:rPr>
              <w:t>加强运输车辆的管理，建材等运输在白天进行，并控制车辆鸣笛，</w:t>
            </w:r>
            <w:r>
              <w:rPr>
                <w:rFonts w:hint="eastAsia"/>
                <w:color w:val="auto"/>
                <w:kern w:val="0"/>
                <w:sz w:val="21"/>
                <w:szCs w:val="21"/>
                <w:highlight w:val="none"/>
                <w:lang w:val="en-US" w:eastAsia="zh-CN"/>
              </w:rPr>
              <w:t>禁止</w:t>
            </w:r>
            <w:r>
              <w:rPr>
                <w:rFonts w:hint="default"/>
                <w:color w:val="auto"/>
                <w:kern w:val="0"/>
                <w:sz w:val="21"/>
                <w:szCs w:val="21"/>
                <w:highlight w:val="none"/>
              </w:rPr>
              <w:t>22:00-6:00时间段内运输和施工。</w:t>
            </w:r>
          </w:p>
          <w:p w14:paraId="7DD07C50">
            <w:pPr>
              <w:pStyle w:val="4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sz w:val="21"/>
                <w:szCs w:val="21"/>
                <w:highlight w:val="none"/>
              </w:rPr>
            </w:pPr>
            <w:r>
              <w:rPr>
                <w:rFonts w:hint="default"/>
                <w:color w:val="auto"/>
                <w:sz w:val="21"/>
                <w:szCs w:val="21"/>
                <w:highlight w:val="none"/>
              </w:rPr>
              <w:t>同时施工期合理安排施工作业，选用低噪声设备，在高噪声施工设备周围设置围挡，施工期噪声能够满足《建筑施工场界环境噪声排放标准》</w:t>
            </w:r>
            <w:r>
              <w:rPr>
                <w:rFonts w:hint="default" w:ascii="Times New Roman" w:hAnsi="Times New Roman"/>
                <w:color w:val="auto"/>
                <w:sz w:val="21"/>
                <w:szCs w:val="21"/>
                <w:highlight w:val="none"/>
              </w:rPr>
              <w:t>（GB12523-2011）</w:t>
            </w:r>
            <w:r>
              <w:rPr>
                <w:rFonts w:hint="default"/>
                <w:color w:val="auto"/>
                <w:sz w:val="21"/>
                <w:szCs w:val="21"/>
                <w:highlight w:val="none"/>
              </w:rPr>
              <w:t>相关标准，对周边声环境影响较小。</w:t>
            </w:r>
          </w:p>
          <w:p w14:paraId="0D31F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b/>
                <w:color w:val="auto"/>
                <w:kern w:val="0"/>
                <w:sz w:val="21"/>
                <w:szCs w:val="21"/>
                <w:highlight w:val="none"/>
              </w:rPr>
            </w:pPr>
            <w:r>
              <w:rPr>
                <w:rFonts w:hint="eastAsia"/>
                <w:b/>
                <w:color w:val="auto"/>
                <w:kern w:val="0"/>
                <w:sz w:val="21"/>
                <w:szCs w:val="21"/>
                <w:highlight w:val="none"/>
              </w:rPr>
              <w:t>四</w:t>
            </w:r>
            <w:r>
              <w:rPr>
                <w:rFonts w:hint="default"/>
                <w:b/>
                <w:color w:val="auto"/>
                <w:kern w:val="0"/>
                <w:sz w:val="21"/>
                <w:szCs w:val="21"/>
                <w:highlight w:val="none"/>
              </w:rPr>
              <w:t>、固体废物防治措施</w:t>
            </w:r>
          </w:p>
          <w:p w14:paraId="4512CC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本项目施工期产生的固体废物主要是施工期建筑垃圾、施工人员生活垃圾。</w:t>
            </w:r>
          </w:p>
          <w:p w14:paraId="579062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eastAsia"/>
                <w:color w:val="auto"/>
                <w:kern w:val="0"/>
                <w:sz w:val="21"/>
                <w:szCs w:val="21"/>
                <w:highlight w:val="none"/>
                <w:lang w:eastAsia="zh-CN"/>
              </w:rPr>
              <w:t>1.</w:t>
            </w:r>
            <w:r>
              <w:rPr>
                <w:rFonts w:hint="default"/>
                <w:color w:val="auto"/>
                <w:kern w:val="0"/>
                <w:sz w:val="21"/>
                <w:szCs w:val="21"/>
                <w:highlight w:val="none"/>
              </w:rPr>
              <w:t>施工建筑垃圾</w:t>
            </w:r>
          </w:p>
          <w:p w14:paraId="32CE4A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本</w:t>
            </w:r>
            <w:r>
              <w:rPr>
                <w:rFonts w:hint="eastAsia"/>
                <w:color w:val="auto"/>
                <w:kern w:val="0"/>
                <w:sz w:val="21"/>
                <w:szCs w:val="21"/>
                <w:highlight w:val="none"/>
                <w:lang w:eastAsia="zh-CN"/>
              </w:rPr>
              <w:t>项目</w:t>
            </w:r>
            <w:r>
              <w:rPr>
                <w:rFonts w:hint="default"/>
                <w:color w:val="auto"/>
                <w:kern w:val="0"/>
                <w:sz w:val="21"/>
                <w:szCs w:val="21"/>
                <w:highlight w:val="none"/>
              </w:rPr>
              <w:t>施工期固废主要为建筑垃圾，本项目产生的建筑垃圾应及时清运至指定地点处置，防止建筑垃圾对外环境的影响。</w:t>
            </w:r>
          </w:p>
          <w:p w14:paraId="7C864C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lang w:val="en-US" w:eastAsia="zh-CN"/>
              </w:rPr>
            </w:pPr>
            <w:r>
              <w:rPr>
                <w:rFonts w:hint="eastAsia" w:cs="Times New Roman"/>
                <w:color w:val="auto"/>
                <w:sz w:val="21"/>
                <w:szCs w:val="21"/>
                <w:highlight w:val="none"/>
                <w:lang w:val="en-US" w:eastAsia="zh-CN"/>
              </w:rPr>
              <w:t>淘汰的燃煤锅炉及布袋除尘器，</w:t>
            </w:r>
            <w:r>
              <w:rPr>
                <w:rFonts w:hint="eastAsia" w:cs="Times New Roman"/>
                <w:color w:val="auto"/>
                <w:kern w:val="21"/>
                <w:sz w:val="21"/>
                <w:szCs w:val="21"/>
                <w:highlight w:val="none"/>
                <w:vertAlign w:val="baseline"/>
                <w:lang w:val="en-US" w:eastAsia="zh-CN"/>
              </w:rPr>
              <w:t>拆除后均外售。</w:t>
            </w:r>
          </w:p>
          <w:p w14:paraId="37D047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eastAsia"/>
                <w:color w:val="auto"/>
                <w:kern w:val="0"/>
                <w:sz w:val="21"/>
                <w:szCs w:val="21"/>
                <w:highlight w:val="none"/>
                <w:lang w:eastAsia="zh-CN"/>
              </w:rPr>
              <w:t>2.</w:t>
            </w:r>
            <w:r>
              <w:rPr>
                <w:rFonts w:hint="default"/>
                <w:color w:val="auto"/>
                <w:kern w:val="0"/>
                <w:sz w:val="21"/>
                <w:szCs w:val="21"/>
                <w:highlight w:val="none"/>
              </w:rPr>
              <w:t>生活垃圾</w:t>
            </w:r>
          </w:p>
          <w:p w14:paraId="10D00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 w:val="21"/>
                <w:szCs w:val="21"/>
                <w:highlight w:val="none"/>
              </w:rPr>
            </w:pPr>
            <w:r>
              <w:rPr>
                <w:rFonts w:hint="default"/>
                <w:color w:val="auto"/>
                <w:kern w:val="0"/>
                <w:sz w:val="21"/>
                <w:szCs w:val="21"/>
                <w:highlight w:val="none"/>
              </w:rPr>
              <w:t>施工人员产生的生活垃圾若随意堆放，不仅影响施工区环境景观，而且影响施工区环境卫生，夏秋季易造成蚊、蝇</w:t>
            </w:r>
            <w:r>
              <w:rPr>
                <w:rFonts w:hint="eastAsia"/>
                <w:color w:val="auto"/>
                <w:kern w:val="0"/>
                <w:sz w:val="21"/>
                <w:szCs w:val="21"/>
                <w:highlight w:val="none"/>
                <w:lang w:eastAsia="zh-CN"/>
              </w:rPr>
              <w:t>滋生</w:t>
            </w:r>
            <w:r>
              <w:rPr>
                <w:rFonts w:hint="default"/>
                <w:color w:val="auto"/>
                <w:kern w:val="0"/>
                <w:sz w:val="21"/>
                <w:szCs w:val="21"/>
                <w:highlight w:val="none"/>
              </w:rPr>
              <w:t>或鼠类繁殖，导致疾病流行，进而威胁施工人员身体健康。收集后交环卫部门统一清运。</w:t>
            </w:r>
          </w:p>
          <w:p w14:paraId="3CD8ABB1">
            <w:pPr>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bCs/>
                <w:color w:val="auto"/>
                <w:sz w:val="21"/>
                <w:szCs w:val="21"/>
                <w:highlight w:val="none"/>
                <w:lang w:eastAsia="zh-CN"/>
              </w:rPr>
            </w:pPr>
            <w:r>
              <w:rPr>
                <w:rFonts w:hint="default"/>
                <w:color w:val="auto"/>
                <w:sz w:val="21"/>
                <w:szCs w:val="21"/>
                <w:highlight w:val="none"/>
              </w:rPr>
              <w:t>综上所述，本项目施工期产生的固体废物均能无害化处置。</w:t>
            </w:r>
          </w:p>
          <w:p w14:paraId="2D6C88DD">
            <w:pPr>
              <w:keepNext w:val="0"/>
              <w:keepLines w:val="0"/>
              <w:widowControl/>
              <w:suppressLineNumbers w:val="0"/>
              <w:adjustRightInd/>
              <w:snapToGrid/>
              <w:spacing w:before="0" w:beforeAutospacing="0" w:after="0" w:afterAutospacing="0" w:line="360" w:lineRule="auto"/>
              <w:ind w:left="0" w:right="0" w:firstLine="380" w:firstLineChars="200"/>
              <w:rPr>
                <w:rFonts w:hint="eastAsia" w:eastAsia="宋体"/>
                <w:bCs/>
                <w:color w:val="auto"/>
                <w:spacing w:val="-10"/>
                <w:szCs w:val="21"/>
                <w:highlight w:val="none"/>
                <w:lang w:val="en-US" w:eastAsia="zh-CN"/>
              </w:rPr>
            </w:pPr>
          </w:p>
        </w:tc>
      </w:tr>
      <w:tr w14:paraId="22BB63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45" w:hRule="atLeast"/>
          <w:jc w:val="center"/>
        </w:trPr>
        <w:tc>
          <w:tcPr>
            <w:tcW w:w="799" w:type="dxa"/>
            <w:noWrap w:val="0"/>
            <w:tcMar>
              <w:left w:w="28" w:type="dxa"/>
              <w:right w:w="28" w:type="dxa"/>
            </w:tcMar>
            <w:vAlign w:val="center"/>
          </w:tcPr>
          <w:p w14:paraId="7758991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7D1EB94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1BDE68C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06AA83A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4ADDDB0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5E7E853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tc>
        <w:tc>
          <w:tcPr>
            <w:tcW w:w="8254" w:type="dxa"/>
            <w:noWrap w:val="0"/>
            <w:vAlign w:val="top"/>
          </w:tcPr>
          <w:p w14:paraId="698FA92E">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21"/>
                <w:szCs w:val="21"/>
                <w:highlight w:val="none"/>
              </w:rPr>
            </w:pPr>
            <w:r>
              <w:rPr>
                <w:rFonts w:hint="default" w:ascii="Times New Roman" w:hAnsi="Times New Roman" w:cs="Times New Roman"/>
                <w:b/>
                <w:bCs/>
                <w:color w:val="auto"/>
                <w:kern w:val="21"/>
                <w:szCs w:val="21"/>
                <w:highlight w:val="none"/>
              </w:rPr>
              <w:t>1、废气</w:t>
            </w:r>
          </w:p>
          <w:p w14:paraId="288C4A45">
            <w:pPr>
              <w:keepNext w:val="0"/>
              <w:keepLines w:val="0"/>
              <w:widowControl/>
              <w:suppressLineNumbers w:val="0"/>
              <w:adjustRightInd/>
              <w:snapToGrid/>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rPr>
              <w:t>）项目废气污染源</w:t>
            </w:r>
          </w:p>
          <w:p w14:paraId="137EF347">
            <w:pPr>
              <w:pStyle w:val="144"/>
              <w:keepNext w:val="0"/>
              <w:keepLines w:val="0"/>
              <w:suppressLineNumbers w:val="0"/>
              <w:spacing w:before="0" w:beforeAutospacing="0" w:after="0" w:afterAutospacing="0" w:line="240" w:lineRule="auto"/>
              <w:ind w:left="0" w:right="0"/>
              <w:jc w:val="center"/>
              <w:rPr>
                <w:rFonts w:hint="eastAsia" w:ascii="宋体" w:eastAsia="宋体" w:cs="宋体"/>
                <w:b/>
                <w:color w:val="auto"/>
                <w:sz w:val="21"/>
                <w:szCs w:val="21"/>
                <w:highlight w:val="none"/>
              </w:rPr>
            </w:pPr>
            <w:r>
              <w:rPr>
                <w:rFonts w:hint="eastAsia" w:asci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rPr>
              <w:t>4-</w:t>
            </w:r>
            <w:r>
              <w:rPr>
                <w:rFonts w:hint="default" w:ascii="Times New Roman" w:hAnsi="Times New Roman" w:eastAsia="宋体" w:cs="Times New Roman"/>
                <w:b/>
                <w:color w:val="auto"/>
                <w:sz w:val="21"/>
                <w:szCs w:val="21"/>
                <w:highlight w:val="none"/>
                <w:lang w:val="en-US" w:eastAsia="zh-CN"/>
              </w:rPr>
              <w:t>1</w:t>
            </w:r>
            <w:r>
              <w:rPr>
                <w:rFonts w:hint="eastAsia" w:ascii="宋体" w:eastAsia="宋体" w:cs="宋体"/>
                <w:b/>
                <w:color w:val="auto"/>
                <w:sz w:val="21"/>
                <w:szCs w:val="21"/>
                <w:highlight w:val="none"/>
              </w:rPr>
              <w:t>废气污染源源强核算结果及相关参数一览表</w:t>
            </w:r>
          </w:p>
          <w:tbl>
            <w:tblPr>
              <w:tblStyle w:val="37"/>
              <w:tblW w:w="811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4"/>
              <w:gridCol w:w="295"/>
              <w:gridCol w:w="336"/>
              <w:gridCol w:w="324"/>
              <w:gridCol w:w="589"/>
              <w:gridCol w:w="675"/>
              <w:gridCol w:w="675"/>
              <w:gridCol w:w="630"/>
              <w:gridCol w:w="825"/>
              <w:gridCol w:w="315"/>
              <w:gridCol w:w="375"/>
              <w:gridCol w:w="480"/>
              <w:gridCol w:w="660"/>
              <w:gridCol w:w="660"/>
              <w:gridCol w:w="675"/>
              <w:gridCol w:w="311"/>
            </w:tblGrid>
            <w:tr w14:paraId="54A872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gridSpan w:val="2"/>
                  <w:tcBorders>
                    <w:tl2br w:val="nil"/>
                    <w:tr2bl w:val="nil"/>
                  </w:tcBorders>
                  <w:noWrap w:val="0"/>
                  <w:vAlign w:val="center"/>
                </w:tcPr>
                <w:p w14:paraId="76CE94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排放源</w:t>
                  </w:r>
                </w:p>
              </w:tc>
              <w:tc>
                <w:tcPr>
                  <w:tcW w:w="206" w:type="pct"/>
                  <w:tcBorders>
                    <w:tl2br w:val="nil"/>
                    <w:tr2bl w:val="nil"/>
                  </w:tcBorders>
                  <w:noWrap w:val="0"/>
                  <w:vAlign w:val="center"/>
                </w:tcPr>
                <w:p w14:paraId="6AE215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w:t>
                  </w:r>
                </w:p>
              </w:tc>
              <w:tc>
                <w:tcPr>
                  <w:tcW w:w="1781" w:type="pct"/>
                  <w:gridSpan w:val="5"/>
                  <w:tcBorders>
                    <w:tl2br w:val="nil"/>
                    <w:tr2bl w:val="nil"/>
                  </w:tcBorders>
                  <w:noWrap w:val="0"/>
                  <w:vAlign w:val="center"/>
                </w:tcPr>
                <w:p w14:paraId="4D0834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污染物产生</w:t>
                  </w:r>
                </w:p>
              </w:tc>
              <w:tc>
                <w:tcPr>
                  <w:tcW w:w="702" w:type="pct"/>
                  <w:gridSpan w:val="2"/>
                  <w:tcBorders>
                    <w:tl2br w:val="nil"/>
                    <w:tr2bl w:val="nil"/>
                  </w:tcBorders>
                  <w:noWrap w:val="0"/>
                  <w:vAlign w:val="center"/>
                </w:tcPr>
                <w:p w14:paraId="3AC2BD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rPr>
                    <w:t>治理措施</w:t>
                  </w:r>
                </w:p>
              </w:tc>
              <w:tc>
                <w:tcPr>
                  <w:tcW w:w="1946" w:type="pct"/>
                  <w:gridSpan w:val="6"/>
                  <w:tcBorders>
                    <w:tl2br w:val="nil"/>
                    <w:tr2bl w:val="nil"/>
                  </w:tcBorders>
                  <w:noWrap w:val="0"/>
                  <w:vAlign w:val="center"/>
                </w:tcPr>
                <w:p w14:paraId="3BBF63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污染物排放</w:t>
                  </w:r>
                </w:p>
              </w:tc>
            </w:tr>
            <w:tr w14:paraId="2D77C0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gridSpan w:val="2"/>
                  <w:tcBorders>
                    <w:tl2br w:val="nil"/>
                    <w:tr2bl w:val="nil"/>
                  </w:tcBorders>
                  <w:noWrap w:val="0"/>
                  <w:vAlign w:val="center"/>
                </w:tcPr>
                <w:p w14:paraId="62714B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06" w:type="pct"/>
                  <w:tcBorders>
                    <w:tl2br w:val="nil"/>
                    <w:tr2bl w:val="nil"/>
                  </w:tcBorders>
                  <w:noWrap w:val="0"/>
                  <w:vAlign w:val="center"/>
                </w:tcPr>
                <w:p w14:paraId="745C6F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9" w:type="pct"/>
                  <w:tcBorders>
                    <w:tl2br w:val="nil"/>
                    <w:tr2bl w:val="nil"/>
                  </w:tcBorders>
                  <w:noWrap w:val="0"/>
                  <w:vAlign w:val="center"/>
                </w:tcPr>
                <w:p w14:paraId="13B3BC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362" w:type="pct"/>
                  <w:tcBorders>
                    <w:tl2br w:val="nil"/>
                    <w:tr2bl w:val="nil"/>
                  </w:tcBorders>
                  <w:noWrap w:val="0"/>
                  <w:vAlign w:val="center"/>
                </w:tcPr>
                <w:p w14:paraId="723D6A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415" w:type="pct"/>
                  <w:tcBorders>
                    <w:tl2br w:val="nil"/>
                    <w:tr2bl w:val="nil"/>
                  </w:tcBorders>
                  <w:noWrap w:val="0"/>
                  <w:vAlign w:val="center"/>
                </w:tcPr>
                <w:p w14:paraId="51E2B1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w:t>
                  </w:r>
                </w:p>
                <w:p w14:paraId="0BCEDF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415" w:type="pct"/>
                  <w:tcBorders>
                    <w:tl2br w:val="nil"/>
                    <w:tr2bl w:val="nil"/>
                  </w:tcBorders>
                  <w:noWrap w:val="0"/>
                  <w:vAlign w:val="center"/>
                </w:tcPr>
                <w:p w14:paraId="44DB07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387" w:type="pct"/>
                  <w:tcBorders>
                    <w:tl2br w:val="nil"/>
                    <w:tr2bl w:val="nil"/>
                  </w:tcBorders>
                  <w:noWrap w:val="0"/>
                  <w:vAlign w:val="center"/>
                </w:tcPr>
                <w:p w14:paraId="2EE58C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产生量</w:t>
                  </w:r>
                </w:p>
                <w:p w14:paraId="185CA7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c>
                <w:tcPr>
                  <w:tcW w:w="508" w:type="pct"/>
                  <w:tcBorders>
                    <w:tl2br w:val="nil"/>
                    <w:tr2bl w:val="nil"/>
                  </w:tcBorders>
                  <w:noWrap w:val="0"/>
                  <w:vAlign w:val="center"/>
                </w:tcPr>
                <w:p w14:paraId="00BBD2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工艺</w:t>
                  </w:r>
                </w:p>
              </w:tc>
              <w:tc>
                <w:tcPr>
                  <w:tcW w:w="193" w:type="pct"/>
                  <w:tcBorders>
                    <w:tl2br w:val="nil"/>
                    <w:tr2bl w:val="nil"/>
                  </w:tcBorders>
                  <w:noWrap w:val="0"/>
                  <w:vAlign w:val="center"/>
                </w:tcPr>
                <w:p w14:paraId="33A6B5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效率%</w:t>
                  </w:r>
                </w:p>
              </w:tc>
              <w:tc>
                <w:tcPr>
                  <w:tcW w:w="230" w:type="pct"/>
                  <w:tcBorders>
                    <w:tl2br w:val="nil"/>
                    <w:tr2bl w:val="nil"/>
                  </w:tcBorders>
                  <w:noWrap w:val="0"/>
                  <w:vAlign w:val="center"/>
                </w:tcPr>
                <w:p w14:paraId="7C78F2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295" w:type="pct"/>
                  <w:tcBorders>
                    <w:tl2br w:val="nil"/>
                    <w:tr2bl w:val="nil"/>
                  </w:tcBorders>
                  <w:noWrap w:val="0"/>
                  <w:vAlign w:val="center"/>
                </w:tcPr>
                <w:p w14:paraId="70811A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406" w:type="pct"/>
                  <w:tcBorders>
                    <w:tl2br w:val="nil"/>
                    <w:tr2bl w:val="nil"/>
                  </w:tcBorders>
                  <w:noWrap w:val="0"/>
                  <w:vAlign w:val="center"/>
                </w:tcPr>
                <w:p w14:paraId="1FAAFE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w:t>
                  </w:r>
                </w:p>
                <w:p w14:paraId="2A41B0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406" w:type="pct"/>
                  <w:tcBorders>
                    <w:tl2br w:val="nil"/>
                    <w:tr2bl w:val="nil"/>
                  </w:tcBorders>
                  <w:noWrap w:val="0"/>
                  <w:vAlign w:val="center"/>
                </w:tcPr>
                <w:p w14:paraId="0E73A8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kern w:val="0"/>
                      <w:position w:val="0"/>
                      <w:sz w:val="18"/>
                      <w:szCs w:val="18"/>
                      <w:highlight w:val="none"/>
                      <w:lang w:val="en-US" w:eastAsia="zh-CN"/>
                    </w:rPr>
                    <w:t>排放</w:t>
                  </w:r>
                  <w:r>
                    <w:rPr>
                      <w:rFonts w:hint="default" w:ascii="Times New Roman" w:hAnsi="Times New Roman" w:eastAsia="宋体" w:cs="Times New Roman"/>
                      <w:color w:val="auto"/>
                      <w:spacing w:val="0"/>
                      <w:kern w:val="0"/>
                      <w:position w:val="0"/>
                      <w:sz w:val="18"/>
                      <w:szCs w:val="18"/>
                      <w:highlight w:val="none"/>
                    </w:rPr>
                    <w:t>速率kg/h</w:t>
                  </w:r>
                </w:p>
              </w:tc>
              <w:tc>
                <w:tcPr>
                  <w:tcW w:w="415" w:type="pct"/>
                  <w:tcBorders>
                    <w:tl2br w:val="nil"/>
                    <w:tr2bl w:val="nil"/>
                  </w:tcBorders>
                  <w:noWrap w:val="0"/>
                  <w:vAlign w:val="center"/>
                </w:tcPr>
                <w:p w14:paraId="029FD6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排放量</w:t>
                  </w:r>
                </w:p>
                <w:p w14:paraId="23C2D3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c>
                <w:tcPr>
                  <w:tcW w:w="191" w:type="pct"/>
                  <w:tcBorders>
                    <w:tl2br w:val="nil"/>
                    <w:tr2bl w:val="nil"/>
                  </w:tcBorders>
                  <w:noWrap w:val="0"/>
                  <w:vAlign w:val="center"/>
                </w:tcPr>
                <w:p w14:paraId="585B68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eastAsia" w:cs="Times New Roman"/>
                      <w:color w:val="auto"/>
                      <w:spacing w:val="0"/>
                      <w:kern w:val="0"/>
                      <w:position w:val="0"/>
                      <w:sz w:val="18"/>
                      <w:szCs w:val="18"/>
                      <w:highlight w:val="none"/>
                      <w:lang w:val="en-US" w:eastAsia="zh-CN"/>
                    </w:rPr>
                    <w:t>排放时间h</w:t>
                  </w:r>
                </w:p>
              </w:tc>
            </w:tr>
            <w:tr w14:paraId="298F57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restart"/>
                  <w:tcBorders>
                    <w:tl2br w:val="nil"/>
                    <w:tr2bl w:val="nil"/>
                  </w:tcBorders>
                  <w:noWrap w:val="0"/>
                  <w:vAlign w:val="center"/>
                </w:tcPr>
                <w:p w14:paraId="45145C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有组织排放</w:t>
                  </w:r>
                </w:p>
              </w:tc>
              <w:tc>
                <w:tcPr>
                  <w:tcW w:w="181" w:type="pct"/>
                  <w:vMerge w:val="restart"/>
                  <w:tcBorders>
                    <w:tl2br w:val="nil"/>
                    <w:tr2bl w:val="nil"/>
                  </w:tcBorders>
                  <w:noWrap w:val="0"/>
                  <w:vAlign w:val="center"/>
                </w:tcPr>
                <w:p w14:paraId="2A1622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both"/>
                    <w:textAlignment w:val="auto"/>
                    <w:rPr>
                      <w:rFonts w:hint="default" w:ascii="Times New Roman" w:hAnsi="Times New Roman"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DA001</w:t>
                  </w:r>
                </w:p>
              </w:tc>
              <w:tc>
                <w:tcPr>
                  <w:tcW w:w="206" w:type="pct"/>
                  <w:tcBorders>
                    <w:tl2br w:val="nil"/>
                    <w:tr2bl w:val="nil"/>
                  </w:tcBorders>
                  <w:noWrap w:val="0"/>
                  <w:vAlign w:val="center"/>
                </w:tcPr>
                <w:p w14:paraId="32E64F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颗粒物</w:t>
                  </w:r>
                </w:p>
              </w:tc>
              <w:tc>
                <w:tcPr>
                  <w:tcW w:w="199" w:type="pct"/>
                  <w:vMerge w:val="restart"/>
                  <w:tcBorders>
                    <w:tl2br w:val="nil"/>
                    <w:tr2bl w:val="nil"/>
                  </w:tcBorders>
                  <w:noWrap w:val="0"/>
                  <w:vAlign w:val="center"/>
                </w:tcPr>
                <w:p w14:paraId="5BE58F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物料衡算法</w:t>
                  </w:r>
                </w:p>
              </w:tc>
              <w:tc>
                <w:tcPr>
                  <w:tcW w:w="362" w:type="pct"/>
                  <w:vMerge w:val="restart"/>
                  <w:tcBorders>
                    <w:tl2br w:val="nil"/>
                    <w:tr2bl w:val="nil"/>
                  </w:tcBorders>
                  <w:shd w:val="clear" w:color="auto" w:fill="auto"/>
                  <w:noWrap w:val="0"/>
                  <w:vAlign w:val="center"/>
                </w:tcPr>
                <w:p w14:paraId="42F466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37302</w:t>
                  </w:r>
                </w:p>
              </w:tc>
              <w:tc>
                <w:tcPr>
                  <w:tcW w:w="415" w:type="pct"/>
                  <w:tcBorders>
                    <w:tl2br w:val="nil"/>
                    <w:tr2bl w:val="nil"/>
                  </w:tcBorders>
                  <w:noWrap w:val="0"/>
                  <w:vAlign w:val="center"/>
                </w:tcPr>
                <w:p w14:paraId="698C0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snapToGrid w:val="0"/>
                      <w:color w:val="auto"/>
                      <w:kern w:val="0"/>
                      <w:sz w:val="18"/>
                      <w:szCs w:val="18"/>
                      <w:highlight w:val="none"/>
                      <w:lang w:val="en-US" w:eastAsia="zh-CN"/>
                    </w:rPr>
                    <w:t>5040</w:t>
                  </w:r>
                </w:p>
              </w:tc>
              <w:tc>
                <w:tcPr>
                  <w:tcW w:w="415" w:type="pct"/>
                  <w:tcBorders>
                    <w:tl2br w:val="nil"/>
                    <w:tr2bl w:val="nil"/>
                  </w:tcBorders>
                  <w:noWrap w:val="0"/>
                  <w:vAlign w:val="center"/>
                </w:tcPr>
                <w:p w14:paraId="011BDD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bCs/>
                      <w:color w:val="auto"/>
                      <w:position w:val="0"/>
                      <w:sz w:val="18"/>
                      <w:szCs w:val="18"/>
                      <w:highlight w:val="none"/>
                      <w:lang w:val="en-US" w:eastAsia="zh-CN"/>
                    </w:rPr>
                    <w:t>188</w:t>
                  </w:r>
                </w:p>
              </w:tc>
              <w:tc>
                <w:tcPr>
                  <w:tcW w:w="387" w:type="pct"/>
                  <w:tcBorders>
                    <w:tl2br w:val="nil"/>
                    <w:tr2bl w:val="nil"/>
                  </w:tcBorders>
                  <w:noWrap w:val="0"/>
                  <w:vAlign w:val="center"/>
                </w:tcPr>
                <w:p w14:paraId="2755C1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position w:val="0"/>
                      <w:sz w:val="18"/>
                      <w:szCs w:val="18"/>
                      <w:highlight w:val="none"/>
                      <w:lang w:val="en-US" w:eastAsia="zh-CN"/>
                    </w:rPr>
                    <w:t>947.67</w:t>
                  </w:r>
                </w:p>
              </w:tc>
              <w:tc>
                <w:tcPr>
                  <w:tcW w:w="508" w:type="pct"/>
                  <w:tcBorders>
                    <w:tl2br w:val="nil"/>
                    <w:tr2bl w:val="nil"/>
                  </w:tcBorders>
                  <w:noWrap w:val="0"/>
                  <w:vAlign w:val="center"/>
                </w:tcPr>
                <w:p w14:paraId="612A49B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z w:val="18"/>
                      <w:szCs w:val="18"/>
                      <w:highlight w:val="none"/>
                      <w:lang w:val="en-US" w:eastAsia="zh-CN"/>
                    </w:rPr>
                    <w:t>3台10t/h生物质锅炉分别经各自配备的多管陶瓷</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布袋除尘器</w:t>
                  </w:r>
                  <w:r>
                    <w:rPr>
                      <w:rFonts w:hint="eastAsia" w:cs="Times New Roman"/>
                      <w:color w:val="auto"/>
                      <w:spacing w:val="0"/>
                      <w:position w:val="0"/>
                      <w:sz w:val="18"/>
                      <w:szCs w:val="18"/>
                      <w:highlight w:val="none"/>
                      <w:lang w:val="en-US" w:eastAsia="zh-CN"/>
                    </w:rPr>
                    <w:t>+60m烟囱（DA001）</w:t>
                  </w:r>
                </w:p>
              </w:tc>
              <w:tc>
                <w:tcPr>
                  <w:tcW w:w="193" w:type="pct"/>
                  <w:tcBorders>
                    <w:tl2br w:val="nil"/>
                    <w:tr2bl w:val="nil"/>
                  </w:tcBorders>
                  <w:noWrap w:val="0"/>
                  <w:vAlign w:val="center"/>
                </w:tcPr>
                <w:p w14:paraId="214A93E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color w:val="auto"/>
                      <w:spacing w:val="0"/>
                      <w:position w:val="0"/>
                      <w:sz w:val="18"/>
                      <w:szCs w:val="18"/>
                      <w:highlight w:val="none"/>
                      <w:lang w:val="en-US" w:eastAsia="zh-CN"/>
                    </w:rPr>
                    <w:t>99.7</w:t>
                  </w:r>
                </w:p>
              </w:tc>
              <w:tc>
                <w:tcPr>
                  <w:tcW w:w="230" w:type="pct"/>
                  <w:vMerge w:val="restart"/>
                  <w:tcBorders>
                    <w:tl2br w:val="nil"/>
                    <w:tr2bl w:val="nil"/>
                  </w:tcBorders>
                  <w:noWrap w:val="0"/>
                  <w:vAlign w:val="center"/>
                </w:tcPr>
                <w:p w14:paraId="7114CB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295" w:type="pct"/>
                  <w:vMerge w:val="restart"/>
                  <w:tcBorders>
                    <w:tl2br w:val="nil"/>
                    <w:tr2bl w:val="nil"/>
                  </w:tcBorders>
                  <w:noWrap w:val="0"/>
                  <w:vAlign w:val="center"/>
                </w:tcPr>
                <w:p w14:paraId="11B47C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37302</w:t>
                  </w:r>
                </w:p>
              </w:tc>
              <w:tc>
                <w:tcPr>
                  <w:tcW w:w="406" w:type="pct"/>
                  <w:tcBorders>
                    <w:tl2br w:val="nil"/>
                    <w:tr2bl w:val="nil"/>
                  </w:tcBorders>
                  <w:noWrap w:val="0"/>
                  <w:vAlign w:val="center"/>
                </w:tcPr>
                <w:p w14:paraId="0F0AD2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snapToGrid w:val="0"/>
                      <w:color w:val="auto"/>
                      <w:kern w:val="0"/>
                      <w:sz w:val="18"/>
                      <w:szCs w:val="18"/>
                      <w:highlight w:val="none"/>
                      <w:lang w:val="en-US" w:eastAsia="zh-CN"/>
                    </w:rPr>
                    <w:t>15.12</w:t>
                  </w:r>
                </w:p>
              </w:tc>
              <w:tc>
                <w:tcPr>
                  <w:tcW w:w="406" w:type="pct"/>
                  <w:tcBorders>
                    <w:tl2br w:val="nil"/>
                    <w:tr2bl w:val="nil"/>
                  </w:tcBorders>
                  <w:noWrap w:val="0"/>
                  <w:vAlign w:val="center"/>
                </w:tcPr>
                <w:p w14:paraId="421C72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bCs/>
                      <w:color w:val="auto"/>
                      <w:position w:val="0"/>
                      <w:sz w:val="18"/>
                      <w:szCs w:val="18"/>
                      <w:highlight w:val="none"/>
                      <w:lang w:val="en-US" w:eastAsia="zh-CN"/>
                    </w:rPr>
                    <w:t>0.564</w:t>
                  </w:r>
                </w:p>
              </w:tc>
              <w:tc>
                <w:tcPr>
                  <w:tcW w:w="415" w:type="pct"/>
                  <w:tcBorders>
                    <w:tl2br w:val="nil"/>
                    <w:tr2bl w:val="nil"/>
                  </w:tcBorders>
                  <w:noWrap w:val="0"/>
                  <w:vAlign w:val="center"/>
                </w:tcPr>
                <w:p w14:paraId="470366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2.843</w:t>
                  </w:r>
                </w:p>
              </w:tc>
              <w:tc>
                <w:tcPr>
                  <w:tcW w:w="191" w:type="pct"/>
                  <w:vMerge w:val="restart"/>
                  <w:tcBorders>
                    <w:tl2br w:val="nil"/>
                    <w:tr2bl w:val="nil"/>
                  </w:tcBorders>
                  <w:noWrap w:val="0"/>
                  <w:vAlign w:val="center"/>
                </w:tcPr>
                <w:p w14:paraId="460A9D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5040</w:t>
                  </w:r>
                </w:p>
              </w:tc>
            </w:tr>
            <w:tr w14:paraId="7C8624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tcBorders>
                    <w:tl2br w:val="nil"/>
                    <w:tr2bl w:val="nil"/>
                  </w:tcBorders>
                  <w:noWrap w:val="0"/>
                  <w:vAlign w:val="center"/>
                </w:tcPr>
                <w:p w14:paraId="7CEB0F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81" w:type="pct"/>
                  <w:vMerge w:val="continue"/>
                  <w:tcBorders>
                    <w:tl2br w:val="nil"/>
                    <w:tr2bl w:val="nil"/>
                  </w:tcBorders>
                  <w:noWrap w:val="0"/>
                  <w:vAlign w:val="center"/>
                </w:tcPr>
                <w:p w14:paraId="52B430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06" w:type="pct"/>
                  <w:tcBorders>
                    <w:tl2br w:val="nil"/>
                    <w:tr2bl w:val="nil"/>
                  </w:tcBorders>
                  <w:noWrap w:val="0"/>
                  <w:vAlign w:val="center"/>
                </w:tcPr>
                <w:p w14:paraId="22946540">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pacing w:val="0"/>
                      <w:position w:val="0"/>
                      <w:sz w:val="18"/>
                      <w:szCs w:val="18"/>
                      <w:highlight w:val="none"/>
                    </w:rPr>
                  </w:pPr>
                  <w:r>
                    <w:rPr>
                      <w:rFonts w:hint="eastAsia"/>
                      <w:color w:val="auto"/>
                      <w:spacing w:val="-10"/>
                      <w:sz w:val="18"/>
                      <w:szCs w:val="18"/>
                      <w:highlight w:val="none"/>
                    </w:rPr>
                    <w:t>S</w:t>
                  </w:r>
                  <w:r>
                    <w:rPr>
                      <w:rFonts w:hint="default"/>
                      <w:color w:val="auto"/>
                      <w:spacing w:val="-10"/>
                      <w:sz w:val="18"/>
                      <w:szCs w:val="18"/>
                      <w:highlight w:val="none"/>
                    </w:rPr>
                    <w:t>O</w:t>
                  </w:r>
                  <w:r>
                    <w:rPr>
                      <w:rFonts w:hint="default"/>
                      <w:color w:val="auto"/>
                      <w:spacing w:val="-10"/>
                      <w:sz w:val="18"/>
                      <w:szCs w:val="18"/>
                      <w:highlight w:val="none"/>
                      <w:vertAlign w:val="subscript"/>
                    </w:rPr>
                    <w:t>2</w:t>
                  </w:r>
                </w:p>
              </w:tc>
              <w:tc>
                <w:tcPr>
                  <w:tcW w:w="199" w:type="pct"/>
                  <w:vMerge w:val="continue"/>
                  <w:tcBorders>
                    <w:tl2br w:val="nil"/>
                    <w:tr2bl w:val="nil"/>
                  </w:tcBorders>
                  <w:noWrap w:val="0"/>
                  <w:vAlign w:val="center"/>
                </w:tcPr>
                <w:p w14:paraId="61BB90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kern w:val="0"/>
                      <w:position w:val="0"/>
                      <w:sz w:val="18"/>
                      <w:szCs w:val="18"/>
                      <w:highlight w:val="none"/>
                      <w:lang w:val="en-US" w:eastAsia="zh-CN"/>
                    </w:rPr>
                  </w:pPr>
                </w:p>
              </w:tc>
              <w:tc>
                <w:tcPr>
                  <w:tcW w:w="362" w:type="pct"/>
                  <w:vMerge w:val="continue"/>
                  <w:tcBorders>
                    <w:tl2br w:val="nil"/>
                    <w:tr2bl w:val="nil"/>
                  </w:tcBorders>
                  <w:noWrap w:val="0"/>
                  <w:vAlign w:val="center"/>
                </w:tcPr>
                <w:p w14:paraId="14DB41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415" w:type="pct"/>
                  <w:tcBorders>
                    <w:tl2br w:val="nil"/>
                    <w:tr2bl w:val="nil"/>
                  </w:tcBorders>
                  <w:noWrap w:val="0"/>
                  <w:vAlign w:val="center"/>
                </w:tcPr>
                <w:p w14:paraId="3FE286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18"/>
                      <w:szCs w:val="18"/>
                      <w:highlight w:val="none"/>
                      <w:lang w:val="en-US" w:eastAsia="zh-CN"/>
                    </w:rPr>
                  </w:pPr>
                  <w:r>
                    <w:rPr>
                      <w:rFonts w:hint="eastAsia" w:cs="Times New Roman"/>
                      <w:snapToGrid w:val="0"/>
                      <w:color w:val="auto"/>
                      <w:kern w:val="0"/>
                      <w:sz w:val="18"/>
                      <w:szCs w:val="18"/>
                      <w:highlight w:val="none"/>
                      <w:lang w:val="en-US" w:eastAsia="zh-CN"/>
                    </w:rPr>
                    <w:t>22.73</w:t>
                  </w:r>
                </w:p>
              </w:tc>
              <w:tc>
                <w:tcPr>
                  <w:tcW w:w="415" w:type="pct"/>
                  <w:tcBorders>
                    <w:tl2br w:val="nil"/>
                    <w:tr2bl w:val="nil"/>
                  </w:tcBorders>
                  <w:noWrap w:val="0"/>
                  <w:vAlign w:val="center"/>
                </w:tcPr>
                <w:p w14:paraId="741FBA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position w:val="0"/>
                      <w:sz w:val="18"/>
                      <w:szCs w:val="18"/>
                      <w:highlight w:val="none"/>
                      <w:lang w:val="en-US" w:eastAsia="zh-CN"/>
                    </w:rPr>
                  </w:pPr>
                  <w:r>
                    <w:rPr>
                      <w:rFonts w:hint="eastAsia" w:cs="Times New Roman"/>
                      <w:bCs/>
                      <w:color w:val="auto"/>
                      <w:position w:val="0"/>
                      <w:sz w:val="18"/>
                      <w:szCs w:val="18"/>
                      <w:highlight w:val="none"/>
                      <w:lang w:val="en-US" w:eastAsia="zh-CN"/>
                    </w:rPr>
                    <w:t>0.848</w:t>
                  </w:r>
                </w:p>
              </w:tc>
              <w:tc>
                <w:tcPr>
                  <w:tcW w:w="387" w:type="pct"/>
                  <w:tcBorders>
                    <w:tl2br w:val="nil"/>
                    <w:tr2bl w:val="nil"/>
                  </w:tcBorders>
                  <w:noWrap w:val="0"/>
                  <w:vAlign w:val="center"/>
                </w:tcPr>
                <w:p w14:paraId="64D3AB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4.273</w:t>
                  </w:r>
                </w:p>
              </w:tc>
              <w:tc>
                <w:tcPr>
                  <w:tcW w:w="508" w:type="pct"/>
                  <w:tcBorders>
                    <w:tl2br w:val="nil"/>
                    <w:tr2bl w:val="nil"/>
                  </w:tcBorders>
                  <w:noWrap w:val="0"/>
                  <w:vAlign w:val="center"/>
                </w:tcPr>
                <w:p w14:paraId="1BA566D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193" w:type="pct"/>
                  <w:tcBorders>
                    <w:tl2br w:val="nil"/>
                    <w:tr2bl w:val="nil"/>
                  </w:tcBorders>
                  <w:noWrap w:val="0"/>
                  <w:vAlign w:val="center"/>
                </w:tcPr>
                <w:p w14:paraId="666B6ED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230" w:type="pct"/>
                  <w:vMerge w:val="continue"/>
                  <w:tcBorders>
                    <w:tl2br w:val="nil"/>
                    <w:tr2bl w:val="nil"/>
                  </w:tcBorders>
                  <w:noWrap w:val="0"/>
                  <w:vAlign w:val="center"/>
                </w:tcPr>
                <w:p w14:paraId="6A2A61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95" w:type="pct"/>
                  <w:vMerge w:val="continue"/>
                  <w:tcBorders>
                    <w:tl2br w:val="nil"/>
                    <w:tr2bl w:val="nil"/>
                  </w:tcBorders>
                  <w:noWrap w:val="0"/>
                  <w:vAlign w:val="center"/>
                </w:tcPr>
                <w:p w14:paraId="7AB85B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rPr>
                  </w:pPr>
                </w:p>
              </w:tc>
              <w:tc>
                <w:tcPr>
                  <w:tcW w:w="406" w:type="pct"/>
                  <w:tcBorders>
                    <w:tl2br w:val="nil"/>
                    <w:tr2bl w:val="nil"/>
                  </w:tcBorders>
                  <w:noWrap w:val="0"/>
                  <w:vAlign w:val="center"/>
                </w:tcPr>
                <w:p w14:paraId="167D72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18"/>
                      <w:szCs w:val="18"/>
                      <w:highlight w:val="none"/>
                      <w:lang w:val="en-US" w:eastAsia="zh-CN"/>
                    </w:rPr>
                  </w:pPr>
                  <w:r>
                    <w:rPr>
                      <w:rFonts w:hint="eastAsia" w:cs="Times New Roman"/>
                      <w:snapToGrid w:val="0"/>
                      <w:color w:val="auto"/>
                      <w:kern w:val="0"/>
                      <w:sz w:val="18"/>
                      <w:szCs w:val="18"/>
                      <w:highlight w:val="none"/>
                      <w:lang w:val="en-US" w:eastAsia="zh-CN"/>
                    </w:rPr>
                    <w:t>22.73</w:t>
                  </w:r>
                </w:p>
              </w:tc>
              <w:tc>
                <w:tcPr>
                  <w:tcW w:w="406" w:type="pct"/>
                  <w:tcBorders>
                    <w:tl2br w:val="nil"/>
                    <w:tr2bl w:val="nil"/>
                  </w:tcBorders>
                  <w:noWrap w:val="0"/>
                  <w:vAlign w:val="center"/>
                </w:tcPr>
                <w:p w14:paraId="267039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position w:val="0"/>
                      <w:sz w:val="18"/>
                      <w:szCs w:val="18"/>
                      <w:highlight w:val="none"/>
                      <w:lang w:val="en-US" w:eastAsia="zh-CN"/>
                    </w:rPr>
                  </w:pPr>
                  <w:r>
                    <w:rPr>
                      <w:rFonts w:hint="eastAsia" w:cs="Times New Roman"/>
                      <w:bCs/>
                      <w:color w:val="auto"/>
                      <w:position w:val="0"/>
                      <w:sz w:val="18"/>
                      <w:szCs w:val="18"/>
                      <w:highlight w:val="none"/>
                      <w:lang w:val="en-US" w:eastAsia="zh-CN"/>
                    </w:rPr>
                    <w:t>0.848</w:t>
                  </w:r>
                </w:p>
              </w:tc>
              <w:tc>
                <w:tcPr>
                  <w:tcW w:w="415" w:type="pct"/>
                  <w:tcBorders>
                    <w:tl2br w:val="nil"/>
                    <w:tr2bl w:val="nil"/>
                  </w:tcBorders>
                  <w:noWrap w:val="0"/>
                  <w:vAlign w:val="center"/>
                </w:tcPr>
                <w:p w14:paraId="0CCAC6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4.273</w:t>
                  </w:r>
                </w:p>
              </w:tc>
              <w:tc>
                <w:tcPr>
                  <w:tcW w:w="191" w:type="pct"/>
                  <w:vMerge w:val="continue"/>
                  <w:tcBorders>
                    <w:tl2br w:val="nil"/>
                    <w:tr2bl w:val="nil"/>
                  </w:tcBorders>
                  <w:noWrap w:val="0"/>
                  <w:vAlign w:val="center"/>
                </w:tcPr>
                <w:p w14:paraId="1746D5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r>
            <w:tr w14:paraId="03DBD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tcBorders>
                    <w:tl2br w:val="nil"/>
                    <w:tr2bl w:val="nil"/>
                  </w:tcBorders>
                  <w:noWrap w:val="0"/>
                  <w:vAlign w:val="center"/>
                </w:tcPr>
                <w:p w14:paraId="23FC5F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81" w:type="pct"/>
                  <w:vMerge w:val="continue"/>
                  <w:tcBorders>
                    <w:tl2br w:val="nil"/>
                    <w:tr2bl w:val="nil"/>
                  </w:tcBorders>
                  <w:noWrap w:val="0"/>
                  <w:vAlign w:val="center"/>
                </w:tcPr>
                <w:p w14:paraId="726FAB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both"/>
                    <w:textAlignment w:val="auto"/>
                    <w:rPr>
                      <w:rFonts w:hint="default" w:ascii="Times New Roman" w:hAnsi="Times New Roman" w:cs="Times New Roman"/>
                      <w:color w:val="auto"/>
                      <w:spacing w:val="0"/>
                      <w:position w:val="0"/>
                      <w:sz w:val="18"/>
                      <w:szCs w:val="18"/>
                      <w:highlight w:val="none"/>
                      <w:lang w:val="en-US" w:eastAsia="zh-CN"/>
                    </w:rPr>
                  </w:pPr>
                </w:p>
              </w:tc>
              <w:tc>
                <w:tcPr>
                  <w:tcW w:w="206" w:type="pct"/>
                  <w:tcBorders>
                    <w:tl2br w:val="nil"/>
                    <w:tr2bl w:val="nil"/>
                  </w:tcBorders>
                  <w:noWrap w:val="0"/>
                  <w:vAlign w:val="center"/>
                </w:tcPr>
                <w:p w14:paraId="79BB6745">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pacing w:val="0"/>
                      <w:position w:val="0"/>
                      <w:sz w:val="18"/>
                      <w:szCs w:val="18"/>
                      <w:highlight w:val="none"/>
                    </w:rPr>
                  </w:pPr>
                  <w:r>
                    <w:rPr>
                      <w:rFonts w:hint="default"/>
                      <w:color w:val="auto"/>
                      <w:spacing w:val="-10"/>
                      <w:sz w:val="18"/>
                      <w:szCs w:val="18"/>
                      <w:highlight w:val="none"/>
                    </w:rPr>
                    <w:t>NO</w:t>
                  </w:r>
                  <w:r>
                    <w:rPr>
                      <w:rFonts w:hint="eastAsia"/>
                      <w:color w:val="auto"/>
                      <w:spacing w:val="-10"/>
                      <w:sz w:val="18"/>
                      <w:szCs w:val="18"/>
                      <w:highlight w:val="none"/>
                    </w:rPr>
                    <w:t>x</w:t>
                  </w:r>
                </w:p>
              </w:tc>
              <w:tc>
                <w:tcPr>
                  <w:tcW w:w="199" w:type="pct"/>
                  <w:tcBorders>
                    <w:tl2br w:val="nil"/>
                    <w:tr2bl w:val="nil"/>
                  </w:tcBorders>
                  <w:noWrap w:val="0"/>
                  <w:vAlign w:val="center"/>
                </w:tcPr>
                <w:p w14:paraId="73361D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0"/>
                      <w:position w:val="0"/>
                      <w:sz w:val="18"/>
                      <w:szCs w:val="18"/>
                      <w:highlight w:val="none"/>
                      <w:lang w:eastAsia="zh-CN"/>
                    </w:rPr>
                  </w:pPr>
                  <w:r>
                    <w:rPr>
                      <w:rFonts w:hint="eastAsia" w:cs="Times New Roman"/>
                      <w:color w:val="auto"/>
                      <w:spacing w:val="0"/>
                      <w:kern w:val="0"/>
                      <w:position w:val="0"/>
                      <w:sz w:val="18"/>
                      <w:szCs w:val="18"/>
                      <w:highlight w:val="none"/>
                      <w:lang w:val="en-US" w:eastAsia="zh-CN"/>
                    </w:rPr>
                    <w:t>类比</w:t>
                  </w:r>
                  <w:r>
                    <w:rPr>
                      <w:rFonts w:hint="default" w:ascii="Times New Roman" w:hAnsi="Times New Roman" w:cs="Times New Roman"/>
                      <w:color w:val="auto"/>
                      <w:spacing w:val="0"/>
                      <w:kern w:val="0"/>
                      <w:position w:val="0"/>
                      <w:sz w:val="18"/>
                      <w:szCs w:val="18"/>
                      <w:highlight w:val="none"/>
                      <w:lang w:eastAsia="zh-CN"/>
                    </w:rPr>
                    <w:t>法</w:t>
                  </w:r>
                </w:p>
              </w:tc>
              <w:tc>
                <w:tcPr>
                  <w:tcW w:w="362" w:type="pct"/>
                  <w:vMerge w:val="continue"/>
                  <w:tcBorders>
                    <w:tl2br w:val="nil"/>
                    <w:tr2bl w:val="nil"/>
                  </w:tcBorders>
                  <w:noWrap w:val="0"/>
                  <w:vAlign w:val="center"/>
                </w:tcPr>
                <w:p w14:paraId="185E52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kern w:val="0"/>
                      <w:position w:val="0"/>
                      <w:sz w:val="18"/>
                      <w:szCs w:val="18"/>
                      <w:highlight w:val="none"/>
                      <w:lang w:val="en-US" w:eastAsia="zh-CN"/>
                    </w:rPr>
                  </w:pPr>
                </w:p>
              </w:tc>
              <w:tc>
                <w:tcPr>
                  <w:tcW w:w="415" w:type="pct"/>
                  <w:tcBorders>
                    <w:tl2br w:val="nil"/>
                    <w:tr2bl w:val="nil"/>
                  </w:tcBorders>
                  <w:noWrap w:val="0"/>
                  <w:vAlign w:val="center"/>
                </w:tcPr>
                <w:p w14:paraId="56D47D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144</w:t>
                  </w:r>
                </w:p>
              </w:tc>
              <w:tc>
                <w:tcPr>
                  <w:tcW w:w="415" w:type="pct"/>
                  <w:tcBorders>
                    <w:tl2br w:val="nil"/>
                    <w:tr2bl w:val="nil"/>
                  </w:tcBorders>
                  <w:noWrap w:val="0"/>
                  <w:vAlign w:val="center"/>
                </w:tcPr>
                <w:p w14:paraId="4D1BD2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pacing w:val="0"/>
                      <w:position w:val="0"/>
                      <w:sz w:val="18"/>
                      <w:szCs w:val="18"/>
                      <w:highlight w:val="none"/>
                      <w:lang w:val="en-US" w:eastAsia="zh-CN"/>
                    </w:rPr>
                  </w:pPr>
                  <w:r>
                    <w:rPr>
                      <w:rFonts w:hint="eastAsia" w:cs="Times New Roman"/>
                      <w:bCs/>
                      <w:color w:val="auto"/>
                      <w:position w:val="0"/>
                      <w:sz w:val="18"/>
                      <w:szCs w:val="18"/>
                      <w:highlight w:val="none"/>
                      <w:lang w:val="en-US" w:eastAsia="zh-CN"/>
                    </w:rPr>
                    <w:t>5.37</w:t>
                  </w:r>
                </w:p>
              </w:tc>
              <w:tc>
                <w:tcPr>
                  <w:tcW w:w="387" w:type="pct"/>
                  <w:tcBorders>
                    <w:tl2br w:val="nil"/>
                    <w:tr2bl w:val="nil"/>
                  </w:tcBorders>
                  <w:noWrap w:val="0"/>
                  <w:vAlign w:val="center"/>
                </w:tcPr>
                <w:p w14:paraId="1C23D0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0"/>
                      <w:sz w:val="18"/>
                      <w:szCs w:val="18"/>
                      <w:highlight w:val="none"/>
                      <w:lang w:val="en-US"/>
                    </w:rPr>
                  </w:pPr>
                  <w:r>
                    <w:rPr>
                      <w:rFonts w:hint="eastAsia" w:cs="Times New Roman"/>
                      <w:color w:val="auto"/>
                      <w:position w:val="0"/>
                      <w:sz w:val="18"/>
                      <w:szCs w:val="18"/>
                      <w:highlight w:val="none"/>
                      <w:lang w:val="en-US" w:eastAsia="zh-CN"/>
                    </w:rPr>
                    <w:t>27.072</w:t>
                  </w:r>
                </w:p>
              </w:tc>
              <w:tc>
                <w:tcPr>
                  <w:tcW w:w="508" w:type="pct"/>
                  <w:tcBorders>
                    <w:tl2br w:val="nil"/>
                    <w:tr2bl w:val="nil"/>
                  </w:tcBorders>
                  <w:noWrap w:val="0"/>
                  <w:vAlign w:val="center"/>
                </w:tcPr>
                <w:p w14:paraId="12C71088">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193" w:type="pct"/>
                  <w:tcBorders>
                    <w:tl2br w:val="nil"/>
                    <w:tr2bl w:val="nil"/>
                  </w:tcBorders>
                  <w:noWrap w:val="0"/>
                  <w:vAlign w:val="center"/>
                </w:tcPr>
                <w:p w14:paraId="1B438F7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eastAsia"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230" w:type="pct"/>
                  <w:vMerge w:val="continue"/>
                  <w:tcBorders>
                    <w:tl2br w:val="nil"/>
                    <w:tr2bl w:val="nil"/>
                  </w:tcBorders>
                  <w:noWrap w:val="0"/>
                  <w:vAlign w:val="center"/>
                </w:tcPr>
                <w:p w14:paraId="1ED534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95" w:type="pct"/>
                  <w:vMerge w:val="continue"/>
                  <w:tcBorders>
                    <w:tl2br w:val="nil"/>
                    <w:tr2bl w:val="nil"/>
                  </w:tcBorders>
                  <w:noWrap w:val="0"/>
                  <w:vAlign w:val="center"/>
                </w:tcPr>
                <w:p w14:paraId="55C514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kern w:val="0"/>
                      <w:position w:val="0"/>
                      <w:sz w:val="18"/>
                      <w:szCs w:val="18"/>
                      <w:highlight w:val="none"/>
                      <w:lang w:val="en-US" w:eastAsia="zh-CN"/>
                    </w:rPr>
                  </w:pPr>
                </w:p>
              </w:tc>
              <w:tc>
                <w:tcPr>
                  <w:tcW w:w="406" w:type="pct"/>
                  <w:tcBorders>
                    <w:tl2br w:val="nil"/>
                    <w:tr2bl w:val="nil"/>
                  </w:tcBorders>
                  <w:noWrap w:val="0"/>
                  <w:vAlign w:val="center"/>
                </w:tcPr>
                <w:p w14:paraId="35FD04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144</w:t>
                  </w:r>
                </w:p>
              </w:tc>
              <w:tc>
                <w:tcPr>
                  <w:tcW w:w="406" w:type="pct"/>
                  <w:tcBorders>
                    <w:tl2br w:val="nil"/>
                    <w:tr2bl w:val="nil"/>
                  </w:tcBorders>
                  <w:noWrap w:val="0"/>
                  <w:vAlign w:val="center"/>
                </w:tcPr>
                <w:p w14:paraId="53BE4A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pacing w:val="0"/>
                      <w:position w:val="0"/>
                      <w:sz w:val="18"/>
                      <w:szCs w:val="18"/>
                      <w:highlight w:val="none"/>
                      <w:lang w:val="en-US" w:eastAsia="zh-CN"/>
                    </w:rPr>
                  </w:pPr>
                  <w:r>
                    <w:rPr>
                      <w:rFonts w:hint="eastAsia" w:cs="Times New Roman"/>
                      <w:bCs/>
                      <w:color w:val="auto"/>
                      <w:position w:val="0"/>
                      <w:sz w:val="18"/>
                      <w:szCs w:val="18"/>
                      <w:highlight w:val="none"/>
                      <w:lang w:val="en-US" w:eastAsia="zh-CN"/>
                    </w:rPr>
                    <w:t>5.37</w:t>
                  </w:r>
                </w:p>
              </w:tc>
              <w:tc>
                <w:tcPr>
                  <w:tcW w:w="415" w:type="pct"/>
                  <w:tcBorders>
                    <w:tl2br w:val="nil"/>
                    <w:tr2bl w:val="nil"/>
                  </w:tcBorders>
                  <w:noWrap w:val="0"/>
                  <w:vAlign w:val="center"/>
                </w:tcPr>
                <w:p w14:paraId="148E36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pacing w:val="0"/>
                      <w:position w:val="0"/>
                      <w:sz w:val="18"/>
                      <w:szCs w:val="18"/>
                      <w:highlight w:val="none"/>
                      <w:lang w:val="en-US" w:eastAsia="zh-CN"/>
                    </w:rPr>
                  </w:pPr>
                  <w:r>
                    <w:rPr>
                      <w:rFonts w:hint="eastAsia" w:cs="Times New Roman"/>
                      <w:color w:val="auto"/>
                      <w:position w:val="0"/>
                      <w:sz w:val="18"/>
                      <w:szCs w:val="18"/>
                      <w:highlight w:val="none"/>
                      <w:lang w:val="en-US" w:eastAsia="zh-CN"/>
                    </w:rPr>
                    <w:t>27.072</w:t>
                  </w:r>
                </w:p>
              </w:tc>
              <w:tc>
                <w:tcPr>
                  <w:tcW w:w="191" w:type="pct"/>
                  <w:vMerge w:val="continue"/>
                  <w:tcBorders>
                    <w:tl2br w:val="nil"/>
                    <w:tr2bl w:val="nil"/>
                  </w:tcBorders>
                  <w:noWrap w:val="0"/>
                  <w:vAlign w:val="center"/>
                </w:tcPr>
                <w:p w14:paraId="286692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r>
          </w:tbl>
          <w:p w14:paraId="25B45283">
            <w:pPr>
              <w:keepNext w:val="0"/>
              <w:keepLines w:val="0"/>
              <w:suppressLineNumbers w:val="0"/>
              <w:autoSpaceDE w:val="0"/>
              <w:autoSpaceDN w:val="0"/>
              <w:spacing w:before="0" w:beforeAutospacing="0" w:after="0" w:afterAutospacing="0" w:line="360" w:lineRule="auto"/>
              <w:ind w:left="0" w:right="0" w:firstLine="420" w:firstLineChars="200"/>
              <w:contextualSpacing/>
              <w:rPr>
                <w:rFonts w:hint="default" w:hAnsi="宋体"/>
                <w:color w:val="auto"/>
                <w:sz w:val="21"/>
                <w:szCs w:val="21"/>
                <w:highlight w:val="none"/>
                <w:lang w:val="en-US"/>
              </w:rPr>
            </w:pPr>
            <w:r>
              <w:rPr>
                <w:rFonts w:hint="default" w:ascii="Times New Roman" w:hAnsi="Times New Roman" w:cs="Times New Roman"/>
                <w:color w:val="auto"/>
                <w:spacing w:val="0"/>
                <w:sz w:val="21"/>
                <w:szCs w:val="21"/>
                <w:highlight w:val="none"/>
                <w:lang w:val="en-US" w:eastAsia="zh-CN"/>
              </w:rPr>
              <w:t>1）</w:t>
            </w:r>
            <w:r>
              <w:rPr>
                <w:rFonts w:hint="eastAsia" w:ascii="宋体" w:hAnsi="宋体"/>
                <w:color w:val="auto"/>
                <w:sz w:val="21"/>
                <w:szCs w:val="21"/>
                <w:highlight w:val="none"/>
                <w:lang w:val="en-US" w:eastAsia="zh-CN"/>
              </w:rPr>
              <w:t>锅炉废气</w:t>
            </w:r>
          </w:p>
          <w:p w14:paraId="3429FFE2">
            <w:pPr>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ascii="宋体" w:hAnsi="宋体" w:eastAsia="宋体" w:cs="宋体"/>
                <w:color w:val="auto"/>
                <w:szCs w:val="21"/>
                <w:highlight w:val="none"/>
                <w:lang w:val="en-US" w:eastAsia="zh-CN"/>
              </w:rPr>
            </w:pP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洗煤一厂锅炉房</w:t>
            </w:r>
            <w:r>
              <w:rPr>
                <w:rFonts w:hint="eastAsia" w:cs="Times New Roman"/>
                <w:color w:val="auto"/>
                <w:kern w:val="21"/>
                <w:sz w:val="21"/>
                <w:szCs w:val="21"/>
                <w:highlight w:val="none"/>
                <w:lang w:val="en-US" w:eastAsia="zh-CN"/>
              </w:rPr>
              <w:t>内将</w:t>
            </w:r>
            <w:r>
              <w:rPr>
                <w:rFonts w:hint="default" w:ascii="Times New Roman" w:hAnsi="Times New Roman" w:eastAsia="宋体" w:cs="Times New Roman"/>
                <w:color w:val="auto"/>
                <w:kern w:val="21"/>
                <w:sz w:val="21"/>
                <w:szCs w:val="21"/>
                <w:highlight w:val="none"/>
                <w:vertAlign w:val="baseline"/>
                <w:lang w:val="en-US" w:eastAsia="zh-CN"/>
              </w:rPr>
              <w:t>现有</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eastAsia" w:cs="Times New Roman"/>
                <w:color w:val="auto"/>
                <w:kern w:val="21"/>
                <w:sz w:val="21"/>
                <w:szCs w:val="21"/>
                <w:highlight w:val="none"/>
                <w:lang w:val="en-US" w:eastAsia="zh-CN"/>
              </w:rPr>
              <w:t>淘汰</w:t>
            </w:r>
            <w:r>
              <w:rPr>
                <w:rFonts w:hint="default" w:ascii="Times New Roman" w:hAnsi="Times New Roman" w:eastAsia="宋体" w:cs="Times New Roman"/>
                <w:color w:val="auto"/>
                <w:kern w:val="21"/>
                <w:sz w:val="21"/>
                <w:szCs w:val="21"/>
                <w:highlight w:val="none"/>
                <w:vertAlign w:val="baseline"/>
                <w:lang w:val="en-US" w:eastAsia="zh-CN"/>
              </w:rPr>
              <w:t>，新建</w:t>
            </w:r>
            <w:r>
              <w:rPr>
                <w:rFonts w:hint="eastAsia" w:cs="Times New Roman"/>
                <w:color w:val="auto"/>
                <w:sz w:val="21"/>
                <w:szCs w:val="21"/>
                <w:highlight w:val="none"/>
                <w:lang w:val="en-US" w:eastAsia="zh-CN"/>
              </w:rPr>
              <w:t>3台10t/h生物质蒸汽锅炉，3台锅炉均为供暖期运行，</w:t>
            </w:r>
            <w:r>
              <w:rPr>
                <w:rFonts w:hint="default" w:ascii="Times New Roman" w:hAnsi="Times New Roman" w:eastAsia="宋体" w:cs="Times New Roman"/>
                <w:color w:val="auto"/>
                <w:sz w:val="21"/>
                <w:szCs w:val="21"/>
                <w:highlight w:val="none"/>
              </w:rPr>
              <w:t>年运行</w:t>
            </w:r>
            <w:r>
              <w:rPr>
                <w:rFonts w:hint="eastAsia" w:cs="Times New Roman"/>
                <w:color w:val="auto"/>
                <w:sz w:val="21"/>
                <w:szCs w:val="21"/>
                <w:highlight w:val="none"/>
                <w:lang w:val="en-US" w:eastAsia="zh-CN"/>
              </w:rPr>
              <w:t>5040</w:t>
            </w:r>
            <w:r>
              <w:rPr>
                <w:rFonts w:hint="default" w:ascii="Times New Roman" w:hAnsi="Times New Roman" w:eastAsia="宋体" w:cs="Times New Roman"/>
                <w:color w:val="auto"/>
                <w:sz w:val="21"/>
                <w:szCs w:val="21"/>
                <w:highlight w:val="none"/>
              </w:rPr>
              <w:t>h</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则本项目</w:t>
            </w:r>
            <w:r>
              <w:rPr>
                <w:rFonts w:hint="default"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25137.15</w:t>
            </w:r>
            <w:r>
              <w:rPr>
                <w:rFonts w:hint="default" w:ascii="Times New Roman" w:hAnsi="Times New Roman" w:eastAsia="宋体" w:cs="Times New Roman"/>
                <w:color w:val="auto"/>
                <w:sz w:val="21"/>
                <w:szCs w:val="21"/>
                <w:highlight w:val="none"/>
              </w:rPr>
              <w:t>t/a</w:t>
            </w:r>
            <w:r>
              <w:rPr>
                <w:rFonts w:hint="eastAsia" w:ascii="Times New Roman" w:hAnsi="Times New Roman" w:cs="Times New Roman"/>
                <w:color w:val="auto"/>
                <w:sz w:val="21"/>
                <w:szCs w:val="21"/>
                <w:highlight w:val="none"/>
                <w:lang w:eastAsia="zh-CN"/>
              </w:rPr>
              <w:t>。</w:t>
            </w:r>
            <w:r>
              <w:rPr>
                <w:rFonts w:hint="eastAsia"/>
                <w:color w:val="auto"/>
                <w:highlight w:val="none"/>
                <w:lang w:val="en-US" w:eastAsia="zh-CN"/>
              </w:rPr>
              <w:t>3台10t/h生物质蒸汽锅炉</w:t>
            </w:r>
            <w:r>
              <w:rPr>
                <w:rFonts w:hint="default" w:ascii="Times New Roman" w:hAnsi="Times New Roman" w:eastAsia="宋体" w:cs="Times New Roman"/>
                <w:color w:val="auto"/>
                <w:szCs w:val="21"/>
                <w:highlight w:val="none"/>
              </w:rPr>
              <w:t>烟气</w:t>
            </w:r>
            <w:r>
              <w:rPr>
                <w:rFonts w:hint="eastAsia" w:cs="Times New Roman"/>
                <w:color w:val="auto"/>
                <w:szCs w:val="21"/>
                <w:highlight w:val="none"/>
                <w:lang w:val="en-US" w:eastAsia="zh-CN"/>
              </w:rPr>
              <w:t>分别</w:t>
            </w:r>
            <w:r>
              <w:rPr>
                <w:rFonts w:hint="default" w:ascii="Times New Roman" w:hAnsi="Times New Roman" w:eastAsia="宋体" w:cs="Times New Roman"/>
                <w:color w:val="auto"/>
                <w:szCs w:val="21"/>
                <w:highlight w:val="none"/>
              </w:rPr>
              <w:t>经</w:t>
            </w:r>
            <w:r>
              <w:rPr>
                <w:rFonts w:hint="eastAsia" w:cs="Times New Roman"/>
                <w:color w:val="auto"/>
                <w:szCs w:val="21"/>
                <w:highlight w:val="none"/>
                <w:lang w:val="en-US" w:eastAsia="zh-CN"/>
              </w:rPr>
              <w:t>各自配备的多管陶瓷</w:t>
            </w:r>
            <w:r>
              <w:rPr>
                <w:rFonts w:hint="default"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rPr>
              <w:t>布袋除尘器（除尘效率为99.</w:t>
            </w:r>
            <w:r>
              <w:rPr>
                <w:rFonts w:hint="default" w:ascii="Times New Roman" w:hAnsi="Times New Roman" w:eastAsia="宋体" w:cs="Times New Roman"/>
                <w:color w:val="auto"/>
                <w:szCs w:val="21"/>
                <w:highlight w:val="none"/>
                <w:lang w:val="en-US" w:eastAsia="zh-CN"/>
              </w:rPr>
              <w:t>7%</w:t>
            </w:r>
            <w:r>
              <w:rPr>
                <w:rFonts w:hint="default" w:ascii="Times New Roman" w:hAnsi="Times New Roman" w:eastAsia="宋体" w:cs="Times New Roman"/>
                <w:color w:val="auto"/>
                <w:szCs w:val="21"/>
                <w:highlight w:val="none"/>
              </w:rPr>
              <w:t>）处理后，由</w:t>
            </w:r>
            <w:r>
              <w:rPr>
                <w:rFonts w:hint="eastAsia" w:cs="Times New Roman"/>
                <w:color w:val="auto"/>
                <w:szCs w:val="21"/>
                <w:highlight w:val="none"/>
                <w:lang w:val="en-US" w:eastAsia="zh-CN"/>
              </w:rPr>
              <w:t>1根</w:t>
            </w:r>
            <w:r>
              <w:rPr>
                <w:rFonts w:hint="eastAsia"/>
                <w:color w:val="auto"/>
                <w:sz w:val="21"/>
                <w:highlight w:val="none"/>
                <w:lang w:val="en-US" w:eastAsia="zh-CN"/>
              </w:rPr>
              <w:t>60m烟囱（</w:t>
            </w:r>
            <w:r>
              <w:rPr>
                <w:rFonts w:hint="eastAsia"/>
                <w:color w:val="auto"/>
                <w:highlight w:val="none"/>
                <w:lang w:val="en-US" w:eastAsia="zh-CN"/>
              </w:rPr>
              <w:t>DA001</w:t>
            </w:r>
            <w:r>
              <w:rPr>
                <w:rFonts w:hint="eastAsia"/>
                <w:color w:val="auto"/>
                <w:sz w:val="21"/>
                <w:highlight w:val="none"/>
                <w:lang w:val="en-US" w:eastAsia="zh-CN"/>
              </w:rPr>
              <w:t>）</w:t>
            </w:r>
            <w:r>
              <w:rPr>
                <w:rFonts w:hint="eastAsia"/>
                <w:color w:val="auto"/>
                <w:highlight w:val="none"/>
                <w:lang w:val="en-US" w:eastAsia="zh-CN"/>
              </w:rPr>
              <w:t>排放。</w:t>
            </w:r>
          </w:p>
          <w:p w14:paraId="3AAA044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rPr>
              <w:t>根据《污染源源强核算技术指南 锅炉》（HJ991-2018）及《排污许可证申请与核发技术规范 锅炉》（HJ953-2018）排放量计算过程如下</w:t>
            </w:r>
            <w:r>
              <w:rPr>
                <w:rFonts w:hint="default" w:ascii="Times New Roman" w:hAnsi="Times New Roman" w:eastAsia="宋体" w:cs="Times New Roman"/>
                <w:color w:val="auto"/>
                <w:sz w:val="21"/>
                <w:szCs w:val="21"/>
                <w:highlight w:val="none"/>
              </w:rPr>
              <w:t>：</w:t>
            </w:r>
          </w:p>
          <w:p w14:paraId="42FC71F1">
            <w:pPr>
              <w:pStyle w:val="76"/>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snapToGrid w:val="0"/>
                <w:color w:val="auto"/>
                <w:sz w:val="21"/>
                <w:szCs w:val="21"/>
                <w:highlight w:val="none"/>
              </w:rPr>
              <w:t>烟气</w:t>
            </w:r>
            <w:r>
              <w:rPr>
                <w:rFonts w:hint="default" w:ascii="Times New Roman" w:hAnsi="Times New Roman" w:eastAsia="宋体" w:cs="Times New Roman"/>
                <w:color w:val="auto"/>
                <w:sz w:val="21"/>
                <w:szCs w:val="21"/>
                <w:highlight w:val="none"/>
              </w:rPr>
              <w:t>排放量</w:t>
            </w:r>
            <w:r>
              <w:rPr>
                <w:rFonts w:hint="default" w:ascii="Times New Roman" w:hAnsi="Times New Roman" w:eastAsia="宋体" w:cs="Times New Roman"/>
                <w:snapToGrid w:val="0"/>
                <w:color w:val="auto"/>
                <w:sz w:val="21"/>
                <w:szCs w:val="21"/>
                <w:highlight w:val="none"/>
              </w:rPr>
              <w:t>：</w:t>
            </w:r>
          </w:p>
          <w:p w14:paraId="4BA6CE35">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20" w:firstLineChars="200"/>
              <w:jc w:val="both"/>
              <w:textAlignment w:val="auto"/>
              <w:outlineLvl w:val="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本项目Q</w:t>
            </w:r>
            <w:r>
              <w:rPr>
                <w:rFonts w:hint="default" w:ascii="Times New Roman" w:hAnsi="Times New Roman" w:eastAsia="宋体" w:cs="Times New Roman"/>
                <w:color w:val="auto"/>
                <w:sz w:val="21"/>
                <w:szCs w:val="21"/>
                <w:highlight w:val="none"/>
                <w:vertAlign w:val="subscript"/>
              </w:rPr>
              <w:t>net,ar</w:t>
            </w:r>
            <w:r>
              <w:rPr>
                <w:rFonts w:hint="default" w:ascii="Times New Roman" w:hAnsi="Times New Roman" w:eastAsia="宋体" w:cs="Times New Roman"/>
                <w:color w:val="auto"/>
                <w:sz w:val="21"/>
                <w:szCs w:val="21"/>
                <w:highlight w:val="none"/>
              </w:rPr>
              <w:t>（收到基低位发热量）为</w:t>
            </w:r>
            <w:r>
              <w:rPr>
                <w:rFonts w:hint="eastAsia" w:ascii="Times New Roman" w:hAnsi="Times New Roman" w:eastAsia="宋体" w:cs="Times New Roman"/>
                <w:color w:val="auto"/>
                <w:sz w:val="21"/>
                <w:szCs w:val="21"/>
                <w:highlight w:val="none"/>
                <w:lang w:val="en-US" w:eastAsia="zh-CN"/>
              </w:rPr>
              <w:t>16.77</w:t>
            </w:r>
            <w:r>
              <w:rPr>
                <w:rFonts w:hint="default" w:ascii="Times New Roman" w:hAnsi="Times New Roman" w:cs="Times New Roman"/>
                <w:color w:val="auto"/>
                <w:sz w:val="21"/>
                <w:szCs w:val="21"/>
                <w:highlight w:val="none"/>
                <w:lang w:val="en-US" w:eastAsia="zh-CN"/>
              </w:rPr>
              <w:t>MJ/kg</w:t>
            </w:r>
            <w:r>
              <w:rPr>
                <w:rFonts w:hint="default" w:ascii="Times New Roman" w:hAnsi="Times New Roman" w:eastAsia="宋体" w:cs="Times New Roman"/>
                <w:color w:val="auto"/>
                <w:sz w:val="21"/>
                <w:szCs w:val="21"/>
                <w:highlight w:val="none"/>
              </w:rPr>
              <w:t>，则基准烟气量经验公式可定为V</w:t>
            </w:r>
            <w:r>
              <w:rPr>
                <w:rFonts w:hint="default" w:ascii="Times New Roman" w:hAnsi="Times New Roman" w:eastAsia="宋体" w:cs="Times New Roman"/>
                <w:color w:val="auto"/>
                <w:sz w:val="21"/>
                <w:szCs w:val="21"/>
                <w:highlight w:val="none"/>
                <w:vertAlign w:val="subscript"/>
              </w:rPr>
              <w:t>gy</w:t>
            </w:r>
            <w:r>
              <w:rPr>
                <w:rFonts w:hint="default" w:ascii="Times New Roman" w:hAnsi="Times New Roman" w:eastAsia="宋体" w:cs="Times New Roman"/>
                <w:color w:val="auto"/>
                <w:sz w:val="21"/>
                <w:szCs w:val="21"/>
                <w:highlight w:val="none"/>
              </w:rPr>
              <w:t>=0.393Qnet.ar+0.876。</w:t>
            </w:r>
          </w:p>
          <w:p w14:paraId="077BB123">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则本项目的基准烟气量为Vgy=（0.393×</w:t>
            </w:r>
            <w:r>
              <w:rPr>
                <w:rFonts w:hint="eastAsia" w:ascii="Times New Roman" w:hAnsi="Times New Roman" w:eastAsia="宋体" w:cs="Times New Roman"/>
                <w:color w:val="auto"/>
                <w:sz w:val="21"/>
                <w:szCs w:val="21"/>
                <w:highlight w:val="none"/>
                <w:lang w:val="en-US" w:eastAsia="zh-CN"/>
              </w:rPr>
              <w:t>16.77</w:t>
            </w:r>
            <w:r>
              <w:rPr>
                <w:rFonts w:hint="default" w:ascii="Times New Roman" w:hAnsi="Times New Roman" w:eastAsia="宋体" w:cs="Times New Roman"/>
                <w:color w:val="auto"/>
                <w:sz w:val="21"/>
                <w:szCs w:val="21"/>
                <w:highlight w:val="none"/>
              </w:rPr>
              <w:t>+0.876）=</w:t>
            </w:r>
            <w:r>
              <w:rPr>
                <w:rFonts w:hint="eastAsia" w:ascii="Times New Roman" w:hAnsi="Times New Roman" w:eastAsia="宋体" w:cs="Times New Roman"/>
                <w:color w:val="auto"/>
                <w:sz w:val="21"/>
                <w:szCs w:val="21"/>
                <w:highlight w:val="none"/>
                <w:lang w:val="en-US" w:eastAsia="zh-CN"/>
              </w:rPr>
              <w:t>7.467</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/kg</w:t>
            </w:r>
          </w:p>
          <w:p w14:paraId="4838B206">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则</w:t>
            </w:r>
            <w:r>
              <w:rPr>
                <w:rFonts w:hint="eastAsia" w:cs="Times New Roman"/>
                <w:color w:val="auto"/>
                <w:sz w:val="21"/>
                <w:szCs w:val="21"/>
                <w:highlight w:val="none"/>
                <w:lang w:val="en-US" w:eastAsia="zh-CN"/>
              </w:rPr>
              <w:t>DA001</w:t>
            </w:r>
            <w:r>
              <w:rPr>
                <w:rFonts w:hint="eastAsia" w:ascii="Times New Roman" w:hAnsi="Times New Roman" w:eastAsia="宋体" w:cs="Times New Roman"/>
                <w:b w:val="0"/>
                <w:bCs w:val="0"/>
                <w:color w:val="auto"/>
                <w:sz w:val="21"/>
                <w:szCs w:val="21"/>
                <w:highlight w:val="none"/>
                <w:lang w:val="en-US" w:eastAsia="zh-CN"/>
              </w:rPr>
              <w:t>烟气量为：</w:t>
            </w:r>
          </w:p>
          <w:p w14:paraId="329C1709">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eastAsia="宋体"/>
                <w:b w:val="0"/>
                <w:bCs w:val="0"/>
                <w:color w:val="auto"/>
                <w:kern w:val="0"/>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7.467</w:t>
            </w:r>
            <w:r>
              <w:rPr>
                <w:rFonts w:hint="default" w:ascii="Times New Roman" w:hAnsi="Times New Roman" w:eastAsia="宋体" w:cs="Times New Roman"/>
                <w:b w:val="0"/>
                <w:bCs w:val="0"/>
                <w:color w:val="auto"/>
                <w:sz w:val="21"/>
                <w:szCs w:val="21"/>
                <w:highlight w:val="none"/>
              </w:rPr>
              <w:t>×</w:t>
            </w:r>
            <w:r>
              <w:rPr>
                <w:rFonts w:hint="eastAsia" w:cs="Times New Roman"/>
                <w:color w:val="auto"/>
                <w:sz w:val="21"/>
                <w:szCs w:val="21"/>
                <w:highlight w:val="none"/>
                <w:lang w:val="en-US" w:eastAsia="zh-CN"/>
              </w:rPr>
              <w:t>25137.15</w:t>
            </w:r>
            <w:r>
              <w:rPr>
                <w:rFonts w:hint="default" w:ascii="Times New Roman" w:hAnsi="Times New Roman" w:eastAsia="宋体" w:cs="Times New Roman"/>
                <w:b w:val="0"/>
                <w:bCs w:val="0"/>
                <w:color w:val="auto"/>
                <w:sz w:val="21"/>
                <w:szCs w:val="21"/>
                <w:highlight w:val="none"/>
              </w:rPr>
              <w:t>×10</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r>
              <w:rPr>
                <w:rFonts w:hint="eastAsia" w:cs="Times New Roman"/>
                <w:b w:val="0"/>
                <w:bCs w:val="0"/>
                <w:color w:val="auto"/>
                <w:sz w:val="21"/>
                <w:szCs w:val="21"/>
                <w:highlight w:val="none"/>
                <w:lang w:val="en-US" w:eastAsia="zh-CN"/>
              </w:rPr>
              <w:t>1.88</w:t>
            </w:r>
            <w:r>
              <w:rPr>
                <w:rFonts w:hint="default" w:ascii="Times New Roman" w:hAnsi="Times New Roman" w:eastAsia="宋体" w:cs="Times New Roman"/>
                <w:b w:val="0"/>
                <w:bCs w:val="0"/>
                <w:color w:val="auto"/>
                <w:sz w:val="21"/>
                <w:szCs w:val="21"/>
                <w:highlight w:val="none"/>
              </w:rPr>
              <w:t>×10</w:t>
            </w:r>
            <w:r>
              <w:rPr>
                <w:rFonts w:hint="eastAsia" w:cs="Times New Roman"/>
                <w:b w:val="0"/>
                <w:bCs w:val="0"/>
                <w:color w:val="auto"/>
                <w:sz w:val="21"/>
                <w:szCs w:val="21"/>
                <w:highlight w:val="none"/>
                <w:vertAlign w:val="superscript"/>
                <w:lang w:val="en-US" w:eastAsia="zh-CN"/>
              </w:rPr>
              <w:t>8</w:t>
            </w:r>
            <w:r>
              <w:rPr>
                <w:rFonts w:hint="default" w:ascii="Times New Roman" w:hAnsi="Times New Roman" w:eastAsia="宋体" w:cs="Times New Roman"/>
                <w:b w:val="0"/>
                <w:bCs w:val="0"/>
                <w:color w:val="auto"/>
                <w:sz w:val="21"/>
                <w:szCs w:val="21"/>
                <w:highlight w:val="none"/>
              </w:rPr>
              <w:t>Nm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/a</w:t>
            </w:r>
            <w:r>
              <w:rPr>
                <w:rFonts w:hint="eastAsia" w:ascii="Times New Roman" w:hAnsi="Times New Roman" w:eastAsia="宋体" w:cs="Times New Roman"/>
                <w:b w:val="0"/>
                <w:bCs w:val="0"/>
                <w:color w:val="auto"/>
                <w:sz w:val="21"/>
                <w:szCs w:val="21"/>
                <w:highlight w:val="none"/>
                <w:lang w:eastAsia="zh-CN"/>
              </w:rPr>
              <w:t>；</w:t>
            </w:r>
          </w:p>
          <w:p w14:paraId="11BB9A8F">
            <w:pPr>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②颗粒物（烟尘）排放量</w:t>
            </w:r>
          </w:p>
          <w:p w14:paraId="097F968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56"/>
                <w:sz w:val="21"/>
                <w:szCs w:val="21"/>
                <w:highlight w:val="none"/>
              </w:rPr>
              <w:object>
                <v:shape id="_x0000_i1028" o:spt="75" type="#_x0000_t75" style="height:43.8pt;width:149.25pt;" o:ole="t" filled="f" o:preferrelative="t" stroked="f" coordsize="21600,21600">
                  <v:path/>
                  <v:fill on="f" focussize="0,0"/>
                  <v:stroke on="f"/>
                  <v:imagedata r:id="rId20" o:title=""/>
                  <o:lock v:ext="edit" aspectratio="t"/>
                  <w10:wrap type="none"/>
                  <w10:anchorlock/>
                </v:shape>
                <o:OLEObject Type="Embed" ProgID="Equations" ShapeID="_x0000_i1028" DrawAspect="Content" ObjectID="_1468075728" r:id="rId19">
                  <o:LockedField>false</o:LockedField>
                </o:OLEObject>
              </w:object>
            </w:r>
          </w:p>
          <w:p w14:paraId="7EA3A777">
            <w:pPr>
              <w:pStyle w:val="34"/>
              <w:keepNext w:val="0"/>
              <w:keepLines w:val="0"/>
              <w:pageBreakBefore w:val="0"/>
              <w:widowControl/>
              <w:suppressLineNumbers w:val="0"/>
              <w:kinsoku/>
              <w:wordWrap/>
              <w:overflowPunct/>
              <w:topLinePunct w:val="0"/>
              <w:bidi w:val="0"/>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w:t>
            </w:r>
            <w:r>
              <w:rPr>
                <w:rFonts w:hint="default" w:ascii="Times New Roman" w:hAnsi="Times New Roman" w:eastAsia="宋体" w:cs="Times New Roman"/>
                <w:color w:val="auto"/>
                <w:sz w:val="21"/>
                <w:szCs w:val="21"/>
                <w:highlight w:val="none"/>
                <w:vertAlign w:val="subscript"/>
              </w:rPr>
              <w:t>A</w:t>
            </w:r>
            <w:r>
              <w:rPr>
                <w:rFonts w:hint="default" w:ascii="Times New Roman" w:hAnsi="Times New Roman" w:eastAsia="宋体" w:cs="Times New Roman"/>
                <w:color w:val="auto"/>
                <w:sz w:val="21"/>
                <w:szCs w:val="21"/>
                <w:highlight w:val="none"/>
              </w:rPr>
              <w:t>----核算时段内颗粒物（烟尘）排放量，t；</w:t>
            </w:r>
          </w:p>
          <w:p w14:paraId="578368F7">
            <w:pPr>
              <w:pStyle w:val="34"/>
              <w:keepNext w:val="0"/>
              <w:keepLines w:val="0"/>
              <w:pageBreakBefore w:val="0"/>
              <w:widowControl/>
              <w:suppressLineNumbers w:val="0"/>
              <w:kinsoku/>
              <w:wordWrap/>
              <w:overflowPunct/>
              <w:topLinePunct w:val="0"/>
              <w:bidi w:val="0"/>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R----核算时段内锅炉燃料耗量，</w:t>
            </w:r>
            <w:r>
              <w:rPr>
                <w:rFonts w:hint="eastAsia" w:cs="Times New Roman"/>
                <w:color w:val="auto"/>
                <w:sz w:val="21"/>
                <w:szCs w:val="21"/>
                <w:highlight w:val="none"/>
                <w:lang w:val="en-US" w:eastAsia="zh-CN"/>
              </w:rPr>
              <w:t>t</w:t>
            </w:r>
            <w:r>
              <w:rPr>
                <w:rFonts w:hint="eastAsia" w:ascii="Times New Roman" w:hAnsi="Times New Roman" w:eastAsia="宋体" w:cs="Times New Roman"/>
                <w:color w:val="auto"/>
                <w:sz w:val="21"/>
                <w:szCs w:val="21"/>
                <w:highlight w:val="none"/>
                <w:lang w:eastAsia="zh-CN"/>
              </w:rPr>
              <w:t>；</w:t>
            </w:r>
          </w:p>
          <w:p w14:paraId="1D34A548">
            <w:pPr>
              <w:pStyle w:val="34"/>
              <w:keepNext w:val="0"/>
              <w:keepLines w:val="0"/>
              <w:pageBreakBefore w:val="0"/>
              <w:widowControl/>
              <w:suppressLineNumbers w:val="0"/>
              <w:kinsoku/>
              <w:wordWrap/>
              <w:overflowPunct/>
              <w:topLinePunct w:val="0"/>
              <w:bidi w:val="0"/>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vertAlign w:val="subscript"/>
              </w:rPr>
              <w:t>ar</w:t>
            </w:r>
            <w:r>
              <w:rPr>
                <w:rFonts w:hint="default" w:ascii="Times New Roman" w:hAnsi="Times New Roman" w:eastAsia="宋体" w:cs="Times New Roman"/>
                <w:color w:val="auto"/>
                <w:sz w:val="21"/>
                <w:szCs w:val="21"/>
                <w:highlight w:val="none"/>
              </w:rPr>
              <w:t>----收到基灰分的质量分数，%；取</w:t>
            </w:r>
            <w:r>
              <w:rPr>
                <w:rFonts w:hint="eastAsia" w:cs="Times New Roman"/>
                <w:color w:val="auto"/>
                <w:sz w:val="21"/>
                <w:szCs w:val="21"/>
                <w:highlight w:val="none"/>
                <w:lang w:val="en-US" w:eastAsia="zh-CN"/>
              </w:rPr>
              <w:t>6.56</w:t>
            </w:r>
            <w:r>
              <w:rPr>
                <w:rFonts w:hint="default" w:ascii="Times New Roman" w:hAnsi="Times New Roman" w:eastAsia="宋体" w:cs="Times New Roman"/>
                <w:color w:val="auto"/>
                <w:sz w:val="21"/>
                <w:szCs w:val="21"/>
                <w:highlight w:val="none"/>
              </w:rPr>
              <w:t>%。（根据生物质成分分析报告换算得出：A</w:t>
            </w:r>
            <w:r>
              <w:rPr>
                <w:rFonts w:hint="default" w:ascii="Times New Roman" w:hAnsi="Times New Roman" w:eastAsia="宋体" w:cs="Times New Roman"/>
                <w:color w:val="auto"/>
                <w:sz w:val="21"/>
                <w:szCs w:val="21"/>
                <w:highlight w:val="none"/>
                <w:vertAlign w:val="subscript"/>
              </w:rPr>
              <w:t>ar</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vertAlign w:val="subscript"/>
              </w:rPr>
              <w:t>ad</w:t>
            </w:r>
            <w:r>
              <w:rPr>
                <w:rFonts w:hint="default" w:ascii="Times New Roman" w:hAnsi="Times New Roman" w:eastAsia="宋体" w:cs="Times New Roman"/>
                <w:color w:val="auto"/>
                <w:sz w:val="21"/>
                <w:szCs w:val="21"/>
                <w:highlight w:val="none"/>
              </w:rPr>
              <w:t>×(1-M</w:t>
            </w:r>
            <w:r>
              <w:rPr>
                <w:rFonts w:hint="default" w:ascii="Times New Roman" w:hAnsi="Times New Roman" w:eastAsia="宋体" w:cs="Times New Roman"/>
                <w:color w:val="auto"/>
                <w:sz w:val="21"/>
                <w:szCs w:val="21"/>
                <w:highlight w:val="none"/>
                <w:vertAlign w:val="subscript"/>
              </w:rPr>
              <w:t>t,ar</w:t>
            </w:r>
            <w:r>
              <w:rPr>
                <w:rFonts w:hint="default" w:ascii="Times New Roman" w:hAnsi="Times New Roman" w:eastAsia="宋体" w:cs="Times New Roman"/>
                <w:color w:val="auto"/>
                <w:sz w:val="21"/>
                <w:szCs w:val="21"/>
                <w:highlight w:val="none"/>
              </w:rPr>
              <w:t>)/(1-M</w:t>
            </w:r>
            <w:r>
              <w:rPr>
                <w:rFonts w:hint="default" w:ascii="Times New Roman" w:hAnsi="Times New Roman" w:eastAsia="宋体" w:cs="Times New Roman"/>
                <w:color w:val="auto"/>
                <w:sz w:val="21"/>
                <w:szCs w:val="21"/>
                <w:highlight w:val="none"/>
                <w:vertAlign w:val="subscript"/>
              </w:rPr>
              <w:t>ad</w:t>
            </w:r>
            <w:r>
              <w:rPr>
                <w:rFonts w:hint="default" w:ascii="Times New Roman" w:hAnsi="Times New Roman" w:eastAsia="宋体" w:cs="Times New Roman"/>
                <w:color w:val="auto"/>
                <w:sz w:val="21"/>
                <w:szCs w:val="21"/>
                <w:highlight w:val="none"/>
              </w:rPr>
              <w:t>)）；</w:t>
            </w:r>
          </w:p>
          <w:p w14:paraId="43B6CA35">
            <w:pPr>
              <w:pStyle w:val="34"/>
              <w:keepNext w:val="0"/>
              <w:keepLines w:val="0"/>
              <w:pageBreakBefore w:val="0"/>
              <w:widowControl/>
              <w:suppressLineNumbers w:val="0"/>
              <w:kinsoku/>
              <w:wordWrap/>
              <w:overflowPunct/>
              <w:topLinePunct w:val="0"/>
              <w:bidi w:val="0"/>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----锅炉烟气带出的灰分份额，%；取50%。（</w:t>
            </w:r>
            <w:r>
              <w:rPr>
                <w:rFonts w:hint="eastAsia" w:cs="Times New Roman"/>
                <w:color w:val="auto"/>
                <w:sz w:val="21"/>
                <w:szCs w:val="21"/>
                <w:highlight w:val="none"/>
                <w:lang w:val="en-US" w:eastAsia="zh-CN"/>
              </w:rPr>
              <w:t>链条</w:t>
            </w:r>
            <w:r>
              <w:rPr>
                <w:rFonts w:hint="default" w:ascii="Times New Roman" w:hAnsi="Times New Roman" w:eastAsia="宋体" w:cs="Times New Roman"/>
                <w:color w:val="auto"/>
                <w:sz w:val="21"/>
                <w:szCs w:val="21"/>
                <w:highlight w:val="none"/>
              </w:rPr>
              <w:t>炉排炉灰分份额为1</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20%，本项目取20%，燃生物质时飞灰份额加30%，则最终灰分份额取50%）；</w:t>
            </w:r>
          </w:p>
          <w:p w14:paraId="1AD3D420">
            <w:pPr>
              <w:pStyle w:val="34"/>
              <w:keepNext w:val="0"/>
              <w:keepLines w:val="0"/>
              <w:pageBreakBefore w:val="0"/>
              <w:widowControl/>
              <w:suppressLineNumbers w:val="0"/>
              <w:kinsoku/>
              <w:wordWrap/>
              <w:overflowPunct/>
              <w:topLinePunct w:val="0"/>
              <w:bidi w:val="0"/>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ƞ</w:t>
            </w:r>
            <w:r>
              <w:rPr>
                <w:rFonts w:hint="default" w:ascii="Times New Roman" w:hAnsi="Times New Roman" w:eastAsia="宋体" w:cs="Times New Roman"/>
                <w:color w:val="auto"/>
                <w:sz w:val="21"/>
                <w:szCs w:val="21"/>
                <w:highlight w:val="none"/>
                <w:vertAlign w:val="subscript"/>
              </w:rPr>
              <w:t>c</w:t>
            </w:r>
            <w:r>
              <w:rPr>
                <w:rFonts w:hint="default" w:ascii="Times New Roman" w:hAnsi="Times New Roman" w:eastAsia="宋体" w:cs="Times New Roman"/>
                <w:color w:val="auto"/>
                <w:sz w:val="21"/>
                <w:szCs w:val="21"/>
                <w:highlight w:val="none"/>
              </w:rPr>
              <w:t>----综合除尘效率，%；取99</w:t>
            </w: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w:t>
            </w:r>
          </w:p>
          <w:p w14:paraId="2DED58BC">
            <w:pPr>
              <w:pStyle w:val="34"/>
              <w:keepNext w:val="0"/>
              <w:keepLines w:val="0"/>
              <w:pageBreakBefore w:val="0"/>
              <w:widowControl/>
              <w:suppressLineNumbers w:val="0"/>
              <w:kinsoku/>
              <w:wordWrap/>
              <w:overflowPunct/>
              <w:topLinePunct w:val="0"/>
              <w:bidi w:val="0"/>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----飞灰中可燃物含量，%。取1</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w:t>
            </w:r>
            <w:r>
              <w:rPr>
                <w:rFonts w:hint="default"/>
                <w:color w:val="auto"/>
                <w:sz w:val="21"/>
                <w:szCs w:val="21"/>
                <w:highlight w:val="none"/>
              </w:rPr>
              <w:t>（根据</w:t>
            </w:r>
            <w:r>
              <w:rPr>
                <w:rFonts w:hint="eastAsia"/>
                <w:color w:val="auto"/>
                <w:sz w:val="21"/>
                <w:szCs w:val="21"/>
                <w:highlight w:val="none"/>
              </w:rPr>
              <w:t>燃煤工业锅炉运行灰渣可燃物含量规定值</w:t>
            </w:r>
            <w:r>
              <w:rPr>
                <w:rFonts w:hint="default"/>
                <w:color w:val="auto"/>
                <w:sz w:val="21"/>
                <w:szCs w:val="21"/>
                <w:highlight w:val="none"/>
              </w:rPr>
              <w:t>，</w:t>
            </w:r>
            <w:r>
              <w:rPr>
                <w:rFonts w:hint="eastAsia"/>
                <w:color w:val="auto"/>
                <w:sz w:val="21"/>
                <w:szCs w:val="21"/>
                <w:highlight w:val="none"/>
                <w:lang w:val="en-US" w:eastAsia="zh-CN"/>
              </w:rPr>
              <w:t>10t/h生物质锅炉</w:t>
            </w:r>
            <w:r>
              <w:rPr>
                <w:rFonts w:hint="default"/>
                <w:color w:val="auto"/>
                <w:sz w:val="21"/>
                <w:szCs w:val="21"/>
                <w:highlight w:val="none"/>
              </w:rPr>
              <w:t>取1</w:t>
            </w:r>
            <w:r>
              <w:rPr>
                <w:rFonts w:hint="eastAsia"/>
                <w:color w:val="auto"/>
                <w:sz w:val="21"/>
                <w:szCs w:val="21"/>
                <w:highlight w:val="none"/>
                <w:lang w:val="en-US" w:eastAsia="zh-CN"/>
              </w:rPr>
              <w:t>3</w:t>
            </w:r>
            <w:r>
              <w:rPr>
                <w:rFonts w:hint="default"/>
                <w:color w:val="auto"/>
                <w:sz w:val="21"/>
                <w:szCs w:val="21"/>
                <w:highlight w:val="none"/>
              </w:rPr>
              <w:t>%</w:t>
            </w:r>
            <w:r>
              <w:rPr>
                <w:rFonts w:hint="default" w:ascii="Times New Roman" w:hAnsi="Times New Roman" w:eastAsia="宋体" w:cs="Times New Roman"/>
                <w:color w:val="auto"/>
                <w:sz w:val="21"/>
                <w:szCs w:val="21"/>
                <w:highlight w:val="none"/>
              </w:rPr>
              <w:t>）。</w:t>
            </w:r>
          </w:p>
          <w:p w14:paraId="2B27005E">
            <w:pPr>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③二氧化硫排放量</w:t>
            </w:r>
          </w:p>
          <w:p w14:paraId="1407719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object>
                <v:shape id="_x0000_i1029" o:spt="75" type="#_x0000_t75" style="height:33pt;width:204pt;" o:ole="t" filled="f" o:preferrelative="t" stroked="f" coordsize="21600,21600">
                  <v:path/>
                  <v:fill on="f" focussize="0,0"/>
                  <v:stroke on="f"/>
                  <v:imagedata r:id="rId22" o:title=""/>
                  <o:lock v:ext="edit" aspectratio="t"/>
                  <w10:wrap type="none"/>
                  <w10:anchorlock/>
                </v:shape>
                <o:OLEObject Type="Embed" ProgID="Equations" ShapeID="_x0000_i1029" DrawAspect="Content" ObjectID="_1468075729" r:id="rId21">
                  <o:LockedField>false</o:LockedField>
                </o:OLEObject>
              </w:object>
            </w:r>
          </w:p>
          <w:p w14:paraId="39F9582E">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式中：E</w:t>
            </w:r>
            <w:r>
              <w:rPr>
                <w:rFonts w:hint="default" w:ascii="Times New Roman" w:hAnsi="Times New Roman" w:eastAsia="宋体" w:cs="Times New Roman"/>
                <w:color w:val="auto"/>
                <w:position w:val="0"/>
                <w:sz w:val="21"/>
                <w:szCs w:val="21"/>
                <w:highlight w:val="none"/>
                <w:vertAlign w:val="subscript"/>
              </w:rPr>
              <w:t>SO2</w:t>
            </w:r>
            <w:r>
              <w:rPr>
                <w:rFonts w:hint="default" w:ascii="Times New Roman" w:hAnsi="Times New Roman" w:eastAsia="宋体" w:cs="Times New Roman"/>
                <w:color w:val="auto"/>
                <w:position w:val="0"/>
                <w:sz w:val="21"/>
                <w:szCs w:val="21"/>
                <w:highlight w:val="none"/>
              </w:rPr>
              <w:t>----核算时段内二氧化硫排放量，t；</w:t>
            </w:r>
          </w:p>
          <w:p w14:paraId="6A42D3CE">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R----核算时段内锅炉燃料耗量</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position w:val="0"/>
                <w:sz w:val="21"/>
                <w:szCs w:val="21"/>
                <w:highlight w:val="none"/>
              </w:rPr>
              <w:t>t；</w:t>
            </w:r>
          </w:p>
          <w:p w14:paraId="30F37859">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S</w:t>
            </w:r>
            <w:r>
              <w:rPr>
                <w:rFonts w:hint="default" w:ascii="Times New Roman" w:hAnsi="Times New Roman" w:eastAsia="宋体" w:cs="Times New Roman"/>
                <w:color w:val="auto"/>
                <w:position w:val="0"/>
                <w:sz w:val="21"/>
                <w:szCs w:val="21"/>
                <w:highlight w:val="none"/>
                <w:vertAlign w:val="subscript"/>
              </w:rPr>
              <w:t>ar</w:t>
            </w:r>
            <w:r>
              <w:rPr>
                <w:rFonts w:hint="default" w:ascii="Times New Roman" w:hAnsi="Times New Roman" w:eastAsia="宋体" w:cs="Times New Roman"/>
                <w:color w:val="auto"/>
                <w:position w:val="0"/>
                <w:sz w:val="21"/>
                <w:szCs w:val="21"/>
                <w:highlight w:val="none"/>
              </w:rPr>
              <w:t>----收到基硫的质量分数，0.0</w:t>
            </w:r>
            <w:r>
              <w:rPr>
                <w:rFonts w:hint="eastAsia" w:ascii="Times New Roman" w:hAnsi="Times New Roman" w:eastAsia="宋体" w:cs="Times New Roman"/>
                <w:color w:val="auto"/>
                <w:position w:val="0"/>
                <w:sz w:val="21"/>
                <w:szCs w:val="21"/>
                <w:highlight w:val="none"/>
                <w:lang w:val="en-US" w:eastAsia="zh-CN"/>
              </w:rPr>
              <w:t>2</w:t>
            </w:r>
            <w:r>
              <w:rPr>
                <w:rFonts w:hint="default" w:ascii="Times New Roman" w:hAnsi="Times New Roman" w:eastAsia="宋体" w:cs="Times New Roman"/>
                <w:color w:val="auto"/>
                <w:position w:val="0"/>
                <w:sz w:val="21"/>
                <w:szCs w:val="21"/>
                <w:highlight w:val="none"/>
              </w:rPr>
              <w:t>%，（根据生物质成分分析报告换算得出：S</w:t>
            </w:r>
            <w:r>
              <w:rPr>
                <w:rFonts w:hint="default" w:ascii="Times New Roman" w:hAnsi="Times New Roman" w:eastAsia="宋体" w:cs="Times New Roman"/>
                <w:color w:val="auto"/>
                <w:position w:val="0"/>
                <w:sz w:val="21"/>
                <w:szCs w:val="21"/>
                <w:highlight w:val="none"/>
                <w:vertAlign w:val="subscript"/>
              </w:rPr>
              <w:t>ar</w:t>
            </w:r>
            <w:r>
              <w:rPr>
                <w:rFonts w:hint="default" w:ascii="Times New Roman" w:hAnsi="Times New Roman" w:eastAsia="宋体" w:cs="Times New Roman"/>
                <w:color w:val="auto"/>
                <w:position w:val="0"/>
                <w:sz w:val="21"/>
                <w:szCs w:val="21"/>
                <w:highlight w:val="none"/>
              </w:rPr>
              <w:t xml:space="preserve"> =S</w:t>
            </w:r>
            <w:r>
              <w:rPr>
                <w:rFonts w:hint="default" w:ascii="Times New Roman" w:hAnsi="Times New Roman" w:eastAsia="宋体" w:cs="Times New Roman"/>
                <w:color w:val="auto"/>
                <w:position w:val="0"/>
                <w:sz w:val="21"/>
                <w:szCs w:val="21"/>
                <w:highlight w:val="none"/>
                <w:vertAlign w:val="subscript"/>
              </w:rPr>
              <w:t>ad</w:t>
            </w:r>
            <w:r>
              <w:rPr>
                <w:rFonts w:hint="default" w:ascii="Times New Roman" w:hAnsi="Times New Roman" w:eastAsia="宋体" w:cs="Times New Roman"/>
                <w:color w:val="auto"/>
                <w:position w:val="0"/>
                <w:sz w:val="21"/>
                <w:szCs w:val="21"/>
                <w:highlight w:val="none"/>
              </w:rPr>
              <w:t>×(1-M</w:t>
            </w:r>
            <w:r>
              <w:rPr>
                <w:rFonts w:hint="default" w:ascii="Times New Roman" w:hAnsi="Times New Roman" w:eastAsia="宋体" w:cs="Times New Roman"/>
                <w:color w:val="auto"/>
                <w:position w:val="0"/>
                <w:sz w:val="21"/>
                <w:szCs w:val="21"/>
                <w:highlight w:val="none"/>
                <w:vertAlign w:val="subscript"/>
              </w:rPr>
              <w:t>t,ar</w:t>
            </w:r>
            <w:r>
              <w:rPr>
                <w:rFonts w:hint="default" w:ascii="Times New Roman" w:hAnsi="Times New Roman" w:eastAsia="宋体" w:cs="Times New Roman"/>
                <w:color w:val="auto"/>
                <w:position w:val="0"/>
                <w:sz w:val="21"/>
                <w:szCs w:val="21"/>
                <w:highlight w:val="none"/>
              </w:rPr>
              <w:t>)/(1-M</w:t>
            </w:r>
            <w:r>
              <w:rPr>
                <w:rFonts w:hint="default" w:ascii="Times New Roman" w:hAnsi="Times New Roman" w:eastAsia="宋体" w:cs="Times New Roman"/>
                <w:color w:val="auto"/>
                <w:position w:val="0"/>
                <w:sz w:val="21"/>
                <w:szCs w:val="21"/>
                <w:highlight w:val="none"/>
                <w:vertAlign w:val="subscript"/>
              </w:rPr>
              <w:t>ad</w:t>
            </w:r>
            <w:r>
              <w:rPr>
                <w:rFonts w:hint="default" w:ascii="Times New Roman" w:hAnsi="Times New Roman" w:eastAsia="宋体" w:cs="Times New Roman"/>
                <w:color w:val="auto"/>
                <w:position w:val="0"/>
                <w:sz w:val="21"/>
                <w:szCs w:val="21"/>
                <w:highlight w:val="none"/>
              </w:rPr>
              <w:t>)）；</w:t>
            </w:r>
          </w:p>
          <w:p w14:paraId="4FE37346">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q</w:t>
            </w:r>
            <w:r>
              <w:rPr>
                <w:rFonts w:hint="default" w:ascii="Times New Roman" w:hAnsi="Times New Roman" w:eastAsia="宋体" w:cs="Times New Roman"/>
                <w:color w:val="auto"/>
                <w:position w:val="0"/>
                <w:sz w:val="21"/>
                <w:szCs w:val="21"/>
                <w:highlight w:val="none"/>
                <w:vertAlign w:val="subscript"/>
              </w:rPr>
              <w:t>4</w:t>
            </w:r>
            <w:r>
              <w:rPr>
                <w:rFonts w:hint="default" w:ascii="Times New Roman" w:hAnsi="Times New Roman" w:eastAsia="宋体" w:cs="Times New Roman"/>
                <w:color w:val="auto"/>
                <w:position w:val="0"/>
                <w:sz w:val="21"/>
                <w:szCs w:val="21"/>
                <w:highlight w:val="none"/>
              </w:rPr>
              <w:t>----锅炉机械不完全燃烧热损失，%；取1</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r>
              <w:rPr>
                <w:rFonts w:hint="eastAsia" w:cs="Times New Roman"/>
                <w:color w:val="auto"/>
                <w:position w:val="0"/>
                <w:sz w:val="21"/>
                <w:szCs w:val="21"/>
                <w:highlight w:val="none"/>
                <w:lang w:val="en-US" w:eastAsia="zh-CN"/>
              </w:rPr>
              <w:t>链条</w:t>
            </w:r>
            <w:r>
              <w:rPr>
                <w:rFonts w:hint="default" w:ascii="Times New Roman" w:hAnsi="Times New Roman" w:eastAsia="宋体" w:cs="Times New Roman"/>
                <w:color w:val="auto"/>
                <w:position w:val="0"/>
                <w:sz w:val="21"/>
                <w:szCs w:val="21"/>
                <w:highlight w:val="none"/>
              </w:rPr>
              <w:t>炉排炉不完全燃烧热损失</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r>
              <w:rPr>
                <w:rFonts w:hint="eastAsia" w:cs="Times New Roman"/>
                <w:color w:val="auto"/>
                <w:position w:val="0"/>
                <w:sz w:val="21"/>
                <w:szCs w:val="21"/>
                <w:highlight w:val="none"/>
                <w:lang w:eastAsia="zh-CN"/>
              </w:rPr>
              <w:t>～</w:t>
            </w:r>
            <w:r>
              <w:rPr>
                <w:rFonts w:hint="default" w:ascii="Times New Roman" w:hAnsi="Times New Roman" w:eastAsia="宋体" w:cs="Times New Roman"/>
                <w:color w:val="auto"/>
                <w:position w:val="0"/>
                <w:sz w:val="21"/>
                <w:szCs w:val="21"/>
                <w:highlight w:val="none"/>
              </w:rPr>
              <w:t>1</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p>
          <w:p w14:paraId="7B750BBC">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ƞ</w:t>
            </w:r>
            <w:r>
              <w:rPr>
                <w:rFonts w:hint="default" w:ascii="Times New Roman" w:hAnsi="Times New Roman" w:eastAsia="宋体" w:cs="Times New Roman"/>
                <w:color w:val="auto"/>
                <w:position w:val="0"/>
                <w:sz w:val="21"/>
                <w:szCs w:val="21"/>
                <w:highlight w:val="none"/>
                <w:vertAlign w:val="subscript"/>
              </w:rPr>
              <w:t>s</w:t>
            </w:r>
            <w:r>
              <w:rPr>
                <w:rFonts w:hint="default" w:ascii="Times New Roman" w:hAnsi="Times New Roman" w:eastAsia="宋体" w:cs="Times New Roman"/>
                <w:color w:val="auto"/>
                <w:position w:val="0"/>
                <w:sz w:val="21"/>
                <w:szCs w:val="21"/>
                <w:highlight w:val="none"/>
              </w:rPr>
              <w:t>----脱硫效率，%；</w:t>
            </w:r>
          </w:p>
          <w:p w14:paraId="2D1B0CA6">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K----燃料中的硫燃烧后氧化成二氧化硫的份额，量纲一的量。取0.50。</w:t>
            </w:r>
          </w:p>
          <w:p w14:paraId="5204FB30">
            <w:pPr>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④氮氧化物排放量</w:t>
            </w:r>
          </w:p>
          <w:p w14:paraId="43E8F6C7">
            <w:pPr>
              <w:keepNext w:val="0"/>
              <w:keepLines w:val="0"/>
              <w:suppressLineNumbers w:val="0"/>
              <w:spacing w:before="0" w:beforeAutospacing="0" w:after="0" w:afterAutospacing="0" w:line="240" w:lineRule="auto"/>
              <w:ind w:left="0" w:right="0"/>
              <w:jc w:val="center"/>
              <w:outlineLvl w:val="0"/>
              <w:rPr>
                <w:rFonts w:hint="eastAsia" w:ascii="宋体" w:hAnsi="宋体" w:cs="宋体"/>
                <w:color w:val="auto"/>
                <w:position w:val="-28"/>
                <w:sz w:val="21"/>
                <w:szCs w:val="21"/>
                <w:highlight w:val="none"/>
              </w:rPr>
            </w:pPr>
            <w:r>
              <w:rPr>
                <w:rFonts w:hint="eastAsia" w:ascii="宋体" w:hAnsi="宋体" w:cs="宋体"/>
                <w:color w:val="auto"/>
                <w:position w:val="-28"/>
                <w:sz w:val="21"/>
                <w:szCs w:val="21"/>
                <w:highlight w:val="none"/>
              </w:rPr>
              <w:object>
                <v:shape id="_x0000_i1030" o:spt="75" type="#_x0000_t75" style="height:34.5pt;width:159.75pt;" o:ole="t" filled="f" o:preferrelative="t" stroked="f" coordsize="21600,21600">
                  <v:path/>
                  <v:fill on="f" focussize="0,0"/>
                  <v:stroke on="f"/>
                  <v:imagedata r:id="rId24" o:title=""/>
                  <o:lock v:ext="edit" aspectratio="t"/>
                  <w10:wrap type="none"/>
                  <w10:anchorlock/>
                </v:shape>
                <o:OLEObject Type="Embed" ProgID="Equations" ShapeID="_x0000_i1030" DrawAspect="Content" ObjectID="_1468075730" r:id="rId23">
                  <o:LockedField>false</o:LockedField>
                </o:OLEObject>
              </w:object>
            </w:r>
          </w:p>
          <w:p w14:paraId="52F7661E">
            <w:pPr>
              <w:keepNext w:val="0"/>
              <w:keepLines w:val="0"/>
              <w:widowControl/>
              <w:suppressLineNumbers w:val="0"/>
              <w:spacing w:before="0" w:beforeAutospacing="0" w:after="0" w:afterAutospacing="0" w:line="360" w:lineRule="auto"/>
              <w:ind w:left="0" w:right="0" w:firstLine="420" w:firstLineChars="200"/>
              <w:rPr>
                <w:rFonts w:hint="default"/>
                <w:color w:val="auto"/>
                <w:szCs w:val="21"/>
                <w:highlight w:val="none"/>
              </w:rPr>
            </w:pPr>
            <w:r>
              <w:rPr>
                <w:rFonts w:hint="default"/>
                <w:color w:val="auto"/>
                <w:szCs w:val="21"/>
                <w:highlight w:val="none"/>
              </w:rPr>
              <w:t>式中：E</w:t>
            </w:r>
            <w:r>
              <w:rPr>
                <w:rFonts w:hint="default"/>
                <w:color w:val="auto"/>
                <w:szCs w:val="21"/>
                <w:highlight w:val="none"/>
                <w:vertAlign w:val="subscript"/>
              </w:rPr>
              <w:t>NOx</w:t>
            </w:r>
            <w:r>
              <w:rPr>
                <w:rFonts w:hint="default"/>
                <w:color w:val="auto"/>
                <w:szCs w:val="21"/>
                <w:highlight w:val="none"/>
              </w:rPr>
              <w:t>——核算时段内氮氧化物排放量，t/a；</w:t>
            </w:r>
          </w:p>
          <w:p w14:paraId="65FFD856">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eastAsia="宋体" w:cs="Times New Roman"/>
                <w:b w:val="0"/>
                <w:bCs w:val="0"/>
                <w:color w:val="auto"/>
                <w:sz w:val="21"/>
                <w:szCs w:val="21"/>
                <w:highlight w:val="none"/>
              </w:rPr>
            </w:pPr>
            <w:r>
              <w:rPr>
                <w:rFonts w:hint="default"/>
                <w:color w:val="auto"/>
                <w:szCs w:val="21"/>
                <w:highlight w:val="none"/>
              </w:rPr>
              <w:t>ρ</w:t>
            </w:r>
            <w:r>
              <w:rPr>
                <w:rFonts w:hint="default"/>
                <w:color w:val="auto"/>
                <w:szCs w:val="21"/>
                <w:highlight w:val="none"/>
                <w:vertAlign w:val="subscript"/>
              </w:rPr>
              <w:t>NOx</w:t>
            </w:r>
            <w:r>
              <w:rPr>
                <w:rFonts w:hint="default"/>
                <w:color w:val="auto"/>
                <w:szCs w:val="21"/>
                <w:highlight w:val="none"/>
              </w:rPr>
              <w:t>——</w:t>
            </w:r>
            <w:r>
              <w:rPr>
                <w:rFonts w:hint="default" w:ascii="Times New Roman" w:hAnsi="Times New Roman" w:eastAsia="宋体" w:cs="Times New Roman"/>
                <w:b w:val="0"/>
                <w:bCs w:val="0"/>
                <w:color w:val="auto"/>
                <w:sz w:val="21"/>
                <w:szCs w:val="21"/>
                <w:highlight w:val="none"/>
              </w:rPr>
              <w:t>锅炉炉膛出口NOx质量浓度，mg/m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p w14:paraId="78157379">
            <w:pPr>
              <w:keepNext w:val="0"/>
              <w:keepLines w:val="0"/>
              <w:pageBreakBefore w:val="0"/>
              <w:widowControl/>
              <w:suppressLineNumbers w:val="0"/>
              <w:tabs>
                <w:tab w:val="center" w:pos="4819"/>
                <w:tab w:val="right" w:pos="9638"/>
              </w:tabs>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b w:val="0"/>
                <w:bCs w:val="0"/>
                <w:color w:val="auto"/>
                <w:kern w:val="0"/>
                <w:sz w:val="21"/>
                <w:szCs w:val="21"/>
                <w:highlight w:val="none"/>
                <w:lang w:val="en-US"/>
              </w:rPr>
            </w:pPr>
            <w:r>
              <w:rPr>
                <w:rFonts w:hint="default" w:ascii="Times New Roman" w:hAnsi="Times New Roman" w:eastAsia="宋体" w:cs="Times New Roman"/>
                <w:b w:val="0"/>
                <w:bCs w:val="0"/>
                <w:color w:val="auto"/>
                <w:kern w:val="0"/>
                <w:position w:val="0"/>
                <w:sz w:val="21"/>
                <w:szCs w:val="21"/>
                <w:highlight w:val="none"/>
              </w:rPr>
              <w:t>本项目</w:t>
            </w:r>
            <w:r>
              <w:rPr>
                <w:rFonts w:hint="default" w:ascii="Times New Roman" w:hAnsi="Times New Roman" w:eastAsia="宋体" w:cs="Times New Roman"/>
                <w:b w:val="0"/>
                <w:bCs w:val="0"/>
                <w:color w:val="auto"/>
                <w:kern w:val="0"/>
                <w:sz w:val="21"/>
                <w:szCs w:val="21"/>
                <w:highlight w:val="none"/>
                <w:lang w:val="en-US" w:eastAsia="zh-CN"/>
              </w:rPr>
              <w:t>生物质锅炉</w:t>
            </w:r>
            <w:r>
              <w:rPr>
                <w:rFonts w:hint="default" w:ascii="Times New Roman" w:hAnsi="Times New Roman" w:eastAsia="宋体" w:cs="Times New Roman"/>
                <w:b w:val="0"/>
                <w:bCs w:val="0"/>
                <w:color w:val="auto"/>
                <w:kern w:val="0"/>
                <w:position w:val="0"/>
                <w:sz w:val="21"/>
                <w:szCs w:val="21"/>
                <w:highlight w:val="none"/>
              </w:rPr>
              <w:t>取</w:t>
            </w:r>
            <w:r>
              <w:rPr>
                <w:rFonts w:hint="eastAsia" w:ascii="Times New Roman" w:hAnsi="Times New Roman" w:eastAsia="宋体" w:cs="Times New Roman"/>
                <w:b w:val="0"/>
                <w:bCs w:val="0"/>
                <w:color w:val="auto"/>
                <w:kern w:val="0"/>
                <w:position w:val="0"/>
                <w:sz w:val="21"/>
                <w:szCs w:val="21"/>
                <w:highlight w:val="none"/>
                <w:lang w:val="en-US" w:eastAsia="zh-CN"/>
              </w:rPr>
              <w:t>144</w:t>
            </w:r>
            <w:r>
              <w:rPr>
                <w:rFonts w:hint="default" w:ascii="Times New Roman" w:hAnsi="Times New Roman" w:eastAsia="宋体" w:cs="Times New Roman"/>
                <w:b w:val="0"/>
                <w:bCs w:val="0"/>
                <w:color w:val="auto"/>
                <w:kern w:val="0"/>
                <w:position w:val="0"/>
                <w:sz w:val="21"/>
                <w:szCs w:val="21"/>
                <w:highlight w:val="none"/>
              </w:rPr>
              <w:t>mg/m</w:t>
            </w:r>
            <w:r>
              <w:rPr>
                <w:rFonts w:hint="default" w:ascii="Times New Roman" w:hAnsi="Times New Roman" w:eastAsia="宋体" w:cs="Times New Roman"/>
                <w:b w:val="0"/>
                <w:bCs w:val="0"/>
                <w:color w:val="auto"/>
                <w:kern w:val="0"/>
                <w:position w:val="0"/>
                <w:sz w:val="21"/>
                <w:szCs w:val="21"/>
                <w:highlight w:val="none"/>
                <w:vertAlign w:val="superscript"/>
              </w:rPr>
              <w:t>3</w:t>
            </w:r>
            <w:r>
              <w:rPr>
                <w:rFonts w:hint="default" w:ascii="Times New Roman" w:hAnsi="Times New Roman" w:eastAsia="宋体" w:cs="Times New Roman"/>
                <w:b w:val="0"/>
                <w:bCs w:val="0"/>
                <w:color w:val="auto"/>
                <w:kern w:val="0"/>
                <w:position w:val="0"/>
                <w:sz w:val="21"/>
                <w:szCs w:val="21"/>
                <w:highlight w:val="none"/>
                <w:vertAlign w:val="baseline"/>
              </w:rPr>
              <w:t>（取值</w:t>
            </w:r>
            <w:r>
              <w:rPr>
                <w:rFonts w:hint="default" w:ascii="Times New Roman" w:hAnsi="Times New Roman" w:eastAsia="宋体" w:cs="Times New Roman"/>
                <w:b w:val="0"/>
                <w:bCs w:val="0"/>
                <w:color w:val="auto"/>
                <w:kern w:val="0"/>
                <w:position w:val="0"/>
                <w:sz w:val="21"/>
                <w:szCs w:val="21"/>
                <w:highlight w:val="none"/>
                <w:vertAlign w:val="baseline"/>
                <w:lang w:eastAsia="zh-CN"/>
              </w:rPr>
              <w:t>类比</w:t>
            </w:r>
            <w:r>
              <w:rPr>
                <w:rFonts w:hint="default" w:ascii="Times New Roman" w:hAnsi="Times New Roman" w:eastAsia="宋体" w:cs="Times New Roman"/>
                <w:b w:val="0"/>
                <w:bCs w:val="0"/>
                <w:color w:val="auto"/>
                <w:spacing w:val="0"/>
                <w:kern w:val="0"/>
                <w:sz w:val="21"/>
                <w:szCs w:val="21"/>
                <w:highlight w:val="none"/>
              </w:rPr>
              <w:t>《</w:t>
            </w:r>
            <w:r>
              <w:rPr>
                <w:rFonts w:hint="default" w:ascii="Times New Roman" w:hAnsi="Times New Roman" w:eastAsia="宋体" w:cs="Times New Roman"/>
                <w:b w:val="0"/>
                <w:bCs w:val="0"/>
                <w:iCs/>
                <w:color w:val="auto"/>
                <w:kern w:val="0"/>
                <w:sz w:val="21"/>
                <w:szCs w:val="21"/>
                <w:highlight w:val="none"/>
              </w:rPr>
              <w:t>嫩北农场生物质锅炉供热项目</w:t>
            </w:r>
            <w:r>
              <w:rPr>
                <w:rFonts w:hint="default" w:ascii="Times New Roman" w:hAnsi="Times New Roman" w:eastAsia="宋体" w:cs="Times New Roman"/>
                <w:b w:val="0"/>
                <w:bCs w:val="0"/>
                <w:color w:val="auto"/>
                <w:kern w:val="0"/>
                <w:sz w:val="21"/>
                <w:szCs w:val="21"/>
                <w:highlight w:val="none"/>
              </w:rPr>
              <w:t>竣工环境保护验收监测报告表</w:t>
            </w:r>
            <w:r>
              <w:rPr>
                <w:rFonts w:hint="default" w:ascii="Times New Roman" w:hAnsi="Times New Roman" w:eastAsia="宋体" w:cs="Times New Roman"/>
                <w:b w:val="0"/>
                <w:bCs w:val="0"/>
                <w:color w:val="auto"/>
                <w:spacing w:val="0"/>
                <w:kern w:val="0"/>
                <w:sz w:val="21"/>
                <w:szCs w:val="21"/>
                <w:highlight w:val="none"/>
              </w:rPr>
              <w:t>》</w:t>
            </w:r>
            <w:r>
              <w:rPr>
                <w:rFonts w:hint="default" w:ascii="Times New Roman" w:hAnsi="Times New Roman" w:eastAsia="宋体" w:cs="Times New Roman"/>
                <w:b w:val="0"/>
                <w:bCs w:val="0"/>
                <w:color w:val="auto"/>
                <w:kern w:val="0"/>
                <w:position w:val="0"/>
                <w:sz w:val="21"/>
                <w:szCs w:val="21"/>
                <w:highlight w:val="none"/>
                <w:vertAlign w:val="baseline"/>
                <w:lang w:eastAsia="zh-CN"/>
              </w:rPr>
              <w:t>中数据，</w:t>
            </w:r>
            <w:r>
              <w:rPr>
                <w:rFonts w:hint="default" w:ascii="Times New Roman" w:hAnsi="Times New Roman" w:eastAsia="宋体" w:cs="Times New Roman"/>
                <w:b w:val="0"/>
                <w:bCs w:val="0"/>
                <w:color w:val="auto"/>
                <w:kern w:val="0"/>
                <w:position w:val="0"/>
                <w:sz w:val="21"/>
                <w:szCs w:val="21"/>
                <w:highlight w:val="none"/>
              </w:rPr>
              <w:t>NOx</w:t>
            </w:r>
            <w:r>
              <w:rPr>
                <w:rFonts w:hint="default" w:ascii="Times New Roman" w:hAnsi="Times New Roman" w:eastAsia="宋体" w:cs="Times New Roman"/>
                <w:b w:val="0"/>
                <w:bCs w:val="0"/>
                <w:color w:val="auto"/>
                <w:kern w:val="0"/>
                <w:position w:val="0"/>
                <w:sz w:val="21"/>
                <w:szCs w:val="21"/>
                <w:highlight w:val="none"/>
                <w:lang w:eastAsia="zh-CN"/>
              </w:rPr>
              <w:t>排放</w:t>
            </w:r>
            <w:r>
              <w:rPr>
                <w:rFonts w:hint="default" w:ascii="Times New Roman" w:hAnsi="Times New Roman" w:eastAsia="宋体" w:cs="Times New Roman"/>
                <w:b w:val="0"/>
                <w:bCs w:val="0"/>
                <w:color w:val="auto"/>
                <w:kern w:val="0"/>
                <w:position w:val="0"/>
                <w:sz w:val="21"/>
                <w:szCs w:val="21"/>
                <w:highlight w:val="none"/>
              </w:rPr>
              <w:t>浓度</w:t>
            </w:r>
            <w:r>
              <w:rPr>
                <w:rFonts w:hint="default" w:ascii="Times New Roman" w:hAnsi="Times New Roman" w:eastAsia="宋体" w:cs="Times New Roman"/>
                <w:b w:val="0"/>
                <w:bCs w:val="0"/>
                <w:color w:val="auto"/>
                <w:kern w:val="0"/>
                <w:position w:val="0"/>
                <w:sz w:val="21"/>
                <w:szCs w:val="21"/>
                <w:highlight w:val="none"/>
                <w:lang w:eastAsia="zh-CN"/>
              </w:rPr>
              <w:t>为</w:t>
            </w:r>
            <w:r>
              <w:rPr>
                <w:rFonts w:hint="default" w:ascii="Times New Roman" w:hAnsi="Times New Roman" w:eastAsia="宋体" w:cs="Times New Roman"/>
                <w:b w:val="0"/>
                <w:bCs w:val="0"/>
                <w:color w:val="auto"/>
                <w:kern w:val="0"/>
                <w:position w:val="0"/>
                <w:sz w:val="21"/>
                <w:szCs w:val="21"/>
                <w:highlight w:val="none"/>
                <w:lang w:val="en-US" w:eastAsia="zh-CN"/>
              </w:rPr>
              <w:t>138~</w:t>
            </w:r>
            <w:r>
              <w:rPr>
                <w:rFonts w:hint="eastAsia" w:ascii="Times New Roman" w:hAnsi="Times New Roman" w:eastAsia="宋体" w:cs="Times New Roman"/>
                <w:b w:val="0"/>
                <w:bCs w:val="0"/>
                <w:color w:val="auto"/>
                <w:kern w:val="0"/>
                <w:position w:val="0"/>
                <w:sz w:val="21"/>
                <w:szCs w:val="21"/>
                <w:highlight w:val="none"/>
                <w:lang w:val="en-US" w:eastAsia="zh-CN"/>
              </w:rPr>
              <w:t>144</w:t>
            </w:r>
            <w:r>
              <w:rPr>
                <w:rFonts w:hint="default" w:ascii="Times New Roman" w:hAnsi="Times New Roman" w:eastAsia="宋体" w:cs="Times New Roman"/>
                <w:b w:val="0"/>
                <w:bCs w:val="0"/>
                <w:color w:val="auto"/>
                <w:kern w:val="0"/>
                <w:position w:val="0"/>
                <w:sz w:val="21"/>
                <w:szCs w:val="21"/>
                <w:highlight w:val="none"/>
              </w:rPr>
              <w:t>mg/m</w:t>
            </w:r>
            <w:r>
              <w:rPr>
                <w:rFonts w:hint="default" w:ascii="Times New Roman" w:hAnsi="Times New Roman" w:eastAsia="宋体" w:cs="Times New Roman"/>
                <w:b w:val="0"/>
                <w:bCs w:val="0"/>
                <w:color w:val="auto"/>
                <w:kern w:val="0"/>
                <w:position w:val="0"/>
                <w:sz w:val="21"/>
                <w:szCs w:val="21"/>
                <w:highlight w:val="none"/>
                <w:vertAlign w:val="superscript"/>
              </w:rPr>
              <w:t>3</w:t>
            </w:r>
            <w:r>
              <w:rPr>
                <w:rFonts w:hint="default" w:ascii="Times New Roman" w:hAnsi="Times New Roman" w:eastAsia="宋体" w:cs="Times New Roman"/>
                <w:b w:val="0"/>
                <w:bCs w:val="0"/>
                <w:color w:val="auto"/>
                <w:kern w:val="0"/>
                <w:position w:val="0"/>
                <w:sz w:val="21"/>
                <w:szCs w:val="21"/>
                <w:highlight w:val="none"/>
                <w:lang w:eastAsia="zh-CN"/>
              </w:rPr>
              <w:t>，</w:t>
            </w:r>
            <w:r>
              <w:rPr>
                <w:rFonts w:hint="default" w:ascii="Times New Roman" w:hAnsi="Times New Roman" w:eastAsia="宋体" w:cs="Times New Roman"/>
                <w:b w:val="0"/>
                <w:bCs w:val="0"/>
                <w:color w:val="auto"/>
                <w:kern w:val="0"/>
                <w:position w:val="0"/>
                <w:sz w:val="21"/>
                <w:szCs w:val="21"/>
                <w:highlight w:val="none"/>
                <w:vertAlign w:val="baseline"/>
                <w:lang w:eastAsia="zh-CN"/>
              </w:rPr>
              <w:t>该类比项目锅炉为</w:t>
            </w:r>
            <w:r>
              <w:rPr>
                <w:rFonts w:hint="default" w:ascii="Times New Roman" w:hAnsi="Times New Roman" w:eastAsia="宋体" w:cs="Times New Roman"/>
                <w:b w:val="0"/>
                <w:bCs w:val="0"/>
                <w:color w:val="auto"/>
                <w:kern w:val="0"/>
                <w:sz w:val="21"/>
                <w:szCs w:val="21"/>
                <w:highlight w:val="none"/>
              </w:rPr>
              <w:t>2台16MW生物质锅炉烟气经各自配套的旋风+布袋除尘器处理后，由1根45m高烟囱排放</w:t>
            </w:r>
            <w:r>
              <w:rPr>
                <w:rFonts w:hint="default" w:ascii="Times New Roman" w:hAnsi="Times New Roman" w:eastAsia="宋体" w:cs="Times New Roman"/>
                <w:b w:val="0"/>
                <w:bCs w:val="0"/>
                <w:color w:val="auto"/>
                <w:kern w:val="0"/>
                <w:position w:val="0"/>
                <w:sz w:val="21"/>
                <w:szCs w:val="21"/>
                <w:highlight w:val="none"/>
                <w:vertAlign w:val="baseline"/>
                <w:lang w:eastAsia="zh-CN"/>
              </w:rPr>
              <w:t>，所用燃料为生物质燃料，与本项目所用锅炉类型、锅炉燃料</w:t>
            </w:r>
            <w:r>
              <w:rPr>
                <w:rFonts w:hint="eastAsia" w:ascii="Times New Roman" w:hAnsi="Times New Roman" w:eastAsia="宋体" w:cs="Times New Roman"/>
                <w:b w:val="0"/>
                <w:bCs w:val="0"/>
                <w:color w:val="auto"/>
                <w:kern w:val="0"/>
                <w:position w:val="0"/>
                <w:sz w:val="21"/>
                <w:szCs w:val="21"/>
                <w:highlight w:val="none"/>
                <w:vertAlign w:val="baseline"/>
                <w:lang w:eastAsia="zh-CN"/>
              </w:rPr>
              <w:t>、</w:t>
            </w:r>
            <w:r>
              <w:rPr>
                <w:rFonts w:hint="eastAsia" w:ascii="Times New Roman" w:hAnsi="Times New Roman" w:eastAsia="宋体" w:cs="Times New Roman"/>
                <w:b w:val="0"/>
                <w:bCs w:val="0"/>
                <w:color w:val="auto"/>
                <w:kern w:val="0"/>
                <w:position w:val="0"/>
                <w:sz w:val="21"/>
                <w:szCs w:val="21"/>
                <w:highlight w:val="none"/>
                <w:vertAlign w:val="baseline"/>
                <w:lang w:val="en-US" w:eastAsia="zh-CN"/>
              </w:rPr>
              <w:t>废气处理设施</w:t>
            </w:r>
            <w:r>
              <w:rPr>
                <w:rFonts w:hint="default" w:ascii="Times New Roman" w:hAnsi="Times New Roman" w:eastAsia="宋体" w:cs="Times New Roman"/>
                <w:b w:val="0"/>
                <w:bCs w:val="0"/>
                <w:color w:val="auto"/>
                <w:kern w:val="0"/>
                <w:position w:val="0"/>
                <w:sz w:val="21"/>
                <w:szCs w:val="21"/>
                <w:highlight w:val="none"/>
                <w:vertAlign w:val="baseline"/>
                <w:lang w:eastAsia="zh-CN"/>
              </w:rPr>
              <w:t>均</w:t>
            </w:r>
            <w:r>
              <w:rPr>
                <w:rFonts w:hint="default" w:ascii="Times New Roman" w:hAnsi="Times New Roman" w:eastAsia="宋体" w:cs="Times New Roman"/>
                <w:b w:val="0"/>
                <w:bCs w:val="0"/>
                <w:color w:val="auto"/>
                <w:kern w:val="0"/>
                <w:position w:val="0"/>
                <w:sz w:val="21"/>
                <w:szCs w:val="21"/>
                <w:highlight w:val="none"/>
                <w:vertAlign w:val="baseline"/>
                <w:lang w:val="en-US" w:eastAsia="zh-CN"/>
              </w:rPr>
              <w:t>相似</w:t>
            </w:r>
            <w:r>
              <w:rPr>
                <w:rFonts w:hint="default" w:ascii="Times New Roman" w:hAnsi="Times New Roman" w:eastAsia="宋体" w:cs="Times New Roman"/>
                <w:b w:val="0"/>
                <w:bCs w:val="0"/>
                <w:color w:val="auto"/>
                <w:kern w:val="0"/>
                <w:position w:val="0"/>
                <w:sz w:val="21"/>
                <w:szCs w:val="21"/>
                <w:highlight w:val="none"/>
                <w:vertAlign w:val="baseline"/>
                <w:lang w:eastAsia="zh-CN"/>
              </w:rPr>
              <w:t>，因此本项目采用该项目数据类比可行，本次评价取</w:t>
            </w:r>
            <w:r>
              <w:rPr>
                <w:rFonts w:hint="eastAsia" w:ascii="Times New Roman" w:hAnsi="Times New Roman" w:eastAsia="宋体" w:cs="Times New Roman"/>
                <w:b w:val="0"/>
                <w:bCs w:val="0"/>
                <w:color w:val="auto"/>
                <w:kern w:val="0"/>
                <w:position w:val="0"/>
                <w:sz w:val="21"/>
                <w:szCs w:val="21"/>
                <w:highlight w:val="none"/>
                <w:vertAlign w:val="baseline"/>
                <w:lang w:val="en-US" w:eastAsia="zh-CN"/>
              </w:rPr>
              <w:t>144</w:t>
            </w:r>
            <w:r>
              <w:rPr>
                <w:rFonts w:hint="default" w:ascii="Times New Roman" w:hAnsi="Times New Roman" w:eastAsia="宋体" w:cs="Times New Roman"/>
                <w:b w:val="0"/>
                <w:bCs w:val="0"/>
                <w:color w:val="auto"/>
                <w:kern w:val="0"/>
                <w:position w:val="0"/>
                <w:sz w:val="21"/>
                <w:szCs w:val="21"/>
                <w:highlight w:val="none"/>
              </w:rPr>
              <w:t>mg/m</w:t>
            </w:r>
            <w:r>
              <w:rPr>
                <w:rFonts w:hint="default" w:ascii="Times New Roman" w:hAnsi="Times New Roman" w:eastAsia="宋体" w:cs="Times New Roman"/>
                <w:b w:val="0"/>
                <w:bCs w:val="0"/>
                <w:color w:val="auto"/>
                <w:kern w:val="0"/>
                <w:position w:val="0"/>
                <w:sz w:val="21"/>
                <w:szCs w:val="21"/>
                <w:highlight w:val="none"/>
                <w:vertAlign w:val="superscript"/>
              </w:rPr>
              <w:t>3</w:t>
            </w:r>
            <w:r>
              <w:rPr>
                <w:rFonts w:hint="default" w:ascii="Times New Roman" w:hAnsi="Times New Roman" w:eastAsia="宋体" w:cs="Times New Roman"/>
                <w:b w:val="0"/>
                <w:bCs w:val="0"/>
                <w:color w:val="auto"/>
                <w:kern w:val="0"/>
                <w:position w:val="0"/>
                <w:sz w:val="21"/>
                <w:szCs w:val="21"/>
                <w:highlight w:val="none"/>
                <w:vertAlign w:val="baseline"/>
              </w:rPr>
              <w:t>）</w:t>
            </w:r>
            <w:r>
              <w:rPr>
                <w:rFonts w:hint="default" w:ascii="Times New Roman" w:hAnsi="Times New Roman" w:eastAsia="宋体" w:cs="Times New Roman"/>
                <w:b w:val="0"/>
                <w:bCs w:val="0"/>
                <w:color w:val="auto"/>
                <w:kern w:val="0"/>
                <w:position w:val="0"/>
                <w:sz w:val="21"/>
                <w:szCs w:val="21"/>
                <w:highlight w:val="none"/>
                <w:vertAlign w:val="baseline"/>
                <w:lang w:eastAsia="zh-CN"/>
              </w:rPr>
              <w:t>；</w:t>
            </w:r>
          </w:p>
          <w:p w14:paraId="69FBDC58">
            <w:pPr>
              <w:keepNext w:val="0"/>
              <w:keepLines w:val="0"/>
              <w:widowControl/>
              <w:suppressLineNumbers w:val="0"/>
              <w:spacing w:before="0" w:beforeAutospacing="0" w:after="0" w:afterAutospacing="0" w:line="360" w:lineRule="auto"/>
              <w:ind w:left="0" w:right="0" w:firstLine="420" w:firstLineChars="200"/>
              <w:rPr>
                <w:rFonts w:hint="default"/>
                <w:color w:val="auto"/>
                <w:szCs w:val="21"/>
                <w:highlight w:val="none"/>
              </w:rPr>
            </w:pPr>
            <w:r>
              <w:rPr>
                <w:rFonts w:hint="default"/>
                <w:color w:val="auto"/>
                <w:szCs w:val="21"/>
                <w:highlight w:val="none"/>
              </w:rPr>
              <w:t>Q——核算时段内标态干烟气排放量，m</w:t>
            </w:r>
            <w:r>
              <w:rPr>
                <w:rFonts w:hint="default"/>
                <w:color w:val="auto"/>
                <w:szCs w:val="21"/>
                <w:highlight w:val="none"/>
                <w:vertAlign w:val="superscript"/>
              </w:rPr>
              <w:t>3</w:t>
            </w:r>
            <w:r>
              <w:rPr>
                <w:rFonts w:hint="default"/>
                <w:color w:val="auto"/>
                <w:szCs w:val="21"/>
                <w:highlight w:val="none"/>
              </w:rPr>
              <w:t>；</w:t>
            </w:r>
          </w:p>
          <w:p w14:paraId="0FA5B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auto"/>
                <w:position w:val="0"/>
                <w:sz w:val="21"/>
                <w:szCs w:val="21"/>
                <w:highlight w:val="none"/>
              </w:rPr>
            </w:pPr>
            <w:r>
              <w:rPr>
                <w:rFonts w:hint="default"/>
                <w:color w:val="auto"/>
                <w:szCs w:val="21"/>
                <w:highlight w:val="none"/>
              </w:rPr>
              <w:t>ηs——脱硝效率，%；</w:t>
            </w:r>
          </w:p>
          <w:p w14:paraId="5B110BF2">
            <w:pPr>
              <w:pStyle w:val="1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根据以上方法计算得出本项目各个锅炉废气污染物排放量如下：</w:t>
            </w:r>
          </w:p>
          <w:p w14:paraId="763DCD83">
            <w:pPr>
              <w:pStyle w:val="152"/>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cs="Times New Roman"/>
                <w:color w:val="auto"/>
                <w:position w:val="0"/>
                <w:sz w:val="21"/>
                <w:szCs w:val="21"/>
                <w:highlight w:val="none"/>
                <w:lang w:eastAsia="zh-CN"/>
              </w:rPr>
            </w:pPr>
            <w:r>
              <w:rPr>
                <w:rFonts w:hint="eastAsia" w:cs="Times New Roman"/>
                <w:color w:val="auto"/>
                <w:position w:val="0"/>
                <w:sz w:val="21"/>
                <w:szCs w:val="21"/>
                <w:highlight w:val="none"/>
                <w:lang w:val="en-US" w:eastAsia="zh-CN"/>
              </w:rPr>
              <w:t>DA001锅炉大气污染物产生量为：</w:t>
            </w:r>
            <w:r>
              <w:rPr>
                <w:rFonts w:hint="default" w:ascii="Times New Roman" w:hAnsi="Times New Roman" w:eastAsia="宋体" w:cs="Times New Roman"/>
                <w:color w:val="auto"/>
                <w:position w:val="0"/>
                <w:sz w:val="21"/>
                <w:szCs w:val="21"/>
                <w:highlight w:val="none"/>
              </w:rPr>
              <w:t>颗粒物</w:t>
            </w:r>
            <w:r>
              <w:rPr>
                <w:rFonts w:hint="eastAsia" w:cs="Times New Roman"/>
                <w:color w:val="auto"/>
                <w:position w:val="0"/>
                <w:sz w:val="21"/>
                <w:szCs w:val="21"/>
                <w:highlight w:val="none"/>
                <w:lang w:val="en-US" w:eastAsia="zh-CN"/>
              </w:rPr>
              <w:t>947.67</w:t>
            </w:r>
            <w:r>
              <w:rPr>
                <w:rFonts w:hint="default" w:ascii="Times New Roman" w:hAnsi="Times New Roman" w:eastAsia="宋体" w:cs="Times New Roman"/>
                <w:color w:val="auto"/>
                <w:position w:val="0"/>
                <w:sz w:val="21"/>
                <w:szCs w:val="21"/>
                <w:highlight w:val="none"/>
              </w:rPr>
              <w:t>t/a，SO</w:t>
            </w:r>
            <w:r>
              <w:rPr>
                <w:rFonts w:hint="default" w:ascii="Times New Roman" w:hAnsi="Times New Roman" w:eastAsia="宋体" w:cs="Times New Roman"/>
                <w:color w:val="auto"/>
                <w:position w:val="0"/>
                <w:sz w:val="21"/>
                <w:szCs w:val="21"/>
                <w:highlight w:val="none"/>
                <w:vertAlign w:val="subscript"/>
              </w:rPr>
              <w:t>2</w:t>
            </w:r>
            <w:r>
              <w:rPr>
                <w:rFonts w:hint="eastAsia" w:cs="Times New Roman"/>
                <w:color w:val="auto"/>
                <w:position w:val="0"/>
                <w:sz w:val="21"/>
                <w:szCs w:val="21"/>
                <w:highlight w:val="none"/>
                <w:lang w:val="en-US" w:eastAsia="zh-CN"/>
              </w:rPr>
              <w:t>15.5</w:t>
            </w:r>
            <w:r>
              <w:rPr>
                <w:rFonts w:hint="default" w:ascii="Times New Roman" w:hAnsi="Times New Roman" w:eastAsia="宋体" w:cs="Times New Roman"/>
                <w:color w:val="auto"/>
                <w:position w:val="0"/>
                <w:sz w:val="21"/>
                <w:szCs w:val="21"/>
                <w:highlight w:val="none"/>
              </w:rPr>
              <w:t>t/a，NO</w:t>
            </w:r>
            <w:r>
              <w:rPr>
                <w:rFonts w:hint="default" w:ascii="Times New Roman" w:hAnsi="Times New Roman" w:eastAsia="宋体" w:cs="Times New Roman"/>
                <w:color w:val="auto"/>
                <w:position w:val="0"/>
                <w:sz w:val="21"/>
                <w:szCs w:val="21"/>
                <w:highlight w:val="none"/>
                <w:vertAlign w:val="subscript"/>
              </w:rPr>
              <w:t>x</w:t>
            </w:r>
            <w:r>
              <w:rPr>
                <w:rFonts w:hint="eastAsia" w:cs="Times New Roman"/>
                <w:color w:val="auto"/>
                <w:position w:val="0"/>
                <w:sz w:val="21"/>
                <w:szCs w:val="21"/>
                <w:highlight w:val="none"/>
                <w:lang w:val="en-US" w:eastAsia="zh-CN"/>
              </w:rPr>
              <w:t>5.357</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val="en-US" w:eastAsia="zh-CN"/>
              </w:rPr>
              <w:t>，</w:t>
            </w:r>
            <w:r>
              <w:rPr>
                <w:rFonts w:hint="default" w:ascii="Times New Roman" w:hAnsi="Times New Roman" w:eastAsia="宋体" w:cs="Times New Roman"/>
                <w:color w:val="auto"/>
                <w:position w:val="0"/>
                <w:sz w:val="21"/>
                <w:szCs w:val="21"/>
                <w:highlight w:val="none"/>
              </w:rPr>
              <w:t>烟气经除尘率99</w:t>
            </w:r>
            <w:r>
              <w:rPr>
                <w:rFonts w:hint="eastAsia" w:cs="Times New Roman"/>
                <w:color w:val="auto"/>
                <w:position w:val="0"/>
                <w:sz w:val="21"/>
                <w:szCs w:val="21"/>
                <w:highlight w:val="none"/>
                <w:lang w:val="en-US" w:eastAsia="zh-CN"/>
              </w:rPr>
              <w:t>.7</w:t>
            </w:r>
            <w:r>
              <w:rPr>
                <w:rFonts w:hint="default" w:ascii="Times New Roman" w:hAnsi="Times New Roman" w:eastAsia="宋体" w:cs="Times New Roman"/>
                <w:color w:val="auto"/>
                <w:position w:val="0"/>
                <w:sz w:val="21"/>
                <w:szCs w:val="21"/>
                <w:highlight w:val="none"/>
              </w:rPr>
              <w:t>%的</w:t>
            </w:r>
            <w:r>
              <w:rPr>
                <w:rFonts w:hint="eastAsia" w:cs="Times New Roman"/>
                <w:color w:val="auto"/>
                <w:szCs w:val="21"/>
                <w:highlight w:val="none"/>
                <w:lang w:val="en-US" w:eastAsia="zh-CN"/>
              </w:rPr>
              <w:t>多管陶瓷</w:t>
            </w:r>
            <w:r>
              <w:rPr>
                <w:rFonts w:hint="default"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rPr>
              <w:t>布袋除尘器</w:t>
            </w:r>
            <w:r>
              <w:rPr>
                <w:rFonts w:hint="default" w:ascii="Times New Roman" w:hAnsi="Times New Roman" w:eastAsia="宋体" w:cs="Times New Roman"/>
                <w:color w:val="auto"/>
                <w:position w:val="0"/>
                <w:sz w:val="21"/>
                <w:szCs w:val="21"/>
                <w:highlight w:val="none"/>
              </w:rPr>
              <w:t>进行处理，由</w:t>
            </w:r>
            <w:r>
              <w:rPr>
                <w:rFonts w:hint="eastAsia" w:cs="Times New Roman"/>
                <w:color w:val="auto"/>
                <w:position w:val="0"/>
                <w:sz w:val="21"/>
                <w:szCs w:val="21"/>
                <w:highlight w:val="none"/>
                <w:lang w:val="en-US" w:eastAsia="zh-CN"/>
              </w:rPr>
              <w:t>60</w:t>
            </w:r>
            <w:r>
              <w:rPr>
                <w:rFonts w:hint="default" w:ascii="Times New Roman" w:hAnsi="Times New Roman" w:eastAsia="宋体" w:cs="Times New Roman"/>
                <w:color w:val="auto"/>
                <w:position w:val="0"/>
                <w:sz w:val="21"/>
                <w:szCs w:val="21"/>
                <w:highlight w:val="none"/>
              </w:rPr>
              <w:t>m高</w:t>
            </w:r>
            <w:r>
              <w:rPr>
                <w:rFonts w:hint="eastAsia" w:cs="Times New Roman"/>
                <w:color w:val="auto"/>
                <w:sz w:val="21"/>
                <w:szCs w:val="21"/>
                <w:highlight w:val="none"/>
                <w:lang w:val="en-US" w:eastAsia="zh-CN"/>
              </w:rPr>
              <w:t>烟囱</w:t>
            </w:r>
            <w:r>
              <w:rPr>
                <w:rFonts w:hint="eastAsia" w:cs="Times New Roman"/>
                <w:color w:val="auto"/>
                <w:position w:val="0"/>
                <w:sz w:val="21"/>
                <w:szCs w:val="21"/>
                <w:highlight w:val="none"/>
                <w:lang w:eastAsia="zh-CN"/>
              </w:rPr>
              <w:t>（</w:t>
            </w:r>
            <w:r>
              <w:rPr>
                <w:rFonts w:hint="eastAsia" w:cs="Times New Roman"/>
                <w:color w:val="auto"/>
                <w:position w:val="0"/>
                <w:sz w:val="21"/>
                <w:szCs w:val="21"/>
                <w:highlight w:val="none"/>
                <w:lang w:val="en-US" w:eastAsia="zh-CN"/>
              </w:rPr>
              <w:t>DA001）</w:t>
            </w:r>
            <w:r>
              <w:rPr>
                <w:rFonts w:hint="default" w:ascii="Times New Roman" w:hAnsi="Times New Roman" w:eastAsia="宋体" w:cs="Times New Roman"/>
                <w:color w:val="auto"/>
                <w:position w:val="0"/>
                <w:sz w:val="21"/>
                <w:szCs w:val="21"/>
                <w:highlight w:val="none"/>
              </w:rPr>
              <w:t>。大气污染物排放总量为：颗粒物</w:t>
            </w:r>
            <w:r>
              <w:rPr>
                <w:rFonts w:hint="eastAsia" w:cs="Times New Roman"/>
                <w:color w:val="auto"/>
                <w:position w:val="0"/>
                <w:sz w:val="21"/>
                <w:szCs w:val="21"/>
                <w:highlight w:val="none"/>
                <w:lang w:val="en-US" w:eastAsia="zh-CN"/>
              </w:rPr>
              <w:t>2.843</w:t>
            </w:r>
            <w:r>
              <w:rPr>
                <w:rFonts w:hint="default" w:ascii="Times New Roman" w:hAnsi="Times New Roman" w:eastAsia="宋体" w:cs="Times New Roman"/>
                <w:color w:val="auto"/>
                <w:position w:val="0"/>
                <w:sz w:val="21"/>
                <w:szCs w:val="21"/>
                <w:highlight w:val="none"/>
              </w:rPr>
              <w:t>t/a，SO</w:t>
            </w:r>
            <w:r>
              <w:rPr>
                <w:rFonts w:hint="default" w:ascii="Times New Roman" w:hAnsi="Times New Roman" w:eastAsia="宋体" w:cs="Times New Roman"/>
                <w:color w:val="auto"/>
                <w:position w:val="0"/>
                <w:sz w:val="21"/>
                <w:szCs w:val="21"/>
                <w:highlight w:val="none"/>
                <w:vertAlign w:val="subscript"/>
              </w:rPr>
              <w:t>2</w:t>
            </w:r>
            <w:r>
              <w:rPr>
                <w:rFonts w:hint="eastAsia" w:cs="Times New Roman"/>
                <w:color w:val="auto"/>
                <w:position w:val="0"/>
                <w:sz w:val="21"/>
                <w:szCs w:val="21"/>
                <w:highlight w:val="none"/>
                <w:lang w:val="en-US" w:eastAsia="zh-CN"/>
              </w:rPr>
              <w:t>4.273</w:t>
            </w:r>
            <w:r>
              <w:rPr>
                <w:rFonts w:hint="default" w:ascii="Times New Roman" w:hAnsi="Times New Roman" w:eastAsia="宋体" w:cs="Times New Roman"/>
                <w:color w:val="auto"/>
                <w:position w:val="0"/>
                <w:sz w:val="21"/>
                <w:szCs w:val="21"/>
                <w:highlight w:val="none"/>
              </w:rPr>
              <w:t>t/a，NO</w:t>
            </w:r>
            <w:r>
              <w:rPr>
                <w:rFonts w:hint="default" w:ascii="Times New Roman" w:hAnsi="Times New Roman" w:eastAsia="宋体" w:cs="Times New Roman"/>
                <w:color w:val="auto"/>
                <w:position w:val="0"/>
                <w:sz w:val="21"/>
                <w:szCs w:val="21"/>
                <w:highlight w:val="none"/>
                <w:vertAlign w:val="subscript"/>
              </w:rPr>
              <w:t>x</w:t>
            </w:r>
            <w:r>
              <w:rPr>
                <w:rFonts w:hint="eastAsia" w:cs="Times New Roman"/>
                <w:color w:val="auto"/>
                <w:position w:val="0"/>
                <w:sz w:val="21"/>
                <w:szCs w:val="21"/>
                <w:highlight w:val="none"/>
                <w:lang w:val="en-US" w:eastAsia="zh-CN"/>
              </w:rPr>
              <w:t>27.072</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eastAsia="zh-CN"/>
              </w:rPr>
              <w:t>，</w:t>
            </w:r>
            <w:r>
              <w:rPr>
                <w:rFonts w:hint="default" w:ascii="Times New Roman" w:hAnsi="Times New Roman" w:eastAsia="宋体" w:cs="Times New Roman"/>
                <w:color w:val="auto"/>
                <w:position w:val="0"/>
                <w:sz w:val="21"/>
                <w:szCs w:val="21"/>
                <w:highlight w:val="none"/>
              </w:rPr>
              <w:t>NO</w:t>
            </w:r>
            <w:r>
              <w:rPr>
                <w:rFonts w:hint="default" w:ascii="Times New Roman" w:hAnsi="Times New Roman" w:eastAsia="宋体" w:cs="Times New Roman"/>
                <w:color w:val="auto"/>
                <w:position w:val="0"/>
                <w:sz w:val="21"/>
                <w:szCs w:val="21"/>
                <w:highlight w:val="none"/>
                <w:vertAlign w:val="subscript"/>
              </w:rPr>
              <w:t>x</w:t>
            </w:r>
            <w:r>
              <w:rPr>
                <w:rFonts w:hint="default" w:ascii="Times New Roman" w:hAnsi="Times New Roman" w:eastAsia="宋体" w:cs="Times New Roman"/>
                <w:color w:val="auto"/>
                <w:position w:val="0"/>
                <w:sz w:val="21"/>
                <w:szCs w:val="21"/>
                <w:highlight w:val="none"/>
              </w:rPr>
              <w:t>排放浓度为</w:t>
            </w:r>
            <w:r>
              <w:rPr>
                <w:rFonts w:hint="eastAsia" w:cs="Times New Roman"/>
                <w:color w:val="auto"/>
                <w:position w:val="0"/>
                <w:sz w:val="21"/>
                <w:szCs w:val="21"/>
                <w:highlight w:val="none"/>
                <w:lang w:val="en-US" w:eastAsia="zh-CN"/>
              </w:rPr>
              <w:t>144</w:t>
            </w:r>
            <w:r>
              <w:rPr>
                <w:rFonts w:hint="default" w:ascii="Times New Roman" w:hAnsi="Times New Roman" w:eastAsia="宋体" w:cs="Times New Roman"/>
                <w:color w:val="auto"/>
                <w:position w:val="0"/>
                <w:sz w:val="21"/>
                <w:szCs w:val="21"/>
                <w:highlight w:val="none"/>
              </w:rPr>
              <w:t>mg/m</w:t>
            </w:r>
            <w:r>
              <w:rPr>
                <w:rFonts w:hint="default" w:ascii="Times New Roman" w:hAnsi="Times New Roman" w:eastAsia="宋体" w:cs="Times New Roman"/>
                <w:color w:val="auto"/>
                <w:position w:val="0"/>
                <w:sz w:val="21"/>
                <w:szCs w:val="21"/>
                <w:highlight w:val="none"/>
                <w:vertAlign w:val="superscript"/>
              </w:rPr>
              <w:t>3</w:t>
            </w:r>
            <w:r>
              <w:rPr>
                <w:rFonts w:hint="eastAsia" w:cs="Times New Roman"/>
                <w:color w:val="auto"/>
                <w:position w:val="0"/>
                <w:sz w:val="21"/>
                <w:szCs w:val="21"/>
                <w:highlight w:val="none"/>
                <w:vertAlign w:val="baseline"/>
                <w:lang w:eastAsia="zh-CN"/>
              </w:rPr>
              <w:t>。</w:t>
            </w:r>
          </w:p>
          <w:p w14:paraId="455DFF06">
            <w:pPr>
              <w:pStyle w:val="48"/>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eastAsia"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r>
              <w:rPr>
                <w:rFonts w:hint="eastAsia" w:cs="Times New Roman"/>
                <w:bCs/>
                <w:color w:val="auto"/>
                <w:sz w:val="21"/>
                <w:szCs w:val="21"/>
                <w:highlight w:val="none"/>
                <w:lang w:val="en-US" w:eastAsia="zh-CN"/>
              </w:rPr>
              <w:t>）生物质燃料及</w:t>
            </w:r>
            <w:r>
              <w:rPr>
                <w:rFonts w:hint="eastAsia" w:ascii="Times New Roman" w:hAnsi="Times New Roman" w:cs="Times New Roman"/>
                <w:bCs/>
                <w:color w:val="auto"/>
                <w:sz w:val="21"/>
                <w:szCs w:val="21"/>
                <w:highlight w:val="none"/>
                <w:lang w:val="en-US" w:eastAsia="zh-CN"/>
              </w:rPr>
              <w:t>灰渣粉尘</w:t>
            </w:r>
          </w:p>
          <w:p w14:paraId="6E338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根据《污染源源强核算技术指南 锅炉》（HJ 991-2018）4.4.2.1“料/堆场采用全封闭形式、储罐采用密闭容器的，废气无组织源强可忽略不计”</w:t>
            </w:r>
            <w:r>
              <w:rPr>
                <w:rFonts w:hint="eastAsia" w:cs="Times New Roman"/>
                <w:bCs/>
                <w:color w:val="auto"/>
                <w:sz w:val="21"/>
                <w:szCs w:val="21"/>
                <w:highlight w:val="none"/>
                <w:lang w:val="en-US" w:eastAsia="zh-CN"/>
              </w:rPr>
              <w:t>。</w:t>
            </w:r>
          </w:p>
          <w:p w14:paraId="241ADC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本项目锅炉除渣过程在</w:t>
            </w:r>
            <w:r>
              <w:rPr>
                <w:rFonts w:hint="eastAsia" w:cs="Times New Roman"/>
                <w:bCs/>
                <w:color w:val="auto"/>
                <w:sz w:val="21"/>
                <w:szCs w:val="21"/>
                <w:highlight w:val="none"/>
                <w:lang w:val="en-US" w:eastAsia="zh-CN"/>
              </w:rPr>
              <w:t>密闭</w:t>
            </w:r>
            <w:r>
              <w:rPr>
                <w:rFonts w:hint="eastAsia" w:ascii="Times New Roman" w:hAnsi="Times New Roman" w:cs="Times New Roman"/>
                <w:bCs/>
                <w:color w:val="auto"/>
                <w:sz w:val="21"/>
                <w:szCs w:val="21"/>
                <w:highlight w:val="none"/>
                <w:lang w:val="en-US" w:eastAsia="zh-CN"/>
              </w:rPr>
              <w:t>锅炉房内完成，并配合洒水降尘措施，除渣后灰渣（炉渣及</w:t>
            </w:r>
            <w:r>
              <w:rPr>
                <w:rFonts w:hint="eastAsia" w:cs="Times New Roman"/>
                <w:bCs/>
                <w:color w:val="auto"/>
                <w:sz w:val="21"/>
                <w:szCs w:val="21"/>
                <w:highlight w:val="none"/>
                <w:lang w:val="en-US" w:eastAsia="zh-CN"/>
              </w:rPr>
              <w:t>多管陶瓷+布袋除尘器收尘</w:t>
            </w:r>
            <w:r>
              <w:rPr>
                <w:rFonts w:hint="eastAsia" w:ascii="Times New Roman" w:hAnsi="Times New Roman" w:cs="Times New Roman"/>
                <w:bCs/>
                <w:color w:val="auto"/>
                <w:sz w:val="21"/>
                <w:szCs w:val="21"/>
                <w:highlight w:val="none"/>
                <w:lang w:val="en-US" w:eastAsia="zh-CN"/>
              </w:rPr>
              <w:t>）存储于密闭灰渣库，配合洒水降尘措施；生物质燃料存储于</w:t>
            </w:r>
            <w:r>
              <w:rPr>
                <w:rFonts w:hint="eastAsia" w:cs="Times New Roman"/>
                <w:bCs/>
                <w:color w:val="auto"/>
                <w:sz w:val="21"/>
                <w:szCs w:val="21"/>
                <w:highlight w:val="none"/>
                <w:lang w:val="en-US" w:eastAsia="zh-CN"/>
              </w:rPr>
              <w:t>燃料库</w:t>
            </w:r>
            <w:r>
              <w:rPr>
                <w:rFonts w:hint="eastAsia" w:ascii="Times New Roman" w:hAnsi="Times New Roman" w:cs="Times New Roman"/>
                <w:bCs/>
                <w:color w:val="auto"/>
                <w:sz w:val="21"/>
                <w:szCs w:val="21"/>
                <w:highlight w:val="none"/>
                <w:lang w:val="en-US" w:eastAsia="zh-CN"/>
              </w:rPr>
              <w:t>内，</w:t>
            </w:r>
            <w:r>
              <w:rPr>
                <w:rFonts w:hint="eastAsia" w:cs="Times New Roman"/>
                <w:bCs/>
                <w:color w:val="auto"/>
                <w:sz w:val="21"/>
                <w:szCs w:val="21"/>
                <w:highlight w:val="none"/>
                <w:lang w:val="en-US" w:eastAsia="zh-CN"/>
              </w:rPr>
              <w:t>燃料库封闭</w:t>
            </w:r>
            <w:r>
              <w:rPr>
                <w:rFonts w:hint="eastAsia" w:ascii="Times New Roman" w:hAnsi="Times New Roman" w:cs="Times New Roman"/>
                <w:bCs/>
                <w:color w:val="auto"/>
                <w:sz w:val="21"/>
                <w:szCs w:val="21"/>
                <w:highlight w:val="none"/>
                <w:lang w:val="en-US" w:eastAsia="zh-CN"/>
              </w:rPr>
              <w:t>及燃料苫盖，杜绝露天堆放。生物质燃料、</w:t>
            </w:r>
            <w:r>
              <w:rPr>
                <w:rFonts w:hint="eastAsia" w:cs="Times New Roman"/>
                <w:bCs/>
                <w:color w:val="auto"/>
                <w:sz w:val="21"/>
                <w:szCs w:val="21"/>
                <w:highlight w:val="none"/>
                <w:lang w:val="en-US" w:eastAsia="zh-CN"/>
              </w:rPr>
              <w:t>多管陶瓷+布袋除尘器收尘</w:t>
            </w:r>
            <w:r>
              <w:rPr>
                <w:rFonts w:hint="eastAsia" w:ascii="Times New Roman" w:hAnsi="Times New Roman" w:cs="Times New Roman"/>
                <w:bCs/>
                <w:color w:val="auto"/>
                <w:sz w:val="21"/>
                <w:szCs w:val="21"/>
                <w:highlight w:val="none"/>
                <w:lang w:val="en-US" w:eastAsia="zh-CN"/>
              </w:rPr>
              <w:t>及锅炉炉渣在室内存放，并配合表面洒水降尘不会形成动力起尘的粉尘影响。生物质燃料及灰渣粉尘满足厂界颗粒物《大气污染物综合排放标准》（GB16297-1996）表2中无组织排放限值。故</w:t>
            </w:r>
            <w:r>
              <w:rPr>
                <w:rFonts w:hint="eastAsia" w:cs="Times New Roman"/>
                <w:bCs/>
                <w:color w:val="auto"/>
                <w:sz w:val="21"/>
                <w:szCs w:val="21"/>
                <w:highlight w:val="none"/>
                <w:lang w:val="en-US" w:eastAsia="zh-CN"/>
              </w:rPr>
              <w:t>本项目</w:t>
            </w:r>
            <w:r>
              <w:rPr>
                <w:rFonts w:hint="eastAsia" w:ascii="Times New Roman" w:hAnsi="Times New Roman" w:cs="Times New Roman"/>
                <w:bCs/>
                <w:color w:val="auto"/>
                <w:sz w:val="21"/>
                <w:szCs w:val="21"/>
                <w:highlight w:val="none"/>
                <w:lang w:val="en-US" w:eastAsia="zh-CN"/>
              </w:rPr>
              <w:t>不分析</w:t>
            </w:r>
            <w:r>
              <w:rPr>
                <w:rFonts w:hint="eastAsia" w:cs="Times New Roman"/>
                <w:bCs/>
                <w:color w:val="auto"/>
                <w:sz w:val="21"/>
                <w:szCs w:val="21"/>
                <w:highlight w:val="none"/>
                <w:lang w:val="en-US" w:eastAsia="zh-CN"/>
              </w:rPr>
              <w:t>燃料</w:t>
            </w:r>
            <w:r>
              <w:rPr>
                <w:rFonts w:hint="eastAsia" w:ascii="Times New Roman" w:hAnsi="Times New Roman" w:cs="Times New Roman"/>
                <w:bCs/>
                <w:color w:val="auto"/>
                <w:sz w:val="21"/>
                <w:szCs w:val="21"/>
                <w:highlight w:val="none"/>
                <w:lang w:val="en-US" w:eastAsia="zh-CN"/>
              </w:rPr>
              <w:t>、灰渣储存源强。</w:t>
            </w:r>
          </w:p>
          <w:p w14:paraId="3449AEDA">
            <w:pPr>
              <w:pStyle w:val="9"/>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color w:val="auto"/>
                <w:sz w:val="21"/>
                <w:szCs w:val="21"/>
                <w:highlight w:val="none"/>
              </w:rPr>
            </w:pPr>
            <w:r>
              <w:rPr>
                <w:rFonts w:hint="default" w:ascii="Times New Roman" w:hAnsi="Times New Roman" w:cs="Times New Roman"/>
                <w:bCs/>
                <w:color w:val="auto"/>
                <w:sz w:val="21"/>
                <w:szCs w:val="21"/>
                <w:highlight w:val="none"/>
                <w:lang w:val="en-US" w:eastAsia="zh-CN"/>
              </w:rPr>
              <w:t>3）</w:t>
            </w:r>
            <w:r>
              <w:rPr>
                <w:rFonts w:hint="eastAsia"/>
                <w:color w:val="auto"/>
                <w:sz w:val="21"/>
                <w:szCs w:val="21"/>
                <w:highlight w:val="none"/>
              </w:rPr>
              <w:t>汞及其化合物</w:t>
            </w:r>
          </w:p>
          <w:p w14:paraId="5AA14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color w:val="auto"/>
                <w:sz w:val="21"/>
                <w:szCs w:val="21"/>
                <w:highlight w:val="none"/>
              </w:rPr>
              <w:t>生物质分析报告中未体现汞含量，根据《直接法测定固体生物质燃料中汞的试验研究》（煤质技术，2020年）可知，生物质汞含量为15.47ng/g。故，由于生物质颗粒汞含量低的特点，本项目暂不考虑汞的排放</w:t>
            </w:r>
            <w:r>
              <w:rPr>
                <w:rFonts w:hint="default" w:ascii="Times New Roman" w:hAnsi="Times New Roman" w:cs="Times New Roman"/>
                <w:color w:val="auto"/>
                <w:sz w:val="21"/>
                <w:szCs w:val="21"/>
                <w:highlight w:val="none"/>
              </w:rPr>
              <w:t>。</w:t>
            </w:r>
          </w:p>
          <w:p w14:paraId="22ABD5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本项目废气污染物经处理后均可达标排放，对环境空气影响较小。</w:t>
            </w:r>
          </w:p>
          <w:p w14:paraId="3B71554E">
            <w:pPr>
              <w:keepNext w:val="0"/>
              <w:keepLines w:val="0"/>
              <w:widowControl/>
              <w:suppressLineNumbers w:val="0"/>
              <w:adjustRightInd/>
              <w:snapToGrid/>
              <w:spacing w:before="0" w:beforeAutospacing="0" w:after="0" w:afterAutospacing="0" w:line="360" w:lineRule="auto"/>
              <w:ind w:left="0" w:right="0" w:firstLine="420" w:firstLineChars="200"/>
              <w:jc w:val="both"/>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）排放口基本情况</w:t>
            </w:r>
          </w:p>
          <w:p w14:paraId="4C766871">
            <w:pPr>
              <w:pStyle w:val="14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表4-</w:t>
            </w:r>
            <w:r>
              <w:rPr>
                <w:rFonts w:hint="eastAsia" w:ascii="Times New Roman" w:hAnsi="Times New Roman" w:eastAsia="宋体" w:cs="Times New Roman"/>
                <w:b/>
                <w:color w:val="auto"/>
                <w:sz w:val="21"/>
                <w:szCs w:val="21"/>
                <w:highlight w:val="none"/>
                <w:lang w:val="en-US" w:eastAsia="zh-CN"/>
              </w:rPr>
              <w:t xml:space="preserve">2 </w:t>
            </w:r>
            <w:r>
              <w:rPr>
                <w:rFonts w:hint="default" w:ascii="Times New Roman" w:hAnsi="Times New Roman" w:eastAsia="宋体" w:cs="Times New Roman"/>
                <w:b/>
                <w:color w:val="auto"/>
                <w:sz w:val="21"/>
                <w:szCs w:val="21"/>
                <w:highlight w:val="none"/>
              </w:rPr>
              <w:t>废气排放口基本情况一览表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485"/>
              <w:gridCol w:w="855"/>
              <w:gridCol w:w="855"/>
              <w:gridCol w:w="960"/>
              <w:gridCol w:w="1230"/>
              <w:gridCol w:w="1890"/>
            </w:tblGrid>
            <w:tr w14:paraId="33B5E7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4" w:type="pct"/>
                  <w:tcBorders>
                    <w:tl2br w:val="nil"/>
                    <w:tr2bl w:val="nil"/>
                  </w:tcBorders>
                  <w:noWrap w:val="0"/>
                  <w:vAlign w:val="center"/>
                </w:tcPr>
                <w:p w14:paraId="1A64B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编号</w:t>
                  </w:r>
                </w:p>
              </w:tc>
              <w:tc>
                <w:tcPr>
                  <w:tcW w:w="923" w:type="pct"/>
                  <w:tcBorders>
                    <w:tl2br w:val="nil"/>
                    <w:tr2bl w:val="nil"/>
                  </w:tcBorders>
                  <w:noWrap w:val="0"/>
                  <w:vAlign w:val="center"/>
                </w:tcPr>
                <w:p w14:paraId="16531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531" w:type="pct"/>
                  <w:tcBorders>
                    <w:tl2br w:val="nil"/>
                    <w:tr2bl w:val="nil"/>
                  </w:tcBorders>
                  <w:noWrap w:val="0"/>
                  <w:vAlign w:val="center"/>
                </w:tcPr>
                <w:p w14:paraId="6BC979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高度/m</w:t>
                  </w:r>
                </w:p>
              </w:tc>
              <w:tc>
                <w:tcPr>
                  <w:tcW w:w="531" w:type="pct"/>
                  <w:tcBorders>
                    <w:tl2br w:val="nil"/>
                    <w:tr2bl w:val="nil"/>
                  </w:tcBorders>
                  <w:noWrap w:val="0"/>
                  <w:vAlign w:val="center"/>
                </w:tcPr>
                <w:p w14:paraId="0A851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内径/m</w:t>
                  </w:r>
                </w:p>
              </w:tc>
              <w:tc>
                <w:tcPr>
                  <w:tcW w:w="597" w:type="pct"/>
                  <w:tcBorders>
                    <w:tl2br w:val="nil"/>
                    <w:tr2bl w:val="nil"/>
                  </w:tcBorders>
                  <w:noWrap w:val="0"/>
                  <w:vAlign w:val="center"/>
                </w:tcPr>
                <w:p w14:paraId="05ED5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温度/℃</w:t>
                  </w:r>
                </w:p>
              </w:tc>
              <w:tc>
                <w:tcPr>
                  <w:tcW w:w="765" w:type="pct"/>
                  <w:tcBorders>
                    <w:tl2br w:val="nil"/>
                    <w:tr2bl w:val="nil"/>
                  </w:tcBorders>
                  <w:noWrap w:val="0"/>
                  <w:vAlign w:val="center"/>
                </w:tcPr>
                <w:p w14:paraId="48649F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类型</w:t>
                  </w:r>
                </w:p>
              </w:tc>
              <w:tc>
                <w:tcPr>
                  <w:tcW w:w="1175" w:type="pct"/>
                  <w:tcBorders>
                    <w:tl2br w:val="nil"/>
                    <w:tr2bl w:val="nil"/>
                  </w:tcBorders>
                  <w:noWrap w:val="0"/>
                  <w:vAlign w:val="center"/>
                </w:tcPr>
                <w:p w14:paraId="5A0F77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地理坐标</w:t>
                  </w:r>
                </w:p>
              </w:tc>
            </w:tr>
            <w:tr w14:paraId="0CD2E2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4" w:type="pct"/>
                  <w:tcBorders>
                    <w:tl2br w:val="nil"/>
                    <w:tr2bl w:val="nil"/>
                  </w:tcBorders>
                  <w:noWrap w:val="0"/>
                  <w:vAlign w:val="center"/>
                </w:tcPr>
                <w:p w14:paraId="6119D5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DA00</w:t>
                  </w:r>
                  <w:r>
                    <w:rPr>
                      <w:rFonts w:hint="eastAsia" w:cs="Times New Roman"/>
                      <w:color w:val="auto"/>
                      <w:sz w:val="18"/>
                      <w:szCs w:val="18"/>
                      <w:highlight w:val="none"/>
                      <w:lang w:val="en-US" w:eastAsia="zh-CN"/>
                    </w:rPr>
                    <w:t>1</w:t>
                  </w:r>
                </w:p>
              </w:tc>
              <w:tc>
                <w:tcPr>
                  <w:tcW w:w="923" w:type="pct"/>
                  <w:tcBorders>
                    <w:tl2br w:val="nil"/>
                    <w:tr2bl w:val="nil"/>
                  </w:tcBorders>
                  <w:noWrap w:val="0"/>
                  <w:vAlign w:val="center"/>
                </w:tcPr>
                <w:p w14:paraId="2CA25C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锅炉烟囱</w:t>
                  </w:r>
                </w:p>
              </w:tc>
              <w:tc>
                <w:tcPr>
                  <w:tcW w:w="531" w:type="pct"/>
                  <w:tcBorders>
                    <w:tl2br w:val="nil"/>
                    <w:tr2bl w:val="nil"/>
                  </w:tcBorders>
                  <w:noWrap w:val="0"/>
                  <w:vAlign w:val="center"/>
                </w:tcPr>
                <w:p w14:paraId="5ACFE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60</w:t>
                  </w:r>
                </w:p>
              </w:tc>
              <w:tc>
                <w:tcPr>
                  <w:tcW w:w="531" w:type="pct"/>
                  <w:tcBorders>
                    <w:tl2br w:val="nil"/>
                    <w:tr2bl w:val="nil"/>
                  </w:tcBorders>
                  <w:noWrap w:val="0"/>
                  <w:vAlign w:val="center"/>
                </w:tcPr>
                <w:p w14:paraId="70CF22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0.8</w:t>
                  </w:r>
                </w:p>
              </w:tc>
              <w:tc>
                <w:tcPr>
                  <w:tcW w:w="597" w:type="pct"/>
                  <w:tcBorders>
                    <w:tl2br w:val="nil"/>
                    <w:tr2bl w:val="nil"/>
                  </w:tcBorders>
                  <w:noWrap w:val="0"/>
                  <w:vAlign w:val="center"/>
                </w:tcPr>
                <w:p w14:paraId="2C4A21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120</w:t>
                  </w:r>
                </w:p>
              </w:tc>
              <w:tc>
                <w:tcPr>
                  <w:tcW w:w="765" w:type="pct"/>
                  <w:tcBorders>
                    <w:tl2br w:val="nil"/>
                    <w:tr2bl w:val="nil"/>
                  </w:tcBorders>
                  <w:noWrap w:val="0"/>
                  <w:vAlign w:val="center"/>
                </w:tcPr>
                <w:p w14:paraId="72814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主要</w:t>
                  </w:r>
                  <w:r>
                    <w:rPr>
                      <w:rFonts w:hint="default" w:ascii="Times New Roman" w:hAnsi="Times New Roman" w:cs="Times New Roman"/>
                      <w:color w:val="auto"/>
                      <w:sz w:val="18"/>
                      <w:szCs w:val="18"/>
                      <w:highlight w:val="none"/>
                    </w:rPr>
                    <w:t>排放口</w:t>
                  </w:r>
                </w:p>
              </w:tc>
              <w:tc>
                <w:tcPr>
                  <w:tcW w:w="1175" w:type="pct"/>
                  <w:tcBorders>
                    <w:tl2br w:val="nil"/>
                    <w:tr2bl w:val="nil"/>
                  </w:tcBorders>
                  <w:noWrap w:val="0"/>
                  <w:vAlign w:val="center"/>
                </w:tcPr>
                <w:p w14:paraId="4861A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18"/>
                      <w:szCs w:val="18"/>
                      <w:highlight w:val="none"/>
                    </w:rPr>
                  </w:pPr>
                  <w:r>
                    <w:rPr>
                      <w:rFonts w:hint="default" w:ascii="Times New Roman" w:hAnsi="Times New Roman" w:cs="Times New Roman"/>
                      <w:color w:val="auto"/>
                      <w:sz w:val="18"/>
                      <w:szCs w:val="18"/>
                      <w:highlight w:val="none"/>
                    </w:rPr>
                    <w:t>经</w:t>
                  </w:r>
                  <w:r>
                    <w:rPr>
                      <w:rFonts w:hint="default" w:ascii="Times New Roman" w:hAnsi="Times New Roman" w:cs="Times New Roman"/>
                      <w:b w:val="0"/>
                      <w:bCs w:val="0"/>
                      <w:color w:val="auto"/>
                      <w:sz w:val="18"/>
                      <w:szCs w:val="18"/>
                      <w:highlight w:val="none"/>
                    </w:rPr>
                    <w:t>度：</w:t>
                  </w:r>
                  <w:r>
                    <w:rPr>
                      <w:rFonts w:hint="default"/>
                      <w:bCs/>
                      <w:color w:val="auto"/>
                      <w:sz w:val="18"/>
                      <w:szCs w:val="18"/>
                      <w:highlight w:val="none"/>
                    </w:rPr>
                    <w:t>130.94356120</w:t>
                  </w:r>
                </w:p>
                <w:p w14:paraId="6EA6F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val="0"/>
                      <w:bCs w:val="0"/>
                      <w:color w:val="auto"/>
                      <w:sz w:val="18"/>
                      <w:szCs w:val="18"/>
                      <w:highlight w:val="none"/>
                    </w:rPr>
                    <w:t>纬度：</w:t>
                  </w:r>
                  <w:r>
                    <w:rPr>
                      <w:rFonts w:hint="default"/>
                      <w:bCs/>
                      <w:color w:val="auto"/>
                      <w:sz w:val="18"/>
                      <w:szCs w:val="18"/>
                      <w:highlight w:val="none"/>
                    </w:rPr>
                    <w:t>45.20564519</w:t>
                  </w:r>
                </w:p>
              </w:tc>
            </w:tr>
          </w:tbl>
          <w:p w14:paraId="0E2FEF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）本项目非正常排放</w:t>
            </w:r>
          </w:p>
          <w:p w14:paraId="175BA051">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eastAsia="宋体"/>
                <w:color w:val="auto"/>
                <w:sz w:val="24"/>
                <w:highlight w:val="none"/>
                <w:lang w:eastAsia="zh-CN"/>
              </w:rPr>
            </w:pPr>
            <w:r>
              <w:rPr>
                <w:rFonts w:hint="default"/>
                <w:color w:val="auto"/>
                <w:sz w:val="21"/>
                <w:szCs w:val="21"/>
                <w:highlight w:val="none"/>
              </w:rPr>
              <w:t>废气治理措施发生故障，废气</w:t>
            </w:r>
            <w:r>
              <w:rPr>
                <w:rFonts w:hint="eastAsia"/>
                <w:color w:val="auto"/>
                <w:sz w:val="21"/>
                <w:szCs w:val="21"/>
                <w:highlight w:val="none"/>
                <w:lang w:val="en-US" w:eastAsia="zh-CN"/>
              </w:rPr>
              <w:t>处理设施效率降低后</w:t>
            </w:r>
            <w:r>
              <w:rPr>
                <w:rFonts w:hint="default"/>
                <w:color w:val="auto"/>
                <w:sz w:val="21"/>
                <w:szCs w:val="21"/>
                <w:highlight w:val="none"/>
              </w:rPr>
              <w:t>排放</w:t>
            </w:r>
            <w:r>
              <w:rPr>
                <w:rFonts w:hint="eastAsia"/>
                <w:color w:val="auto"/>
                <w:sz w:val="21"/>
                <w:szCs w:val="21"/>
                <w:highlight w:val="none"/>
                <w:lang w:eastAsia="zh-CN"/>
              </w:rPr>
              <w:t>。</w:t>
            </w:r>
          </w:p>
          <w:p w14:paraId="19C1ACD0">
            <w:pPr>
              <w:pStyle w:val="7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 xml:space="preserve">3 </w:t>
            </w:r>
            <w:r>
              <w:rPr>
                <w:rFonts w:hint="default" w:ascii="Times New Roman" w:hAnsi="Times New Roman" w:cs="Times New Roman"/>
                <w:b/>
                <w:color w:val="auto"/>
                <w:sz w:val="21"/>
                <w:szCs w:val="21"/>
                <w:highlight w:val="none"/>
              </w:rPr>
              <w:t>非正常排放参数表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0"/>
              <w:gridCol w:w="2329"/>
              <w:gridCol w:w="857"/>
              <w:gridCol w:w="1157"/>
              <w:gridCol w:w="957"/>
              <w:gridCol w:w="871"/>
              <w:gridCol w:w="1047"/>
            </w:tblGrid>
            <w:tr w14:paraId="0E842D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pct"/>
                  <w:tcBorders>
                    <w:tl2br w:val="nil"/>
                    <w:tr2bl w:val="nil"/>
                  </w:tcBorders>
                  <w:noWrap w:val="0"/>
                  <w:vAlign w:val="center"/>
                </w:tcPr>
                <w:p w14:paraId="7A15DECC">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非正常排放源</w:t>
                  </w:r>
                </w:p>
              </w:tc>
              <w:tc>
                <w:tcPr>
                  <w:tcW w:w="1448" w:type="pct"/>
                  <w:tcBorders>
                    <w:tl2br w:val="nil"/>
                    <w:tr2bl w:val="nil"/>
                  </w:tcBorders>
                  <w:noWrap w:val="0"/>
                  <w:vAlign w:val="center"/>
                </w:tcPr>
                <w:p w14:paraId="403C6235">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非正常排放原因</w:t>
                  </w:r>
                </w:p>
              </w:tc>
              <w:tc>
                <w:tcPr>
                  <w:tcW w:w="533" w:type="pct"/>
                  <w:tcBorders>
                    <w:tl2br w:val="nil"/>
                    <w:tr2bl w:val="nil"/>
                  </w:tcBorders>
                  <w:noWrap w:val="0"/>
                  <w:vAlign w:val="center"/>
                </w:tcPr>
                <w:p w14:paraId="31C8795C">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719" w:type="pct"/>
                  <w:tcBorders>
                    <w:tl2br w:val="nil"/>
                    <w:tr2bl w:val="nil"/>
                  </w:tcBorders>
                  <w:noWrap w:val="0"/>
                  <w:vAlign w:val="center"/>
                </w:tcPr>
                <w:p w14:paraId="4AE17CC5">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w:t>
                  </w:r>
                </w:p>
                <w:p w14:paraId="01008EFC">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Cs/>
                      <w:color w:val="auto"/>
                      <w:sz w:val="18"/>
                      <w:szCs w:val="18"/>
                      <w:highlight w:val="none"/>
                    </w:rPr>
                    <w:t>速率kg/h</w:t>
                  </w:r>
                </w:p>
              </w:tc>
              <w:tc>
                <w:tcPr>
                  <w:tcW w:w="595" w:type="pct"/>
                  <w:tcBorders>
                    <w:tl2br w:val="nil"/>
                    <w:tr2bl w:val="nil"/>
                  </w:tcBorders>
                  <w:noWrap w:val="0"/>
                  <w:vAlign w:val="center"/>
                </w:tcPr>
                <w:p w14:paraId="168A5002">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单次持续时间/h</w:t>
                  </w:r>
                </w:p>
              </w:tc>
              <w:tc>
                <w:tcPr>
                  <w:tcW w:w="541" w:type="pct"/>
                  <w:tcBorders>
                    <w:tl2br w:val="nil"/>
                    <w:tr2bl w:val="nil"/>
                  </w:tcBorders>
                  <w:noWrap w:val="0"/>
                  <w:vAlign w:val="center"/>
                </w:tcPr>
                <w:p w14:paraId="3FF252B0">
                  <w:pPr>
                    <w:pStyle w:val="7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年发生频次/次</w:t>
                  </w:r>
                </w:p>
              </w:tc>
              <w:tc>
                <w:tcPr>
                  <w:tcW w:w="651" w:type="pct"/>
                  <w:tcBorders>
                    <w:tl2br w:val="nil"/>
                    <w:tr2bl w:val="nil"/>
                  </w:tcBorders>
                  <w:noWrap w:val="0"/>
                  <w:vAlign w:val="center"/>
                </w:tcPr>
                <w:p w14:paraId="3890170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应对措施</w:t>
                  </w:r>
                </w:p>
              </w:tc>
            </w:tr>
            <w:tr w14:paraId="19E8DF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pct"/>
                  <w:tcBorders>
                    <w:tl2br w:val="nil"/>
                    <w:tr2bl w:val="nil"/>
                  </w:tcBorders>
                  <w:noWrap w:val="0"/>
                  <w:vAlign w:val="center"/>
                </w:tcPr>
                <w:p w14:paraId="34E0E5E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DA00</w:t>
                  </w:r>
                  <w:r>
                    <w:rPr>
                      <w:rFonts w:hint="eastAsia" w:cs="Times New Roman"/>
                      <w:color w:val="auto"/>
                      <w:sz w:val="18"/>
                      <w:szCs w:val="18"/>
                      <w:highlight w:val="none"/>
                      <w:lang w:val="en-US" w:eastAsia="zh-CN"/>
                    </w:rPr>
                    <w:t>1</w:t>
                  </w:r>
                </w:p>
              </w:tc>
              <w:tc>
                <w:tcPr>
                  <w:tcW w:w="1448" w:type="pct"/>
                  <w:tcBorders>
                    <w:tl2br w:val="nil"/>
                    <w:tr2bl w:val="nil"/>
                  </w:tcBorders>
                  <w:noWrap w:val="0"/>
                  <w:vAlign w:val="center"/>
                </w:tcPr>
                <w:p w14:paraId="025C5B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多管陶瓷+布袋除尘器故障，</w:t>
                  </w:r>
                  <w:r>
                    <w:rPr>
                      <w:rFonts w:hint="default" w:ascii="Times New Roman" w:hAnsi="Times New Roman" w:eastAsia="宋体" w:cs="Times New Roman"/>
                      <w:color w:val="auto"/>
                      <w:sz w:val="18"/>
                      <w:szCs w:val="18"/>
                      <w:highlight w:val="none"/>
                    </w:rPr>
                    <w:t>处理效率降低</w:t>
                  </w:r>
                  <w:r>
                    <w:rPr>
                      <w:rFonts w:hint="eastAsia" w:cs="Times New Roman"/>
                      <w:color w:val="auto"/>
                      <w:sz w:val="18"/>
                      <w:szCs w:val="18"/>
                      <w:highlight w:val="none"/>
                      <w:lang w:val="en-US" w:eastAsia="zh-CN"/>
                    </w:rPr>
                    <w:t>至90</w:t>
                  </w:r>
                  <w:r>
                    <w:rPr>
                      <w:rFonts w:hint="default" w:ascii="Times New Roman" w:hAnsi="Times New Roman" w:eastAsia="宋体" w:cs="Times New Roman"/>
                      <w:color w:val="auto"/>
                      <w:sz w:val="18"/>
                      <w:szCs w:val="18"/>
                      <w:highlight w:val="none"/>
                    </w:rPr>
                    <w:t>%</w:t>
                  </w:r>
                </w:p>
              </w:tc>
              <w:tc>
                <w:tcPr>
                  <w:tcW w:w="533" w:type="pct"/>
                  <w:tcBorders>
                    <w:tl2br w:val="nil"/>
                    <w:tr2bl w:val="nil"/>
                  </w:tcBorders>
                  <w:noWrap w:val="0"/>
                  <w:vAlign w:val="center"/>
                </w:tcPr>
                <w:p w14:paraId="365A262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颗粒物</w:t>
                  </w:r>
                </w:p>
              </w:tc>
              <w:tc>
                <w:tcPr>
                  <w:tcW w:w="719" w:type="pct"/>
                  <w:tcBorders>
                    <w:tl2br w:val="nil"/>
                    <w:tr2bl w:val="nil"/>
                  </w:tcBorders>
                  <w:noWrap w:val="0"/>
                  <w:vAlign w:val="center"/>
                </w:tcPr>
                <w:p w14:paraId="62BB169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18.8</w:t>
                  </w:r>
                </w:p>
              </w:tc>
              <w:tc>
                <w:tcPr>
                  <w:tcW w:w="595" w:type="pct"/>
                  <w:tcBorders>
                    <w:tl2br w:val="nil"/>
                    <w:tr2bl w:val="nil"/>
                  </w:tcBorders>
                  <w:noWrap w:val="0"/>
                  <w:vAlign w:val="center"/>
                </w:tcPr>
                <w:p w14:paraId="7899D3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eastAsia="zh-CN"/>
                    </w:rPr>
                    <w:t>&lt;</w:t>
                  </w:r>
                  <w:r>
                    <w:rPr>
                      <w:rFonts w:hint="default" w:ascii="Times New Roman" w:hAnsi="Times New Roman" w:eastAsia="宋体" w:cs="Times New Roman"/>
                      <w:color w:val="auto"/>
                      <w:sz w:val="18"/>
                      <w:szCs w:val="18"/>
                      <w:highlight w:val="none"/>
                    </w:rPr>
                    <w:t>1</w:t>
                  </w:r>
                </w:p>
              </w:tc>
              <w:tc>
                <w:tcPr>
                  <w:tcW w:w="541" w:type="pct"/>
                  <w:tcBorders>
                    <w:tl2br w:val="nil"/>
                    <w:tr2bl w:val="nil"/>
                  </w:tcBorders>
                  <w:noWrap w:val="0"/>
                  <w:vAlign w:val="center"/>
                </w:tcPr>
                <w:p w14:paraId="40FFBE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51" w:type="pct"/>
                  <w:tcBorders>
                    <w:tl2br w:val="nil"/>
                    <w:tr2bl w:val="nil"/>
                  </w:tcBorders>
                  <w:noWrap w:val="0"/>
                  <w:vAlign w:val="center"/>
                </w:tcPr>
                <w:p w14:paraId="452A6B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bl>
          <w:p w14:paraId="79FB0D1F">
            <w:pPr>
              <w:keepNext w:val="0"/>
              <w:keepLines w:val="0"/>
              <w:widowControl/>
              <w:suppressLineNumbers w:val="0"/>
              <w:spacing w:before="0" w:beforeAutospacing="0" w:after="0" w:afterAutospacing="0" w:line="360" w:lineRule="auto"/>
              <w:ind w:left="0" w:right="0" w:firstLine="420" w:firstLineChars="200"/>
              <w:jc w:val="both"/>
              <w:rPr>
                <w:rFonts w:hint="default" w:ascii="Times New Roman" w:hAnsi="Times New Roman" w:cs="Times New Roman"/>
                <w:b/>
                <w:bCs/>
                <w:color w:val="auto"/>
                <w:szCs w:val="21"/>
                <w:highlight w:val="none"/>
              </w:rPr>
            </w:pPr>
            <w:r>
              <w:rPr>
                <w:rFonts w:hint="eastAsia" w:cs="Times New Roman"/>
                <w:b w:val="0"/>
                <w:bCs w:val="0"/>
                <w:color w:val="auto"/>
                <w:szCs w:val="21"/>
                <w:highlight w:val="none"/>
                <w:lang w:eastAsia="zh-CN"/>
              </w:rPr>
              <w:t>（</w:t>
            </w:r>
            <w:r>
              <w:rPr>
                <w:rFonts w:hint="eastAsia" w:cs="Times New Roman"/>
                <w:b w:val="0"/>
                <w:bCs w:val="0"/>
                <w:color w:val="auto"/>
                <w:szCs w:val="21"/>
                <w:highlight w:val="none"/>
                <w:lang w:val="en-US" w:eastAsia="zh-CN"/>
              </w:rPr>
              <w:t>4</w:t>
            </w:r>
            <w:r>
              <w:rPr>
                <w:rFonts w:hint="eastAsia" w:cs="Times New Roman"/>
                <w:b w:val="0"/>
                <w:bCs w:val="0"/>
                <w:color w:val="auto"/>
                <w:szCs w:val="21"/>
                <w:highlight w:val="none"/>
                <w:lang w:eastAsia="zh-CN"/>
              </w:rPr>
              <w:t>）</w:t>
            </w:r>
            <w:r>
              <w:rPr>
                <w:rFonts w:hint="default" w:ascii="Times New Roman" w:hAnsi="Times New Roman" w:cs="Times New Roman"/>
                <w:b w:val="0"/>
                <w:bCs w:val="0"/>
                <w:color w:val="auto"/>
                <w:szCs w:val="21"/>
                <w:highlight w:val="none"/>
              </w:rPr>
              <w:t>废气监测计划</w:t>
            </w:r>
          </w:p>
          <w:p w14:paraId="1CD08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color w:val="auto"/>
                <w:sz w:val="21"/>
                <w:szCs w:val="21"/>
                <w:highlight w:val="none"/>
              </w:rPr>
              <w:t>根据《排污单位自行监测技术指南 火力发电及锅炉》（HJ820-2017</w:t>
            </w:r>
            <w:r>
              <w:rPr>
                <w:rFonts w:hint="eastAsia"/>
                <w:color w:val="auto"/>
                <w:sz w:val="21"/>
                <w:szCs w:val="21"/>
                <w:highlight w:val="none"/>
                <w:lang w:eastAsia="zh-CN"/>
              </w:rPr>
              <w:t>），</w:t>
            </w:r>
            <w:r>
              <w:rPr>
                <w:rFonts w:hint="eastAsia"/>
                <w:color w:val="auto"/>
                <w:sz w:val="21"/>
                <w:szCs w:val="21"/>
                <w:highlight w:val="none"/>
                <w:lang w:val="en-US" w:eastAsia="zh-CN"/>
              </w:rPr>
              <w:t>排气筒废气监测应同步监测烟气参数，</w:t>
            </w:r>
            <w:r>
              <w:rPr>
                <w:rFonts w:hint="default" w:ascii="Times New Roman" w:hAnsi="Times New Roman" w:cs="Times New Roman"/>
                <w:color w:val="auto"/>
                <w:sz w:val="21"/>
                <w:szCs w:val="21"/>
                <w:highlight w:val="none"/>
              </w:rPr>
              <w:t>制定本项目废气监测计划如下</w:t>
            </w:r>
            <w:r>
              <w:rPr>
                <w:rFonts w:hint="eastAsia" w:ascii="Times New Roman" w:hAnsi="Times New Roman" w:eastAsia="宋体" w:cs="Times New Roman"/>
                <w:color w:val="auto"/>
                <w:sz w:val="21"/>
                <w:szCs w:val="21"/>
                <w:highlight w:val="none"/>
                <w:lang w:eastAsia="zh-CN"/>
              </w:rPr>
              <w:t>。</w:t>
            </w:r>
          </w:p>
          <w:p w14:paraId="3EADD34D">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4 </w:t>
            </w:r>
            <w:r>
              <w:rPr>
                <w:rFonts w:hint="default" w:ascii="Times New Roman" w:hAnsi="Times New Roman" w:cs="Times New Roman"/>
                <w:b/>
                <w:color w:val="auto"/>
                <w:szCs w:val="21"/>
                <w:highlight w:val="none"/>
              </w:rPr>
              <w:t>废气监测方案</w:t>
            </w:r>
          </w:p>
          <w:tbl>
            <w:tblPr>
              <w:tblStyle w:val="37"/>
              <w:tblW w:w="4998" w:type="pct"/>
              <w:jc w:val="center"/>
              <w:tblBorders>
                <w:top w:val="single" w:color="auto" w:sz="4" w:space="0"/>
                <w:left w:val="none" w:color="auto" w:sz="0" w:space="0"/>
                <w:bottom w:val="single" w:color="auto"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158"/>
              <w:gridCol w:w="2684"/>
              <w:gridCol w:w="1013"/>
              <w:gridCol w:w="2426"/>
            </w:tblGrid>
            <w:tr w14:paraId="35498ED1">
              <w:tblPrEx>
                <w:tblBorders>
                  <w:top w:val="single" w:color="auto" w:sz="4" w:space="0"/>
                  <w:left w:val="none" w:color="auto" w:sz="0" w:space="0"/>
                  <w:bottom w:val="single" w:color="auto"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14:paraId="704449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编号</w:t>
                  </w:r>
                </w:p>
              </w:tc>
              <w:tc>
                <w:tcPr>
                  <w:tcW w:w="1158" w:type="dxa"/>
                  <w:tcBorders>
                    <w:tl2br w:val="nil"/>
                    <w:tr2bl w:val="nil"/>
                  </w:tcBorders>
                  <w:noWrap w:val="0"/>
                  <w:vAlign w:val="center"/>
                </w:tcPr>
                <w:p w14:paraId="1D788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排放口名称</w:t>
                  </w:r>
                </w:p>
              </w:tc>
              <w:tc>
                <w:tcPr>
                  <w:tcW w:w="2684" w:type="dxa"/>
                  <w:tcBorders>
                    <w:tl2br w:val="nil"/>
                    <w:tr2bl w:val="nil"/>
                  </w:tcBorders>
                  <w:noWrap w:val="0"/>
                  <w:vAlign w:val="center"/>
                </w:tcPr>
                <w:p w14:paraId="13193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w:t>
                  </w:r>
                  <w:r>
                    <w:rPr>
                      <w:rFonts w:hint="default" w:ascii="Times New Roman" w:hAnsi="Times New Roman" w:eastAsia="宋体" w:cs="Times New Roman"/>
                      <w:bCs/>
                      <w:color w:val="auto"/>
                      <w:sz w:val="18"/>
                      <w:szCs w:val="18"/>
                      <w:highlight w:val="none"/>
                    </w:rPr>
                    <w:t>因子</w:t>
                  </w:r>
                </w:p>
              </w:tc>
              <w:tc>
                <w:tcPr>
                  <w:tcW w:w="1013" w:type="dxa"/>
                  <w:tcBorders>
                    <w:tl2br w:val="nil"/>
                    <w:tr2bl w:val="nil"/>
                  </w:tcBorders>
                  <w:noWrap w:val="0"/>
                  <w:vAlign w:val="center"/>
                </w:tcPr>
                <w:p w14:paraId="20F89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监测频次</w:t>
                  </w:r>
                </w:p>
              </w:tc>
              <w:tc>
                <w:tcPr>
                  <w:tcW w:w="2426" w:type="dxa"/>
                  <w:tcBorders>
                    <w:tl2br w:val="nil"/>
                    <w:tr2bl w:val="nil"/>
                  </w:tcBorders>
                  <w:noWrap w:val="0"/>
                  <w:vAlign w:val="center"/>
                </w:tcPr>
                <w:p w14:paraId="22799C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执行排放标准</w:t>
                  </w:r>
                </w:p>
              </w:tc>
            </w:tr>
            <w:tr w14:paraId="0D8B1951">
              <w:tblPrEx>
                <w:tblBorders>
                  <w:top w:val="single" w:color="auto" w:sz="4" w:space="0"/>
                  <w:left w:val="none" w:color="auto" w:sz="0" w:space="0"/>
                  <w:bottom w:val="single" w:color="auto"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l2br w:val="nil"/>
                    <w:tr2bl w:val="nil"/>
                  </w:tcBorders>
                  <w:noWrap w:val="0"/>
                  <w:vAlign w:val="center"/>
                </w:tcPr>
                <w:p w14:paraId="791BE3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w:t>
                  </w:r>
                  <w:r>
                    <w:rPr>
                      <w:rFonts w:hint="eastAsia" w:cs="Times New Roman"/>
                      <w:color w:val="auto"/>
                      <w:sz w:val="18"/>
                      <w:szCs w:val="18"/>
                      <w:highlight w:val="none"/>
                      <w:lang w:val="en-US" w:eastAsia="zh-CN"/>
                    </w:rPr>
                    <w:t>1</w:t>
                  </w:r>
                </w:p>
              </w:tc>
              <w:tc>
                <w:tcPr>
                  <w:tcW w:w="1158" w:type="dxa"/>
                  <w:vMerge w:val="restart"/>
                  <w:tcBorders>
                    <w:tl2br w:val="nil"/>
                    <w:tr2bl w:val="nil"/>
                  </w:tcBorders>
                  <w:noWrap w:val="0"/>
                  <w:vAlign w:val="center"/>
                </w:tcPr>
                <w:p w14:paraId="2B5583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锅炉烟囱</w:t>
                  </w:r>
                </w:p>
              </w:tc>
              <w:tc>
                <w:tcPr>
                  <w:tcW w:w="2684" w:type="dxa"/>
                  <w:tcBorders>
                    <w:tl2br w:val="nil"/>
                    <w:tr2bl w:val="nil"/>
                  </w:tcBorders>
                  <w:noWrap w:val="0"/>
                  <w:vAlign w:val="center"/>
                </w:tcPr>
                <w:p w14:paraId="31C606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颗粒物、二氧化硫、</w:t>
                  </w:r>
                  <w:r>
                    <w:rPr>
                      <w:rFonts w:hint="eastAsia" w:cs="Times New Roman"/>
                      <w:color w:val="auto"/>
                      <w:sz w:val="18"/>
                      <w:szCs w:val="18"/>
                      <w:highlight w:val="none"/>
                      <w:lang w:val="en-US" w:eastAsia="zh-CN"/>
                    </w:rPr>
                    <w:t>林格曼</w:t>
                  </w:r>
                  <w:r>
                    <w:rPr>
                      <w:rFonts w:hint="default" w:ascii="Times New Roman" w:hAnsi="Times New Roman" w:eastAsia="宋体" w:cs="Times New Roman"/>
                      <w:color w:val="auto"/>
                      <w:sz w:val="18"/>
                      <w:szCs w:val="18"/>
                      <w:highlight w:val="none"/>
                    </w:rPr>
                    <w:t>黑度</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氮氧化物</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汞及其化合物</w:t>
                  </w:r>
                </w:p>
              </w:tc>
              <w:tc>
                <w:tcPr>
                  <w:tcW w:w="1013" w:type="dxa"/>
                  <w:vMerge w:val="restart"/>
                  <w:tcBorders>
                    <w:tl2br w:val="nil"/>
                    <w:tr2bl w:val="nil"/>
                  </w:tcBorders>
                  <w:noWrap w:val="0"/>
                  <w:vAlign w:val="center"/>
                </w:tcPr>
                <w:p w14:paraId="76D8B1D7">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1次/月</w:t>
                  </w:r>
                </w:p>
              </w:tc>
              <w:tc>
                <w:tcPr>
                  <w:tcW w:w="2426" w:type="dxa"/>
                  <w:vMerge w:val="restart"/>
                  <w:tcBorders>
                    <w:tl2br w:val="nil"/>
                    <w:tr2bl w:val="nil"/>
                  </w:tcBorders>
                  <w:noWrap w:val="0"/>
                  <w:vAlign w:val="center"/>
                </w:tcPr>
                <w:p w14:paraId="371CB7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《锅炉大气污染物排放标准》（GB13271-2014）表2</w:t>
                  </w:r>
                  <w:r>
                    <w:rPr>
                      <w:rFonts w:hint="eastAsia" w:ascii="宋体" w:hAnsi="宋体" w:eastAsia="宋体" w:cs="宋体"/>
                      <w:bCs/>
                      <w:color w:val="auto"/>
                      <w:sz w:val="18"/>
                      <w:szCs w:val="18"/>
                      <w:highlight w:val="none"/>
                    </w:rPr>
                    <w:t>中“燃煤锅炉”</w:t>
                  </w:r>
                  <w:r>
                    <w:rPr>
                      <w:rFonts w:hint="default" w:ascii="Times New Roman" w:hAnsi="Times New Roman" w:cs="Times New Roman"/>
                      <w:bCs/>
                      <w:color w:val="auto"/>
                      <w:sz w:val="18"/>
                      <w:szCs w:val="18"/>
                      <w:highlight w:val="none"/>
                    </w:rPr>
                    <w:t>排放标准</w:t>
                  </w:r>
                </w:p>
              </w:tc>
            </w:tr>
            <w:tr w14:paraId="1B555EC6">
              <w:tblPrEx>
                <w:tblBorders>
                  <w:top w:val="single" w:color="auto" w:sz="4" w:space="0"/>
                  <w:left w:val="none" w:color="auto" w:sz="0" w:space="0"/>
                  <w:bottom w:val="single" w:color="auto"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tl2br w:val="nil"/>
                    <w:tr2bl w:val="nil"/>
                  </w:tcBorders>
                  <w:noWrap w:val="0"/>
                  <w:vAlign w:val="center"/>
                </w:tcPr>
                <w:p w14:paraId="0B3AB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p>
              </w:tc>
              <w:tc>
                <w:tcPr>
                  <w:tcW w:w="1158" w:type="dxa"/>
                  <w:vMerge w:val="continue"/>
                  <w:tcBorders>
                    <w:tl2br w:val="nil"/>
                    <w:tr2bl w:val="nil"/>
                  </w:tcBorders>
                  <w:noWrap w:val="0"/>
                  <w:vAlign w:val="center"/>
                </w:tcPr>
                <w:p w14:paraId="03C99F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c>
                <w:tcPr>
                  <w:tcW w:w="2684" w:type="dxa"/>
                  <w:tcBorders>
                    <w:tl2br w:val="nil"/>
                    <w:tr2bl w:val="nil"/>
                  </w:tcBorders>
                  <w:noWrap w:val="0"/>
                  <w:vAlign w:val="center"/>
                </w:tcPr>
                <w:p w14:paraId="2FA54F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烟气参数：流量、温度、压力等</w:t>
                  </w:r>
                </w:p>
              </w:tc>
              <w:tc>
                <w:tcPr>
                  <w:tcW w:w="1013" w:type="dxa"/>
                  <w:vMerge w:val="continue"/>
                  <w:tcBorders>
                    <w:tl2br w:val="nil"/>
                    <w:tr2bl w:val="nil"/>
                  </w:tcBorders>
                  <w:noWrap w:val="0"/>
                  <w:vAlign w:val="center"/>
                </w:tcPr>
                <w:p w14:paraId="02233F2E">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2426" w:type="dxa"/>
                  <w:vMerge w:val="continue"/>
                  <w:tcBorders>
                    <w:tl2br w:val="nil"/>
                    <w:tr2bl w:val="nil"/>
                  </w:tcBorders>
                  <w:noWrap w:val="0"/>
                  <w:vAlign w:val="center"/>
                </w:tcPr>
                <w:p w14:paraId="2A57CF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18"/>
                      <w:szCs w:val="18"/>
                      <w:highlight w:val="none"/>
                    </w:rPr>
                  </w:pPr>
                </w:p>
              </w:tc>
            </w:tr>
            <w:tr w14:paraId="56614F1E">
              <w:tblPrEx>
                <w:tblBorders>
                  <w:top w:val="single" w:color="auto" w:sz="4" w:space="0"/>
                  <w:left w:val="none" w:color="auto" w:sz="0" w:space="0"/>
                  <w:bottom w:val="single" w:color="auto"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08" w:type="dxa"/>
                  <w:gridSpan w:val="2"/>
                  <w:tcBorders>
                    <w:tl2br w:val="nil"/>
                    <w:tr2bl w:val="nil"/>
                  </w:tcBorders>
                  <w:noWrap w:val="0"/>
                  <w:vAlign w:val="center"/>
                </w:tcPr>
                <w:p w14:paraId="0C053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厂界</w:t>
                  </w:r>
                </w:p>
              </w:tc>
              <w:tc>
                <w:tcPr>
                  <w:tcW w:w="2684" w:type="dxa"/>
                  <w:tcBorders>
                    <w:tl2br w:val="nil"/>
                    <w:tr2bl w:val="nil"/>
                  </w:tcBorders>
                  <w:noWrap w:val="0"/>
                  <w:vAlign w:val="center"/>
                </w:tcPr>
                <w:p w14:paraId="0046C5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013" w:type="dxa"/>
                  <w:tcBorders>
                    <w:tl2br w:val="nil"/>
                    <w:tr2bl w:val="nil"/>
                  </w:tcBorders>
                  <w:noWrap w:val="0"/>
                  <w:vAlign w:val="center"/>
                </w:tcPr>
                <w:p w14:paraId="1CFA0FBA">
                  <w:pPr>
                    <w:pStyle w:val="5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1</w:t>
                  </w:r>
                  <w:r>
                    <w:rPr>
                      <w:rFonts w:hint="default" w:ascii="Times New Roman" w:hAnsi="Times New Roman" w:eastAsia="宋体" w:cs="Times New Roman"/>
                      <w:b w:val="0"/>
                      <w:bCs w:val="0"/>
                      <w:color w:val="auto"/>
                      <w:sz w:val="18"/>
                      <w:szCs w:val="18"/>
                      <w:highlight w:val="none"/>
                    </w:rPr>
                    <w:t>次/</w:t>
                  </w:r>
                  <w:r>
                    <w:rPr>
                      <w:rFonts w:hint="eastAsia" w:ascii="Times New Roman" w:hAnsi="Times New Roman" w:eastAsia="宋体" w:cs="Times New Roman"/>
                      <w:b w:val="0"/>
                      <w:bCs w:val="0"/>
                      <w:color w:val="auto"/>
                      <w:sz w:val="18"/>
                      <w:szCs w:val="18"/>
                      <w:highlight w:val="none"/>
                      <w:lang w:val="en-US" w:eastAsia="zh-CN"/>
                    </w:rPr>
                    <w:t>季度</w:t>
                  </w:r>
                </w:p>
              </w:tc>
              <w:tc>
                <w:tcPr>
                  <w:tcW w:w="2426" w:type="dxa"/>
                  <w:tcBorders>
                    <w:tl2br w:val="nil"/>
                    <w:tr2bl w:val="nil"/>
                  </w:tcBorders>
                  <w:noWrap w:val="0"/>
                  <w:vAlign w:val="center"/>
                </w:tcPr>
                <w:p w14:paraId="75D8C0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18"/>
                      <w:szCs w:val="18"/>
                      <w:highlight w:val="none"/>
                    </w:rPr>
                  </w:pPr>
                  <w:r>
                    <w:rPr>
                      <w:rFonts w:hint="eastAsia" w:ascii="Times New Roman" w:hAnsi="Times New Roman" w:cs="Times New Roman"/>
                      <w:bCs/>
                      <w:color w:val="auto"/>
                      <w:sz w:val="18"/>
                      <w:szCs w:val="18"/>
                      <w:highlight w:val="none"/>
                      <w:lang w:val="en-US" w:eastAsia="zh-CN"/>
                    </w:rPr>
                    <w:t>《大气污染物综合排放标准》（GB16297-1996）表2中无组织排放限值</w:t>
                  </w:r>
                </w:p>
              </w:tc>
            </w:tr>
          </w:tbl>
          <w:p w14:paraId="57EEE3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5）废气处理技术</w:t>
            </w:r>
            <w:r>
              <w:rPr>
                <w:rFonts w:hint="eastAsia" w:cs="Times New Roman"/>
                <w:bCs/>
                <w:color w:val="auto"/>
                <w:sz w:val="21"/>
                <w:szCs w:val="21"/>
                <w:highlight w:val="none"/>
                <w:lang w:eastAsia="zh-CN"/>
              </w:rPr>
              <w:t>可行性分析</w:t>
            </w:r>
          </w:p>
          <w:p w14:paraId="45BA5F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b w:val="0"/>
                <w:bCs/>
                <w:color w:val="auto"/>
                <w:kern w:val="0"/>
                <w:sz w:val="21"/>
                <w:szCs w:val="21"/>
                <w:highlight w:val="none"/>
              </w:rPr>
              <w:t>本项目采取</w:t>
            </w:r>
            <w:r>
              <w:rPr>
                <w:rFonts w:hint="default" w:ascii="Times New Roman" w:hAnsi="Times New Roman" w:cs="Times New Roman"/>
                <w:b w:val="0"/>
                <w:bCs/>
                <w:color w:val="auto"/>
                <w:kern w:val="0"/>
                <w:sz w:val="21"/>
                <w:szCs w:val="21"/>
                <w:highlight w:val="none"/>
                <w:lang w:val="en-US" w:eastAsia="zh-CN"/>
              </w:rPr>
              <w:t>锅炉</w:t>
            </w:r>
            <w:r>
              <w:rPr>
                <w:rFonts w:hint="default" w:ascii="Times New Roman" w:hAnsi="Times New Roman" w:cs="Times New Roman"/>
                <w:b w:val="0"/>
                <w:bCs/>
                <w:color w:val="auto"/>
                <w:kern w:val="0"/>
                <w:sz w:val="21"/>
                <w:szCs w:val="21"/>
                <w:highlight w:val="none"/>
              </w:rPr>
              <w:t xml:space="preserve">废气治理措施与《排污许可证申请与核发技术规范 </w:t>
            </w:r>
            <w:r>
              <w:rPr>
                <w:rFonts w:hint="default" w:ascii="Times New Roman" w:hAnsi="Times New Roman" w:cs="Times New Roman"/>
                <w:b w:val="0"/>
                <w:bCs/>
                <w:color w:val="auto"/>
                <w:kern w:val="0"/>
                <w:sz w:val="21"/>
                <w:szCs w:val="21"/>
                <w:highlight w:val="none"/>
                <w:lang w:eastAsia="zh-CN"/>
              </w:rPr>
              <w:t>锅炉</w:t>
            </w:r>
            <w:r>
              <w:rPr>
                <w:rFonts w:hint="default" w:ascii="Times New Roman" w:hAnsi="Times New Roman" w:cs="Times New Roman"/>
                <w:b w:val="0"/>
                <w:bCs/>
                <w:color w:val="auto"/>
                <w:kern w:val="0"/>
                <w:sz w:val="21"/>
                <w:szCs w:val="21"/>
                <w:highlight w:val="none"/>
              </w:rPr>
              <w:t xml:space="preserve">》（HJ </w:t>
            </w:r>
            <w:r>
              <w:rPr>
                <w:rFonts w:hint="default" w:ascii="Times New Roman" w:hAnsi="Times New Roman" w:cs="Times New Roman"/>
                <w:b w:val="0"/>
                <w:bCs/>
                <w:color w:val="auto"/>
                <w:kern w:val="0"/>
                <w:sz w:val="21"/>
                <w:szCs w:val="21"/>
                <w:highlight w:val="none"/>
                <w:lang w:val="en-US" w:eastAsia="zh-CN"/>
              </w:rPr>
              <w:t>953</w:t>
            </w:r>
            <w:r>
              <w:rPr>
                <w:rFonts w:hint="default" w:ascii="Times New Roman" w:hAnsi="Times New Roman" w:cs="Times New Roman"/>
                <w:b w:val="0"/>
                <w:bCs/>
                <w:color w:val="auto"/>
                <w:kern w:val="0"/>
                <w:sz w:val="21"/>
                <w:szCs w:val="21"/>
                <w:highlight w:val="none"/>
              </w:rPr>
              <w:t>—</w:t>
            </w:r>
            <w:r>
              <w:rPr>
                <w:rFonts w:hint="default" w:ascii="Times New Roman" w:hAnsi="Times New Roman" w:cs="Times New Roman"/>
                <w:b w:val="0"/>
                <w:bCs/>
                <w:color w:val="auto"/>
                <w:kern w:val="0"/>
                <w:sz w:val="21"/>
                <w:szCs w:val="21"/>
                <w:highlight w:val="none"/>
                <w:lang w:val="en-US" w:eastAsia="zh-CN"/>
              </w:rPr>
              <w:t>2018</w:t>
            </w:r>
            <w:r>
              <w:rPr>
                <w:rFonts w:hint="default" w:ascii="Times New Roman" w:hAnsi="Times New Roman" w:cs="Times New Roman"/>
                <w:b w:val="0"/>
                <w:bCs/>
                <w:color w:val="auto"/>
                <w:kern w:val="0"/>
                <w:sz w:val="21"/>
                <w:szCs w:val="21"/>
                <w:highlight w:val="none"/>
              </w:rPr>
              <w:t>）</w:t>
            </w:r>
            <w:r>
              <w:rPr>
                <w:rFonts w:hint="default" w:ascii="Times New Roman" w:hAnsi="Times New Roman" w:cs="Times New Roman"/>
                <w:b w:val="0"/>
                <w:bCs/>
                <w:color w:val="auto"/>
                <w:kern w:val="0"/>
                <w:sz w:val="21"/>
                <w:szCs w:val="21"/>
                <w:highlight w:val="none"/>
                <w:lang w:val="en-US" w:eastAsia="zh-CN"/>
              </w:rPr>
              <w:t>表7</w:t>
            </w:r>
            <w:r>
              <w:rPr>
                <w:rFonts w:hint="default" w:ascii="Times New Roman" w:hAnsi="Times New Roman" w:cs="Times New Roman"/>
                <w:b w:val="0"/>
                <w:bCs/>
                <w:color w:val="auto"/>
                <w:kern w:val="0"/>
                <w:sz w:val="21"/>
                <w:szCs w:val="21"/>
                <w:highlight w:val="none"/>
              </w:rPr>
              <w:t>锅炉</w:t>
            </w:r>
            <w:r>
              <w:rPr>
                <w:rFonts w:hint="default" w:ascii="Times New Roman" w:hAnsi="Times New Roman" w:cs="Times New Roman"/>
                <w:b w:val="0"/>
                <w:bCs/>
                <w:color w:val="auto"/>
                <w:kern w:val="0"/>
                <w:sz w:val="21"/>
                <w:szCs w:val="21"/>
                <w:highlight w:val="none"/>
                <w:lang w:val="en-US" w:eastAsia="zh-CN"/>
              </w:rPr>
              <w:t>烟</w:t>
            </w:r>
            <w:r>
              <w:rPr>
                <w:rFonts w:hint="default" w:ascii="Times New Roman" w:hAnsi="Times New Roman" w:cs="Times New Roman"/>
                <w:b w:val="0"/>
                <w:bCs/>
                <w:color w:val="auto"/>
                <w:kern w:val="0"/>
                <w:sz w:val="21"/>
                <w:szCs w:val="21"/>
                <w:highlight w:val="none"/>
              </w:rPr>
              <w:t>气污染防治可行技术进行对比分析</w:t>
            </w:r>
            <w:r>
              <w:rPr>
                <w:rFonts w:hint="default" w:ascii="Times New Roman" w:hAnsi="Times New Roman" w:cs="Times New Roman"/>
                <w:color w:val="auto"/>
                <w:kern w:val="0"/>
                <w:sz w:val="21"/>
                <w:szCs w:val="21"/>
                <w:highlight w:val="none"/>
              </w:rPr>
              <w:t>燃</w:t>
            </w:r>
            <w:r>
              <w:rPr>
                <w:rFonts w:hint="default" w:ascii="Times New Roman" w:hAnsi="Times New Roman" w:cs="Times New Roman"/>
                <w:color w:val="auto"/>
                <w:kern w:val="0"/>
                <w:sz w:val="21"/>
                <w:szCs w:val="21"/>
                <w:highlight w:val="none"/>
                <w:lang w:val="en-US" w:eastAsia="zh-CN"/>
              </w:rPr>
              <w:t>生物质锅炉</w:t>
            </w:r>
            <w:r>
              <w:rPr>
                <w:rFonts w:hint="default" w:ascii="Times New Roman" w:hAnsi="Times New Roman" w:cs="Times New Roman"/>
                <w:color w:val="auto"/>
                <w:kern w:val="0"/>
                <w:sz w:val="21"/>
                <w:szCs w:val="21"/>
                <w:highlight w:val="none"/>
              </w:rPr>
              <w:t>采用</w:t>
            </w:r>
            <w:r>
              <w:rPr>
                <w:rFonts w:hint="default" w:ascii="Times New Roman" w:hAnsi="Times New Roman" w:cs="Times New Roman"/>
                <w:color w:val="auto"/>
                <w:kern w:val="0"/>
                <w:sz w:val="21"/>
                <w:szCs w:val="21"/>
                <w:highlight w:val="none"/>
                <w:lang w:val="en-US" w:eastAsia="zh-CN"/>
              </w:rPr>
              <w:t>旋风除尘+袋式除尘</w:t>
            </w:r>
            <w:r>
              <w:rPr>
                <w:rFonts w:hint="default" w:ascii="Times New Roman" w:hAnsi="Times New Roman" w:cs="Times New Roman"/>
                <w:color w:val="auto"/>
                <w:kern w:val="0"/>
                <w:sz w:val="21"/>
                <w:szCs w:val="21"/>
                <w:highlight w:val="none"/>
              </w:rPr>
              <w:t>处理，</w:t>
            </w:r>
            <w:r>
              <w:rPr>
                <w:rFonts w:hint="default" w:ascii="Times New Roman" w:hAnsi="Times New Roman" w:cs="Times New Roman"/>
                <w:color w:val="auto"/>
                <w:kern w:val="0"/>
                <w:sz w:val="21"/>
                <w:szCs w:val="21"/>
                <w:highlight w:val="none"/>
                <w:lang w:val="en-US" w:eastAsia="zh-CN"/>
              </w:rPr>
              <w:t>本项目的多管陶瓷除尘器</w:t>
            </w:r>
            <w:r>
              <w:rPr>
                <w:rFonts w:hint="default" w:ascii="Times New Roman" w:hAnsi="Times New Roman" w:eastAsia="宋体" w:cs="Times New Roman"/>
                <w:i w:val="0"/>
                <w:iCs w:val="0"/>
                <w:caps w:val="0"/>
                <w:color w:val="auto"/>
                <w:spacing w:val="0"/>
                <w:kern w:val="0"/>
                <w:sz w:val="21"/>
                <w:szCs w:val="21"/>
                <w:highlight w:val="none"/>
                <w:shd w:val="clear" w:fill="FFFFFF"/>
              </w:rPr>
              <w:t>和旋风除尘器</w:t>
            </w:r>
            <w:r>
              <w:rPr>
                <w:rFonts w:hint="default" w:ascii="Times New Roman" w:hAnsi="Times New Roman" w:eastAsia="宋体" w:cs="Times New Roman"/>
                <w:i w:val="0"/>
                <w:iCs w:val="0"/>
                <w:caps w:val="0"/>
                <w:color w:val="auto"/>
                <w:spacing w:val="0"/>
                <w:kern w:val="0"/>
                <w:sz w:val="21"/>
                <w:szCs w:val="21"/>
                <w:highlight w:val="none"/>
                <w:shd w:val="clear" w:fill="FFFFFF"/>
                <w:lang w:val="en-US" w:eastAsia="zh-CN"/>
              </w:rPr>
              <w:t>一样，都是</w:t>
            </w:r>
            <w:r>
              <w:rPr>
                <w:rFonts w:hint="default" w:ascii="Times New Roman" w:hAnsi="Times New Roman" w:eastAsia="宋体" w:cs="Times New Roman"/>
                <w:i w:val="0"/>
                <w:iCs w:val="0"/>
                <w:caps w:val="0"/>
                <w:color w:val="auto"/>
                <w:spacing w:val="0"/>
                <w:kern w:val="0"/>
                <w:sz w:val="21"/>
                <w:szCs w:val="21"/>
                <w:highlight w:val="none"/>
                <w:shd w:val="clear" w:fill="FFFFFF"/>
              </w:rPr>
              <w:t>利用旋风力将粉尘与气体分离，多管陶瓷除尘器的适用范围更广泛，过滤精度</w:t>
            </w:r>
            <w:r>
              <w:rPr>
                <w:rFonts w:hint="default" w:ascii="Times New Roman" w:hAnsi="Times New Roman" w:eastAsia="宋体" w:cs="Times New Roman"/>
                <w:i w:val="0"/>
                <w:iCs w:val="0"/>
                <w:caps w:val="0"/>
                <w:color w:val="auto"/>
                <w:spacing w:val="0"/>
                <w:kern w:val="0"/>
                <w:sz w:val="21"/>
                <w:szCs w:val="21"/>
                <w:highlight w:val="none"/>
                <w:shd w:val="clear" w:fill="FFFFFF"/>
                <w:lang w:val="en-US" w:eastAsia="zh-CN"/>
              </w:rPr>
              <w:t>更</w:t>
            </w:r>
            <w:r>
              <w:rPr>
                <w:rFonts w:hint="default" w:ascii="Times New Roman" w:hAnsi="Times New Roman" w:eastAsia="宋体" w:cs="Times New Roman"/>
                <w:i w:val="0"/>
                <w:iCs w:val="0"/>
                <w:caps w:val="0"/>
                <w:color w:val="auto"/>
                <w:spacing w:val="0"/>
                <w:kern w:val="0"/>
                <w:sz w:val="21"/>
                <w:szCs w:val="21"/>
                <w:highlight w:val="none"/>
                <w:shd w:val="clear" w:fill="FFFFFF"/>
              </w:rPr>
              <w:t>高</w:t>
            </w:r>
            <w:r>
              <w:rPr>
                <w:rFonts w:hint="default" w:ascii="Times New Roman" w:hAnsi="Times New Roman" w:eastAsia="宋体" w:cs="Times New Roman"/>
                <w:i w:val="0"/>
                <w:iCs w:val="0"/>
                <w:caps w:val="0"/>
                <w:color w:val="auto"/>
                <w:spacing w:val="0"/>
                <w:kern w:val="0"/>
                <w:sz w:val="21"/>
                <w:szCs w:val="21"/>
                <w:highlight w:val="none"/>
                <w:shd w:val="clear" w:fill="FFFFFF"/>
                <w:lang w:eastAsia="zh-CN"/>
              </w:rPr>
              <w:t>，</w:t>
            </w:r>
            <w:r>
              <w:rPr>
                <w:rFonts w:hint="default" w:ascii="Times New Roman" w:hAnsi="Times New Roman" w:eastAsia="宋体" w:cs="Times New Roman"/>
                <w:i w:val="0"/>
                <w:iCs w:val="0"/>
                <w:caps w:val="0"/>
                <w:color w:val="auto"/>
                <w:spacing w:val="0"/>
                <w:kern w:val="0"/>
                <w:sz w:val="21"/>
                <w:szCs w:val="21"/>
                <w:highlight w:val="none"/>
                <w:shd w:val="clear" w:fill="FFFFFF"/>
                <w:lang w:val="en-US" w:eastAsia="zh-CN"/>
              </w:rPr>
              <w:t>故本项目</w:t>
            </w:r>
            <w:r>
              <w:rPr>
                <w:rFonts w:hint="eastAsia" w:cs="Times New Roman"/>
                <w:i w:val="0"/>
                <w:iCs w:val="0"/>
                <w:caps w:val="0"/>
                <w:color w:val="auto"/>
                <w:spacing w:val="0"/>
                <w:kern w:val="0"/>
                <w:sz w:val="21"/>
                <w:szCs w:val="21"/>
                <w:highlight w:val="none"/>
                <w:shd w:val="clear" w:fill="FFFFFF"/>
                <w:lang w:val="en-US" w:eastAsia="zh-CN"/>
              </w:rPr>
              <w:t>3</w:t>
            </w:r>
            <w:r>
              <w:rPr>
                <w:rFonts w:hint="eastAsia" w:cs="Times New Roman"/>
                <w:color w:val="auto"/>
                <w:sz w:val="21"/>
                <w:szCs w:val="21"/>
                <w:highlight w:val="none"/>
                <w:lang w:val="en-US" w:eastAsia="zh-CN"/>
              </w:rPr>
              <w:t>台10t/h生物质蒸汽锅炉</w:t>
            </w:r>
            <w:r>
              <w:rPr>
                <w:rFonts w:hint="default" w:ascii="Times New Roman" w:hAnsi="Times New Roman" w:cs="Times New Roman"/>
                <w:color w:val="auto"/>
                <w:kern w:val="0"/>
                <w:sz w:val="21"/>
                <w:szCs w:val="21"/>
                <w:highlight w:val="none"/>
              </w:rPr>
              <w:t>烟气</w:t>
            </w:r>
            <w:r>
              <w:rPr>
                <w:rFonts w:hint="eastAsia" w:cs="Times New Roman"/>
                <w:color w:val="auto"/>
                <w:kern w:val="0"/>
                <w:sz w:val="21"/>
                <w:szCs w:val="21"/>
                <w:highlight w:val="none"/>
                <w:lang w:val="en-US" w:eastAsia="zh-CN"/>
              </w:rPr>
              <w:t>分别</w:t>
            </w:r>
            <w:r>
              <w:rPr>
                <w:rFonts w:hint="default" w:ascii="Times New Roman" w:hAnsi="Times New Roman" w:cs="Times New Roman"/>
                <w:color w:val="auto"/>
                <w:kern w:val="0"/>
                <w:sz w:val="21"/>
                <w:szCs w:val="21"/>
                <w:highlight w:val="none"/>
              </w:rPr>
              <w:t>经</w:t>
            </w:r>
            <w:r>
              <w:rPr>
                <w:rFonts w:hint="eastAsia" w:cs="Times New Roman"/>
                <w:color w:val="auto"/>
                <w:kern w:val="0"/>
                <w:sz w:val="21"/>
                <w:szCs w:val="21"/>
                <w:highlight w:val="none"/>
                <w:lang w:val="en-US" w:eastAsia="zh-CN"/>
              </w:rPr>
              <w:t>各自配备的</w:t>
            </w:r>
            <w:r>
              <w:rPr>
                <w:rFonts w:hint="default" w:ascii="Times New Roman" w:hAnsi="Times New Roman" w:cs="Times New Roman"/>
                <w:color w:val="auto"/>
                <w:kern w:val="0"/>
                <w:sz w:val="21"/>
                <w:szCs w:val="21"/>
                <w:highlight w:val="none"/>
                <w:lang w:val="en-US" w:eastAsia="zh-CN"/>
              </w:rPr>
              <w:t>多管陶瓷</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rPr>
              <w:t>布袋除尘器（除尘效率为99.</w:t>
            </w:r>
            <w:r>
              <w:rPr>
                <w:rFonts w:hint="default" w:ascii="Times New Roman" w:hAnsi="Times New Roman" w:eastAsia="宋体" w:cs="Times New Roman"/>
                <w:color w:val="auto"/>
                <w:kern w:val="0"/>
                <w:sz w:val="21"/>
                <w:szCs w:val="21"/>
                <w:highlight w:val="none"/>
                <w:lang w:val="en-US" w:eastAsia="zh-CN"/>
              </w:rPr>
              <w:t>7%</w:t>
            </w:r>
            <w:r>
              <w:rPr>
                <w:rFonts w:hint="default" w:ascii="Times New Roman" w:hAnsi="Times New Roman" w:eastAsia="宋体" w:cs="Times New Roman"/>
                <w:color w:val="auto"/>
                <w:kern w:val="0"/>
                <w:sz w:val="21"/>
                <w:szCs w:val="21"/>
                <w:highlight w:val="none"/>
              </w:rPr>
              <w:t>）处理后，</w:t>
            </w:r>
            <w:r>
              <w:rPr>
                <w:rFonts w:hint="default" w:ascii="Times New Roman" w:hAnsi="Times New Roman" w:eastAsia="宋体" w:cs="Times New Roman"/>
                <w:color w:val="auto"/>
                <w:szCs w:val="21"/>
                <w:highlight w:val="none"/>
              </w:rPr>
              <w:t>由</w:t>
            </w:r>
            <w:r>
              <w:rPr>
                <w:rFonts w:hint="eastAsia" w:cs="Times New Roman"/>
                <w:color w:val="auto"/>
                <w:szCs w:val="21"/>
                <w:highlight w:val="none"/>
                <w:lang w:val="en-US" w:eastAsia="zh-CN"/>
              </w:rPr>
              <w:t>1根</w:t>
            </w:r>
            <w:r>
              <w:rPr>
                <w:rFonts w:hint="eastAsia"/>
                <w:color w:val="auto"/>
                <w:sz w:val="21"/>
                <w:highlight w:val="none"/>
                <w:lang w:val="en-US" w:eastAsia="zh-CN"/>
              </w:rPr>
              <w:t>60m烟囱（</w:t>
            </w:r>
            <w:r>
              <w:rPr>
                <w:rFonts w:hint="eastAsia"/>
                <w:color w:val="auto"/>
                <w:highlight w:val="none"/>
                <w:lang w:val="en-US" w:eastAsia="zh-CN"/>
              </w:rPr>
              <w:t>DA001</w:t>
            </w:r>
            <w:r>
              <w:rPr>
                <w:rFonts w:hint="eastAsia"/>
                <w:color w:val="auto"/>
                <w:sz w:val="21"/>
                <w:highlight w:val="none"/>
                <w:lang w:val="en-US" w:eastAsia="zh-CN"/>
              </w:rPr>
              <w:t>）</w:t>
            </w:r>
            <w:r>
              <w:rPr>
                <w:rFonts w:hint="eastAsia"/>
                <w:color w:val="auto"/>
                <w:highlight w:val="none"/>
                <w:lang w:val="en-US" w:eastAsia="zh-CN"/>
              </w:rPr>
              <w:t>排放</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为可行技术</w:t>
            </w:r>
            <w:r>
              <w:rPr>
                <w:rFonts w:hint="default" w:ascii="Times New Roman" w:hAnsi="Times New Roman" w:cs="Times New Roman"/>
                <w:color w:val="auto"/>
                <w:kern w:val="0"/>
                <w:sz w:val="21"/>
                <w:szCs w:val="21"/>
                <w:highlight w:val="none"/>
              </w:rPr>
              <w:t>。</w:t>
            </w:r>
          </w:p>
          <w:p w14:paraId="7F50122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jc w:val="center"/>
              <w:textAlignment w:val="auto"/>
              <w:rPr>
                <w:rFonts w:hint="default" w:ascii="Times New Roman"/>
                <w:b/>
                <w:bCs w:val="0"/>
                <w:color w:val="auto"/>
                <w:sz w:val="21"/>
                <w:szCs w:val="21"/>
                <w:highlight w:val="none"/>
              </w:rPr>
            </w:pPr>
            <w:r>
              <w:rPr>
                <w:rFonts w:hint="default" w:ascii="Times New Roman"/>
                <w:b/>
                <w:bCs w:val="0"/>
                <w:color w:val="auto"/>
                <w:sz w:val="21"/>
                <w:szCs w:val="21"/>
                <w:highlight w:val="none"/>
              </w:rPr>
              <w:t>表 4-</w:t>
            </w:r>
            <w:r>
              <w:rPr>
                <w:rFonts w:hint="eastAsia"/>
                <w:b/>
                <w:bCs w:val="0"/>
                <w:color w:val="auto"/>
                <w:sz w:val="21"/>
                <w:szCs w:val="21"/>
                <w:highlight w:val="none"/>
                <w:lang w:val="en-US" w:eastAsia="zh-CN"/>
              </w:rPr>
              <w:t>5</w:t>
            </w:r>
            <w:r>
              <w:rPr>
                <w:rFonts w:hint="default" w:ascii="Times New Roman"/>
                <w:b/>
                <w:bCs w:val="0"/>
                <w:color w:val="auto"/>
                <w:sz w:val="21"/>
                <w:szCs w:val="21"/>
                <w:highlight w:val="none"/>
              </w:rPr>
              <w:t xml:space="preserve"> 锅炉烟气污染防治可行技术</w:t>
            </w:r>
          </w:p>
          <w:tbl>
            <w:tblPr>
              <w:tblStyle w:val="38"/>
              <w:tblW w:w="4998"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71"/>
              <w:gridCol w:w="1862"/>
              <w:gridCol w:w="3602"/>
            </w:tblGrid>
            <w:tr w14:paraId="63F343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71" w:type="dxa"/>
                  <w:vAlign w:val="top"/>
                </w:tcPr>
                <w:p w14:paraId="12D36AB0">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污染物</w:t>
                  </w:r>
                </w:p>
              </w:tc>
              <w:tc>
                <w:tcPr>
                  <w:tcW w:w="1862" w:type="dxa"/>
                  <w:vAlign w:val="top"/>
                </w:tcPr>
                <w:p w14:paraId="7125E938">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燃料类型</w:t>
                  </w:r>
                </w:p>
              </w:tc>
              <w:tc>
                <w:tcPr>
                  <w:tcW w:w="3602" w:type="dxa"/>
                  <w:vAlign w:val="top"/>
                </w:tcPr>
                <w:p w14:paraId="321A493D">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治理技术</w:t>
                  </w:r>
                </w:p>
              </w:tc>
            </w:tr>
            <w:tr w14:paraId="5840FC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71" w:type="dxa"/>
                  <w:vAlign w:val="top"/>
                </w:tcPr>
                <w:p w14:paraId="625FFF3F">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颗粒物</w:t>
                  </w:r>
                </w:p>
              </w:tc>
              <w:tc>
                <w:tcPr>
                  <w:tcW w:w="1862" w:type="dxa"/>
                  <w:vAlign w:val="top"/>
                </w:tcPr>
                <w:p w14:paraId="1545542F">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生物质</w:t>
                  </w:r>
                </w:p>
              </w:tc>
              <w:tc>
                <w:tcPr>
                  <w:tcW w:w="3602" w:type="dxa"/>
                  <w:vAlign w:val="top"/>
                </w:tcPr>
                <w:p w14:paraId="0703FF54">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旋风除尘和袋式除尘组合技术</w:t>
                  </w:r>
                </w:p>
              </w:tc>
            </w:tr>
          </w:tbl>
          <w:p w14:paraId="7116D25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排气筒设置合理性分析</w:t>
            </w:r>
          </w:p>
          <w:p w14:paraId="41838CF8">
            <w:pPr>
              <w:pStyle w:val="9"/>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根据《锅炉大气污染物排放标准》（GB13271-2014）中对于锅炉排气筒的要求可知，</w:t>
            </w:r>
            <w:r>
              <w:rPr>
                <w:rFonts w:hint="eastAsia" w:ascii="宋体" w:hAnsi="宋体" w:eastAsia="宋体" w:cs="宋体"/>
                <w:color w:val="auto"/>
                <w:sz w:val="21"/>
                <w:szCs w:val="21"/>
                <w:highlight w:val="none"/>
                <w:lang w:val="en-US" w:eastAsia="zh-CN"/>
              </w:rPr>
              <w:t>“燃煤锅炉</w:t>
            </w:r>
            <w:r>
              <w:rPr>
                <w:rFonts w:hint="eastAsia" w:ascii="宋体" w:hAnsi="宋体" w:cs="宋体"/>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t/h，</w:t>
            </w:r>
            <w:r>
              <w:rPr>
                <w:rFonts w:hint="default" w:ascii="Times New Roman" w:hAnsi="Times New Roman" w:eastAsia="宋体" w:cs="Times New Roman"/>
                <w:color w:val="auto"/>
                <w:sz w:val="21"/>
                <w:szCs w:val="21"/>
                <w:highlight w:val="none"/>
              </w:rPr>
              <w:t>排气筒</w:t>
            </w:r>
            <w:r>
              <w:rPr>
                <w:rFonts w:hint="default" w:ascii="Times New Roman" w:hAnsi="Times New Roman" w:eastAsia="宋体" w:cs="Times New Roman"/>
                <w:color w:val="auto"/>
                <w:sz w:val="21"/>
                <w:szCs w:val="21"/>
                <w:highlight w:val="none"/>
                <w:lang w:val="en-US" w:eastAsia="zh-CN"/>
              </w:rPr>
              <w:t>最低允许高度为</w:t>
            </w:r>
            <w:r>
              <w:rPr>
                <w:rFonts w:hint="eastAsia" w:ascii="Times New Roman" w:hAnsi="Times New Roman" w:eastAsia="宋体" w:cs="Times New Roman"/>
                <w:color w:val="auto"/>
                <w:sz w:val="21"/>
                <w:szCs w:val="21"/>
                <w:highlight w:val="none"/>
                <w:lang w:val="en-US" w:eastAsia="zh-CN"/>
              </w:rPr>
              <w:t>4</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米</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并应高于周边200m范围最高建筑物高度3m以上</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本项目锅炉房总装机量为30t/h，</w:t>
            </w:r>
            <w:r>
              <w:rPr>
                <w:rFonts w:hint="default" w:ascii="Times New Roman" w:hAnsi="Times New Roman" w:eastAsia="宋体" w:cs="Times New Roman"/>
                <w:color w:val="auto"/>
                <w:sz w:val="21"/>
                <w:szCs w:val="21"/>
                <w:highlight w:val="none"/>
                <w:lang w:val="en-US" w:eastAsia="zh-CN"/>
              </w:rPr>
              <w:t>周边200m范围内最高建筑物</w:t>
            </w:r>
            <w:r>
              <w:rPr>
                <w:rFonts w:hint="eastAsia" w:cs="Times New Roman"/>
                <w:color w:val="auto"/>
                <w:sz w:val="21"/>
                <w:szCs w:val="21"/>
                <w:highlight w:val="none"/>
                <w:lang w:val="en-US" w:eastAsia="zh-CN"/>
              </w:rPr>
              <w:t>为</w:t>
            </w:r>
            <w:r>
              <w:rPr>
                <w:rFonts w:hint="eastAsia"/>
                <w:color w:val="auto"/>
                <w:sz w:val="21"/>
                <w:szCs w:val="21"/>
                <w:highlight w:val="none"/>
                <w:lang w:val="en-US" w:eastAsia="zh-CN"/>
              </w:rPr>
              <w:t>洗煤厂主车间，</w:t>
            </w:r>
            <w:r>
              <w:rPr>
                <w:rFonts w:hint="eastAsia" w:cs="Times New Roman"/>
                <w:color w:val="auto"/>
                <w:sz w:val="21"/>
                <w:szCs w:val="21"/>
                <w:highlight w:val="none"/>
                <w:lang w:val="en-US" w:eastAsia="zh-CN"/>
              </w:rPr>
              <w:t>最高</w:t>
            </w:r>
            <w:r>
              <w:rPr>
                <w:rFonts w:hint="default" w:ascii="Times New Roman" w:hAnsi="Times New Roman" w:eastAsia="宋体" w:cs="Times New Roman"/>
                <w:color w:val="auto"/>
                <w:sz w:val="21"/>
                <w:szCs w:val="21"/>
                <w:highlight w:val="none"/>
                <w:lang w:val="en-US" w:eastAsia="zh-CN"/>
              </w:rPr>
              <w:t>建筑高度</w:t>
            </w:r>
            <w:r>
              <w:rPr>
                <w:rFonts w:hint="default" w:ascii="Times New Roman" w:hAnsi="Times New Roman" w:cs="Times New Roman"/>
                <w:color w:val="auto"/>
                <w:sz w:val="21"/>
                <w:szCs w:val="21"/>
                <w:highlight w:val="none"/>
                <w:lang w:val="en-US" w:eastAsia="zh-CN"/>
              </w:rPr>
              <w:t>约</w:t>
            </w:r>
            <w:r>
              <w:rPr>
                <w:rFonts w:hint="eastAsia" w:cs="Times New Roman"/>
                <w:color w:val="auto"/>
                <w:sz w:val="21"/>
                <w:szCs w:val="21"/>
                <w:highlight w:val="none"/>
                <w:lang w:val="en-US" w:eastAsia="zh-CN"/>
              </w:rPr>
              <w:t>38</w:t>
            </w:r>
            <w:r>
              <w:rPr>
                <w:rFonts w:hint="default" w:ascii="Times New Roman" w:hAnsi="Times New Roman" w:eastAsia="宋体" w:cs="Times New Roman"/>
                <w:color w:val="auto"/>
                <w:sz w:val="21"/>
                <w:szCs w:val="21"/>
                <w:highlight w:val="none"/>
                <w:lang w:val="en-US" w:eastAsia="zh-CN"/>
              </w:rPr>
              <w:t>m，因此本项目燃</w:t>
            </w:r>
            <w:r>
              <w:rPr>
                <w:rFonts w:hint="default" w:ascii="Times New Roman" w:hAnsi="Times New Roman" w:cs="Times New Roman"/>
                <w:color w:val="auto"/>
                <w:sz w:val="21"/>
                <w:szCs w:val="21"/>
                <w:highlight w:val="none"/>
                <w:lang w:val="en-US" w:eastAsia="zh-CN"/>
              </w:rPr>
              <w:t>生物质锅炉</w:t>
            </w:r>
            <w:r>
              <w:rPr>
                <w:rFonts w:hint="eastAsia"/>
                <w:color w:val="auto"/>
                <w:sz w:val="21"/>
                <w:szCs w:val="21"/>
                <w:highlight w:val="none"/>
                <w:lang w:val="en-US" w:eastAsia="zh-CN"/>
              </w:rPr>
              <w:t>烟囱（DA001）60m</w:t>
            </w:r>
            <w:r>
              <w:rPr>
                <w:rFonts w:hint="eastAsia"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高度</w:t>
            </w:r>
            <w:r>
              <w:rPr>
                <w:rFonts w:hint="eastAsia" w:cs="Times New Roman"/>
                <w:color w:val="auto"/>
                <w:sz w:val="21"/>
                <w:szCs w:val="21"/>
                <w:highlight w:val="none"/>
                <w:lang w:val="en-US" w:eastAsia="zh-CN"/>
              </w:rPr>
              <w:t>均</w:t>
            </w:r>
            <w:r>
              <w:rPr>
                <w:rFonts w:hint="default" w:ascii="Times New Roman" w:hAnsi="Times New Roman" w:eastAsia="宋体" w:cs="Times New Roman"/>
                <w:color w:val="auto"/>
                <w:sz w:val="21"/>
                <w:szCs w:val="21"/>
                <w:highlight w:val="none"/>
                <w:lang w:val="en-US" w:eastAsia="zh-CN"/>
              </w:rPr>
              <w:t>符合《锅炉大气污染物排放标准》（GB13271-2014）对于锅炉高度的要求</w:t>
            </w:r>
            <w:r>
              <w:rPr>
                <w:rFonts w:hint="eastAsia" w:cs="Times New Roman"/>
                <w:color w:val="auto"/>
                <w:sz w:val="21"/>
                <w:szCs w:val="21"/>
                <w:highlight w:val="none"/>
                <w:lang w:val="en-US" w:eastAsia="zh-CN"/>
              </w:rPr>
              <w:t>。</w:t>
            </w:r>
          </w:p>
          <w:p w14:paraId="7B54C19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color w:val="auto"/>
                <w:highlight w:val="none"/>
              </w:rPr>
            </w:pPr>
            <w:r>
              <w:rPr>
                <w:rFonts w:hint="eastAsia" w:ascii="Times New Roman" w:hAnsi="Times New Roman" w:cs="Times New Roman"/>
                <w:b w:val="0"/>
                <w:bCs w:val="0"/>
                <w:color w:val="auto"/>
                <w:szCs w:val="21"/>
                <w:highlight w:val="none"/>
                <w:lang w:eastAsia="zh-CN"/>
              </w:rPr>
              <w:t>（</w:t>
            </w:r>
            <w:r>
              <w:rPr>
                <w:rFonts w:hint="eastAsia" w:cs="Times New Roman"/>
                <w:b w:val="0"/>
                <w:bCs w:val="0"/>
                <w:color w:val="auto"/>
                <w:szCs w:val="21"/>
                <w:highlight w:val="none"/>
                <w:lang w:val="en-US" w:eastAsia="zh-CN"/>
              </w:rPr>
              <w:t>7</w:t>
            </w:r>
            <w:r>
              <w:rPr>
                <w:rFonts w:hint="eastAsia" w:ascii="Times New Roman" w:hAnsi="Times New Roman" w:cs="Times New Roman"/>
                <w:b w:val="0"/>
                <w:bCs w:val="0"/>
                <w:color w:val="auto"/>
                <w:szCs w:val="21"/>
                <w:highlight w:val="none"/>
                <w:lang w:val="en-US" w:eastAsia="zh-CN"/>
              </w:rPr>
              <w:t>）</w:t>
            </w:r>
            <w:r>
              <w:rPr>
                <w:rFonts w:hint="default" w:ascii="Times New Roman" w:hAnsi="Times New Roman" w:cs="Times New Roman"/>
                <w:b w:val="0"/>
                <w:bCs w:val="0"/>
                <w:color w:val="auto"/>
                <w:szCs w:val="21"/>
                <w:highlight w:val="none"/>
              </w:rPr>
              <w:t>废气排放环境影响</w:t>
            </w:r>
          </w:p>
          <w:p w14:paraId="04754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洗煤一厂锅炉房</w:t>
            </w:r>
            <w:r>
              <w:rPr>
                <w:rFonts w:hint="eastAsia" w:cs="Times New Roman"/>
                <w:color w:val="auto"/>
                <w:kern w:val="21"/>
                <w:sz w:val="21"/>
                <w:szCs w:val="21"/>
                <w:highlight w:val="none"/>
                <w:lang w:val="en-US" w:eastAsia="zh-CN"/>
              </w:rPr>
              <w:t>内将</w:t>
            </w:r>
            <w:r>
              <w:rPr>
                <w:rFonts w:hint="default" w:ascii="Times New Roman" w:hAnsi="Times New Roman" w:eastAsia="宋体" w:cs="Times New Roman"/>
                <w:color w:val="auto"/>
                <w:kern w:val="21"/>
                <w:sz w:val="21"/>
                <w:szCs w:val="21"/>
                <w:highlight w:val="none"/>
                <w:vertAlign w:val="baseline"/>
                <w:lang w:val="en-US" w:eastAsia="zh-CN"/>
              </w:rPr>
              <w:t>现有</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kern w:val="21"/>
                <w:sz w:val="21"/>
                <w:szCs w:val="21"/>
                <w:highlight w:val="none"/>
                <w:lang w:val="en-US" w:eastAsia="zh-CN"/>
              </w:rPr>
              <w:t>台10t/h燃煤锅炉</w:t>
            </w:r>
            <w:r>
              <w:rPr>
                <w:rFonts w:hint="eastAsia" w:cs="Times New Roman"/>
                <w:color w:val="auto"/>
                <w:kern w:val="21"/>
                <w:sz w:val="21"/>
                <w:szCs w:val="21"/>
                <w:highlight w:val="none"/>
                <w:lang w:val="en-US" w:eastAsia="zh-CN"/>
              </w:rPr>
              <w:t>淘汰</w:t>
            </w:r>
            <w:r>
              <w:rPr>
                <w:rFonts w:hint="default" w:ascii="Times New Roman" w:hAnsi="Times New Roman" w:eastAsia="宋体" w:cs="Times New Roman"/>
                <w:color w:val="auto"/>
                <w:kern w:val="21"/>
                <w:sz w:val="21"/>
                <w:szCs w:val="21"/>
                <w:highlight w:val="none"/>
                <w:vertAlign w:val="baseline"/>
                <w:lang w:val="en-US" w:eastAsia="zh-CN"/>
              </w:rPr>
              <w:t>，新建</w:t>
            </w:r>
            <w:r>
              <w:rPr>
                <w:rFonts w:hint="eastAsia" w:cs="Times New Roman"/>
                <w:color w:val="auto"/>
                <w:sz w:val="21"/>
                <w:szCs w:val="21"/>
                <w:highlight w:val="none"/>
                <w:lang w:val="en-US" w:eastAsia="zh-CN"/>
              </w:rPr>
              <w:t>3台10t/h生物质蒸汽锅炉，</w:t>
            </w:r>
            <w:r>
              <w:rPr>
                <w:rFonts w:hint="eastAsia"/>
                <w:color w:val="auto"/>
                <w:highlight w:val="none"/>
                <w:lang w:val="en-US" w:eastAsia="zh-CN"/>
              </w:rPr>
              <w:t>锅炉</w:t>
            </w:r>
            <w:r>
              <w:rPr>
                <w:rFonts w:hint="default" w:ascii="Times New Roman" w:hAnsi="Times New Roman" w:eastAsia="宋体" w:cs="Times New Roman"/>
                <w:color w:val="auto"/>
                <w:szCs w:val="21"/>
                <w:highlight w:val="none"/>
              </w:rPr>
              <w:t>烟气</w:t>
            </w:r>
            <w:r>
              <w:rPr>
                <w:rFonts w:hint="eastAsia" w:cs="Times New Roman"/>
                <w:color w:val="auto"/>
                <w:szCs w:val="21"/>
                <w:highlight w:val="none"/>
                <w:lang w:val="en-US" w:eastAsia="zh-CN"/>
              </w:rPr>
              <w:t>分别</w:t>
            </w:r>
            <w:r>
              <w:rPr>
                <w:rFonts w:hint="default" w:ascii="Times New Roman" w:hAnsi="Times New Roman" w:eastAsia="宋体" w:cs="Times New Roman"/>
                <w:color w:val="auto"/>
                <w:szCs w:val="21"/>
                <w:highlight w:val="none"/>
              </w:rPr>
              <w:t>经</w:t>
            </w:r>
            <w:r>
              <w:rPr>
                <w:rFonts w:hint="eastAsia" w:cs="Times New Roman"/>
                <w:color w:val="auto"/>
                <w:szCs w:val="21"/>
                <w:highlight w:val="none"/>
                <w:lang w:val="en-US" w:eastAsia="zh-CN"/>
              </w:rPr>
              <w:t>各自配备的多管陶瓷</w:t>
            </w:r>
            <w:r>
              <w:rPr>
                <w:rFonts w:hint="default"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rPr>
              <w:t>布袋除尘器（除尘效率为99.</w:t>
            </w:r>
            <w:r>
              <w:rPr>
                <w:rFonts w:hint="default" w:ascii="Times New Roman" w:hAnsi="Times New Roman" w:eastAsia="宋体" w:cs="Times New Roman"/>
                <w:color w:val="auto"/>
                <w:szCs w:val="21"/>
                <w:highlight w:val="none"/>
                <w:lang w:val="en-US" w:eastAsia="zh-CN"/>
              </w:rPr>
              <w:t>7%</w:t>
            </w:r>
            <w:r>
              <w:rPr>
                <w:rFonts w:hint="default" w:ascii="Times New Roman" w:hAnsi="Times New Roman" w:eastAsia="宋体" w:cs="Times New Roman"/>
                <w:color w:val="auto"/>
                <w:szCs w:val="21"/>
                <w:highlight w:val="none"/>
              </w:rPr>
              <w:t>）处理后，由</w:t>
            </w:r>
            <w:r>
              <w:rPr>
                <w:rFonts w:hint="eastAsia" w:cs="Times New Roman"/>
                <w:color w:val="auto"/>
                <w:szCs w:val="21"/>
                <w:highlight w:val="none"/>
                <w:lang w:val="en-US" w:eastAsia="zh-CN"/>
              </w:rPr>
              <w:t>1根</w:t>
            </w:r>
            <w:r>
              <w:rPr>
                <w:rFonts w:hint="eastAsia"/>
                <w:color w:val="auto"/>
                <w:sz w:val="21"/>
                <w:highlight w:val="none"/>
                <w:lang w:val="en-US" w:eastAsia="zh-CN"/>
              </w:rPr>
              <w:t>60m烟囱（</w:t>
            </w:r>
            <w:r>
              <w:rPr>
                <w:rFonts w:hint="eastAsia"/>
                <w:color w:val="auto"/>
                <w:highlight w:val="none"/>
                <w:lang w:val="en-US" w:eastAsia="zh-CN"/>
              </w:rPr>
              <w:t>DA001</w:t>
            </w:r>
            <w:r>
              <w:rPr>
                <w:rFonts w:hint="eastAsia"/>
                <w:color w:val="auto"/>
                <w:sz w:val="21"/>
                <w:highlight w:val="none"/>
                <w:lang w:val="en-US" w:eastAsia="zh-CN"/>
              </w:rPr>
              <w:t>）</w:t>
            </w:r>
            <w:r>
              <w:rPr>
                <w:rFonts w:hint="eastAsia"/>
                <w:color w:val="auto"/>
                <w:highlight w:val="none"/>
                <w:lang w:val="en-US" w:eastAsia="zh-CN"/>
              </w:rPr>
              <w:t>排放，</w:t>
            </w:r>
            <w:r>
              <w:rPr>
                <w:rFonts w:hint="default" w:ascii="Times New Roman" w:hAnsi="Times New Roman" w:cs="Times New Roman"/>
                <w:bCs/>
                <w:color w:val="auto"/>
                <w:sz w:val="21"/>
                <w:szCs w:val="21"/>
                <w:highlight w:val="none"/>
              </w:rPr>
              <w:t>锅炉烟气中颗粒物、SO</w:t>
            </w:r>
            <w:r>
              <w:rPr>
                <w:rFonts w:hint="default" w:ascii="Times New Roman" w:hAnsi="Times New Roman" w:cs="Times New Roman"/>
                <w:bCs/>
                <w:color w:val="auto"/>
                <w:sz w:val="21"/>
                <w:szCs w:val="21"/>
                <w:highlight w:val="none"/>
                <w:vertAlign w:val="subscript"/>
              </w:rPr>
              <w:t>2</w:t>
            </w:r>
            <w:r>
              <w:rPr>
                <w:rFonts w:hint="default" w:ascii="Times New Roman" w:hAnsi="Times New Roman" w:cs="Times New Roman"/>
                <w:bCs/>
                <w:color w:val="auto"/>
                <w:sz w:val="21"/>
                <w:szCs w:val="21"/>
                <w:highlight w:val="none"/>
              </w:rPr>
              <w:t>、NO</w:t>
            </w:r>
            <w:r>
              <w:rPr>
                <w:rFonts w:hint="default" w:ascii="Times New Roman" w:hAnsi="Times New Roman" w:cs="Times New Roman"/>
                <w:bCs/>
                <w:color w:val="auto"/>
                <w:sz w:val="21"/>
                <w:szCs w:val="21"/>
                <w:highlight w:val="none"/>
                <w:vertAlign w:val="subscript"/>
              </w:rPr>
              <w:t>X</w:t>
            </w:r>
            <w:r>
              <w:rPr>
                <w:rFonts w:hint="default" w:ascii="Times New Roman" w:hAnsi="Times New Roman" w:cs="Times New Roman"/>
                <w:bCs/>
                <w:color w:val="auto"/>
                <w:sz w:val="21"/>
                <w:szCs w:val="21"/>
                <w:highlight w:val="none"/>
              </w:rPr>
              <w:t>及烟气黑度排放浓度均满足《锅炉大气污染物排放标准》（GB13271-2014）表2</w:t>
            </w:r>
            <w:r>
              <w:rPr>
                <w:rFonts w:hint="default" w:ascii="Times New Roman" w:hAnsi="Times New Roman" w:cs="Times New Roman"/>
                <w:color w:val="auto"/>
                <w:kern w:val="0"/>
                <w:sz w:val="21"/>
                <w:szCs w:val="21"/>
                <w:highlight w:val="none"/>
              </w:rPr>
              <w:t>燃煤锅炉限值</w:t>
            </w:r>
            <w:r>
              <w:rPr>
                <w:rFonts w:hint="default" w:ascii="Times New Roman" w:hAnsi="Times New Roman" w:eastAsia="宋体" w:cs="Times New Roman"/>
                <w:bCs/>
                <w:color w:val="auto"/>
                <w:sz w:val="21"/>
                <w:szCs w:val="21"/>
                <w:highlight w:val="none"/>
              </w:rPr>
              <w:t>要求</w:t>
            </w:r>
            <w:r>
              <w:rPr>
                <w:rFonts w:hint="eastAsia" w:ascii="Times New Roman" w:hAnsi="Times New Roman"/>
                <w:color w:val="auto"/>
                <w:sz w:val="21"/>
                <w:szCs w:val="21"/>
                <w:highlight w:val="none"/>
                <w:lang w:eastAsia="zh-CN"/>
              </w:rPr>
              <w:t>；</w:t>
            </w:r>
            <w:r>
              <w:rPr>
                <w:rFonts w:hint="eastAsia" w:ascii="Times New Roman" w:hAnsi="Times New Roman" w:cs="Times New Roman"/>
                <w:bCs/>
                <w:color w:val="auto"/>
                <w:sz w:val="21"/>
                <w:szCs w:val="21"/>
                <w:highlight w:val="none"/>
                <w:lang w:val="en-US" w:eastAsia="zh-CN"/>
              </w:rPr>
              <w:t>锅炉除渣过程在</w:t>
            </w:r>
            <w:r>
              <w:rPr>
                <w:rFonts w:hint="eastAsia" w:cs="Times New Roman"/>
                <w:bCs/>
                <w:color w:val="auto"/>
                <w:sz w:val="21"/>
                <w:szCs w:val="21"/>
                <w:highlight w:val="none"/>
                <w:lang w:val="en-US" w:eastAsia="zh-CN"/>
              </w:rPr>
              <w:t>密闭</w:t>
            </w:r>
            <w:r>
              <w:rPr>
                <w:rFonts w:hint="eastAsia" w:ascii="Times New Roman" w:hAnsi="Times New Roman" w:cs="Times New Roman"/>
                <w:bCs/>
                <w:color w:val="auto"/>
                <w:sz w:val="21"/>
                <w:szCs w:val="21"/>
                <w:highlight w:val="none"/>
                <w:lang w:val="en-US" w:eastAsia="zh-CN"/>
              </w:rPr>
              <w:t>锅炉房内完成，并配合洒水降尘，生物质燃料存储于</w:t>
            </w:r>
            <w:r>
              <w:rPr>
                <w:rFonts w:hint="eastAsia" w:cs="Times New Roman"/>
                <w:bCs/>
                <w:color w:val="auto"/>
                <w:sz w:val="21"/>
                <w:szCs w:val="21"/>
                <w:highlight w:val="none"/>
                <w:lang w:val="en-US" w:eastAsia="zh-CN"/>
              </w:rPr>
              <w:t>封闭燃料库</w:t>
            </w:r>
            <w:r>
              <w:rPr>
                <w:rFonts w:hint="eastAsia" w:ascii="Times New Roman" w:hAnsi="Times New Roman" w:cs="Times New Roman"/>
                <w:bCs/>
                <w:color w:val="auto"/>
                <w:sz w:val="21"/>
                <w:szCs w:val="21"/>
                <w:highlight w:val="none"/>
                <w:lang w:val="en-US" w:eastAsia="zh-CN"/>
              </w:rPr>
              <w:t>内，并燃料苫盖，灰渣（炉渣及</w:t>
            </w:r>
            <w:r>
              <w:rPr>
                <w:rFonts w:hint="eastAsia" w:cs="Times New Roman"/>
                <w:bCs/>
                <w:color w:val="auto"/>
                <w:sz w:val="21"/>
                <w:szCs w:val="21"/>
                <w:highlight w:val="none"/>
                <w:lang w:val="en-US" w:eastAsia="zh-CN"/>
              </w:rPr>
              <w:t>多管陶瓷+布袋除尘器收尘</w:t>
            </w:r>
            <w:r>
              <w:rPr>
                <w:rFonts w:hint="eastAsia" w:ascii="Times New Roman" w:hAnsi="Times New Roman" w:cs="Times New Roman"/>
                <w:bCs/>
                <w:color w:val="auto"/>
                <w:sz w:val="21"/>
                <w:szCs w:val="21"/>
                <w:highlight w:val="none"/>
                <w:lang w:val="en-US" w:eastAsia="zh-CN"/>
              </w:rPr>
              <w:t>）存储于密闭灰渣库，配合洒水降尘措施</w:t>
            </w:r>
            <w:r>
              <w:rPr>
                <w:rFonts w:hint="eastAsia" w:cs="Times New Roman"/>
                <w:bCs/>
                <w:color w:val="auto"/>
                <w:sz w:val="21"/>
                <w:szCs w:val="21"/>
                <w:highlight w:val="none"/>
                <w:lang w:val="en-US" w:eastAsia="zh-CN"/>
              </w:rPr>
              <w:t>，</w:t>
            </w:r>
            <w:r>
              <w:rPr>
                <w:rFonts w:hint="eastAsia" w:ascii="Times New Roman" w:hAnsi="Times New Roman" w:cs="Times New Roman"/>
                <w:bCs/>
                <w:color w:val="auto"/>
                <w:sz w:val="21"/>
                <w:szCs w:val="21"/>
                <w:highlight w:val="none"/>
                <w:lang w:val="en-US" w:eastAsia="zh-CN"/>
              </w:rPr>
              <w:t>不会形成动力起尘的粉尘影响，厂界颗粒物满足《大气污染物综合排放标准》（GB16297-1996）表2中无组织排放限值</w:t>
            </w:r>
            <w:r>
              <w:rPr>
                <w:rFonts w:hint="eastAsia"/>
                <w:color w:val="auto"/>
                <w:sz w:val="21"/>
                <w:szCs w:val="21"/>
                <w:highlight w:val="none"/>
              </w:rPr>
              <w:t>。</w:t>
            </w:r>
          </w:p>
          <w:p w14:paraId="5C044A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综上所述，通过采取以上措施，本项目废气对周边大气环境影响较小。</w:t>
            </w:r>
          </w:p>
          <w:p w14:paraId="4D79F765">
            <w:pPr>
              <w:keepNext w:val="0"/>
              <w:keepLines w:val="0"/>
              <w:widowControl/>
              <w:suppressLineNumbers w:val="0"/>
              <w:adjustRightInd/>
              <w:snapToGrid/>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2、废水</w:t>
            </w:r>
          </w:p>
          <w:p w14:paraId="5E78C8BA">
            <w:pPr>
              <w:keepNext w:val="0"/>
              <w:keepLines w:val="0"/>
              <w:widowControl/>
              <w:suppressLineNumbers w:val="0"/>
              <w:adjustRightInd/>
              <w:snapToGrid/>
              <w:spacing w:before="0" w:beforeAutospacing="0" w:after="0" w:afterAutospacing="0" w:line="360" w:lineRule="auto"/>
              <w:ind w:left="0" w:right="0" w:firstLine="420" w:firstLineChars="200"/>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（1）废水源强详见表4-</w:t>
            </w:r>
            <w:r>
              <w:rPr>
                <w:rFonts w:hint="eastAsia" w:cs="Times New Roman"/>
                <w:bCs/>
                <w:color w:val="auto"/>
                <w:szCs w:val="21"/>
                <w:highlight w:val="none"/>
                <w:lang w:val="en-US" w:eastAsia="zh-CN"/>
              </w:rPr>
              <w:t>6</w:t>
            </w:r>
            <w:r>
              <w:rPr>
                <w:rFonts w:hint="default" w:ascii="Times New Roman" w:hAnsi="Times New Roman" w:cs="Times New Roman"/>
                <w:bCs/>
                <w:color w:val="auto"/>
                <w:szCs w:val="21"/>
                <w:highlight w:val="none"/>
              </w:rPr>
              <w:t>。</w:t>
            </w:r>
          </w:p>
          <w:p w14:paraId="74E16CB8">
            <w:pPr>
              <w:keepNext w:val="0"/>
              <w:keepLines w:val="0"/>
              <w:widowControl/>
              <w:suppressLineNumbers w:val="0"/>
              <w:adjustRightInd/>
              <w:snapToGrid/>
              <w:spacing w:before="0" w:beforeAutospacing="0" w:after="0" w:afterAutospacing="0"/>
              <w:ind w:left="0" w:right="0"/>
              <w:jc w:val="center"/>
              <w:rPr>
                <w:rFonts w:hint="default"/>
                <w:b/>
                <w:bCs/>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-6</w:t>
            </w:r>
            <w:r>
              <w:rPr>
                <w:rFonts w:hint="default"/>
                <w:b/>
                <w:bCs/>
                <w:color w:val="auto"/>
                <w:szCs w:val="21"/>
                <w:highlight w:val="none"/>
              </w:rPr>
              <w:t>废水污染源源强核算结果及相关参数一览表</w:t>
            </w:r>
          </w:p>
          <w:tbl>
            <w:tblPr>
              <w:tblStyle w:val="3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1"/>
              <w:gridCol w:w="775"/>
              <w:gridCol w:w="712"/>
              <w:gridCol w:w="517"/>
              <w:gridCol w:w="614"/>
              <w:gridCol w:w="729"/>
              <w:gridCol w:w="671"/>
              <w:gridCol w:w="832"/>
              <w:gridCol w:w="325"/>
              <w:gridCol w:w="337"/>
              <w:gridCol w:w="650"/>
              <w:gridCol w:w="738"/>
              <w:gridCol w:w="635"/>
            </w:tblGrid>
            <w:tr w14:paraId="11A093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gridSpan w:val="2"/>
                  <w:vMerge w:val="restart"/>
                  <w:tcBorders>
                    <w:tl2br w:val="nil"/>
                    <w:tr2bl w:val="nil"/>
                  </w:tcBorders>
                  <w:vAlign w:val="center"/>
                </w:tcPr>
                <w:p w14:paraId="37BC8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排放源</w:t>
                  </w:r>
                </w:p>
              </w:tc>
              <w:tc>
                <w:tcPr>
                  <w:tcW w:w="443" w:type="pct"/>
                  <w:vMerge w:val="restart"/>
                  <w:tcBorders>
                    <w:tl2br w:val="nil"/>
                    <w:tr2bl w:val="nil"/>
                  </w:tcBorders>
                  <w:vAlign w:val="center"/>
                </w:tcPr>
                <w:p w14:paraId="6D28F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1574" w:type="pct"/>
                  <w:gridSpan w:val="4"/>
                  <w:tcBorders>
                    <w:tl2br w:val="nil"/>
                    <w:tr2bl w:val="nil"/>
                  </w:tcBorders>
                  <w:vAlign w:val="center"/>
                </w:tcPr>
                <w:p w14:paraId="786B5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污染物产生</w:t>
                  </w:r>
                </w:p>
              </w:tc>
              <w:tc>
                <w:tcPr>
                  <w:tcW w:w="719" w:type="pct"/>
                  <w:gridSpan w:val="2"/>
                  <w:tcBorders>
                    <w:tl2br w:val="nil"/>
                    <w:tr2bl w:val="nil"/>
                  </w:tcBorders>
                  <w:vAlign w:val="center"/>
                </w:tcPr>
                <w:p w14:paraId="3888C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治理措施</w:t>
                  </w:r>
                </w:p>
              </w:tc>
              <w:tc>
                <w:tcPr>
                  <w:tcW w:w="1468" w:type="pct"/>
                  <w:gridSpan w:val="4"/>
                  <w:tcBorders>
                    <w:tl2br w:val="nil"/>
                    <w:tr2bl w:val="nil"/>
                  </w:tcBorders>
                  <w:vAlign w:val="center"/>
                </w:tcPr>
                <w:p w14:paraId="4B062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污染物排放</w:t>
                  </w:r>
                </w:p>
              </w:tc>
            </w:tr>
            <w:tr w14:paraId="58740B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gridSpan w:val="2"/>
                  <w:vMerge w:val="continue"/>
                  <w:tcBorders>
                    <w:tl2br w:val="nil"/>
                    <w:tr2bl w:val="nil"/>
                  </w:tcBorders>
                  <w:vAlign w:val="center"/>
                </w:tcPr>
                <w:p w14:paraId="3F08F6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443" w:type="pct"/>
                  <w:vMerge w:val="continue"/>
                  <w:tcBorders>
                    <w:tl2br w:val="nil"/>
                    <w:tr2bl w:val="nil"/>
                  </w:tcBorders>
                  <w:vAlign w:val="center"/>
                </w:tcPr>
                <w:p w14:paraId="72F2B5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321" w:type="pct"/>
                  <w:tcBorders>
                    <w:tl2br w:val="nil"/>
                    <w:tr2bl w:val="nil"/>
                  </w:tcBorders>
                  <w:vAlign w:val="center"/>
                </w:tcPr>
                <w:p w14:paraId="028325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核算方法</w:t>
                  </w:r>
                </w:p>
              </w:tc>
              <w:tc>
                <w:tcPr>
                  <w:tcW w:w="382" w:type="pct"/>
                  <w:tcBorders>
                    <w:tl2br w:val="nil"/>
                    <w:tr2bl w:val="nil"/>
                  </w:tcBorders>
                  <w:vAlign w:val="center"/>
                </w:tcPr>
                <w:p w14:paraId="5448DE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废水量</w:t>
                  </w:r>
                  <w:r>
                    <w:rPr>
                      <w:rFonts w:hint="default" w:ascii="Times New Roman" w:hAnsi="Times New Roman" w:eastAsia="宋体" w:cs="Times New Roman"/>
                      <w:color w:val="auto"/>
                      <w:sz w:val="18"/>
                      <w:szCs w:val="18"/>
                      <w:highlight w:val="none"/>
                      <w:lang w:val="en-US" w:eastAsia="zh-CN"/>
                    </w:rPr>
                    <w:t>t</w:t>
                  </w:r>
                  <w:r>
                    <w:rPr>
                      <w:rFonts w:hint="default" w:ascii="Times New Roman" w:hAnsi="Times New Roman" w:eastAsia="宋体" w:cs="Times New Roman"/>
                      <w:color w:val="auto"/>
                      <w:sz w:val="18"/>
                      <w:szCs w:val="18"/>
                      <w:highlight w:val="none"/>
                    </w:rPr>
                    <w:t>/a</w:t>
                  </w:r>
                </w:p>
              </w:tc>
              <w:tc>
                <w:tcPr>
                  <w:tcW w:w="453" w:type="pct"/>
                  <w:tcBorders>
                    <w:tl2br w:val="nil"/>
                    <w:tr2bl w:val="nil"/>
                  </w:tcBorders>
                  <w:vAlign w:val="center"/>
                </w:tcPr>
                <w:p w14:paraId="023AC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w:t>
                  </w:r>
                </w:p>
                <w:p w14:paraId="6CFF0A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浓度mg/L</w:t>
                  </w:r>
                </w:p>
              </w:tc>
              <w:tc>
                <w:tcPr>
                  <w:tcW w:w="417" w:type="pct"/>
                  <w:tcBorders>
                    <w:tl2br w:val="nil"/>
                    <w:tr2bl w:val="nil"/>
                  </w:tcBorders>
                  <w:vAlign w:val="center"/>
                </w:tcPr>
                <w:p w14:paraId="025F3A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517" w:type="pct"/>
                  <w:tcBorders>
                    <w:tl2br w:val="nil"/>
                    <w:tr2bl w:val="nil"/>
                  </w:tcBorders>
                  <w:vAlign w:val="center"/>
                </w:tcPr>
                <w:p w14:paraId="7E754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工艺</w:t>
                  </w:r>
                </w:p>
              </w:tc>
              <w:tc>
                <w:tcPr>
                  <w:tcW w:w="202" w:type="pct"/>
                  <w:tcBorders>
                    <w:tl2br w:val="nil"/>
                    <w:tr2bl w:val="nil"/>
                  </w:tcBorders>
                  <w:vAlign w:val="center"/>
                </w:tcPr>
                <w:p w14:paraId="53DE26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效率</w:t>
                  </w:r>
                </w:p>
                <w:p w14:paraId="48F01F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209" w:type="pct"/>
                  <w:tcBorders>
                    <w:tl2br w:val="nil"/>
                    <w:tr2bl w:val="nil"/>
                  </w:tcBorders>
                  <w:vAlign w:val="center"/>
                </w:tcPr>
                <w:p w14:paraId="0CC1D4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核算方法</w:t>
                  </w:r>
                </w:p>
              </w:tc>
              <w:tc>
                <w:tcPr>
                  <w:tcW w:w="404" w:type="pct"/>
                  <w:tcBorders>
                    <w:tl2br w:val="nil"/>
                    <w:tr2bl w:val="nil"/>
                  </w:tcBorders>
                  <w:vAlign w:val="center"/>
                </w:tcPr>
                <w:p w14:paraId="6295A5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废水量</w:t>
                  </w:r>
                  <w:r>
                    <w:rPr>
                      <w:rFonts w:hint="default" w:ascii="Times New Roman" w:hAnsi="Times New Roman" w:eastAsia="宋体" w:cs="Times New Roman"/>
                      <w:color w:val="auto"/>
                      <w:sz w:val="18"/>
                      <w:szCs w:val="18"/>
                      <w:highlight w:val="none"/>
                      <w:lang w:val="en-US" w:eastAsia="zh-CN"/>
                    </w:rPr>
                    <w:t>t</w:t>
                  </w:r>
                  <w:r>
                    <w:rPr>
                      <w:rFonts w:hint="default" w:ascii="Times New Roman" w:hAnsi="Times New Roman" w:eastAsia="宋体" w:cs="Times New Roman"/>
                      <w:color w:val="auto"/>
                      <w:sz w:val="18"/>
                      <w:szCs w:val="18"/>
                      <w:highlight w:val="none"/>
                    </w:rPr>
                    <w:t>/a</w:t>
                  </w:r>
                </w:p>
              </w:tc>
              <w:tc>
                <w:tcPr>
                  <w:tcW w:w="459" w:type="pct"/>
                  <w:tcBorders>
                    <w:tl2br w:val="nil"/>
                    <w:tr2bl w:val="nil"/>
                  </w:tcBorders>
                  <w:vAlign w:val="center"/>
                </w:tcPr>
                <w:p w14:paraId="2BAE9A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排放浓度mg/L</w:t>
                  </w:r>
                </w:p>
              </w:tc>
              <w:tc>
                <w:tcPr>
                  <w:tcW w:w="395" w:type="pct"/>
                  <w:tcBorders>
                    <w:tl2br w:val="nil"/>
                    <w:tr2bl w:val="nil"/>
                  </w:tcBorders>
                  <w:vAlign w:val="center"/>
                </w:tcPr>
                <w:p w14:paraId="5D17A7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r>
            <w:tr w14:paraId="597821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 w:type="pct"/>
                  <w:vMerge w:val="restart"/>
                  <w:tcBorders>
                    <w:tl2br w:val="nil"/>
                    <w:tr2bl w:val="nil"/>
                  </w:tcBorders>
                  <w:vAlign w:val="center"/>
                </w:tcPr>
                <w:p w14:paraId="221B5F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锅炉</w:t>
                  </w:r>
                </w:p>
              </w:tc>
              <w:tc>
                <w:tcPr>
                  <w:tcW w:w="482" w:type="pct"/>
                  <w:vMerge w:val="restart"/>
                  <w:tcBorders>
                    <w:tl2br w:val="nil"/>
                    <w:tr2bl w:val="nil"/>
                  </w:tcBorders>
                  <w:vAlign w:val="center"/>
                </w:tcPr>
                <w:p w14:paraId="54D97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锅炉排污水</w:t>
                  </w:r>
                  <w:r>
                    <w:rPr>
                      <w:rFonts w:hint="default" w:ascii="Times New Roman" w:hAnsi="Times New Roman" w:cs="Times New Roman"/>
                      <w:color w:val="auto"/>
                      <w:sz w:val="18"/>
                      <w:szCs w:val="18"/>
                      <w:highlight w:val="none"/>
                      <w:lang w:val="en-US" w:eastAsia="zh-CN"/>
                    </w:rPr>
                    <w:t>及软化处理废水</w:t>
                  </w:r>
                </w:p>
              </w:tc>
              <w:tc>
                <w:tcPr>
                  <w:tcW w:w="443" w:type="pct"/>
                  <w:tcBorders>
                    <w:tl2br w:val="nil"/>
                    <w:tr2bl w:val="nil"/>
                  </w:tcBorders>
                  <w:vAlign w:val="center"/>
                </w:tcPr>
                <w:p w14:paraId="593C5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COD</w:t>
                  </w:r>
                </w:p>
              </w:tc>
              <w:tc>
                <w:tcPr>
                  <w:tcW w:w="321" w:type="pct"/>
                  <w:tcBorders>
                    <w:tl2br w:val="nil"/>
                    <w:tr2bl w:val="nil"/>
                  </w:tcBorders>
                  <w:vAlign w:val="center"/>
                </w:tcPr>
                <w:p w14:paraId="3EFCFE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产污系数法</w:t>
                  </w:r>
                </w:p>
              </w:tc>
              <w:tc>
                <w:tcPr>
                  <w:tcW w:w="382" w:type="pct"/>
                  <w:vMerge w:val="restart"/>
                  <w:tcBorders>
                    <w:tl2br w:val="nil"/>
                    <w:tr2bl w:val="nil"/>
                  </w:tcBorders>
                  <w:vAlign w:val="center"/>
                </w:tcPr>
                <w:p w14:paraId="4B27E4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sz w:val="18"/>
                      <w:szCs w:val="18"/>
                      <w:highlight w:val="none"/>
                      <w:lang w:val="en-US" w:eastAsia="zh-CN"/>
                    </w:rPr>
                    <w:t>8948.83</w:t>
                  </w:r>
                </w:p>
              </w:tc>
              <w:tc>
                <w:tcPr>
                  <w:tcW w:w="453" w:type="pct"/>
                  <w:tcBorders>
                    <w:tl2br w:val="nil"/>
                    <w:tr2bl w:val="nil"/>
                  </w:tcBorders>
                  <w:vAlign w:val="center"/>
                </w:tcPr>
                <w:p w14:paraId="73F86C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84.</w:t>
                  </w:r>
                  <w:r>
                    <w:rPr>
                      <w:rFonts w:hint="eastAsia" w:cs="Times New Roman"/>
                      <w:bCs/>
                      <w:color w:val="auto"/>
                      <w:sz w:val="18"/>
                      <w:szCs w:val="18"/>
                      <w:highlight w:val="none"/>
                      <w:lang w:val="en-US" w:eastAsia="zh-CN"/>
                    </w:rPr>
                    <w:t>3</w:t>
                  </w:r>
                </w:p>
              </w:tc>
              <w:tc>
                <w:tcPr>
                  <w:tcW w:w="417" w:type="pct"/>
                  <w:tcBorders>
                    <w:tl2br w:val="nil"/>
                    <w:tr2bl w:val="nil"/>
                  </w:tcBorders>
                  <w:vAlign w:val="center"/>
                </w:tcPr>
                <w:p w14:paraId="5600F0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sz w:val="18"/>
                      <w:szCs w:val="18"/>
                      <w:highlight w:val="none"/>
                      <w:lang w:val="en-US" w:eastAsia="zh-CN"/>
                    </w:rPr>
                    <w:t>0.754</w:t>
                  </w:r>
                </w:p>
              </w:tc>
              <w:tc>
                <w:tcPr>
                  <w:tcW w:w="517" w:type="pct"/>
                  <w:vMerge w:val="restart"/>
                  <w:tcBorders>
                    <w:tl2br w:val="nil"/>
                    <w:tr2bl w:val="nil"/>
                  </w:tcBorders>
                  <w:vAlign w:val="center"/>
                </w:tcPr>
                <w:p w14:paraId="4D025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202" w:type="pct"/>
                  <w:vMerge w:val="restart"/>
                  <w:tcBorders>
                    <w:tl2br w:val="nil"/>
                    <w:tr2bl w:val="nil"/>
                  </w:tcBorders>
                  <w:vAlign w:val="center"/>
                </w:tcPr>
                <w:p w14:paraId="26CAA6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209" w:type="pct"/>
                  <w:vMerge w:val="restart"/>
                  <w:tcBorders>
                    <w:tl2br w:val="nil"/>
                    <w:tr2bl w:val="nil"/>
                  </w:tcBorders>
                  <w:vAlign w:val="center"/>
                </w:tcPr>
                <w:p w14:paraId="5E0391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物料衡算法</w:t>
                  </w:r>
                </w:p>
              </w:tc>
              <w:tc>
                <w:tcPr>
                  <w:tcW w:w="650" w:type="dxa"/>
                  <w:vMerge w:val="restart"/>
                  <w:tcBorders>
                    <w:tl2br w:val="nil"/>
                    <w:tr2bl w:val="nil"/>
                  </w:tcBorders>
                  <w:vAlign w:val="center"/>
                </w:tcPr>
                <w:p w14:paraId="6942BA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bCs/>
                      <w:color w:val="auto"/>
                      <w:sz w:val="18"/>
                      <w:szCs w:val="18"/>
                      <w:highlight w:val="none"/>
                      <w:lang w:val="en-US" w:eastAsia="zh-CN"/>
                    </w:rPr>
                    <w:t>8948.83</w:t>
                  </w:r>
                </w:p>
              </w:tc>
              <w:tc>
                <w:tcPr>
                  <w:tcW w:w="738" w:type="dxa"/>
                  <w:tcBorders>
                    <w:tl2br w:val="nil"/>
                    <w:tr2bl w:val="nil"/>
                  </w:tcBorders>
                  <w:vAlign w:val="center"/>
                </w:tcPr>
                <w:p w14:paraId="31A4C4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84.</w:t>
                  </w:r>
                  <w:r>
                    <w:rPr>
                      <w:rFonts w:hint="eastAsia" w:cs="Times New Roman"/>
                      <w:bCs/>
                      <w:color w:val="auto"/>
                      <w:sz w:val="18"/>
                      <w:szCs w:val="18"/>
                      <w:highlight w:val="none"/>
                      <w:lang w:val="en-US" w:eastAsia="zh-CN"/>
                    </w:rPr>
                    <w:t>3</w:t>
                  </w:r>
                </w:p>
              </w:tc>
              <w:tc>
                <w:tcPr>
                  <w:tcW w:w="635" w:type="dxa"/>
                  <w:tcBorders>
                    <w:tl2br w:val="nil"/>
                    <w:tr2bl w:val="nil"/>
                  </w:tcBorders>
                  <w:vAlign w:val="center"/>
                </w:tcPr>
                <w:p w14:paraId="693550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sz w:val="18"/>
                      <w:szCs w:val="18"/>
                      <w:highlight w:val="none"/>
                      <w:lang w:val="en-US" w:eastAsia="zh-CN"/>
                    </w:rPr>
                    <w:t>0.754</w:t>
                  </w:r>
                </w:p>
              </w:tc>
            </w:tr>
            <w:tr w14:paraId="4A08D7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 w:type="pct"/>
                  <w:vMerge w:val="continue"/>
                  <w:tcBorders>
                    <w:tl2br w:val="nil"/>
                    <w:tr2bl w:val="nil"/>
                  </w:tcBorders>
                  <w:vAlign w:val="center"/>
                </w:tcPr>
                <w:p w14:paraId="61456D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eastAsia="zh-CN"/>
                    </w:rPr>
                  </w:pPr>
                </w:p>
              </w:tc>
              <w:tc>
                <w:tcPr>
                  <w:tcW w:w="482" w:type="pct"/>
                  <w:vMerge w:val="continue"/>
                  <w:tcBorders>
                    <w:tl2br w:val="nil"/>
                    <w:tr2bl w:val="nil"/>
                  </w:tcBorders>
                  <w:vAlign w:val="center"/>
                </w:tcPr>
                <w:p w14:paraId="24E3B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eastAsia="zh-CN"/>
                    </w:rPr>
                  </w:pPr>
                </w:p>
              </w:tc>
              <w:tc>
                <w:tcPr>
                  <w:tcW w:w="443" w:type="pct"/>
                  <w:tcBorders>
                    <w:tl2br w:val="nil"/>
                    <w:tr2bl w:val="nil"/>
                  </w:tcBorders>
                  <w:vAlign w:val="center"/>
                </w:tcPr>
                <w:p w14:paraId="654F53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溶解性总固体</w:t>
                  </w:r>
                </w:p>
              </w:tc>
              <w:tc>
                <w:tcPr>
                  <w:tcW w:w="321" w:type="pct"/>
                  <w:tcBorders>
                    <w:tl2br w:val="nil"/>
                    <w:tr2bl w:val="nil"/>
                  </w:tcBorders>
                  <w:vAlign w:val="center"/>
                </w:tcPr>
                <w:p w14:paraId="12F9E0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rPr>
                    <w:t>—</w:t>
                  </w:r>
                </w:p>
              </w:tc>
              <w:tc>
                <w:tcPr>
                  <w:tcW w:w="382" w:type="pct"/>
                  <w:vMerge w:val="continue"/>
                  <w:tcBorders>
                    <w:tl2br w:val="nil"/>
                    <w:tr2bl w:val="nil"/>
                  </w:tcBorders>
                  <w:vAlign w:val="center"/>
                </w:tcPr>
                <w:p w14:paraId="7FDFBD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453" w:type="pct"/>
                  <w:tcBorders>
                    <w:tl2br w:val="nil"/>
                    <w:tr2bl w:val="nil"/>
                  </w:tcBorders>
                  <w:vAlign w:val="center"/>
                </w:tcPr>
                <w:p w14:paraId="50216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w:t>
                  </w:r>
                  <w:r>
                    <w:rPr>
                      <w:rFonts w:hint="default" w:ascii="Times New Roman" w:hAnsi="Times New Roman" w:eastAsia="宋体" w:cs="Times New Roman"/>
                      <w:color w:val="auto"/>
                      <w:sz w:val="18"/>
                      <w:szCs w:val="18"/>
                      <w:highlight w:val="none"/>
                      <w:lang w:val="en-US" w:eastAsia="zh-CN"/>
                    </w:rPr>
                    <w:t>00</w:t>
                  </w:r>
                </w:p>
              </w:tc>
              <w:tc>
                <w:tcPr>
                  <w:tcW w:w="417" w:type="pct"/>
                  <w:tcBorders>
                    <w:tl2br w:val="nil"/>
                    <w:tr2bl w:val="nil"/>
                  </w:tcBorders>
                  <w:vAlign w:val="center"/>
                </w:tcPr>
                <w:p w14:paraId="13A48C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kern w:val="0"/>
                      <w:sz w:val="18"/>
                      <w:szCs w:val="18"/>
                      <w:highlight w:val="none"/>
                      <w:lang w:val="en-US" w:eastAsia="zh-CN"/>
                    </w:rPr>
                    <w:t>4.474</w:t>
                  </w:r>
                </w:p>
              </w:tc>
              <w:tc>
                <w:tcPr>
                  <w:tcW w:w="517" w:type="pct"/>
                  <w:vMerge w:val="continue"/>
                  <w:tcBorders>
                    <w:tl2br w:val="nil"/>
                    <w:tr2bl w:val="nil"/>
                  </w:tcBorders>
                  <w:vAlign w:val="center"/>
                </w:tcPr>
                <w:p w14:paraId="434A8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p>
              </w:tc>
              <w:tc>
                <w:tcPr>
                  <w:tcW w:w="202" w:type="pct"/>
                  <w:vMerge w:val="continue"/>
                  <w:tcBorders>
                    <w:tl2br w:val="nil"/>
                    <w:tr2bl w:val="nil"/>
                  </w:tcBorders>
                  <w:vAlign w:val="center"/>
                </w:tcPr>
                <w:p w14:paraId="46C55D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209" w:type="pct"/>
                  <w:vMerge w:val="continue"/>
                  <w:tcBorders>
                    <w:tl2br w:val="nil"/>
                    <w:tr2bl w:val="nil"/>
                  </w:tcBorders>
                  <w:vAlign w:val="center"/>
                </w:tcPr>
                <w:p w14:paraId="614FE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p>
              </w:tc>
              <w:tc>
                <w:tcPr>
                  <w:tcW w:w="650" w:type="dxa"/>
                  <w:vMerge w:val="continue"/>
                  <w:tcBorders>
                    <w:tl2br w:val="nil"/>
                    <w:tr2bl w:val="nil"/>
                  </w:tcBorders>
                  <w:vAlign w:val="center"/>
                </w:tcPr>
                <w:p w14:paraId="65581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738" w:type="dxa"/>
                  <w:tcBorders>
                    <w:tl2br w:val="nil"/>
                    <w:tr2bl w:val="nil"/>
                  </w:tcBorders>
                  <w:vAlign w:val="center"/>
                </w:tcPr>
                <w:p w14:paraId="1145DF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w:t>
                  </w:r>
                  <w:r>
                    <w:rPr>
                      <w:rFonts w:hint="default" w:ascii="Times New Roman" w:hAnsi="Times New Roman" w:eastAsia="宋体" w:cs="Times New Roman"/>
                      <w:color w:val="auto"/>
                      <w:sz w:val="18"/>
                      <w:szCs w:val="18"/>
                      <w:highlight w:val="none"/>
                      <w:lang w:val="en-US" w:eastAsia="zh-CN"/>
                    </w:rPr>
                    <w:t>00</w:t>
                  </w:r>
                </w:p>
              </w:tc>
              <w:tc>
                <w:tcPr>
                  <w:tcW w:w="635" w:type="dxa"/>
                  <w:tcBorders>
                    <w:tl2br w:val="nil"/>
                    <w:tr2bl w:val="nil"/>
                  </w:tcBorders>
                  <w:vAlign w:val="center"/>
                </w:tcPr>
                <w:p w14:paraId="0A975B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kern w:val="0"/>
                      <w:sz w:val="18"/>
                      <w:szCs w:val="18"/>
                      <w:highlight w:val="none"/>
                      <w:lang w:val="en-US" w:eastAsia="zh-CN"/>
                    </w:rPr>
                    <w:t>4.474</w:t>
                  </w:r>
                </w:p>
              </w:tc>
            </w:tr>
          </w:tbl>
          <w:p w14:paraId="6CE92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Cs w:val="21"/>
                <w:highlight w:val="none"/>
                <w:lang w:val="en-US" w:eastAsia="zh-CN"/>
              </w:rPr>
              <w:t>本项目无新增员工，故无新增生活污水</w:t>
            </w:r>
            <w:r>
              <w:rPr>
                <w:rFonts w:hint="eastAsia" w:ascii="Times New Roman" w:hAnsi="Times New Roman" w:eastAsia="宋体" w:cs="Times New Roman"/>
                <w:color w:val="auto"/>
                <w:kern w:val="0"/>
                <w:szCs w:val="21"/>
                <w:highlight w:val="none"/>
                <w:lang w:eastAsia="zh-CN"/>
              </w:rPr>
              <w:t>，</w:t>
            </w:r>
            <w:r>
              <w:rPr>
                <w:rFonts w:hint="eastAsia" w:ascii="Times New Roman" w:hAnsi="Times New Roman" w:eastAsia="宋体" w:cs="Times New Roman"/>
                <w:color w:val="FF0000"/>
                <w:kern w:val="0"/>
                <w:szCs w:val="21"/>
                <w:highlight w:val="none"/>
                <w:lang w:val="en-US" w:eastAsia="zh-CN"/>
              </w:rPr>
              <w:t>初期雨水依托东山煤矿洗煤一厂现有初期雨水收集池，初期雨水集中收集后回用洒水降尘，不外排，</w:t>
            </w:r>
            <w:r>
              <w:rPr>
                <w:rFonts w:hint="default" w:ascii="Times New Roman" w:hAnsi="Times New Roman" w:eastAsia="宋体" w:cs="Times New Roman"/>
                <w:bCs/>
                <w:color w:val="auto"/>
                <w:sz w:val="21"/>
                <w:szCs w:val="21"/>
                <w:highlight w:val="none"/>
              </w:rPr>
              <w:t>锅炉排污水</w:t>
            </w:r>
            <w:r>
              <w:rPr>
                <w:rFonts w:hint="eastAsia" w:cs="Times New Roman"/>
                <w:bCs/>
                <w:color w:val="auto"/>
                <w:sz w:val="21"/>
                <w:szCs w:val="21"/>
                <w:highlight w:val="none"/>
                <w:lang w:val="en-US" w:eastAsia="zh-CN"/>
              </w:rPr>
              <w:t>及软化处理废水总</w:t>
            </w:r>
            <w:r>
              <w:rPr>
                <w:rFonts w:hint="default" w:ascii="Times New Roman" w:hAnsi="Times New Roman" w:eastAsia="宋体" w:cs="Times New Roman"/>
                <w:bCs/>
                <w:color w:val="auto"/>
                <w:sz w:val="21"/>
                <w:szCs w:val="21"/>
                <w:highlight w:val="none"/>
              </w:rPr>
              <w:t>量为</w:t>
            </w:r>
            <w:r>
              <w:rPr>
                <w:rFonts w:hint="eastAsia" w:cs="Times New Roman"/>
                <w:bCs/>
                <w:color w:val="auto"/>
                <w:sz w:val="21"/>
                <w:szCs w:val="21"/>
                <w:highlight w:val="none"/>
                <w:lang w:val="en-US" w:eastAsia="zh-CN"/>
              </w:rPr>
              <w:t>42.61</w:t>
            </w:r>
            <w:r>
              <w:rPr>
                <w:rFonts w:hint="default" w:ascii="Times New Roman" w:hAnsi="Times New Roman" w:eastAsia="宋体" w:cs="Times New Roman"/>
                <w:bCs/>
                <w:color w:val="auto"/>
                <w:sz w:val="21"/>
                <w:szCs w:val="21"/>
                <w:highlight w:val="none"/>
              </w:rPr>
              <w:t>t/d，</w:t>
            </w:r>
            <w:r>
              <w:rPr>
                <w:rFonts w:hint="eastAsia" w:cs="Times New Roman"/>
                <w:bCs/>
                <w:color w:val="auto"/>
                <w:sz w:val="21"/>
                <w:szCs w:val="21"/>
                <w:highlight w:val="none"/>
                <w:lang w:val="en-US" w:eastAsia="zh-CN"/>
              </w:rPr>
              <w:t>8948.83</w:t>
            </w:r>
            <w:r>
              <w:rPr>
                <w:rFonts w:hint="default" w:ascii="Times New Roman" w:hAnsi="Times New Roman" w:eastAsia="宋体" w:cs="Times New Roman"/>
                <w:bCs/>
                <w:color w:val="auto"/>
                <w:sz w:val="21"/>
                <w:szCs w:val="21"/>
                <w:highlight w:val="none"/>
              </w:rPr>
              <w:t>t/a</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根据</w:t>
            </w:r>
            <w:r>
              <w:rPr>
                <w:rFonts w:hint="default" w:ascii="Times New Roman" w:hAnsi="Times New Roman" w:eastAsia="宋体" w:cs="Times New Roman"/>
                <w:color w:val="auto"/>
                <w:sz w:val="21"/>
                <w:szCs w:val="21"/>
                <w:highlight w:val="none"/>
              </w:rPr>
              <w:t>《排放源统计调查产排污核算方法和系数手册》中“4430工业锅炉（热力供应）行业系数手册”中燃生物质锅炉（锅</w:t>
            </w:r>
            <w:r>
              <w:rPr>
                <w:rFonts w:hint="eastAsia" w:cs="Times New Roman"/>
                <w:color w:val="auto"/>
                <w:sz w:val="21"/>
                <w:szCs w:val="21"/>
                <w:highlight w:val="none"/>
                <w:lang w:val="en-US" w:eastAsia="zh-CN"/>
              </w:rPr>
              <w:t>外</w:t>
            </w:r>
            <w:r>
              <w:rPr>
                <w:rFonts w:hint="default" w:ascii="Times New Roman" w:hAnsi="Times New Roman" w:eastAsia="宋体" w:cs="Times New Roman"/>
                <w:color w:val="auto"/>
                <w:sz w:val="21"/>
                <w:szCs w:val="21"/>
                <w:highlight w:val="none"/>
              </w:rPr>
              <w:t>水处理）COD产生系数为</w:t>
            </w:r>
            <w:r>
              <w:rPr>
                <w:rFonts w:hint="eastAsia"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克/吨</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原料</w:t>
            </w: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color w:val="auto"/>
                <w:kern w:val="0"/>
                <w:sz w:val="21"/>
                <w:szCs w:val="21"/>
                <w:highlight w:val="none"/>
              </w:rPr>
              <w:t>本项目</w:t>
            </w:r>
            <w:r>
              <w:rPr>
                <w:rFonts w:hint="eastAsia" w:cs="Times New Roman"/>
                <w:color w:val="auto"/>
                <w:kern w:val="0"/>
                <w:sz w:val="21"/>
                <w:szCs w:val="21"/>
                <w:highlight w:val="none"/>
                <w:lang w:val="en-US" w:eastAsia="zh-CN"/>
              </w:rPr>
              <w:t>生物质锅炉</w:t>
            </w:r>
            <w:r>
              <w:rPr>
                <w:rFonts w:hint="default" w:ascii="Times New Roman" w:hAnsi="Times New Roman" w:eastAsia="宋体" w:cs="Times New Roman"/>
                <w:bCs/>
                <w:color w:val="auto"/>
                <w:sz w:val="21"/>
                <w:szCs w:val="21"/>
                <w:highlight w:val="none"/>
              </w:rPr>
              <w:t>燃烧生物质</w:t>
            </w:r>
            <w:r>
              <w:rPr>
                <w:rFonts w:hint="eastAsia" w:cs="Times New Roman"/>
                <w:bCs/>
                <w:color w:val="auto"/>
                <w:sz w:val="21"/>
                <w:szCs w:val="21"/>
                <w:highlight w:val="none"/>
                <w:lang w:val="en-US" w:eastAsia="zh-CN"/>
              </w:rPr>
              <w:t>总量</w:t>
            </w:r>
            <w:r>
              <w:rPr>
                <w:rFonts w:hint="eastAsia" w:cs="Times New Roman"/>
                <w:color w:val="auto"/>
                <w:sz w:val="21"/>
                <w:szCs w:val="21"/>
                <w:highlight w:val="none"/>
                <w:lang w:val="en-US" w:eastAsia="zh-CN"/>
              </w:rPr>
              <w:t>25137.15</w:t>
            </w:r>
            <w:r>
              <w:rPr>
                <w:rFonts w:hint="default" w:ascii="Times New Roman" w:hAnsi="Times New Roman" w:eastAsia="宋体" w:cs="Times New Roman"/>
                <w:color w:val="auto"/>
                <w:szCs w:val="21"/>
                <w:highlight w:val="none"/>
              </w:rPr>
              <w:t>t/a</w:t>
            </w:r>
            <w:r>
              <w:rPr>
                <w:rFonts w:hint="default" w:ascii="Times New Roman" w:hAnsi="Times New Roman" w:eastAsia="宋体" w:cs="Times New Roman"/>
                <w:bCs/>
                <w:color w:val="auto"/>
                <w:sz w:val="21"/>
                <w:szCs w:val="21"/>
                <w:highlight w:val="none"/>
              </w:rPr>
              <w:t>，COD产生浓度为</w:t>
            </w:r>
            <w:r>
              <w:rPr>
                <w:rFonts w:hint="eastAsia" w:cs="Times New Roman"/>
                <w:bCs/>
                <w:color w:val="auto"/>
                <w:sz w:val="21"/>
                <w:szCs w:val="21"/>
                <w:highlight w:val="none"/>
                <w:lang w:val="en-US" w:eastAsia="zh-CN"/>
              </w:rPr>
              <w:t>84.3</w:t>
            </w:r>
            <w:r>
              <w:rPr>
                <w:rFonts w:hint="default" w:ascii="Times New Roman" w:hAnsi="Times New Roman" w:eastAsia="宋体" w:cs="Times New Roman"/>
                <w:bCs/>
                <w:color w:val="auto"/>
                <w:sz w:val="21"/>
                <w:szCs w:val="21"/>
                <w:highlight w:val="none"/>
              </w:rPr>
              <w:t>mg/L、产生量为</w:t>
            </w:r>
            <w:r>
              <w:rPr>
                <w:rFonts w:hint="eastAsia" w:cs="Times New Roman"/>
                <w:bCs/>
                <w:color w:val="auto"/>
                <w:sz w:val="21"/>
                <w:szCs w:val="21"/>
                <w:highlight w:val="none"/>
                <w:lang w:val="en-US" w:eastAsia="zh-CN"/>
              </w:rPr>
              <w:t>0.754</w:t>
            </w:r>
            <w:r>
              <w:rPr>
                <w:rFonts w:hint="default" w:ascii="Times New Roman" w:hAnsi="Times New Roman" w:eastAsia="宋体" w:cs="Times New Roman"/>
                <w:bCs/>
                <w:color w:val="auto"/>
                <w:sz w:val="21"/>
                <w:szCs w:val="21"/>
                <w:highlight w:val="none"/>
              </w:rPr>
              <w:t>t/a，</w:t>
            </w:r>
            <w:r>
              <w:rPr>
                <w:rFonts w:hint="default" w:ascii="Times New Roman" w:hAnsi="Times New Roman" w:eastAsia="宋体" w:cs="Times New Roman"/>
                <w:color w:val="auto"/>
                <w:kern w:val="0"/>
                <w:sz w:val="21"/>
                <w:szCs w:val="21"/>
                <w:highlight w:val="none"/>
              </w:rPr>
              <w:t>溶解性总固体产生浓度为500mg/L、产生量为</w:t>
            </w:r>
            <w:r>
              <w:rPr>
                <w:rFonts w:hint="eastAsia" w:cs="Times New Roman"/>
                <w:color w:val="auto"/>
                <w:kern w:val="0"/>
                <w:sz w:val="21"/>
                <w:szCs w:val="21"/>
                <w:highlight w:val="none"/>
                <w:lang w:val="en-US" w:eastAsia="zh-CN"/>
              </w:rPr>
              <w:t>4.474</w:t>
            </w:r>
            <w:r>
              <w:rPr>
                <w:rFonts w:hint="default" w:ascii="Times New Roman" w:hAnsi="Times New Roman" w:eastAsia="宋体" w:cs="Times New Roman"/>
                <w:color w:val="auto"/>
                <w:kern w:val="0"/>
                <w:sz w:val="21"/>
                <w:szCs w:val="21"/>
                <w:highlight w:val="none"/>
              </w:rPr>
              <w:t>t/a。</w:t>
            </w:r>
          </w:p>
          <w:p w14:paraId="60B233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2</w:t>
            </w:r>
            <w:r>
              <w:rPr>
                <w:rFonts w:hint="default" w:ascii="Times New Roman" w:hAnsi="Times New Roman" w:cs="Times New Roman"/>
                <w:bCs/>
                <w:color w:val="auto"/>
                <w:szCs w:val="21"/>
                <w:highlight w:val="none"/>
              </w:rPr>
              <w:t>）排放口基本情况</w:t>
            </w:r>
          </w:p>
          <w:p w14:paraId="23A536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7</w:t>
            </w:r>
            <w:r>
              <w:rPr>
                <w:rFonts w:hint="default" w:ascii="Times New Roman" w:hAnsi="Times New Roman" w:cs="Times New Roman"/>
                <w:b/>
                <w:color w:val="auto"/>
                <w:szCs w:val="21"/>
                <w:highlight w:val="none"/>
              </w:rPr>
              <w:t>排放口基本情况表</w:t>
            </w:r>
          </w:p>
          <w:tbl>
            <w:tblPr>
              <w:tblStyle w:val="37"/>
              <w:tblW w:w="4997"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98"/>
              <w:gridCol w:w="571"/>
              <w:gridCol w:w="1230"/>
              <w:gridCol w:w="1110"/>
              <w:gridCol w:w="450"/>
              <w:gridCol w:w="1007"/>
              <w:gridCol w:w="1090"/>
              <w:gridCol w:w="1877"/>
            </w:tblGrid>
            <w:tr w14:paraId="2FF9FA6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35" w:type="pct"/>
                  <w:vMerge w:val="restart"/>
                  <w:tcBorders>
                    <w:tl2br w:val="nil"/>
                    <w:tr2bl w:val="nil"/>
                  </w:tcBorders>
                  <w:vAlign w:val="center"/>
                </w:tcPr>
                <w:p w14:paraId="177BCD9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排放口编号</w:t>
                  </w:r>
                </w:p>
              </w:tc>
              <w:tc>
                <w:tcPr>
                  <w:tcW w:w="355" w:type="pct"/>
                  <w:vMerge w:val="restart"/>
                  <w:tcBorders>
                    <w:tl2br w:val="nil"/>
                    <w:tr2bl w:val="nil"/>
                  </w:tcBorders>
                  <w:vAlign w:val="center"/>
                </w:tcPr>
                <w:p w14:paraId="252953C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1456" w:type="pct"/>
                  <w:gridSpan w:val="2"/>
                  <w:tcBorders>
                    <w:tl2br w:val="nil"/>
                    <w:tr2bl w:val="nil"/>
                  </w:tcBorders>
                  <w:vAlign w:val="center"/>
                </w:tcPr>
                <w:p w14:paraId="680D0FE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排放口地理坐标</w:t>
                  </w:r>
                </w:p>
              </w:tc>
              <w:tc>
                <w:tcPr>
                  <w:tcW w:w="280" w:type="pct"/>
                  <w:vMerge w:val="restart"/>
                  <w:tcBorders>
                    <w:tl2br w:val="nil"/>
                    <w:tr2bl w:val="nil"/>
                  </w:tcBorders>
                  <w:vAlign w:val="center"/>
                </w:tcPr>
                <w:p w14:paraId="77BEC60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排放方式</w:t>
                  </w:r>
                </w:p>
              </w:tc>
              <w:tc>
                <w:tcPr>
                  <w:tcW w:w="626" w:type="pct"/>
                  <w:vMerge w:val="restart"/>
                  <w:tcBorders>
                    <w:tl2br w:val="nil"/>
                    <w:tr2bl w:val="nil"/>
                  </w:tcBorders>
                  <w:vAlign w:val="center"/>
                </w:tcPr>
                <w:p w14:paraId="02EA7A9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排放去向</w:t>
                  </w:r>
                </w:p>
              </w:tc>
              <w:tc>
                <w:tcPr>
                  <w:tcW w:w="678" w:type="pct"/>
                  <w:vMerge w:val="restart"/>
                  <w:tcBorders>
                    <w:tl2br w:val="nil"/>
                    <w:tr2bl w:val="nil"/>
                  </w:tcBorders>
                  <w:vAlign w:val="center"/>
                </w:tcPr>
                <w:p w14:paraId="7773D43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排放规律</w:t>
                  </w:r>
                </w:p>
              </w:tc>
              <w:tc>
                <w:tcPr>
                  <w:tcW w:w="1168" w:type="pct"/>
                  <w:vMerge w:val="restart"/>
                  <w:tcBorders>
                    <w:tl2br w:val="nil"/>
                    <w:tr2bl w:val="nil"/>
                  </w:tcBorders>
                  <w:vAlign w:val="center"/>
                </w:tcPr>
                <w:p w14:paraId="59A43AA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执行标准</w:t>
                  </w:r>
                </w:p>
              </w:tc>
            </w:tr>
            <w:tr w14:paraId="00677A2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35" w:type="pct"/>
                  <w:vMerge w:val="continue"/>
                  <w:tcBorders>
                    <w:tl2br w:val="nil"/>
                    <w:tr2bl w:val="nil"/>
                  </w:tcBorders>
                  <w:vAlign w:val="center"/>
                </w:tcPr>
                <w:p w14:paraId="75A22B8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355" w:type="pct"/>
                  <w:vMerge w:val="continue"/>
                  <w:tcBorders>
                    <w:tl2br w:val="nil"/>
                    <w:tr2bl w:val="nil"/>
                  </w:tcBorders>
                  <w:vAlign w:val="center"/>
                </w:tcPr>
                <w:p w14:paraId="1882F45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765" w:type="pct"/>
                  <w:tcBorders>
                    <w:tl2br w:val="nil"/>
                    <w:tr2bl w:val="nil"/>
                  </w:tcBorders>
                  <w:vAlign w:val="center"/>
                </w:tcPr>
                <w:p w14:paraId="2F4D3B7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p>
              </w:tc>
              <w:tc>
                <w:tcPr>
                  <w:tcW w:w="690" w:type="pct"/>
                  <w:tcBorders>
                    <w:tl2br w:val="nil"/>
                    <w:tr2bl w:val="nil"/>
                  </w:tcBorders>
                  <w:vAlign w:val="center"/>
                </w:tcPr>
                <w:p w14:paraId="024095F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p>
              </w:tc>
              <w:tc>
                <w:tcPr>
                  <w:tcW w:w="280" w:type="pct"/>
                  <w:vMerge w:val="continue"/>
                  <w:tcBorders>
                    <w:tl2br w:val="nil"/>
                    <w:tr2bl w:val="nil"/>
                  </w:tcBorders>
                  <w:vAlign w:val="center"/>
                </w:tcPr>
                <w:p w14:paraId="1319024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26" w:type="pct"/>
                  <w:vMerge w:val="continue"/>
                  <w:tcBorders>
                    <w:tl2br w:val="nil"/>
                    <w:tr2bl w:val="nil"/>
                  </w:tcBorders>
                  <w:vAlign w:val="center"/>
                </w:tcPr>
                <w:p w14:paraId="5A7CF3D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78" w:type="pct"/>
                  <w:vMerge w:val="continue"/>
                  <w:tcBorders>
                    <w:tl2br w:val="nil"/>
                    <w:tr2bl w:val="nil"/>
                  </w:tcBorders>
                  <w:vAlign w:val="center"/>
                </w:tcPr>
                <w:p w14:paraId="59F87A1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1168" w:type="pct"/>
                  <w:vMerge w:val="continue"/>
                  <w:tcBorders>
                    <w:tl2br w:val="nil"/>
                    <w:tr2bl w:val="nil"/>
                  </w:tcBorders>
                  <w:vAlign w:val="center"/>
                </w:tcPr>
                <w:p w14:paraId="3AB30A2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r>
            <w:tr w14:paraId="5AA26D9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35" w:type="pct"/>
                  <w:tcBorders>
                    <w:tl2br w:val="nil"/>
                    <w:tr2bl w:val="nil"/>
                  </w:tcBorders>
                  <w:vAlign w:val="center"/>
                </w:tcPr>
                <w:p w14:paraId="72697C6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DW001</w:t>
                  </w:r>
                </w:p>
              </w:tc>
              <w:tc>
                <w:tcPr>
                  <w:tcW w:w="355" w:type="pct"/>
                  <w:tcBorders>
                    <w:tl2br w:val="nil"/>
                    <w:tr2bl w:val="nil"/>
                  </w:tcBorders>
                  <w:vAlign w:val="center"/>
                </w:tcPr>
                <w:p w14:paraId="035ED81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排水口</w:t>
                  </w:r>
                </w:p>
              </w:tc>
              <w:tc>
                <w:tcPr>
                  <w:tcW w:w="765" w:type="pct"/>
                  <w:tcBorders>
                    <w:tl2br w:val="nil"/>
                    <w:tr2bl w:val="nil"/>
                  </w:tcBorders>
                  <w:vAlign w:val="center"/>
                </w:tcPr>
                <w:p w14:paraId="630ED694">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Cs/>
                      <w:color w:val="auto"/>
                      <w:sz w:val="18"/>
                      <w:szCs w:val="18"/>
                      <w:highlight w:val="none"/>
                    </w:rPr>
                    <w:t>130.94352665</w:t>
                  </w:r>
                </w:p>
              </w:tc>
              <w:tc>
                <w:tcPr>
                  <w:tcW w:w="690" w:type="pct"/>
                  <w:tcBorders>
                    <w:tl2br w:val="nil"/>
                    <w:tr2bl w:val="nil"/>
                  </w:tcBorders>
                  <w:vAlign w:val="center"/>
                </w:tcPr>
                <w:p w14:paraId="3AF73856">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Cs/>
                      <w:color w:val="auto"/>
                      <w:sz w:val="18"/>
                      <w:szCs w:val="18"/>
                      <w:highlight w:val="none"/>
                    </w:rPr>
                    <w:t>45.20585122</w:t>
                  </w:r>
                </w:p>
              </w:tc>
              <w:tc>
                <w:tcPr>
                  <w:tcW w:w="280" w:type="pct"/>
                  <w:tcBorders>
                    <w:tl2br w:val="nil"/>
                    <w:tr2bl w:val="nil"/>
                  </w:tcBorders>
                  <w:vAlign w:val="center"/>
                </w:tcPr>
                <w:p w14:paraId="1407314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间接排放</w:t>
                  </w:r>
                </w:p>
              </w:tc>
              <w:tc>
                <w:tcPr>
                  <w:tcW w:w="626" w:type="pct"/>
                  <w:tcBorders>
                    <w:tl2br w:val="nil"/>
                    <w:tr2bl w:val="nil"/>
                  </w:tcBorders>
                  <w:vAlign w:val="center"/>
                </w:tcPr>
                <w:p w14:paraId="702003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kern w:val="0"/>
                      <w:sz w:val="18"/>
                      <w:szCs w:val="18"/>
                      <w:highlight w:val="none"/>
                      <w:lang w:val="en-US" w:eastAsia="zh-CN" w:bidi="ar"/>
                    </w:rPr>
                    <w:t>恒山区污水处理厂</w:t>
                  </w:r>
                </w:p>
              </w:tc>
              <w:tc>
                <w:tcPr>
                  <w:tcW w:w="678" w:type="pct"/>
                  <w:tcBorders>
                    <w:tl2br w:val="nil"/>
                    <w:tr2bl w:val="nil"/>
                  </w:tcBorders>
                  <w:vAlign w:val="center"/>
                </w:tcPr>
                <w:p w14:paraId="7F4CB40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间断排放，不规律</w:t>
                  </w:r>
                </w:p>
              </w:tc>
              <w:tc>
                <w:tcPr>
                  <w:tcW w:w="1168" w:type="pct"/>
                  <w:tcBorders>
                    <w:tl2br w:val="nil"/>
                    <w:tr2bl w:val="nil"/>
                  </w:tcBorders>
                  <w:vAlign w:val="center"/>
                </w:tcPr>
                <w:p w14:paraId="6E5975C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kern w:val="0"/>
                      <w:sz w:val="18"/>
                      <w:szCs w:val="18"/>
                      <w:highlight w:val="none"/>
                      <w:lang w:val="en-US" w:eastAsia="zh-CN" w:bidi="ar"/>
                    </w:rPr>
                    <w:t>恒山区污水处理厂</w:t>
                  </w:r>
                  <w:r>
                    <w:rPr>
                      <w:rFonts w:hint="default" w:ascii="Times New Roman" w:hAnsi="Times New Roman" w:cs="Times New Roman"/>
                      <w:color w:val="auto"/>
                      <w:sz w:val="18"/>
                      <w:szCs w:val="18"/>
                      <w:highlight w:val="none"/>
                      <w:lang w:val="en-US" w:eastAsia="zh-CN"/>
                    </w:rPr>
                    <w:t>进水水质</w:t>
                  </w:r>
                  <w:r>
                    <w:rPr>
                      <w:rFonts w:hint="eastAsia" w:cs="Times New Roman"/>
                      <w:color w:val="auto"/>
                      <w:sz w:val="18"/>
                      <w:szCs w:val="18"/>
                      <w:highlight w:val="none"/>
                      <w:lang w:val="en-US" w:eastAsia="zh-CN"/>
                    </w:rPr>
                    <w:t>要求</w:t>
                  </w:r>
                </w:p>
              </w:tc>
            </w:tr>
          </w:tbl>
          <w:p w14:paraId="59B4AB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3</w:t>
            </w:r>
            <w:r>
              <w:rPr>
                <w:rFonts w:hint="default" w:ascii="Times New Roman" w:hAnsi="Times New Roman" w:cs="Times New Roman"/>
                <w:bCs/>
                <w:color w:val="auto"/>
                <w:szCs w:val="21"/>
                <w:highlight w:val="none"/>
              </w:rPr>
              <w:t>）监测要求</w:t>
            </w:r>
          </w:p>
          <w:p w14:paraId="1AB88C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根据</w:t>
            </w:r>
            <w:r>
              <w:rPr>
                <w:rFonts w:hint="default"/>
                <w:color w:val="auto"/>
                <w:sz w:val="21"/>
                <w:szCs w:val="21"/>
                <w:highlight w:val="none"/>
              </w:rPr>
              <w:t>《排污单位自行监测技术指南</w:t>
            </w:r>
            <w:r>
              <w:rPr>
                <w:rFonts w:hint="eastAsia"/>
                <w:color w:val="auto"/>
                <w:sz w:val="21"/>
                <w:szCs w:val="21"/>
                <w:highlight w:val="none"/>
                <w:lang w:val="en-US" w:eastAsia="zh-CN"/>
              </w:rPr>
              <w:t xml:space="preserve"> </w:t>
            </w:r>
            <w:r>
              <w:rPr>
                <w:rFonts w:hint="default"/>
                <w:color w:val="auto"/>
                <w:sz w:val="21"/>
                <w:szCs w:val="21"/>
                <w:highlight w:val="none"/>
              </w:rPr>
              <w:t>总则》</w:t>
            </w:r>
            <w:r>
              <w:rPr>
                <w:rFonts w:hint="eastAsia" w:ascii="宋体" w:hAnsi="宋体" w:eastAsia="宋体" w:cs="宋体"/>
                <w:color w:val="auto"/>
                <w:sz w:val="21"/>
                <w:szCs w:val="21"/>
                <w:highlight w:val="none"/>
                <w:lang w:val="en-US" w:eastAsia="zh-CN"/>
              </w:rPr>
              <w:t>(</w:t>
            </w:r>
            <w:r>
              <w:rPr>
                <w:rFonts w:hint="default"/>
                <w:color w:val="auto"/>
                <w:sz w:val="21"/>
                <w:szCs w:val="21"/>
                <w:highlight w:val="none"/>
              </w:rPr>
              <w:t>HJ819-2017</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eastAsia="zh-CN"/>
              </w:rPr>
              <w:t>、</w:t>
            </w:r>
            <w:r>
              <w:rPr>
                <w:rFonts w:hint="default" w:ascii="Times New Roman" w:hAnsi="Times New Roman" w:eastAsia="宋体" w:cs="Times New Roman"/>
                <w:color w:val="auto"/>
                <w:szCs w:val="24"/>
                <w:highlight w:val="none"/>
              </w:rPr>
              <w:t>《排污单位自行监测技术指南 火力发电及锅炉》（HJ820-2017）</w:t>
            </w:r>
            <w:r>
              <w:rPr>
                <w:rFonts w:hint="eastAsia"/>
                <w:color w:val="auto"/>
                <w:szCs w:val="21"/>
                <w:highlight w:val="none"/>
                <w:lang w:eastAsia="zh-CN"/>
              </w:rPr>
              <w:t>，</w:t>
            </w:r>
            <w:r>
              <w:rPr>
                <w:rFonts w:hint="default" w:ascii="Times New Roman" w:hAnsi="Times New Roman" w:cs="Times New Roman"/>
                <w:bCs/>
                <w:color w:val="auto"/>
                <w:szCs w:val="21"/>
                <w:highlight w:val="none"/>
              </w:rPr>
              <w:t>本项目废</w:t>
            </w:r>
            <w:r>
              <w:rPr>
                <w:rFonts w:hint="eastAsia" w:cs="Times New Roman"/>
                <w:bCs/>
                <w:color w:val="auto"/>
                <w:szCs w:val="21"/>
                <w:highlight w:val="none"/>
                <w:lang w:eastAsia="zh-CN"/>
              </w:rPr>
              <w:t>水</w:t>
            </w:r>
            <w:r>
              <w:rPr>
                <w:rFonts w:hint="default" w:ascii="Times New Roman" w:hAnsi="Times New Roman" w:cs="Times New Roman"/>
                <w:bCs/>
                <w:color w:val="auto"/>
                <w:szCs w:val="21"/>
                <w:highlight w:val="none"/>
              </w:rPr>
              <w:t>监测计划如下：</w:t>
            </w:r>
          </w:p>
          <w:p w14:paraId="7862A6D5">
            <w:pPr>
              <w:keepNext w:val="0"/>
              <w:keepLines w:val="0"/>
              <w:widowControl/>
              <w:suppressLineNumbers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表4-</w:t>
            </w:r>
            <w:r>
              <w:rPr>
                <w:rFonts w:hint="eastAsia"/>
                <w:b/>
                <w:color w:val="auto"/>
                <w:szCs w:val="21"/>
                <w:highlight w:val="none"/>
                <w:lang w:val="en-US" w:eastAsia="zh-CN"/>
              </w:rPr>
              <w:t>8</w:t>
            </w:r>
            <w:r>
              <w:rPr>
                <w:rFonts w:hint="default"/>
                <w:b/>
                <w:color w:val="auto"/>
                <w:szCs w:val="21"/>
                <w:highlight w:val="none"/>
              </w:rPr>
              <w:t>水污染物监测计划</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3086"/>
              <w:gridCol w:w="3123"/>
            </w:tblGrid>
            <w:tr w14:paraId="04AC92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38" w:type="pct"/>
                  <w:tcBorders>
                    <w:tl2br w:val="nil"/>
                    <w:tr2bl w:val="nil"/>
                  </w:tcBorders>
                  <w:vAlign w:val="center"/>
                </w:tcPr>
                <w:p w14:paraId="2D8CE30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监测点位</w:t>
                  </w:r>
                </w:p>
              </w:tc>
              <w:tc>
                <w:tcPr>
                  <w:tcW w:w="1919" w:type="pct"/>
                  <w:tcBorders>
                    <w:tl2br w:val="nil"/>
                    <w:tr2bl w:val="nil"/>
                  </w:tcBorders>
                  <w:vAlign w:val="center"/>
                </w:tcPr>
                <w:p w14:paraId="3EB38E5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监测因子</w:t>
                  </w:r>
                </w:p>
              </w:tc>
              <w:tc>
                <w:tcPr>
                  <w:tcW w:w="1942" w:type="pct"/>
                  <w:tcBorders>
                    <w:tl2br w:val="nil"/>
                    <w:tr2bl w:val="nil"/>
                  </w:tcBorders>
                  <w:vAlign w:val="center"/>
                </w:tcPr>
                <w:p w14:paraId="31513A9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监测频次</w:t>
                  </w:r>
                </w:p>
              </w:tc>
            </w:tr>
            <w:tr w14:paraId="1386D3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38" w:type="pct"/>
                  <w:tcBorders>
                    <w:tl2br w:val="nil"/>
                    <w:tr2bl w:val="nil"/>
                  </w:tcBorders>
                  <w:vAlign w:val="center"/>
                </w:tcPr>
                <w:p w14:paraId="7D222F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污水总排口</w:t>
                  </w:r>
                </w:p>
              </w:tc>
              <w:tc>
                <w:tcPr>
                  <w:tcW w:w="1919" w:type="pct"/>
                  <w:tcBorders>
                    <w:tl2br w:val="nil"/>
                    <w:tr2bl w:val="nil"/>
                  </w:tcBorders>
                  <w:vAlign w:val="center"/>
                </w:tcPr>
                <w:p w14:paraId="31A39132">
                  <w:pPr>
                    <w:pStyle w:val="15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rPr>
                  </w:pPr>
                  <w:r>
                    <w:rPr>
                      <w:rFonts w:hint="default"/>
                      <w:color w:val="auto"/>
                      <w:sz w:val="18"/>
                      <w:szCs w:val="18"/>
                      <w:highlight w:val="none"/>
                    </w:rPr>
                    <w:t>COD</w:t>
                  </w:r>
                  <w:r>
                    <w:rPr>
                      <w:rStyle w:val="45"/>
                      <w:rFonts w:hint="eastAsia"/>
                      <w:color w:val="auto"/>
                      <w:kern w:val="0"/>
                      <w:sz w:val="18"/>
                      <w:szCs w:val="18"/>
                      <w:highlight w:val="none"/>
                      <w:lang w:eastAsia="zh-CN"/>
                    </w:rPr>
                    <w:t>、</w:t>
                  </w:r>
                  <w:r>
                    <w:rPr>
                      <w:rStyle w:val="45"/>
                      <w:rFonts w:hint="eastAsia"/>
                      <w:color w:val="auto"/>
                      <w:kern w:val="0"/>
                      <w:sz w:val="18"/>
                      <w:szCs w:val="18"/>
                      <w:highlight w:val="none"/>
                      <w:lang w:val="en-US" w:eastAsia="zh-CN"/>
                    </w:rPr>
                    <w:t>氨氮、pH、SS、流量</w:t>
                  </w:r>
                </w:p>
              </w:tc>
              <w:tc>
                <w:tcPr>
                  <w:tcW w:w="1942" w:type="pct"/>
                  <w:tcBorders>
                    <w:tl2br w:val="nil"/>
                    <w:tr2bl w:val="nil"/>
                  </w:tcBorders>
                  <w:vAlign w:val="center"/>
                </w:tcPr>
                <w:p w14:paraId="181C0A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1次/年</w:t>
                  </w:r>
                </w:p>
              </w:tc>
            </w:tr>
          </w:tbl>
          <w:p w14:paraId="1C076A70">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4）</w:t>
            </w:r>
            <w:r>
              <w:rPr>
                <w:rFonts w:hint="default" w:ascii="Times New Roman" w:hAnsi="Times New Roman" w:cs="Times New Roman"/>
                <w:bCs/>
                <w:color w:val="auto"/>
                <w:sz w:val="21"/>
                <w:szCs w:val="21"/>
                <w:highlight w:val="none"/>
              </w:rPr>
              <w:t>依托可行性分析</w:t>
            </w:r>
          </w:p>
          <w:p w14:paraId="08664C1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
              </w:rPr>
              <w:t>恒山区污水处理厂</w:t>
            </w:r>
            <w:r>
              <w:rPr>
                <w:rFonts w:hint="default" w:ascii="Times New Roman" w:hAnsi="Times New Roman" w:eastAsia="宋体" w:cs="Times New Roman"/>
                <w:bCs/>
                <w:color w:val="auto"/>
                <w:spacing w:val="0"/>
                <w:sz w:val="21"/>
                <w:szCs w:val="21"/>
                <w:highlight w:val="none"/>
                <w:u w:val="none"/>
                <w:lang w:val="en-US" w:eastAsia="zh-CN"/>
              </w:rPr>
              <w:t>：</w:t>
            </w:r>
            <w:r>
              <w:rPr>
                <w:rFonts w:hint="default" w:ascii="Times New Roman" w:hAnsi="Times New Roman" w:eastAsia="宋体" w:cs="Times New Roman"/>
                <w:color w:val="auto"/>
                <w:kern w:val="0"/>
                <w:sz w:val="21"/>
                <w:szCs w:val="21"/>
                <w:highlight w:val="none"/>
                <w:lang w:val="en-US" w:eastAsia="zh-CN" w:bidi="ar"/>
              </w:rPr>
              <w:t>恒山区污水处理厂</w:t>
            </w:r>
            <w:r>
              <w:rPr>
                <w:rFonts w:hint="default" w:ascii="Times New Roman" w:hAnsi="Times New Roman" w:eastAsia="宋体" w:cs="Times New Roman"/>
                <w:color w:val="auto"/>
                <w:spacing w:val="0"/>
                <w:kern w:val="0"/>
                <w:sz w:val="21"/>
                <w:szCs w:val="21"/>
                <w:highlight w:val="none"/>
                <w:u w:val="none"/>
                <w:lang w:val="en-US" w:eastAsia="zh-CN" w:bidi="ar"/>
              </w:rPr>
              <w:t>，设计处理能力20000t/d，</w:t>
            </w:r>
            <w:r>
              <w:rPr>
                <w:rFonts w:hint="default" w:ascii="Times New Roman" w:hAnsi="Times New Roman" w:eastAsia="宋体" w:cs="Times New Roman"/>
                <w:bCs/>
                <w:color w:val="auto"/>
                <w:spacing w:val="0"/>
                <w:sz w:val="21"/>
                <w:szCs w:val="21"/>
                <w:highlight w:val="none"/>
                <w:u w:val="none"/>
                <w:lang w:val="en-US" w:eastAsia="zh-CN"/>
              </w:rPr>
              <w:t>剩余处理能力5000t/d</w:t>
            </w:r>
            <w:r>
              <w:rPr>
                <w:rFonts w:hint="default" w:ascii="Times New Roman" w:hAnsi="Times New Roman" w:eastAsia="宋体" w:cs="Times New Roman"/>
                <w:color w:val="auto"/>
                <w:spacing w:val="0"/>
                <w:kern w:val="2"/>
                <w:sz w:val="21"/>
                <w:szCs w:val="21"/>
                <w:highlight w:val="none"/>
                <w:u w:val="none"/>
                <w:lang w:val="en-US" w:eastAsia="zh-CN"/>
              </w:rPr>
              <w:t>。处理工艺为</w:t>
            </w:r>
            <w:r>
              <w:rPr>
                <w:rFonts w:hint="default" w:ascii="Times New Roman" w:hAnsi="Times New Roman" w:eastAsia="宋体" w:cs="Times New Roman"/>
                <w:color w:val="auto"/>
                <w:sz w:val="21"/>
                <w:szCs w:val="21"/>
                <w:highlight w:val="none"/>
              </w:rPr>
              <w:t>“粗细格栅+A/O+气浮+MBR”污水处理工艺</w:t>
            </w:r>
            <w:r>
              <w:rPr>
                <w:rFonts w:hint="default" w:ascii="Times New Roman" w:hAnsi="Times New Roman" w:eastAsia="宋体" w:cs="Times New Roman"/>
                <w:color w:val="auto"/>
                <w:spacing w:val="0"/>
                <w:kern w:val="0"/>
                <w:sz w:val="21"/>
                <w:szCs w:val="21"/>
                <w:highlight w:val="none"/>
                <w:u w:val="none"/>
                <w:lang w:val="en-US" w:eastAsia="zh-CN" w:bidi="ar"/>
              </w:rPr>
              <w:t>，</w:t>
            </w:r>
            <w:r>
              <w:rPr>
                <w:rFonts w:hint="default" w:ascii="Times New Roman" w:hAnsi="Times New Roman" w:eastAsia="宋体" w:cs="Times New Roman"/>
                <w:bCs/>
                <w:color w:val="auto"/>
                <w:spacing w:val="0"/>
                <w:sz w:val="21"/>
                <w:szCs w:val="21"/>
                <w:highlight w:val="none"/>
                <w:u w:val="none"/>
              </w:rPr>
              <w:t>处理后的出水水质满足</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rPr>
              <w:t>城镇污水处理厂污染物排放标准》（GB 18918-2002）中一级A排放要求，处理后的废水排入小黄泥河，最终汇入穆棱河</w:t>
            </w:r>
            <w:r>
              <w:rPr>
                <w:rFonts w:hint="default" w:ascii="Times New Roman" w:hAnsi="Times New Roman" w:eastAsia="宋体" w:cs="Times New Roman"/>
                <w:color w:val="auto"/>
                <w:spacing w:val="0"/>
                <w:kern w:val="2"/>
                <w:sz w:val="21"/>
                <w:szCs w:val="21"/>
                <w:highlight w:val="none"/>
                <w:u w:val="none"/>
                <w:lang w:val="en-US" w:eastAsia="zh-CN"/>
              </w:rPr>
              <w:t>。</w:t>
            </w:r>
            <w:r>
              <w:rPr>
                <w:rFonts w:hint="default" w:ascii="Times New Roman" w:hAnsi="Times New Roman" w:eastAsia="宋体" w:cs="Times New Roman"/>
                <w:color w:val="auto"/>
                <w:kern w:val="0"/>
                <w:sz w:val="21"/>
                <w:szCs w:val="21"/>
                <w:highlight w:val="none"/>
                <w:lang w:val="en-US" w:eastAsia="zh-CN" w:bidi="ar"/>
              </w:rPr>
              <w:t>恒山区污水处理厂</w:t>
            </w:r>
            <w:r>
              <w:rPr>
                <w:rFonts w:hint="default" w:ascii="Times New Roman" w:hAnsi="Times New Roman" w:eastAsia="宋体" w:cs="Times New Roman"/>
                <w:bCs/>
                <w:color w:val="auto"/>
                <w:spacing w:val="0"/>
                <w:sz w:val="21"/>
                <w:szCs w:val="21"/>
                <w:highlight w:val="none"/>
                <w:u w:val="none"/>
              </w:rPr>
              <w:t>设计进水指标为</w:t>
            </w:r>
            <w:r>
              <w:rPr>
                <w:rFonts w:hint="default" w:ascii="Times New Roman" w:hAnsi="Times New Roman" w:eastAsia="宋体" w:cs="Times New Roman"/>
                <w:color w:val="auto"/>
                <w:sz w:val="21"/>
                <w:szCs w:val="21"/>
                <w:highlight w:val="none"/>
              </w:rPr>
              <w:t>COD 500mg/L，BOD5 350 mg/L，氨氮45 mg/L，悬浮物400 mg/L</w:t>
            </w:r>
            <w:r>
              <w:rPr>
                <w:rFonts w:hint="default" w:ascii="Times New Roman" w:hAnsi="Times New Roman" w:eastAsia="宋体" w:cs="Times New Roman"/>
                <w:bCs/>
                <w:color w:val="auto"/>
                <w:spacing w:val="0"/>
                <w:sz w:val="21"/>
                <w:szCs w:val="21"/>
                <w:highlight w:val="none"/>
                <w:u w:val="none"/>
                <w:lang w:eastAsia="zh-CN"/>
              </w:rPr>
              <w:t>，</w:t>
            </w:r>
            <w:r>
              <w:rPr>
                <w:rFonts w:hint="default" w:ascii="Times New Roman" w:hAnsi="Times New Roman" w:eastAsia="宋体" w:cs="Times New Roman"/>
                <w:bCs/>
                <w:color w:val="auto"/>
                <w:spacing w:val="0"/>
                <w:sz w:val="21"/>
                <w:szCs w:val="21"/>
                <w:highlight w:val="none"/>
                <w:u w:val="none"/>
                <w:lang w:val="en-US" w:eastAsia="zh-CN"/>
              </w:rPr>
              <w:t>本项目锅炉房废水污染物排放浓度为</w:t>
            </w:r>
            <w:r>
              <w:rPr>
                <w:rFonts w:hint="default" w:ascii="Times New Roman" w:hAnsi="Times New Roman" w:eastAsia="宋体" w:cs="Times New Roman"/>
                <w:bCs/>
                <w:color w:val="auto"/>
                <w:sz w:val="21"/>
                <w:szCs w:val="21"/>
                <w:highlight w:val="none"/>
              </w:rPr>
              <w:t>COD84.</w:t>
            </w:r>
            <w:r>
              <w:rPr>
                <w:rFonts w:hint="default" w:ascii="Times New Roman" w:hAnsi="Times New Roman" w:eastAsia="宋体" w:cs="Times New Roman"/>
                <w:bCs/>
                <w:color w:val="auto"/>
                <w:sz w:val="21"/>
                <w:szCs w:val="21"/>
                <w:highlight w:val="none"/>
                <w:lang w:val="en-US" w:eastAsia="zh-CN"/>
              </w:rPr>
              <w:t>3</w:t>
            </w:r>
            <w:r>
              <w:rPr>
                <w:rFonts w:hint="default" w:ascii="Times New Roman" w:hAnsi="Times New Roman" w:eastAsia="宋体" w:cs="Times New Roman"/>
                <w:bCs/>
                <w:color w:val="auto"/>
                <w:sz w:val="21"/>
                <w:szCs w:val="21"/>
                <w:highlight w:val="none"/>
              </w:rPr>
              <w:t>mg/L</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pacing w:val="0"/>
                <w:sz w:val="21"/>
                <w:szCs w:val="21"/>
                <w:highlight w:val="none"/>
                <w:u w:val="none"/>
                <w:lang w:val="en-US" w:eastAsia="zh-CN"/>
              </w:rPr>
              <w:t>故</w:t>
            </w:r>
            <w:r>
              <w:rPr>
                <w:rFonts w:hint="default" w:ascii="Times New Roman" w:hAnsi="Times New Roman" w:eastAsia="宋体" w:cs="Times New Roman"/>
                <w:bCs/>
                <w:color w:val="auto"/>
                <w:spacing w:val="0"/>
                <w:sz w:val="21"/>
                <w:szCs w:val="21"/>
                <w:highlight w:val="none"/>
                <w:u w:val="none"/>
              </w:rPr>
              <w:t>本项目排放污水水质能够满足</w:t>
            </w:r>
            <w:r>
              <w:rPr>
                <w:rFonts w:hint="default" w:ascii="Times New Roman" w:hAnsi="Times New Roman" w:eastAsia="宋体" w:cs="Times New Roman"/>
                <w:color w:val="auto"/>
                <w:kern w:val="0"/>
                <w:sz w:val="21"/>
                <w:szCs w:val="21"/>
                <w:highlight w:val="none"/>
                <w:lang w:val="en-US" w:eastAsia="zh-CN" w:bidi="ar"/>
              </w:rPr>
              <w:t>恒山区污水处理厂</w:t>
            </w:r>
            <w:r>
              <w:rPr>
                <w:rFonts w:hint="default" w:ascii="Times New Roman" w:hAnsi="Times New Roman" w:eastAsia="宋体" w:cs="Times New Roman"/>
                <w:bCs/>
                <w:color w:val="auto"/>
                <w:spacing w:val="0"/>
                <w:sz w:val="21"/>
                <w:szCs w:val="21"/>
                <w:highlight w:val="none"/>
                <w:u w:val="none"/>
              </w:rPr>
              <w:t>进水水质指标。本项目</w:t>
            </w:r>
            <w:r>
              <w:rPr>
                <w:rFonts w:hint="default" w:ascii="Times New Roman" w:hAnsi="Times New Roman" w:eastAsia="宋体" w:cs="Times New Roman"/>
                <w:bCs/>
                <w:color w:val="auto"/>
                <w:sz w:val="21"/>
                <w:szCs w:val="21"/>
                <w:highlight w:val="none"/>
                <w:lang w:val="en-US" w:eastAsia="zh-CN"/>
              </w:rPr>
              <w:t>锅炉</w:t>
            </w:r>
            <w:r>
              <w:rPr>
                <w:rFonts w:hint="default" w:ascii="Times New Roman" w:hAnsi="Times New Roman" w:eastAsia="宋体" w:cs="Times New Roman"/>
                <w:bCs/>
                <w:color w:val="auto"/>
                <w:sz w:val="21"/>
                <w:szCs w:val="21"/>
                <w:highlight w:val="none"/>
              </w:rPr>
              <w:t>排污水及软化处理废水量为</w:t>
            </w:r>
            <w:r>
              <w:rPr>
                <w:rFonts w:hint="eastAsia" w:ascii="Times New Roman" w:hAnsi="Times New Roman" w:eastAsia="宋体" w:cs="Times New Roman"/>
                <w:bCs/>
                <w:color w:val="auto"/>
                <w:sz w:val="21"/>
                <w:szCs w:val="21"/>
                <w:highlight w:val="none"/>
                <w:lang w:val="en-US" w:eastAsia="zh-CN"/>
              </w:rPr>
              <w:t>42.61</w:t>
            </w:r>
            <w:r>
              <w:rPr>
                <w:rFonts w:hint="default" w:ascii="Times New Roman" w:hAnsi="Times New Roman" w:eastAsia="宋体" w:cs="Times New Roman"/>
                <w:bCs/>
                <w:color w:val="auto"/>
                <w:sz w:val="21"/>
                <w:szCs w:val="21"/>
                <w:highlight w:val="none"/>
              </w:rPr>
              <w:t>t/d</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pacing w:val="0"/>
                <w:sz w:val="21"/>
                <w:szCs w:val="21"/>
                <w:highlight w:val="none"/>
                <w:u w:val="none"/>
              </w:rPr>
              <w:t>远小于</w:t>
            </w:r>
            <w:r>
              <w:rPr>
                <w:rFonts w:hint="default" w:ascii="Times New Roman" w:hAnsi="Times New Roman" w:eastAsia="宋体" w:cs="Times New Roman"/>
                <w:color w:val="auto"/>
                <w:kern w:val="0"/>
                <w:sz w:val="21"/>
                <w:szCs w:val="21"/>
                <w:highlight w:val="none"/>
                <w:lang w:val="en-US" w:eastAsia="zh-CN" w:bidi="ar"/>
              </w:rPr>
              <w:t>恒山区污水处理厂剩余</w:t>
            </w:r>
            <w:r>
              <w:rPr>
                <w:rFonts w:hint="default" w:ascii="Times New Roman" w:hAnsi="Times New Roman" w:eastAsia="宋体" w:cs="Times New Roman"/>
                <w:bCs/>
                <w:color w:val="auto"/>
                <w:spacing w:val="0"/>
                <w:sz w:val="21"/>
                <w:szCs w:val="21"/>
                <w:highlight w:val="none"/>
                <w:u w:val="none"/>
              </w:rPr>
              <w:t>日处理规模，因此本项目</w:t>
            </w:r>
            <w:r>
              <w:rPr>
                <w:rFonts w:hint="default" w:ascii="Times New Roman" w:hAnsi="Times New Roman" w:eastAsia="宋体" w:cs="Times New Roman"/>
                <w:bCs/>
                <w:color w:val="auto"/>
                <w:spacing w:val="0"/>
                <w:sz w:val="21"/>
                <w:szCs w:val="21"/>
                <w:highlight w:val="none"/>
                <w:u w:val="none"/>
                <w:lang w:val="en-US" w:eastAsia="zh-CN"/>
              </w:rPr>
              <w:t>锅炉房废水</w:t>
            </w:r>
            <w:r>
              <w:rPr>
                <w:rFonts w:hint="default" w:ascii="Times New Roman" w:hAnsi="Times New Roman" w:eastAsia="宋体" w:cs="Times New Roman"/>
                <w:bCs/>
                <w:color w:val="auto"/>
                <w:spacing w:val="0"/>
                <w:sz w:val="21"/>
                <w:szCs w:val="21"/>
                <w:highlight w:val="none"/>
                <w:u w:val="none"/>
              </w:rPr>
              <w:t>进入</w:t>
            </w:r>
            <w:r>
              <w:rPr>
                <w:rFonts w:hint="default" w:ascii="Times New Roman" w:hAnsi="Times New Roman" w:eastAsia="宋体" w:cs="Times New Roman"/>
                <w:color w:val="auto"/>
                <w:kern w:val="0"/>
                <w:sz w:val="21"/>
                <w:szCs w:val="21"/>
                <w:highlight w:val="none"/>
                <w:lang w:val="en-US" w:eastAsia="zh-CN" w:bidi="ar"/>
              </w:rPr>
              <w:t>恒山区污水处理厂</w:t>
            </w:r>
            <w:r>
              <w:rPr>
                <w:rFonts w:hint="default" w:ascii="Times New Roman" w:hAnsi="Times New Roman" w:eastAsia="宋体" w:cs="Times New Roman"/>
                <w:bCs/>
                <w:color w:val="auto"/>
                <w:spacing w:val="0"/>
                <w:sz w:val="21"/>
                <w:szCs w:val="21"/>
                <w:highlight w:val="none"/>
                <w:u w:val="none"/>
              </w:rPr>
              <w:t>可行</w:t>
            </w:r>
            <w:r>
              <w:rPr>
                <w:rFonts w:hint="default" w:ascii="Times New Roman" w:hAnsi="Times New Roman" w:eastAsia="宋体" w:cs="Times New Roman"/>
                <w:bCs/>
                <w:color w:val="auto"/>
                <w:spacing w:val="0"/>
                <w:sz w:val="21"/>
                <w:szCs w:val="21"/>
                <w:highlight w:val="none"/>
                <w:u w:val="none"/>
                <w:lang w:eastAsia="zh-CN"/>
              </w:rPr>
              <w:t>。</w:t>
            </w:r>
          </w:p>
          <w:p w14:paraId="442A5B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pacing w:val="0"/>
                <w:sz w:val="21"/>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5</w:t>
            </w:r>
            <w:r>
              <w:rPr>
                <w:rFonts w:hint="default" w:ascii="Times New Roman" w:hAnsi="Times New Roman" w:cs="Times New Roman"/>
                <w:bCs/>
                <w:color w:val="auto"/>
                <w:szCs w:val="21"/>
                <w:highlight w:val="none"/>
              </w:rPr>
              <w:t>）</w:t>
            </w:r>
            <w:r>
              <w:rPr>
                <w:rFonts w:hint="default"/>
                <w:bCs/>
                <w:color w:val="auto"/>
                <w:spacing w:val="0"/>
                <w:sz w:val="21"/>
                <w:szCs w:val="21"/>
                <w:highlight w:val="none"/>
              </w:rPr>
              <w:t>环境影响分析</w:t>
            </w:r>
          </w:p>
          <w:p w14:paraId="5DF6D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pacing w:val="0"/>
                <w:kern w:val="24"/>
                <w:sz w:val="21"/>
                <w:szCs w:val="21"/>
                <w:highlight w:val="none"/>
              </w:rPr>
            </w:pPr>
            <w:r>
              <w:rPr>
                <w:rFonts w:hint="default" w:ascii="Times New Roman" w:hAnsi="Times New Roman" w:eastAsia="宋体" w:cs="Times New Roman"/>
                <w:color w:val="auto"/>
                <w:spacing w:val="0"/>
                <w:sz w:val="21"/>
                <w:szCs w:val="21"/>
                <w:highlight w:val="none"/>
              </w:rPr>
              <w:t>本项目</w:t>
            </w:r>
            <w:r>
              <w:rPr>
                <w:rFonts w:hint="eastAsia" w:cs="Times New Roman"/>
                <w:color w:val="auto"/>
                <w:kern w:val="0"/>
                <w:szCs w:val="21"/>
                <w:highlight w:val="none"/>
                <w:lang w:val="en-US" w:eastAsia="zh-CN"/>
              </w:rPr>
              <w:t>无新增员工，故无新增生活污水</w:t>
            </w:r>
            <w:r>
              <w:rPr>
                <w:rFonts w:hint="eastAsia" w:ascii="Times New Roman" w:hAnsi="Times New Roman" w:eastAsia="宋体" w:cs="Times New Roman"/>
                <w:color w:val="auto"/>
                <w:kern w:val="0"/>
                <w:szCs w:val="21"/>
                <w:highlight w:val="none"/>
                <w:lang w:eastAsia="zh-CN"/>
              </w:rPr>
              <w:t>，</w:t>
            </w:r>
            <w:r>
              <w:rPr>
                <w:rFonts w:hint="eastAsia" w:ascii="Times New Roman" w:hAnsi="Times New Roman" w:eastAsia="宋体" w:cs="Times New Roman"/>
                <w:color w:val="FF0000"/>
                <w:kern w:val="0"/>
                <w:szCs w:val="21"/>
                <w:highlight w:val="none"/>
                <w:lang w:val="en-US" w:eastAsia="zh-CN"/>
              </w:rPr>
              <w:t>初期雨水依托东山煤矿洗煤一厂现有初期雨水收集池，初期雨水集中收集后回用洒水降尘，不外排，</w:t>
            </w:r>
            <w:r>
              <w:rPr>
                <w:rFonts w:hint="default" w:ascii="Times New Roman" w:hAnsi="Times New Roman" w:cs="Times New Roman"/>
                <w:color w:val="auto"/>
                <w:kern w:val="0"/>
                <w:szCs w:val="21"/>
                <w:highlight w:val="none"/>
              </w:rPr>
              <w:t>锅炉排污水</w:t>
            </w:r>
            <w:r>
              <w:rPr>
                <w:rFonts w:hint="eastAsia" w:cs="Times New Roman"/>
                <w:color w:val="auto"/>
                <w:kern w:val="0"/>
                <w:szCs w:val="21"/>
                <w:highlight w:val="none"/>
                <w:lang w:val="en-US" w:eastAsia="zh-CN"/>
              </w:rPr>
              <w:t>及软化处理废水</w:t>
            </w:r>
            <w:r>
              <w:rPr>
                <w:rFonts w:hint="eastAsia" w:ascii="Times New Roman" w:hAnsi="Times New Roman" w:cs="Times New Roman"/>
                <w:color w:val="auto"/>
                <w:kern w:val="0"/>
                <w:szCs w:val="21"/>
                <w:highlight w:val="none"/>
                <w:lang w:eastAsia="zh-CN"/>
              </w:rPr>
              <w:t>，</w:t>
            </w:r>
            <w:r>
              <w:rPr>
                <w:rFonts w:hint="default" w:ascii="Times New Roman" w:hAnsi="Times New Roman" w:cs="Times New Roman"/>
                <w:color w:val="auto"/>
                <w:sz w:val="21"/>
                <w:szCs w:val="21"/>
                <w:highlight w:val="none"/>
              </w:rPr>
              <w:t>暂存厂区</w:t>
            </w:r>
            <w:r>
              <w:rPr>
                <w:rFonts w:hint="eastAsia" w:cs="Times New Roman"/>
                <w:color w:val="auto"/>
                <w:sz w:val="21"/>
                <w:szCs w:val="21"/>
                <w:highlight w:val="none"/>
                <w:lang w:val="en-US" w:eastAsia="zh-CN"/>
              </w:rPr>
              <w:t>70</w:t>
            </w:r>
            <w:r>
              <w:rPr>
                <w:rFonts w:hint="default" w:ascii="Times New Roman" w:hAnsi="Times New Roman" w:cs="Times New Roman"/>
                <w:b w:val="0"/>
                <w:bCs w:val="0"/>
                <w:color w:val="auto"/>
                <w:sz w:val="21"/>
                <w:szCs w:val="21"/>
                <w:highlight w:val="none"/>
              </w:rPr>
              <w:t>m³</w:t>
            </w:r>
            <w:r>
              <w:rPr>
                <w:rFonts w:hint="default" w:ascii="Times New Roman" w:hAnsi="Times New Roman" w:cs="Times New Roman"/>
                <w:color w:val="auto"/>
                <w:sz w:val="21"/>
                <w:szCs w:val="21"/>
                <w:highlight w:val="none"/>
              </w:rPr>
              <w:t>防渗</w:t>
            </w:r>
            <w:r>
              <w:rPr>
                <w:rFonts w:hint="eastAsia" w:cs="Times New Roman"/>
                <w:color w:val="auto"/>
                <w:sz w:val="21"/>
                <w:szCs w:val="21"/>
                <w:highlight w:val="none"/>
                <w:lang w:val="en-US" w:eastAsia="zh-CN"/>
              </w:rPr>
              <w:t>储水罐</w:t>
            </w:r>
            <w:r>
              <w:rPr>
                <w:rFonts w:hint="default" w:ascii="Times New Roman" w:hAnsi="Times New Roman" w:cs="Times New Roman"/>
                <w:color w:val="auto"/>
                <w:sz w:val="21"/>
                <w:szCs w:val="21"/>
                <w:highlight w:val="none"/>
              </w:rPr>
              <w:t>内，</w:t>
            </w:r>
            <w:r>
              <w:rPr>
                <w:rFonts w:hint="eastAsia" w:cs="Times New Roman"/>
                <w:color w:val="auto"/>
                <w:sz w:val="21"/>
                <w:szCs w:val="21"/>
                <w:highlight w:val="none"/>
                <w:lang w:val="en-US" w:eastAsia="zh-CN"/>
              </w:rPr>
              <w:t>定期拉</w:t>
            </w:r>
            <w:r>
              <w:rPr>
                <w:rFonts w:hint="default" w:ascii="Times New Roman" w:hAnsi="Times New Roman" w:cs="Times New Roman"/>
                <w:color w:val="auto"/>
                <w:sz w:val="21"/>
                <w:szCs w:val="21"/>
                <w:highlight w:val="none"/>
              </w:rPr>
              <w:t>运至</w:t>
            </w:r>
            <w:r>
              <w:rPr>
                <w:rFonts w:hint="eastAsia" w:ascii="Times New Roman" w:hAnsi="Times New Roman" w:cs="Times New Roman"/>
                <w:color w:val="auto"/>
                <w:kern w:val="0"/>
                <w:sz w:val="21"/>
                <w:szCs w:val="21"/>
                <w:highlight w:val="none"/>
                <w:lang w:val="en-US" w:eastAsia="zh-CN" w:bidi="ar"/>
              </w:rPr>
              <w:t>恒山区污水处理厂</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rPr>
              <w:t>经</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rPr>
              <w:t>处理达标后</w:t>
            </w:r>
            <w:r>
              <w:rPr>
                <w:rFonts w:hint="default" w:ascii="Times New Roman" w:hAnsi="Times New Roman" w:eastAsia="宋体" w:cs="Times New Roman"/>
                <w:color w:val="auto"/>
                <w:sz w:val="21"/>
                <w:szCs w:val="21"/>
                <w:highlight w:val="none"/>
              </w:rPr>
              <w:t>排入小黄泥河，最终汇入穆棱河</w:t>
            </w:r>
            <w:r>
              <w:rPr>
                <w:rFonts w:hint="eastAsia"/>
                <w:color w:val="auto"/>
                <w:sz w:val="18"/>
                <w:szCs w:val="18"/>
                <w:highlight w:val="none"/>
                <w:lang w:val="en-US" w:eastAsia="zh-CN"/>
              </w:rPr>
              <w:t>。</w:t>
            </w:r>
            <w:r>
              <w:rPr>
                <w:rFonts w:hint="default" w:ascii="Times New Roman" w:hAnsi="Times New Roman" w:eastAsia="宋体" w:cs="Times New Roman"/>
                <w:color w:val="auto"/>
                <w:spacing w:val="0"/>
                <w:kern w:val="0"/>
                <w:sz w:val="21"/>
                <w:szCs w:val="21"/>
                <w:highlight w:val="none"/>
              </w:rPr>
              <w:t>本项目</w:t>
            </w:r>
            <w:r>
              <w:rPr>
                <w:rFonts w:hint="eastAsia" w:ascii="Times New Roman" w:hAnsi="Times New Roman" w:cs="Times New Roman"/>
                <w:color w:val="auto"/>
                <w:spacing w:val="0"/>
                <w:kern w:val="0"/>
                <w:sz w:val="21"/>
                <w:szCs w:val="21"/>
                <w:highlight w:val="none"/>
                <w:lang w:val="en-US" w:eastAsia="zh-CN"/>
              </w:rPr>
              <w:t>锅炉</w:t>
            </w:r>
            <w:r>
              <w:rPr>
                <w:rFonts w:hint="default" w:ascii="Times New Roman" w:hAnsi="Times New Roman" w:eastAsia="宋体" w:cs="Times New Roman"/>
                <w:color w:val="auto"/>
                <w:spacing w:val="0"/>
                <w:kern w:val="0"/>
                <w:sz w:val="21"/>
                <w:szCs w:val="21"/>
                <w:highlight w:val="none"/>
              </w:rPr>
              <w:t>产生的</w:t>
            </w:r>
            <w:r>
              <w:rPr>
                <w:rFonts w:hint="default" w:ascii="Times New Roman" w:hAnsi="Times New Roman" w:eastAsia="宋体" w:cs="Times New Roman"/>
                <w:color w:val="auto"/>
                <w:spacing w:val="0"/>
                <w:kern w:val="24"/>
                <w:sz w:val="21"/>
                <w:szCs w:val="21"/>
                <w:highlight w:val="none"/>
              </w:rPr>
              <w:t>废水</w:t>
            </w:r>
            <w:r>
              <w:rPr>
                <w:rFonts w:hint="eastAsia" w:ascii="Times New Roman" w:hAnsi="Times New Roman" w:cs="Times New Roman"/>
                <w:color w:val="auto"/>
                <w:spacing w:val="0"/>
                <w:kern w:val="24"/>
                <w:sz w:val="21"/>
                <w:szCs w:val="21"/>
                <w:highlight w:val="none"/>
                <w:lang w:val="en-US" w:eastAsia="zh-CN"/>
              </w:rPr>
              <w:t>污染物</w:t>
            </w:r>
            <w:r>
              <w:rPr>
                <w:rFonts w:hint="default" w:ascii="Times New Roman" w:hAnsi="Times New Roman" w:eastAsia="宋体" w:cs="Times New Roman"/>
                <w:bCs/>
                <w:color w:val="auto"/>
                <w:spacing w:val="0"/>
                <w:sz w:val="21"/>
                <w:szCs w:val="21"/>
                <w:highlight w:val="none"/>
              </w:rPr>
              <w:t>排放浓度</w:t>
            </w:r>
            <w:r>
              <w:rPr>
                <w:rFonts w:hint="default" w:ascii="Times New Roman" w:hAnsi="Times New Roman" w:eastAsia="宋体" w:cs="Times New Roman"/>
                <w:color w:val="auto"/>
                <w:spacing w:val="0"/>
                <w:kern w:val="24"/>
                <w:sz w:val="21"/>
                <w:szCs w:val="21"/>
                <w:highlight w:val="none"/>
              </w:rPr>
              <w:t>满足</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lang w:val="en-US" w:eastAsia="zh-CN"/>
              </w:rPr>
              <w:t>进水水质</w:t>
            </w:r>
            <w:r>
              <w:rPr>
                <w:rFonts w:hint="eastAsia" w:cs="Times New Roman"/>
                <w:color w:val="auto"/>
                <w:sz w:val="21"/>
                <w:szCs w:val="21"/>
                <w:highlight w:val="none"/>
                <w:lang w:val="en-US" w:eastAsia="zh-CN"/>
              </w:rPr>
              <w:t>要求</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kern w:val="24"/>
                <w:sz w:val="21"/>
                <w:szCs w:val="21"/>
                <w:highlight w:val="none"/>
              </w:rPr>
              <w:t>本项目产生的污水经处理后对地表水体环境影响较小。</w:t>
            </w:r>
          </w:p>
          <w:p w14:paraId="08C5AB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3、噪声</w:t>
            </w:r>
          </w:p>
          <w:p w14:paraId="2C9AF216">
            <w:pPr>
              <w:keepNext w:val="0"/>
              <w:keepLines w:val="0"/>
              <w:widowControl/>
              <w:suppressLineNumbers w:val="0"/>
              <w:adjustRightInd/>
              <w:snapToGrid/>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（1）噪声污染源源强核算结果及相关参数见表4-</w:t>
            </w:r>
            <w:r>
              <w:rPr>
                <w:rFonts w:hint="eastAsia" w:cs="Times New Roman"/>
                <w:bCs/>
                <w:color w:val="auto"/>
                <w:szCs w:val="21"/>
                <w:highlight w:val="none"/>
                <w:lang w:val="en-US" w:eastAsia="zh-CN"/>
              </w:rPr>
              <w:t>7</w:t>
            </w:r>
            <w:r>
              <w:rPr>
                <w:rFonts w:hint="default" w:ascii="Times New Roman" w:hAnsi="Times New Roman" w:cs="Times New Roman"/>
                <w:bCs/>
                <w:color w:val="auto"/>
                <w:szCs w:val="21"/>
                <w:highlight w:val="none"/>
              </w:rPr>
              <w:t>。</w:t>
            </w:r>
          </w:p>
          <w:p w14:paraId="44C66D7C">
            <w:pPr>
              <w:keepNext w:val="0"/>
              <w:keepLines w:val="0"/>
              <w:widowControl/>
              <w:suppressLineNumbers w:val="0"/>
              <w:adjustRightInd/>
              <w:snapToGrid/>
              <w:spacing w:before="0" w:beforeAutospacing="0" w:after="0" w:afterAutospacing="0"/>
              <w:ind w:left="0" w:right="0"/>
              <w:jc w:val="center"/>
              <w:rPr>
                <w:rFonts w:hint="default"/>
                <w:b/>
                <w:color w:val="auto"/>
                <w:szCs w:val="21"/>
                <w:highlight w:val="none"/>
              </w:rPr>
            </w:pPr>
            <w:r>
              <w:rPr>
                <w:rFonts w:hint="default" w:ascii="Times New Roman" w:hAnsi="Times New Roman" w:eastAsia="宋体" w:cs="Times New Roman"/>
                <w:b/>
                <w:color w:val="auto"/>
                <w:spacing w:val="0"/>
                <w:kern w:val="2"/>
                <w:sz w:val="21"/>
                <w:szCs w:val="21"/>
                <w:highlight w:val="none"/>
                <w:lang w:val="en-US" w:eastAsia="zh-CN" w:bidi="ar-SA"/>
              </w:rPr>
              <w:t>表4-</w:t>
            </w:r>
            <w:r>
              <w:rPr>
                <w:rFonts w:hint="eastAsia" w:cs="Times New Roman"/>
                <w:b/>
                <w:color w:val="auto"/>
                <w:spacing w:val="0"/>
                <w:kern w:val="2"/>
                <w:sz w:val="21"/>
                <w:szCs w:val="21"/>
                <w:highlight w:val="none"/>
                <w:lang w:val="en-US" w:eastAsia="zh-CN" w:bidi="ar-SA"/>
              </w:rPr>
              <w:t>7</w:t>
            </w:r>
            <w:r>
              <w:rPr>
                <w:rFonts w:hint="default"/>
                <w:b/>
                <w:color w:val="auto"/>
                <w:szCs w:val="21"/>
                <w:highlight w:val="none"/>
              </w:rPr>
              <w:t>污染源源强核算结果及相关参数一览表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17"/>
              <w:gridCol w:w="1940"/>
              <w:gridCol w:w="1340"/>
              <w:gridCol w:w="824"/>
              <w:gridCol w:w="884"/>
              <w:gridCol w:w="1158"/>
              <w:gridCol w:w="627"/>
            </w:tblGrid>
            <w:tr w14:paraId="42CABE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vMerge w:val="restart"/>
                  <w:tcBorders>
                    <w:tl2br w:val="nil"/>
                    <w:tr2bl w:val="nil"/>
                  </w:tcBorders>
                  <w:noWrap w:val="0"/>
                  <w:vAlign w:val="center"/>
                </w:tcPr>
                <w:p w14:paraId="7DF755C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lang w:val="en-US" w:eastAsia="zh-CN"/>
                    </w:rPr>
                    <w:t>序号</w:t>
                  </w:r>
                </w:p>
              </w:tc>
              <w:tc>
                <w:tcPr>
                  <w:tcW w:w="508" w:type="pct"/>
                  <w:vMerge w:val="restart"/>
                  <w:tcBorders>
                    <w:tl2br w:val="nil"/>
                    <w:tr2bl w:val="nil"/>
                  </w:tcBorders>
                  <w:noWrap w:val="0"/>
                  <w:vAlign w:val="center"/>
                </w:tcPr>
                <w:p w14:paraId="29A7FFF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工序/生产线</w:t>
                  </w:r>
                </w:p>
              </w:tc>
              <w:tc>
                <w:tcPr>
                  <w:tcW w:w="1206" w:type="pct"/>
                  <w:vMerge w:val="restart"/>
                  <w:tcBorders>
                    <w:tl2br w:val="nil"/>
                    <w:tr2bl w:val="nil"/>
                  </w:tcBorders>
                  <w:noWrap w:val="0"/>
                  <w:vAlign w:val="center"/>
                </w:tcPr>
                <w:p w14:paraId="0549EA1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噪声源</w:t>
                  </w:r>
                </w:p>
              </w:tc>
              <w:tc>
                <w:tcPr>
                  <w:tcW w:w="833" w:type="pct"/>
                  <w:tcBorders>
                    <w:tl2br w:val="nil"/>
                    <w:tr2bl w:val="nil"/>
                  </w:tcBorders>
                  <w:noWrap w:val="0"/>
                  <w:vAlign w:val="center"/>
                </w:tcPr>
                <w:p w14:paraId="675ECA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噪声源强</w:t>
                  </w:r>
                </w:p>
              </w:tc>
              <w:tc>
                <w:tcPr>
                  <w:tcW w:w="1062" w:type="pct"/>
                  <w:gridSpan w:val="2"/>
                  <w:tcBorders>
                    <w:tl2br w:val="nil"/>
                    <w:tr2bl w:val="nil"/>
                  </w:tcBorders>
                  <w:noWrap w:val="0"/>
                  <w:vAlign w:val="center"/>
                </w:tcPr>
                <w:p w14:paraId="27CA52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降噪措施</w:t>
                  </w:r>
                </w:p>
              </w:tc>
              <w:tc>
                <w:tcPr>
                  <w:tcW w:w="720" w:type="pct"/>
                  <w:tcBorders>
                    <w:tl2br w:val="nil"/>
                    <w:tr2bl w:val="nil"/>
                  </w:tcBorders>
                  <w:noWrap w:val="0"/>
                  <w:vAlign w:val="center"/>
                </w:tcPr>
                <w:p w14:paraId="64A9924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bCs/>
                      <w:color w:val="auto"/>
                      <w:sz w:val="18"/>
                      <w:szCs w:val="18"/>
                      <w:highlight w:val="none"/>
                    </w:rPr>
                    <w:t>噪声排放值</w:t>
                  </w:r>
                </w:p>
              </w:tc>
              <w:tc>
                <w:tcPr>
                  <w:tcW w:w="390" w:type="pct"/>
                  <w:vMerge w:val="restart"/>
                  <w:tcBorders>
                    <w:tl2br w:val="nil"/>
                    <w:tr2bl w:val="nil"/>
                  </w:tcBorders>
                  <w:noWrap w:val="0"/>
                  <w:vAlign w:val="center"/>
                </w:tcPr>
                <w:p w14:paraId="5B1BD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0"/>
                      <w:sz w:val="18"/>
                      <w:szCs w:val="18"/>
                      <w:highlight w:val="none"/>
                      <w:lang w:val="en-US" w:eastAsia="zh-CN" w:bidi="ar-SA"/>
                    </w:rPr>
                  </w:pPr>
                  <w:r>
                    <w:rPr>
                      <w:rFonts w:hint="default" w:ascii="Times New Roman" w:hAnsi="Times New Roman" w:eastAsia="宋体" w:cs="Times New Roman"/>
                      <w:color w:val="auto"/>
                      <w:spacing w:val="0"/>
                      <w:sz w:val="18"/>
                      <w:szCs w:val="18"/>
                      <w:highlight w:val="none"/>
                      <w:lang w:val="en-US" w:eastAsia="zh-CN"/>
                    </w:rPr>
                    <w:t>运行时段</w:t>
                  </w:r>
                </w:p>
              </w:tc>
            </w:tr>
            <w:tr w14:paraId="10F636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vMerge w:val="continue"/>
                  <w:tcBorders>
                    <w:tl2br w:val="nil"/>
                    <w:tr2bl w:val="nil"/>
                  </w:tcBorders>
                  <w:noWrap w:val="0"/>
                  <w:vAlign w:val="center"/>
                </w:tcPr>
                <w:p w14:paraId="3A4C3AE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508" w:type="pct"/>
                  <w:vMerge w:val="continue"/>
                  <w:tcBorders>
                    <w:tl2br w:val="nil"/>
                    <w:tr2bl w:val="nil"/>
                  </w:tcBorders>
                  <w:noWrap w:val="0"/>
                  <w:vAlign w:val="center"/>
                </w:tcPr>
                <w:p w14:paraId="6F2B5CE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206" w:type="pct"/>
                  <w:vMerge w:val="continue"/>
                  <w:tcBorders>
                    <w:tl2br w:val="nil"/>
                    <w:tr2bl w:val="nil"/>
                  </w:tcBorders>
                  <w:noWrap w:val="0"/>
                  <w:vAlign w:val="center"/>
                </w:tcPr>
                <w:p w14:paraId="0077047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833" w:type="pct"/>
                  <w:tcBorders>
                    <w:tl2br w:val="nil"/>
                    <w:tr2bl w:val="nil"/>
                  </w:tcBorders>
                  <w:noWrap w:val="0"/>
                  <w:vAlign w:val="center"/>
                </w:tcPr>
                <w:p w14:paraId="2FC67C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噪声值</w:t>
                  </w:r>
                  <w:r>
                    <w:rPr>
                      <w:rFonts w:hint="default" w:ascii="Times New Roman" w:hAnsi="Times New Roman" w:eastAsia="宋体" w:cs="Times New Roman"/>
                      <w:color w:val="auto"/>
                      <w:spacing w:val="0"/>
                      <w:sz w:val="18"/>
                      <w:szCs w:val="18"/>
                      <w:highlight w:val="none"/>
                    </w:rPr>
                    <w:t>/dB(</w:t>
                  </w:r>
                  <w:r>
                    <w:rPr>
                      <w:rFonts w:hint="default" w:ascii="Times New Roman" w:hAnsi="Times New Roman" w:eastAsia="宋体" w:cs="Times New Roman"/>
                      <w:color w:val="auto"/>
                      <w:spacing w:val="0"/>
                      <w:sz w:val="18"/>
                      <w:szCs w:val="18"/>
                      <w:highlight w:val="none"/>
                      <w:lang w:val="en-US" w:eastAsia="zh-CN"/>
                    </w:rPr>
                    <w:t>A</w:t>
                  </w:r>
                  <w:r>
                    <w:rPr>
                      <w:rFonts w:hint="default" w:ascii="Times New Roman" w:hAnsi="Times New Roman" w:eastAsia="宋体" w:cs="Times New Roman"/>
                      <w:color w:val="auto"/>
                      <w:spacing w:val="0"/>
                      <w:sz w:val="18"/>
                      <w:szCs w:val="18"/>
                      <w:highlight w:val="none"/>
                    </w:rPr>
                    <w:t>)</w:t>
                  </w:r>
                </w:p>
              </w:tc>
              <w:tc>
                <w:tcPr>
                  <w:tcW w:w="512" w:type="pct"/>
                  <w:tcBorders>
                    <w:tl2br w:val="nil"/>
                    <w:tr2bl w:val="nil"/>
                  </w:tcBorders>
                  <w:noWrap w:val="0"/>
                  <w:vAlign w:val="center"/>
                </w:tcPr>
                <w:p w14:paraId="788332B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bCs/>
                      <w:color w:val="auto"/>
                      <w:sz w:val="18"/>
                      <w:szCs w:val="18"/>
                      <w:highlight w:val="none"/>
                    </w:rPr>
                    <w:t>工艺</w:t>
                  </w:r>
                </w:p>
              </w:tc>
              <w:tc>
                <w:tcPr>
                  <w:tcW w:w="549" w:type="pct"/>
                  <w:tcBorders>
                    <w:tl2br w:val="nil"/>
                    <w:tr2bl w:val="nil"/>
                  </w:tcBorders>
                  <w:noWrap w:val="0"/>
                  <w:vAlign w:val="center"/>
                </w:tcPr>
                <w:p w14:paraId="68E336A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bCs/>
                      <w:color w:val="auto"/>
                      <w:sz w:val="18"/>
                      <w:szCs w:val="18"/>
                      <w:highlight w:val="none"/>
                    </w:rPr>
                    <w:t>降噪效果/(dB)</w:t>
                  </w:r>
                </w:p>
              </w:tc>
              <w:tc>
                <w:tcPr>
                  <w:tcW w:w="720" w:type="pct"/>
                  <w:tcBorders>
                    <w:tl2br w:val="nil"/>
                    <w:tr2bl w:val="nil"/>
                  </w:tcBorders>
                  <w:noWrap w:val="0"/>
                  <w:vAlign w:val="center"/>
                </w:tcPr>
                <w:p w14:paraId="7FE3A11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kern w:val="0"/>
                      <w:sz w:val="18"/>
                      <w:szCs w:val="18"/>
                      <w:highlight w:val="none"/>
                      <w:lang w:val="en-US" w:eastAsia="zh-CN" w:bidi="ar-SA"/>
                    </w:rPr>
                  </w:pPr>
                  <w:r>
                    <w:rPr>
                      <w:rFonts w:hint="default" w:ascii="Times New Roman" w:hAnsi="Times New Roman" w:eastAsia="宋体" w:cs="Times New Roman"/>
                      <w:bCs/>
                      <w:color w:val="auto"/>
                      <w:sz w:val="18"/>
                      <w:szCs w:val="18"/>
                      <w:highlight w:val="none"/>
                    </w:rPr>
                    <w:t>噪声值/(dB)</w:t>
                  </w:r>
                </w:p>
              </w:tc>
              <w:tc>
                <w:tcPr>
                  <w:tcW w:w="390" w:type="pct"/>
                  <w:vMerge w:val="continue"/>
                  <w:tcBorders>
                    <w:tl2br w:val="nil"/>
                    <w:tr2bl w:val="nil"/>
                  </w:tcBorders>
                  <w:noWrap w:val="0"/>
                  <w:vAlign w:val="center"/>
                </w:tcPr>
                <w:p w14:paraId="0F757D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0"/>
                      <w:sz w:val="18"/>
                      <w:szCs w:val="18"/>
                      <w:highlight w:val="none"/>
                      <w:lang w:val="en-US" w:eastAsia="zh-CN" w:bidi="ar-SA"/>
                    </w:rPr>
                  </w:pPr>
                </w:p>
              </w:tc>
            </w:tr>
            <w:tr w14:paraId="64E455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tcBorders>
                    <w:tl2br w:val="nil"/>
                    <w:tr2bl w:val="nil"/>
                  </w:tcBorders>
                  <w:noWrap w:val="0"/>
                  <w:vAlign w:val="center"/>
                </w:tcPr>
                <w:p w14:paraId="289620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1</w:t>
                  </w:r>
                </w:p>
              </w:tc>
              <w:tc>
                <w:tcPr>
                  <w:tcW w:w="508" w:type="pct"/>
                  <w:vMerge w:val="restart"/>
                  <w:tcBorders>
                    <w:tl2br w:val="nil"/>
                    <w:tr2bl w:val="nil"/>
                  </w:tcBorders>
                  <w:noWrap w:val="0"/>
                  <w:vAlign w:val="center"/>
                </w:tcPr>
                <w:p w14:paraId="4BCF1F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kern w:val="2"/>
                      <w:sz w:val="18"/>
                      <w:szCs w:val="18"/>
                      <w:highlight w:val="none"/>
                      <w:lang w:val="en-US" w:eastAsia="zh-CN" w:bidi="ar-SA"/>
                    </w:rPr>
                    <w:t>锅炉房</w:t>
                  </w:r>
                </w:p>
              </w:tc>
              <w:tc>
                <w:tcPr>
                  <w:tcW w:w="1206" w:type="pct"/>
                  <w:tcBorders>
                    <w:tl2br w:val="nil"/>
                    <w:tr2bl w:val="nil"/>
                  </w:tcBorders>
                  <w:noWrap w:val="0"/>
                  <w:vAlign w:val="center"/>
                </w:tcPr>
                <w:p w14:paraId="185AA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rPr>
                  </w:pPr>
                  <w:r>
                    <w:rPr>
                      <w:rFonts w:hint="eastAsia" w:cs="Times New Roman"/>
                      <w:color w:val="auto"/>
                      <w:sz w:val="18"/>
                      <w:szCs w:val="18"/>
                      <w:highlight w:val="none"/>
                      <w:lang w:val="en-US" w:eastAsia="zh-CN"/>
                    </w:rPr>
                    <w:t>生物质蒸汽锅炉</w:t>
                  </w:r>
                </w:p>
              </w:tc>
              <w:tc>
                <w:tcPr>
                  <w:tcW w:w="833" w:type="pct"/>
                  <w:tcBorders>
                    <w:tl2br w:val="nil"/>
                    <w:tr2bl w:val="nil"/>
                  </w:tcBorders>
                  <w:noWrap w:val="0"/>
                  <w:vAlign w:val="center"/>
                </w:tcPr>
                <w:p w14:paraId="3921DA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70</w:t>
                  </w:r>
                </w:p>
              </w:tc>
              <w:tc>
                <w:tcPr>
                  <w:tcW w:w="512" w:type="pct"/>
                  <w:vMerge w:val="restart"/>
                  <w:tcBorders>
                    <w:tl2br w:val="nil"/>
                    <w:tr2bl w:val="nil"/>
                  </w:tcBorders>
                  <w:noWrap w:val="0"/>
                  <w:vAlign w:val="center"/>
                </w:tcPr>
                <w:p w14:paraId="425302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rPr>
                    <w:t>低噪声设备、基础减振</w:t>
                  </w:r>
                  <w:r>
                    <w:rPr>
                      <w:rFonts w:hint="eastAsia" w:cs="Times New Roman"/>
                      <w:color w:val="auto"/>
                      <w:spacing w:val="0"/>
                      <w:sz w:val="18"/>
                      <w:szCs w:val="18"/>
                      <w:highlight w:val="none"/>
                      <w:lang w:eastAsia="zh-CN"/>
                    </w:rPr>
                    <w:t>、</w:t>
                  </w:r>
                  <w:r>
                    <w:rPr>
                      <w:rFonts w:hint="eastAsia" w:cs="Times New Roman"/>
                      <w:color w:val="auto"/>
                      <w:spacing w:val="0"/>
                      <w:sz w:val="18"/>
                      <w:szCs w:val="18"/>
                      <w:highlight w:val="none"/>
                      <w:lang w:val="en-US" w:eastAsia="zh-CN"/>
                    </w:rPr>
                    <w:t>锅炉房</w:t>
                  </w:r>
                  <w:r>
                    <w:rPr>
                      <w:rFonts w:hint="default" w:ascii="Times New Roman" w:hAnsi="Times New Roman" w:eastAsia="宋体" w:cs="Times New Roman"/>
                      <w:color w:val="auto"/>
                      <w:spacing w:val="0"/>
                      <w:sz w:val="18"/>
                      <w:szCs w:val="18"/>
                      <w:highlight w:val="none"/>
                      <w:lang w:val="en-US" w:eastAsia="zh-CN"/>
                    </w:rPr>
                    <w:t>隔声</w:t>
                  </w:r>
                  <w:r>
                    <w:rPr>
                      <w:rFonts w:hint="default" w:ascii="Times New Roman" w:hAnsi="Times New Roman" w:eastAsia="宋体" w:cs="Times New Roman"/>
                      <w:color w:val="auto"/>
                      <w:spacing w:val="0"/>
                      <w:sz w:val="18"/>
                      <w:szCs w:val="18"/>
                      <w:highlight w:val="none"/>
                    </w:rPr>
                    <w:t>等</w:t>
                  </w:r>
                </w:p>
              </w:tc>
              <w:tc>
                <w:tcPr>
                  <w:tcW w:w="549" w:type="pct"/>
                  <w:tcBorders>
                    <w:tl2br w:val="nil"/>
                    <w:tr2bl w:val="nil"/>
                  </w:tcBorders>
                  <w:noWrap w:val="0"/>
                  <w:vAlign w:val="center"/>
                </w:tcPr>
                <w:p w14:paraId="3AE8CF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20</w:t>
                  </w:r>
                </w:p>
              </w:tc>
              <w:tc>
                <w:tcPr>
                  <w:tcW w:w="720" w:type="pct"/>
                  <w:tcBorders>
                    <w:tl2br w:val="nil"/>
                    <w:tr2bl w:val="nil"/>
                  </w:tcBorders>
                  <w:noWrap w:val="0"/>
                  <w:vAlign w:val="center"/>
                </w:tcPr>
                <w:p w14:paraId="070C22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50</w:t>
                  </w:r>
                </w:p>
              </w:tc>
              <w:tc>
                <w:tcPr>
                  <w:tcW w:w="390" w:type="pct"/>
                  <w:vMerge w:val="restart"/>
                  <w:tcBorders>
                    <w:tl2br w:val="nil"/>
                    <w:tr2bl w:val="nil"/>
                  </w:tcBorders>
                  <w:noWrap w:val="0"/>
                  <w:vAlign w:val="center"/>
                </w:tcPr>
                <w:p w14:paraId="60610C9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5040</w:t>
                  </w:r>
                </w:p>
              </w:tc>
            </w:tr>
            <w:tr w14:paraId="134D38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tcBorders>
                    <w:tl2br w:val="nil"/>
                    <w:tr2bl w:val="nil"/>
                  </w:tcBorders>
                  <w:noWrap w:val="0"/>
                  <w:vAlign w:val="center"/>
                </w:tcPr>
                <w:p w14:paraId="2DFEB0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w:t>
                  </w:r>
                </w:p>
              </w:tc>
              <w:tc>
                <w:tcPr>
                  <w:tcW w:w="508" w:type="pct"/>
                  <w:vMerge w:val="continue"/>
                  <w:tcBorders>
                    <w:tl2br w:val="nil"/>
                    <w:tr2bl w:val="nil"/>
                  </w:tcBorders>
                  <w:noWrap w:val="0"/>
                  <w:vAlign w:val="center"/>
                </w:tcPr>
                <w:p w14:paraId="69ACDD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kern w:val="2"/>
                      <w:sz w:val="18"/>
                      <w:szCs w:val="18"/>
                      <w:highlight w:val="none"/>
                      <w:lang w:val="en-US" w:eastAsia="zh-CN" w:bidi="ar-SA"/>
                    </w:rPr>
                  </w:pPr>
                </w:p>
              </w:tc>
              <w:tc>
                <w:tcPr>
                  <w:tcW w:w="1206" w:type="pct"/>
                  <w:tcBorders>
                    <w:tl2br w:val="nil"/>
                    <w:tr2bl w:val="nil"/>
                  </w:tcBorders>
                  <w:noWrap w:val="0"/>
                  <w:vAlign w:val="center"/>
                </w:tcPr>
                <w:p w14:paraId="5950F9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上料系统</w:t>
                  </w:r>
                </w:p>
              </w:tc>
              <w:tc>
                <w:tcPr>
                  <w:tcW w:w="833" w:type="pct"/>
                  <w:tcBorders>
                    <w:tl2br w:val="nil"/>
                    <w:tr2bl w:val="nil"/>
                  </w:tcBorders>
                  <w:noWrap w:val="0"/>
                  <w:vAlign w:val="center"/>
                </w:tcPr>
                <w:p w14:paraId="11AEA3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75</w:t>
                  </w:r>
                </w:p>
              </w:tc>
              <w:tc>
                <w:tcPr>
                  <w:tcW w:w="512" w:type="pct"/>
                  <w:vMerge w:val="continue"/>
                  <w:tcBorders>
                    <w:tl2br w:val="nil"/>
                    <w:tr2bl w:val="nil"/>
                  </w:tcBorders>
                  <w:noWrap w:val="0"/>
                  <w:vAlign w:val="center"/>
                </w:tcPr>
                <w:p w14:paraId="381429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549" w:type="pct"/>
                  <w:tcBorders>
                    <w:tl2br w:val="nil"/>
                    <w:tr2bl w:val="nil"/>
                  </w:tcBorders>
                  <w:noWrap w:val="0"/>
                  <w:vAlign w:val="center"/>
                </w:tcPr>
                <w:p w14:paraId="588CD5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20</w:t>
                  </w:r>
                </w:p>
              </w:tc>
              <w:tc>
                <w:tcPr>
                  <w:tcW w:w="720" w:type="pct"/>
                  <w:tcBorders>
                    <w:tl2br w:val="nil"/>
                    <w:tr2bl w:val="nil"/>
                  </w:tcBorders>
                  <w:noWrap w:val="0"/>
                  <w:vAlign w:val="center"/>
                </w:tcPr>
                <w:p w14:paraId="5F348D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55</w:t>
                  </w:r>
                </w:p>
              </w:tc>
              <w:tc>
                <w:tcPr>
                  <w:tcW w:w="390" w:type="pct"/>
                  <w:vMerge w:val="continue"/>
                  <w:tcBorders>
                    <w:tl2br w:val="nil"/>
                    <w:tr2bl w:val="nil"/>
                  </w:tcBorders>
                  <w:noWrap w:val="0"/>
                  <w:vAlign w:val="center"/>
                </w:tcPr>
                <w:p w14:paraId="286F13A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cs="Times New Roman"/>
                      <w:color w:val="auto"/>
                      <w:spacing w:val="0"/>
                      <w:sz w:val="18"/>
                      <w:szCs w:val="18"/>
                      <w:highlight w:val="none"/>
                      <w:lang w:val="en-US" w:eastAsia="zh-CN"/>
                    </w:rPr>
                  </w:pPr>
                </w:p>
              </w:tc>
            </w:tr>
            <w:tr w14:paraId="76887A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tcBorders>
                    <w:tl2br w:val="nil"/>
                    <w:tr2bl w:val="nil"/>
                  </w:tcBorders>
                  <w:noWrap w:val="0"/>
                  <w:vAlign w:val="center"/>
                </w:tcPr>
                <w:p w14:paraId="26B7F5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3</w:t>
                  </w:r>
                </w:p>
              </w:tc>
              <w:tc>
                <w:tcPr>
                  <w:tcW w:w="508" w:type="pct"/>
                  <w:vMerge w:val="continue"/>
                  <w:tcBorders>
                    <w:tl2br w:val="nil"/>
                    <w:tr2bl w:val="nil"/>
                  </w:tcBorders>
                  <w:noWrap w:val="0"/>
                  <w:vAlign w:val="center"/>
                </w:tcPr>
                <w:p w14:paraId="7B3760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kern w:val="2"/>
                      <w:sz w:val="18"/>
                      <w:szCs w:val="18"/>
                      <w:highlight w:val="none"/>
                      <w:lang w:val="en-US" w:eastAsia="zh-CN" w:bidi="ar-SA"/>
                    </w:rPr>
                  </w:pPr>
                </w:p>
              </w:tc>
              <w:tc>
                <w:tcPr>
                  <w:tcW w:w="1206" w:type="pct"/>
                  <w:tcBorders>
                    <w:tl2br w:val="nil"/>
                    <w:tr2bl w:val="nil"/>
                  </w:tcBorders>
                  <w:noWrap w:val="0"/>
                  <w:vAlign w:val="center"/>
                </w:tcPr>
                <w:p w14:paraId="2782D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软化水制备系统</w:t>
                  </w:r>
                </w:p>
              </w:tc>
              <w:tc>
                <w:tcPr>
                  <w:tcW w:w="833" w:type="pct"/>
                  <w:tcBorders>
                    <w:tl2br w:val="nil"/>
                    <w:tr2bl w:val="nil"/>
                  </w:tcBorders>
                  <w:noWrap w:val="0"/>
                  <w:vAlign w:val="center"/>
                </w:tcPr>
                <w:p w14:paraId="46C32E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70</w:t>
                  </w:r>
                </w:p>
              </w:tc>
              <w:tc>
                <w:tcPr>
                  <w:tcW w:w="512" w:type="pct"/>
                  <w:vMerge w:val="continue"/>
                  <w:tcBorders>
                    <w:tl2br w:val="nil"/>
                    <w:tr2bl w:val="nil"/>
                  </w:tcBorders>
                  <w:noWrap w:val="0"/>
                  <w:vAlign w:val="center"/>
                </w:tcPr>
                <w:p w14:paraId="26A837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549" w:type="pct"/>
                  <w:tcBorders>
                    <w:tl2br w:val="nil"/>
                    <w:tr2bl w:val="nil"/>
                  </w:tcBorders>
                  <w:noWrap w:val="0"/>
                  <w:vAlign w:val="center"/>
                </w:tcPr>
                <w:p w14:paraId="514A7B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20</w:t>
                  </w:r>
                </w:p>
              </w:tc>
              <w:tc>
                <w:tcPr>
                  <w:tcW w:w="720" w:type="pct"/>
                  <w:tcBorders>
                    <w:tl2br w:val="nil"/>
                    <w:tr2bl w:val="nil"/>
                  </w:tcBorders>
                  <w:noWrap w:val="0"/>
                  <w:vAlign w:val="center"/>
                </w:tcPr>
                <w:p w14:paraId="139CFF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50</w:t>
                  </w:r>
                </w:p>
              </w:tc>
              <w:tc>
                <w:tcPr>
                  <w:tcW w:w="390" w:type="pct"/>
                  <w:vMerge w:val="continue"/>
                  <w:tcBorders>
                    <w:tl2br w:val="nil"/>
                    <w:tr2bl w:val="nil"/>
                  </w:tcBorders>
                  <w:noWrap w:val="0"/>
                  <w:vAlign w:val="center"/>
                </w:tcPr>
                <w:p w14:paraId="0AB3FE7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cs="Times New Roman"/>
                      <w:color w:val="auto"/>
                      <w:spacing w:val="0"/>
                      <w:sz w:val="18"/>
                      <w:szCs w:val="18"/>
                      <w:highlight w:val="none"/>
                      <w:lang w:val="en-US" w:eastAsia="zh-CN"/>
                    </w:rPr>
                  </w:pPr>
                </w:p>
              </w:tc>
            </w:tr>
            <w:tr w14:paraId="17EC04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tcBorders>
                    <w:tl2br w:val="nil"/>
                    <w:tr2bl w:val="nil"/>
                  </w:tcBorders>
                  <w:noWrap w:val="0"/>
                  <w:vAlign w:val="center"/>
                </w:tcPr>
                <w:p w14:paraId="0E0F3A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w:t>
                  </w:r>
                </w:p>
              </w:tc>
              <w:tc>
                <w:tcPr>
                  <w:tcW w:w="508" w:type="pct"/>
                  <w:vMerge w:val="continue"/>
                  <w:tcBorders>
                    <w:tl2br w:val="nil"/>
                    <w:tr2bl w:val="nil"/>
                  </w:tcBorders>
                  <w:noWrap w:val="0"/>
                  <w:vAlign w:val="center"/>
                </w:tcPr>
                <w:p w14:paraId="5CA4612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206" w:type="pct"/>
                  <w:tcBorders>
                    <w:tl2br w:val="nil"/>
                    <w:tr2bl w:val="nil"/>
                  </w:tcBorders>
                  <w:noWrap w:val="0"/>
                  <w:vAlign w:val="center"/>
                </w:tcPr>
                <w:p w14:paraId="0B6F26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r>
                    <w:rPr>
                      <w:rFonts w:hint="eastAsia" w:cs="Times New Roman"/>
                      <w:color w:val="auto"/>
                      <w:sz w:val="18"/>
                      <w:szCs w:val="18"/>
                      <w:highlight w:val="none"/>
                      <w:lang w:val="en-US" w:eastAsia="zh-CN"/>
                    </w:rPr>
                    <w:t>除渣系统</w:t>
                  </w:r>
                </w:p>
              </w:tc>
              <w:tc>
                <w:tcPr>
                  <w:tcW w:w="833" w:type="pct"/>
                  <w:tcBorders>
                    <w:tl2br w:val="nil"/>
                    <w:tr2bl w:val="nil"/>
                  </w:tcBorders>
                  <w:noWrap w:val="0"/>
                  <w:vAlign w:val="center"/>
                </w:tcPr>
                <w:p w14:paraId="10A70E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75</w:t>
                  </w:r>
                </w:p>
              </w:tc>
              <w:tc>
                <w:tcPr>
                  <w:tcW w:w="512" w:type="pct"/>
                  <w:vMerge w:val="continue"/>
                  <w:tcBorders>
                    <w:tl2br w:val="nil"/>
                    <w:tr2bl w:val="nil"/>
                  </w:tcBorders>
                  <w:noWrap w:val="0"/>
                  <w:vAlign w:val="center"/>
                </w:tcPr>
                <w:p w14:paraId="407A29D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549" w:type="pct"/>
                  <w:tcBorders>
                    <w:tl2br w:val="nil"/>
                    <w:tr2bl w:val="nil"/>
                  </w:tcBorders>
                  <w:noWrap w:val="0"/>
                  <w:vAlign w:val="center"/>
                </w:tcPr>
                <w:p w14:paraId="7AFCE7A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20</w:t>
                  </w:r>
                </w:p>
              </w:tc>
              <w:tc>
                <w:tcPr>
                  <w:tcW w:w="720" w:type="pct"/>
                  <w:tcBorders>
                    <w:tl2br w:val="nil"/>
                    <w:tr2bl w:val="nil"/>
                  </w:tcBorders>
                  <w:noWrap w:val="0"/>
                  <w:vAlign w:val="center"/>
                </w:tcPr>
                <w:p w14:paraId="2EC7CFE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55</w:t>
                  </w:r>
                </w:p>
              </w:tc>
              <w:tc>
                <w:tcPr>
                  <w:tcW w:w="390" w:type="pct"/>
                  <w:vMerge w:val="continue"/>
                  <w:tcBorders>
                    <w:tl2br w:val="nil"/>
                    <w:tr2bl w:val="nil"/>
                  </w:tcBorders>
                  <w:noWrap w:val="0"/>
                  <w:vAlign w:val="center"/>
                </w:tcPr>
                <w:p w14:paraId="107288E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p>
              </w:tc>
            </w:tr>
            <w:tr w14:paraId="3F932A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tcBorders>
                    <w:tl2br w:val="nil"/>
                    <w:tr2bl w:val="nil"/>
                  </w:tcBorders>
                  <w:noWrap w:val="0"/>
                  <w:vAlign w:val="center"/>
                </w:tcPr>
                <w:p w14:paraId="5F4499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w:t>
                  </w:r>
                </w:p>
              </w:tc>
              <w:tc>
                <w:tcPr>
                  <w:tcW w:w="508" w:type="pct"/>
                  <w:vMerge w:val="continue"/>
                  <w:tcBorders>
                    <w:tl2br w:val="nil"/>
                    <w:tr2bl w:val="nil"/>
                  </w:tcBorders>
                  <w:noWrap w:val="0"/>
                  <w:vAlign w:val="center"/>
                </w:tcPr>
                <w:p w14:paraId="1955A9A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206" w:type="pct"/>
                  <w:tcBorders>
                    <w:tl2br w:val="nil"/>
                    <w:tr2bl w:val="nil"/>
                  </w:tcBorders>
                  <w:noWrap w:val="0"/>
                  <w:vAlign w:val="center"/>
                </w:tcPr>
                <w:p w14:paraId="068EF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引风机</w:t>
                  </w:r>
                </w:p>
              </w:tc>
              <w:tc>
                <w:tcPr>
                  <w:tcW w:w="833" w:type="pct"/>
                  <w:tcBorders>
                    <w:tl2br w:val="nil"/>
                    <w:tr2bl w:val="nil"/>
                  </w:tcBorders>
                  <w:noWrap w:val="0"/>
                  <w:vAlign w:val="center"/>
                </w:tcPr>
                <w:p w14:paraId="46837E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80</w:t>
                  </w:r>
                </w:p>
              </w:tc>
              <w:tc>
                <w:tcPr>
                  <w:tcW w:w="512" w:type="pct"/>
                  <w:vMerge w:val="continue"/>
                  <w:tcBorders>
                    <w:tl2br w:val="nil"/>
                    <w:tr2bl w:val="nil"/>
                  </w:tcBorders>
                  <w:noWrap w:val="0"/>
                  <w:vAlign w:val="center"/>
                </w:tcPr>
                <w:p w14:paraId="3C8F9B9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549" w:type="pct"/>
                  <w:tcBorders>
                    <w:tl2br w:val="nil"/>
                    <w:tr2bl w:val="nil"/>
                  </w:tcBorders>
                  <w:noWrap w:val="0"/>
                  <w:vAlign w:val="center"/>
                </w:tcPr>
                <w:p w14:paraId="786DC7D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20</w:t>
                  </w:r>
                </w:p>
              </w:tc>
              <w:tc>
                <w:tcPr>
                  <w:tcW w:w="720" w:type="pct"/>
                  <w:tcBorders>
                    <w:tl2br w:val="nil"/>
                    <w:tr2bl w:val="nil"/>
                  </w:tcBorders>
                  <w:noWrap w:val="0"/>
                  <w:vAlign w:val="center"/>
                </w:tcPr>
                <w:p w14:paraId="1F5C19E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60</w:t>
                  </w:r>
                </w:p>
              </w:tc>
              <w:tc>
                <w:tcPr>
                  <w:tcW w:w="390" w:type="pct"/>
                  <w:vMerge w:val="continue"/>
                  <w:tcBorders>
                    <w:tl2br w:val="nil"/>
                    <w:tr2bl w:val="nil"/>
                  </w:tcBorders>
                  <w:noWrap w:val="0"/>
                  <w:vAlign w:val="center"/>
                </w:tcPr>
                <w:p w14:paraId="2403146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r>
            <w:tr w14:paraId="6672E8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tcBorders>
                    <w:tl2br w:val="nil"/>
                    <w:tr2bl w:val="nil"/>
                  </w:tcBorders>
                  <w:noWrap w:val="0"/>
                  <w:vAlign w:val="center"/>
                </w:tcPr>
                <w:p w14:paraId="2270BA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w:t>
                  </w:r>
                </w:p>
              </w:tc>
              <w:tc>
                <w:tcPr>
                  <w:tcW w:w="508" w:type="pct"/>
                  <w:vMerge w:val="continue"/>
                  <w:tcBorders>
                    <w:tl2br w:val="nil"/>
                    <w:tr2bl w:val="nil"/>
                  </w:tcBorders>
                  <w:noWrap w:val="0"/>
                  <w:vAlign w:val="center"/>
                </w:tcPr>
                <w:p w14:paraId="25CC043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206" w:type="pct"/>
                  <w:tcBorders>
                    <w:tl2br w:val="nil"/>
                    <w:tr2bl w:val="nil"/>
                  </w:tcBorders>
                  <w:noWrap w:val="0"/>
                  <w:vAlign w:val="center"/>
                </w:tcPr>
                <w:p w14:paraId="6F509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水泵</w:t>
                  </w:r>
                </w:p>
              </w:tc>
              <w:tc>
                <w:tcPr>
                  <w:tcW w:w="833" w:type="pct"/>
                  <w:tcBorders>
                    <w:tl2br w:val="nil"/>
                    <w:tr2bl w:val="nil"/>
                  </w:tcBorders>
                  <w:noWrap w:val="0"/>
                  <w:vAlign w:val="center"/>
                </w:tcPr>
                <w:p w14:paraId="3154FE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80</w:t>
                  </w:r>
                </w:p>
              </w:tc>
              <w:tc>
                <w:tcPr>
                  <w:tcW w:w="512" w:type="pct"/>
                  <w:vMerge w:val="continue"/>
                  <w:tcBorders>
                    <w:tl2br w:val="nil"/>
                    <w:tr2bl w:val="nil"/>
                  </w:tcBorders>
                  <w:noWrap w:val="0"/>
                  <w:vAlign w:val="center"/>
                </w:tcPr>
                <w:p w14:paraId="6F5EFF8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549" w:type="pct"/>
                  <w:tcBorders>
                    <w:tl2br w:val="nil"/>
                    <w:tr2bl w:val="nil"/>
                  </w:tcBorders>
                  <w:noWrap w:val="0"/>
                  <w:vAlign w:val="center"/>
                </w:tcPr>
                <w:p w14:paraId="44CBFE4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20</w:t>
                  </w:r>
                </w:p>
              </w:tc>
              <w:tc>
                <w:tcPr>
                  <w:tcW w:w="720" w:type="pct"/>
                  <w:tcBorders>
                    <w:tl2br w:val="nil"/>
                    <w:tr2bl w:val="nil"/>
                  </w:tcBorders>
                  <w:noWrap w:val="0"/>
                  <w:vAlign w:val="center"/>
                </w:tcPr>
                <w:p w14:paraId="356CC66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60</w:t>
                  </w:r>
                </w:p>
              </w:tc>
              <w:tc>
                <w:tcPr>
                  <w:tcW w:w="390" w:type="pct"/>
                  <w:vMerge w:val="continue"/>
                  <w:tcBorders>
                    <w:tl2br w:val="nil"/>
                    <w:tr2bl w:val="nil"/>
                  </w:tcBorders>
                  <w:noWrap w:val="0"/>
                  <w:vAlign w:val="center"/>
                </w:tcPr>
                <w:p w14:paraId="31C6C9A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r>
            <w:tr w14:paraId="6B8265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tcBorders>
                    <w:tl2br w:val="nil"/>
                    <w:tr2bl w:val="nil"/>
                  </w:tcBorders>
                  <w:noWrap w:val="0"/>
                  <w:vAlign w:val="center"/>
                </w:tcPr>
                <w:p w14:paraId="71748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w:t>
                  </w:r>
                </w:p>
              </w:tc>
              <w:tc>
                <w:tcPr>
                  <w:tcW w:w="508" w:type="pct"/>
                  <w:vMerge w:val="continue"/>
                  <w:tcBorders>
                    <w:tl2br w:val="nil"/>
                    <w:tr2bl w:val="nil"/>
                  </w:tcBorders>
                  <w:noWrap w:val="0"/>
                  <w:vAlign w:val="center"/>
                </w:tcPr>
                <w:p w14:paraId="0209B23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206" w:type="pct"/>
                  <w:tcBorders>
                    <w:tl2br w:val="nil"/>
                    <w:tr2bl w:val="nil"/>
                  </w:tcBorders>
                  <w:noWrap w:val="0"/>
                  <w:vAlign w:val="center"/>
                </w:tcPr>
                <w:p w14:paraId="43927B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多管陶瓷除尘器+布袋除尘器</w:t>
                  </w:r>
                </w:p>
              </w:tc>
              <w:tc>
                <w:tcPr>
                  <w:tcW w:w="833" w:type="pct"/>
                  <w:tcBorders>
                    <w:tl2br w:val="nil"/>
                    <w:tr2bl w:val="nil"/>
                  </w:tcBorders>
                  <w:noWrap w:val="0"/>
                  <w:vAlign w:val="center"/>
                </w:tcPr>
                <w:p w14:paraId="3E0151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75</w:t>
                  </w:r>
                </w:p>
              </w:tc>
              <w:tc>
                <w:tcPr>
                  <w:tcW w:w="512" w:type="pct"/>
                  <w:vMerge w:val="continue"/>
                  <w:tcBorders>
                    <w:tl2br w:val="nil"/>
                    <w:tr2bl w:val="nil"/>
                  </w:tcBorders>
                  <w:noWrap w:val="0"/>
                  <w:vAlign w:val="center"/>
                </w:tcPr>
                <w:p w14:paraId="02B4CAE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549" w:type="pct"/>
                  <w:tcBorders>
                    <w:tl2br w:val="nil"/>
                    <w:tr2bl w:val="nil"/>
                  </w:tcBorders>
                  <w:noWrap w:val="0"/>
                  <w:vAlign w:val="center"/>
                </w:tcPr>
                <w:p w14:paraId="5A24D1E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20</w:t>
                  </w:r>
                </w:p>
              </w:tc>
              <w:tc>
                <w:tcPr>
                  <w:tcW w:w="720" w:type="pct"/>
                  <w:tcBorders>
                    <w:tl2br w:val="nil"/>
                    <w:tr2bl w:val="nil"/>
                  </w:tcBorders>
                  <w:noWrap w:val="0"/>
                  <w:vAlign w:val="center"/>
                </w:tcPr>
                <w:p w14:paraId="1BEAFD8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55</w:t>
                  </w:r>
                </w:p>
              </w:tc>
              <w:tc>
                <w:tcPr>
                  <w:tcW w:w="390" w:type="pct"/>
                  <w:vMerge w:val="continue"/>
                  <w:tcBorders>
                    <w:tl2br w:val="nil"/>
                    <w:tr2bl w:val="nil"/>
                  </w:tcBorders>
                  <w:noWrap w:val="0"/>
                  <w:vAlign w:val="center"/>
                </w:tcPr>
                <w:p w14:paraId="660CC3F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r>
            <w:tr w14:paraId="5E04D8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8" w:type="pct"/>
                  <w:tcBorders>
                    <w:tl2br w:val="nil"/>
                    <w:tr2bl w:val="nil"/>
                  </w:tcBorders>
                  <w:noWrap w:val="0"/>
                  <w:vAlign w:val="center"/>
                </w:tcPr>
                <w:p w14:paraId="5287E5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w:t>
                  </w:r>
                </w:p>
              </w:tc>
              <w:tc>
                <w:tcPr>
                  <w:tcW w:w="508" w:type="pct"/>
                  <w:vMerge w:val="continue"/>
                  <w:tcBorders>
                    <w:tl2br w:val="nil"/>
                    <w:tr2bl w:val="nil"/>
                  </w:tcBorders>
                  <w:noWrap w:val="0"/>
                  <w:vAlign w:val="center"/>
                </w:tcPr>
                <w:p w14:paraId="757AD19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206" w:type="pct"/>
                  <w:tcBorders>
                    <w:tl2br w:val="nil"/>
                    <w:tr2bl w:val="nil"/>
                  </w:tcBorders>
                  <w:noWrap w:val="0"/>
                  <w:vAlign w:val="center"/>
                </w:tcPr>
                <w:p w14:paraId="24337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排汽噪声</w:t>
                  </w:r>
                </w:p>
              </w:tc>
              <w:tc>
                <w:tcPr>
                  <w:tcW w:w="833" w:type="pct"/>
                  <w:tcBorders>
                    <w:tl2br w:val="nil"/>
                    <w:tr2bl w:val="nil"/>
                  </w:tcBorders>
                  <w:noWrap w:val="0"/>
                  <w:vAlign w:val="center"/>
                </w:tcPr>
                <w:p w14:paraId="291CDC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70</w:t>
                  </w:r>
                </w:p>
              </w:tc>
              <w:tc>
                <w:tcPr>
                  <w:tcW w:w="512" w:type="pct"/>
                  <w:vMerge w:val="continue"/>
                  <w:tcBorders>
                    <w:tl2br w:val="nil"/>
                    <w:tr2bl w:val="nil"/>
                  </w:tcBorders>
                  <w:noWrap w:val="0"/>
                  <w:vAlign w:val="center"/>
                </w:tcPr>
                <w:p w14:paraId="633419A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c>
                <w:tcPr>
                  <w:tcW w:w="549" w:type="pct"/>
                  <w:tcBorders>
                    <w:tl2br w:val="nil"/>
                    <w:tr2bl w:val="nil"/>
                  </w:tcBorders>
                  <w:noWrap w:val="0"/>
                  <w:vAlign w:val="center"/>
                </w:tcPr>
                <w:p w14:paraId="4CD24C3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20</w:t>
                  </w:r>
                </w:p>
              </w:tc>
              <w:tc>
                <w:tcPr>
                  <w:tcW w:w="720" w:type="pct"/>
                  <w:tcBorders>
                    <w:tl2br w:val="nil"/>
                    <w:tr2bl w:val="nil"/>
                  </w:tcBorders>
                  <w:noWrap w:val="0"/>
                  <w:vAlign w:val="center"/>
                </w:tcPr>
                <w:p w14:paraId="337C1AF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50</w:t>
                  </w:r>
                </w:p>
              </w:tc>
              <w:tc>
                <w:tcPr>
                  <w:tcW w:w="390" w:type="pct"/>
                  <w:vMerge w:val="continue"/>
                  <w:tcBorders>
                    <w:tl2br w:val="nil"/>
                    <w:tr2bl w:val="nil"/>
                  </w:tcBorders>
                  <w:noWrap w:val="0"/>
                  <w:vAlign w:val="center"/>
                </w:tcPr>
                <w:p w14:paraId="238FCA1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color w:val="auto"/>
                      <w:spacing w:val="0"/>
                      <w:sz w:val="18"/>
                      <w:szCs w:val="18"/>
                      <w:highlight w:val="none"/>
                    </w:rPr>
                  </w:pPr>
                </w:p>
              </w:tc>
            </w:tr>
          </w:tbl>
          <w:p w14:paraId="4C9BB5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zCs w:val="21"/>
                <w:highlight w:val="none"/>
              </w:rPr>
            </w:pPr>
            <w:r>
              <w:rPr>
                <w:rFonts w:hint="eastAsia"/>
                <w:bCs/>
                <w:color w:val="auto"/>
                <w:szCs w:val="21"/>
                <w:highlight w:val="none"/>
                <w:lang w:eastAsia="zh-CN"/>
              </w:rPr>
              <w:t>（</w:t>
            </w:r>
            <w:r>
              <w:rPr>
                <w:rFonts w:hint="eastAsia"/>
                <w:bCs/>
                <w:color w:val="auto"/>
                <w:szCs w:val="21"/>
                <w:highlight w:val="none"/>
                <w:lang w:val="en-US" w:eastAsia="zh-CN"/>
              </w:rPr>
              <w:t>2</w:t>
            </w:r>
            <w:r>
              <w:rPr>
                <w:rFonts w:hint="eastAsia"/>
                <w:bCs/>
                <w:color w:val="auto"/>
                <w:szCs w:val="21"/>
                <w:highlight w:val="none"/>
                <w:lang w:eastAsia="zh-CN"/>
              </w:rPr>
              <w:t>）</w:t>
            </w:r>
            <w:r>
              <w:rPr>
                <w:rFonts w:hint="default"/>
                <w:bCs/>
                <w:color w:val="auto"/>
                <w:szCs w:val="21"/>
                <w:highlight w:val="none"/>
              </w:rPr>
              <w:t>污染防治措施及环境影响分析</w:t>
            </w:r>
          </w:p>
          <w:p w14:paraId="0F685364">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本项目运营期采取如下降噪措施：</w:t>
            </w:r>
          </w:p>
          <w:p w14:paraId="21459A59">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①在厂区总体布置中应注意防噪间距，以减少噪声的污染；</w:t>
            </w:r>
          </w:p>
          <w:p w14:paraId="72DFE6EB">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eastAsia" w:eastAsia="宋体"/>
                <w:color w:val="auto"/>
                <w:sz w:val="21"/>
                <w:szCs w:val="21"/>
                <w:highlight w:val="none"/>
                <w:lang w:eastAsia="zh-CN"/>
              </w:rPr>
            </w:pPr>
            <w:r>
              <w:rPr>
                <w:rFonts w:hint="default"/>
                <w:color w:val="auto"/>
                <w:sz w:val="21"/>
                <w:szCs w:val="21"/>
                <w:highlight w:val="none"/>
              </w:rPr>
              <w:t>②</w:t>
            </w:r>
            <w:r>
              <w:rPr>
                <w:rFonts w:hint="eastAsia"/>
                <w:color w:val="auto"/>
                <w:sz w:val="21"/>
                <w:szCs w:val="21"/>
                <w:highlight w:val="none"/>
              </w:rPr>
              <w:t>选用低噪声设备，建筑采取隔声、降噪措施，设置减振器，风机进出口均设软管连接等措施</w:t>
            </w:r>
            <w:r>
              <w:rPr>
                <w:rFonts w:hint="eastAsia"/>
                <w:color w:val="auto"/>
                <w:sz w:val="21"/>
                <w:szCs w:val="21"/>
                <w:highlight w:val="none"/>
                <w:lang w:eastAsia="zh-CN"/>
              </w:rPr>
              <w:t>；</w:t>
            </w:r>
          </w:p>
          <w:p w14:paraId="7E93ED6C">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③定期对设备进行检查、维修，保持设备最佳运行状态，减少噪声产生量；</w:t>
            </w:r>
          </w:p>
          <w:p w14:paraId="00672B03">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eastAsia" w:eastAsia="宋体"/>
                <w:color w:val="auto"/>
                <w:sz w:val="21"/>
                <w:szCs w:val="21"/>
                <w:highlight w:val="none"/>
                <w:lang w:eastAsia="zh-CN"/>
              </w:rPr>
            </w:pPr>
            <w:r>
              <w:rPr>
                <w:rFonts w:hint="default"/>
                <w:color w:val="auto"/>
                <w:sz w:val="21"/>
                <w:szCs w:val="21"/>
                <w:highlight w:val="none"/>
              </w:rPr>
              <w:t>④</w:t>
            </w:r>
            <w:r>
              <w:rPr>
                <w:rFonts w:hint="eastAsia"/>
                <w:color w:val="auto"/>
                <w:sz w:val="21"/>
                <w:szCs w:val="21"/>
                <w:highlight w:val="none"/>
                <w:lang w:val="en-US" w:eastAsia="zh-CN"/>
              </w:rPr>
              <w:t>锅炉</w:t>
            </w:r>
            <w:r>
              <w:rPr>
                <w:rFonts w:hint="default"/>
                <w:color w:val="auto"/>
                <w:sz w:val="21"/>
                <w:szCs w:val="21"/>
                <w:highlight w:val="none"/>
              </w:rPr>
              <w:t>房隔声，合理布局，优化平面布局</w:t>
            </w:r>
            <w:r>
              <w:rPr>
                <w:rFonts w:hint="eastAsia"/>
                <w:color w:val="auto"/>
                <w:sz w:val="21"/>
                <w:szCs w:val="21"/>
                <w:highlight w:val="none"/>
                <w:lang w:eastAsia="zh-CN"/>
              </w:rPr>
              <w:t>；</w:t>
            </w:r>
          </w:p>
          <w:p w14:paraId="0B70B6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厂界外周边50米范围内声环境保护目标</w:t>
            </w:r>
            <w:r>
              <w:rPr>
                <w:rFonts w:hint="eastAsia" w:cs="Times New Roman"/>
                <w:color w:val="auto"/>
                <w:kern w:val="0"/>
                <w:sz w:val="21"/>
                <w:szCs w:val="21"/>
                <w:highlight w:val="none"/>
                <w:lang w:val="en-US" w:eastAsia="zh-CN"/>
              </w:rPr>
              <w:t>为厂区西侧职工家属楼，</w:t>
            </w:r>
            <w:r>
              <w:rPr>
                <w:rFonts w:hint="eastAsia"/>
                <w:color w:val="auto"/>
                <w:sz w:val="21"/>
                <w:szCs w:val="21"/>
                <w:highlight w:val="none"/>
                <w:lang w:val="en-US" w:eastAsia="zh-CN"/>
              </w:rPr>
              <w:t>噪声检测结果为昼间56</w:t>
            </w:r>
            <w:r>
              <w:rPr>
                <w:rFonts w:hint="default" w:ascii="Times New Roman" w:hAnsi="Times New Roman" w:cs="Times New Roman" w:eastAsiaTheme="minorEastAsia"/>
                <w:color w:val="auto"/>
                <w:sz w:val="18"/>
                <w:szCs w:val="18"/>
                <w:highlight w:val="none"/>
              </w:rPr>
              <w:t>dB（A）</w:t>
            </w:r>
            <w:r>
              <w:rPr>
                <w:rFonts w:hint="eastAsia"/>
                <w:color w:val="auto"/>
                <w:sz w:val="21"/>
                <w:szCs w:val="21"/>
                <w:highlight w:val="none"/>
                <w:lang w:val="en-US" w:eastAsia="zh-CN"/>
              </w:rPr>
              <w:t>，夜间47</w:t>
            </w:r>
            <w:r>
              <w:rPr>
                <w:rFonts w:hint="default" w:ascii="Times New Roman" w:hAnsi="Times New Roman" w:cs="Times New Roman" w:eastAsiaTheme="minorEastAsia"/>
                <w:color w:val="auto"/>
                <w:sz w:val="18"/>
                <w:szCs w:val="18"/>
                <w:highlight w:val="none"/>
              </w:rPr>
              <w:t>dB（A）</w:t>
            </w:r>
            <w:r>
              <w:rPr>
                <w:rFonts w:hint="eastAsia" w:ascii="Times New Roman" w:hAnsi="Times New Roman" w:cs="Times New Roman" w:eastAsiaTheme="minorEastAsia"/>
                <w:color w:val="auto"/>
                <w:sz w:val="18"/>
                <w:szCs w:val="18"/>
                <w:highlight w:val="none"/>
                <w:lang w:eastAsia="zh-CN"/>
              </w:rPr>
              <w:t>，</w:t>
            </w:r>
            <w:r>
              <w:rPr>
                <w:rFonts w:hint="eastAsia"/>
                <w:color w:val="auto"/>
                <w:sz w:val="21"/>
                <w:szCs w:val="21"/>
                <w:highlight w:val="none"/>
                <w:lang w:val="en-US" w:eastAsia="zh-CN"/>
              </w:rPr>
              <w:t>满足</w:t>
            </w:r>
            <w:r>
              <w:rPr>
                <w:rFonts w:hint="default"/>
                <w:color w:val="auto"/>
                <w:sz w:val="21"/>
                <w:szCs w:val="21"/>
                <w:highlight w:val="none"/>
              </w:rPr>
              <w:t>《工业企业厂界环境噪声排放标准》（GB12348-2008）中</w:t>
            </w:r>
            <w:r>
              <w:rPr>
                <w:rFonts w:hint="eastAsia"/>
                <w:color w:val="auto"/>
                <w:sz w:val="21"/>
                <w:szCs w:val="21"/>
                <w:highlight w:val="none"/>
                <w:lang w:val="en-US" w:eastAsia="zh-CN"/>
              </w:rPr>
              <w:t>2</w:t>
            </w:r>
            <w:r>
              <w:rPr>
                <w:rFonts w:hint="default"/>
                <w:color w:val="auto"/>
                <w:sz w:val="21"/>
                <w:szCs w:val="21"/>
                <w:highlight w:val="none"/>
              </w:rPr>
              <w:t>类标准限值</w:t>
            </w:r>
            <w:r>
              <w:rPr>
                <w:rFonts w:hint="eastAsia"/>
                <w:color w:val="auto"/>
                <w:sz w:val="21"/>
                <w:szCs w:val="21"/>
                <w:highlight w:val="none"/>
                <w:lang w:eastAsia="zh-CN"/>
              </w:rPr>
              <w:t>。</w:t>
            </w:r>
            <w:r>
              <w:rPr>
                <w:rFonts w:hint="eastAsia"/>
                <w:color w:val="auto"/>
                <w:sz w:val="21"/>
                <w:szCs w:val="21"/>
                <w:highlight w:val="none"/>
                <w:lang w:val="en-US" w:eastAsia="zh-CN"/>
              </w:rPr>
              <w:t>本项目</w:t>
            </w:r>
            <w:r>
              <w:rPr>
                <w:rFonts w:hint="default"/>
                <w:color w:val="auto"/>
                <w:sz w:val="21"/>
                <w:szCs w:val="21"/>
                <w:highlight w:val="none"/>
              </w:rPr>
              <w:t>选用低噪声设备，基础减振</w:t>
            </w:r>
            <w:r>
              <w:rPr>
                <w:rFonts w:hint="eastAsia"/>
                <w:color w:val="auto"/>
                <w:sz w:val="21"/>
                <w:szCs w:val="21"/>
                <w:highlight w:val="none"/>
                <w:lang w:eastAsia="zh-CN"/>
              </w:rPr>
              <w:t>、</w:t>
            </w:r>
            <w:r>
              <w:rPr>
                <w:rFonts w:hint="default"/>
                <w:color w:val="auto"/>
                <w:sz w:val="21"/>
                <w:szCs w:val="21"/>
                <w:highlight w:val="none"/>
              </w:rPr>
              <w:t>隔声</w:t>
            </w:r>
            <w:r>
              <w:rPr>
                <w:rFonts w:hint="eastAsia"/>
                <w:color w:val="auto"/>
                <w:sz w:val="21"/>
                <w:szCs w:val="21"/>
                <w:highlight w:val="none"/>
              </w:rPr>
              <w:t>等</w:t>
            </w:r>
            <w:r>
              <w:rPr>
                <w:rFonts w:hint="default"/>
                <w:color w:val="auto"/>
                <w:sz w:val="21"/>
                <w:szCs w:val="21"/>
                <w:highlight w:val="none"/>
              </w:rPr>
              <w:t>措施，</w:t>
            </w:r>
            <w:r>
              <w:rPr>
                <w:rFonts w:hint="default" w:ascii="Times New Roman" w:hAnsi="Times New Roman" w:cs="Times New Roman"/>
                <w:color w:val="auto"/>
                <w:sz w:val="21"/>
                <w:szCs w:val="21"/>
                <w:highlight w:val="none"/>
              </w:rPr>
              <w:t>厂界噪声</w:t>
            </w:r>
            <w:r>
              <w:rPr>
                <w:rFonts w:hint="eastAsia" w:cs="Times New Roman"/>
                <w:color w:val="auto"/>
                <w:sz w:val="21"/>
                <w:szCs w:val="21"/>
                <w:highlight w:val="none"/>
                <w:lang w:val="en-US" w:eastAsia="zh-CN"/>
              </w:rPr>
              <w:t>满足</w:t>
            </w:r>
            <w:r>
              <w:rPr>
                <w:rFonts w:hint="default" w:ascii="Times New Roman" w:hAnsi="Times New Roman" w:cs="Times New Roman"/>
                <w:color w:val="auto"/>
                <w:sz w:val="21"/>
                <w:szCs w:val="21"/>
                <w:highlight w:val="none"/>
              </w:rPr>
              <w:t>《工业企业厂界环境噪声排放标准》</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GB12348-2008</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表1中</w:t>
            </w:r>
            <w:r>
              <w:rPr>
                <w:rFonts w:hint="default"/>
                <w:color w:val="auto"/>
                <w:sz w:val="21"/>
                <w:szCs w:val="21"/>
                <w:highlight w:val="none"/>
              </w:rPr>
              <w:t>2类</w:t>
            </w:r>
            <w:r>
              <w:rPr>
                <w:rFonts w:hint="eastAsia"/>
                <w:color w:val="auto"/>
                <w:sz w:val="21"/>
                <w:szCs w:val="21"/>
                <w:highlight w:val="none"/>
                <w:lang w:val="en-US" w:eastAsia="zh-CN"/>
              </w:rPr>
              <w:t>标准</w:t>
            </w:r>
            <w:r>
              <w:rPr>
                <w:rFonts w:hint="eastAsia"/>
                <w:color w:val="auto"/>
                <w:sz w:val="21"/>
                <w:szCs w:val="21"/>
                <w:highlight w:val="none"/>
                <w:lang w:eastAsia="zh-CN"/>
              </w:rPr>
              <w:t>。</w:t>
            </w:r>
            <w:r>
              <w:rPr>
                <w:rFonts w:hint="default"/>
                <w:color w:val="auto"/>
                <w:sz w:val="21"/>
                <w:szCs w:val="21"/>
                <w:highlight w:val="none"/>
              </w:rPr>
              <w:t>本项目对周围声环境影响较小。</w:t>
            </w:r>
          </w:p>
          <w:p w14:paraId="03EF07C4">
            <w:pPr>
              <w:keepNext w:val="0"/>
              <w:keepLines w:val="0"/>
              <w:widowControl/>
              <w:suppressLineNumbers w:val="0"/>
              <w:adjustRightInd/>
              <w:snapToGrid/>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eastAsia"/>
                <w:bCs/>
                <w:color w:val="auto"/>
                <w:szCs w:val="21"/>
                <w:highlight w:val="none"/>
                <w:lang w:eastAsia="zh-CN"/>
              </w:rPr>
              <w:t>（</w:t>
            </w:r>
            <w:r>
              <w:rPr>
                <w:rFonts w:hint="eastAsia"/>
                <w:bCs/>
                <w:color w:val="auto"/>
                <w:szCs w:val="21"/>
                <w:highlight w:val="none"/>
                <w:lang w:val="en-US" w:eastAsia="zh-CN"/>
              </w:rPr>
              <w:t>3</w:t>
            </w:r>
            <w:r>
              <w:rPr>
                <w:rFonts w:hint="eastAsia"/>
                <w:bCs/>
                <w:color w:val="auto"/>
                <w:szCs w:val="21"/>
                <w:highlight w:val="none"/>
                <w:lang w:eastAsia="zh-CN"/>
              </w:rPr>
              <w:t>）</w:t>
            </w:r>
            <w:r>
              <w:rPr>
                <w:rFonts w:hint="default" w:ascii="Times New Roman" w:hAnsi="Times New Roman" w:cs="Times New Roman"/>
                <w:bCs/>
                <w:color w:val="auto"/>
                <w:szCs w:val="21"/>
                <w:highlight w:val="none"/>
              </w:rPr>
              <w:t>监测要求</w:t>
            </w:r>
          </w:p>
          <w:p w14:paraId="72E55E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 w:val="21"/>
                <w:szCs w:val="21"/>
                <w:highlight w:val="none"/>
              </w:rPr>
              <w:t>根据《排污单位自行监测技术指南 总则》（HJ819-2017）</w:t>
            </w:r>
            <w:r>
              <w:rPr>
                <w:rFonts w:hint="eastAsia" w:ascii="Times New Roman" w:hAnsi="Times New Roman" w:cs="Times New Roman"/>
                <w:bCs/>
                <w:color w:val="auto"/>
                <w:sz w:val="21"/>
                <w:szCs w:val="21"/>
                <w:highlight w:val="none"/>
                <w:lang w:eastAsia="zh-CN"/>
              </w:rPr>
              <w:t>、</w:t>
            </w:r>
            <w:r>
              <w:rPr>
                <w:rFonts w:hint="default"/>
                <w:color w:val="auto"/>
                <w:sz w:val="21"/>
                <w:szCs w:val="21"/>
                <w:highlight w:val="none"/>
              </w:rPr>
              <w:t>《排污单位自行监测技术指南 火力发电及锅炉》（HJ820-2017</w:t>
            </w:r>
            <w:r>
              <w:rPr>
                <w:rFonts w:hint="eastAsia"/>
                <w:color w:val="auto"/>
                <w:sz w:val="21"/>
                <w:szCs w:val="21"/>
                <w:highlight w:val="none"/>
                <w:lang w:eastAsia="zh-CN"/>
              </w:rPr>
              <w:t>）。</w:t>
            </w:r>
            <w:r>
              <w:rPr>
                <w:rFonts w:hint="default" w:ascii="Times New Roman" w:hAnsi="Times New Roman" w:cs="Times New Roman"/>
                <w:bCs/>
                <w:color w:val="auto"/>
                <w:szCs w:val="21"/>
                <w:highlight w:val="none"/>
              </w:rPr>
              <w:t>本项目噪声监测计划如下：</w:t>
            </w:r>
          </w:p>
          <w:p w14:paraId="578D875C">
            <w:pPr>
              <w:keepNext w:val="0"/>
              <w:keepLines w:val="0"/>
              <w:suppressLineNumbers w:val="0"/>
              <w:spacing w:before="0" w:beforeAutospacing="0" w:after="0" w:afterAutospacing="0"/>
              <w:ind w:left="0" w:right="0"/>
              <w:jc w:val="center"/>
              <w:rPr>
                <w:rFonts w:hint="eastAsia" w:hAnsi="宋体"/>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8</w:t>
            </w:r>
            <w:r>
              <w:rPr>
                <w:rFonts w:hint="eastAsia" w:hAnsi="宋体"/>
                <w:b/>
                <w:color w:val="auto"/>
                <w:szCs w:val="21"/>
                <w:highlight w:val="none"/>
              </w:rPr>
              <w:t>项目噪声监测计划表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99"/>
              <w:gridCol w:w="2195"/>
              <w:gridCol w:w="2544"/>
            </w:tblGrid>
            <w:tr w14:paraId="48A0F9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4" w:type="dxa"/>
                  <w:vAlign w:val="center"/>
                </w:tcPr>
                <w:p w14:paraId="7B7C885B">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监测点位</w:t>
                  </w:r>
                </w:p>
              </w:tc>
              <w:tc>
                <w:tcPr>
                  <w:tcW w:w="1320" w:type="dxa"/>
                  <w:vAlign w:val="center"/>
                </w:tcPr>
                <w:p w14:paraId="10501130">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eastAsia"/>
                      <w:bCs/>
                      <w:color w:val="auto"/>
                      <w:sz w:val="18"/>
                      <w:szCs w:val="18"/>
                      <w:highlight w:val="none"/>
                    </w:rPr>
                    <w:t>监测指标</w:t>
                  </w:r>
                </w:p>
              </w:tc>
              <w:tc>
                <w:tcPr>
                  <w:tcW w:w="1530" w:type="dxa"/>
                  <w:vAlign w:val="center"/>
                </w:tcPr>
                <w:p w14:paraId="22FB7F4F">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监测频次</w:t>
                  </w:r>
                </w:p>
              </w:tc>
            </w:tr>
            <w:tr w14:paraId="7E6604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4" w:type="dxa"/>
                  <w:vAlign w:val="center"/>
                </w:tcPr>
                <w:p w14:paraId="453A7EDD">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厂界四周各设置1个监测点位</w:t>
                  </w:r>
                </w:p>
              </w:tc>
              <w:tc>
                <w:tcPr>
                  <w:tcW w:w="1320" w:type="dxa"/>
                  <w:vAlign w:val="center"/>
                </w:tcPr>
                <w:p w14:paraId="7D6200E5">
                  <w:pPr>
                    <w:keepNext w:val="0"/>
                    <w:keepLines w:val="0"/>
                    <w:suppressLineNumbers w:val="0"/>
                    <w:adjustRightInd w:val="0"/>
                    <w:snapToGrid w:val="0"/>
                    <w:spacing w:before="0" w:beforeAutospacing="0" w:after="0" w:afterAutospacing="0"/>
                    <w:ind w:left="0" w:right="0"/>
                    <w:jc w:val="center"/>
                    <w:rPr>
                      <w:rFonts w:hint="default" w:eastAsia="宋体"/>
                      <w:bCs/>
                      <w:color w:val="auto"/>
                      <w:sz w:val="18"/>
                      <w:szCs w:val="18"/>
                      <w:highlight w:val="none"/>
                      <w:lang w:val="en-US" w:eastAsia="zh-CN"/>
                    </w:rPr>
                  </w:pPr>
                  <w:r>
                    <w:rPr>
                      <w:rFonts w:hint="eastAsia"/>
                      <w:bCs/>
                      <w:color w:val="auto"/>
                      <w:sz w:val="18"/>
                      <w:szCs w:val="18"/>
                      <w:highlight w:val="none"/>
                    </w:rPr>
                    <w:t>噪声</w:t>
                  </w:r>
                </w:p>
              </w:tc>
              <w:tc>
                <w:tcPr>
                  <w:tcW w:w="1530" w:type="dxa"/>
                  <w:vAlign w:val="center"/>
                </w:tcPr>
                <w:p w14:paraId="7C178563">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eastAsia"/>
                      <w:bCs/>
                      <w:color w:val="auto"/>
                      <w:sz w:val="18"/>
                      <w:szCs w:val="18"/>
                      <w:highlight w:val="none"/>
                      <w:lang w:val="en-US" w:eastAsia="zh-CN"/>
                    </w:rPr>
                    <w:t>1次/</w:t>
                  </w:r>
                  <w:r>
                    <w:rPr>
                      <w:rFonts w:hint="default"/>
                      <w:bCs/>
                      <w:color w:val="auto"/>
                      <w:sz w:val="18"/>
                      <w:szCs w:val="18"/>
                      <w:highlight w:val="none"/>
                    </w:rPr>
                    <w:t>季度</w:t>
                  </w:r>
                  <w:r>
                    <w:rPr>
                      <w:rFonts w:hint="eastAsia"/>
                      <w:color w:val="auto"/>
                      <w:sz w:val="18"/>
                      <w:szCs w:val="18"/>
                      <w:highlight w:val="none"/>
                    </w:rPr>
                    <w:t>，每次昼夜各监测一次</w:t>
                  </w:r>
                </w:p>
              </w:tc>
            </w:tr>
          </w:tbl>
          <w:p w14:paraId="0AE22ECE">
            <w:pPr>
              <w:keepNext w:val="0"/>
              <w:keepLines w:val="0"/>
              <w:widowControl/>
              <w:suppressLineNumbers w:val="0"/>
              <w:adjustRightInd/>
              <w:snapToGrid/>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4、固体废物</w:t>
            </w:r>
          </w:p>
          <w:p w14:paraId="3F1486BB">
            <w:pPr>
              <w:keepNext w:val="0"/>
              <w:keepLines w:val="0"/>
              <w:widowControl/>
              <w:suppressLineNumbers w:val="0"/>
              <w:adjustRightInd/>
              <w:snapToGrid/>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（1）固体废物排放信息</w:t>
            </w:r>
          </w:p>
          <w:p w14:paraId="611C7BA5">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9</w:t>
            </w:r>
            <w:r>
              <w:rPr>
                <w:rFonts w:hint="default" w:ascii="Times New Roman" w:hAnsi="Times New Roman" w:cs="Times New Roman"/>
                <w:b/>
                <w:color w:val="auto"/>
                <w:szCs w:val="21"/>
                <w:highlight w:val="none"/>
              </w:rPr>
              <w:t>固体废物排放</w:t>
            </w:r>
            <w:r>
              <w:rPr>
                <w:rFonts w:hint="eastAsia" w:cs="Times New Roman"/>
                <w:b/>
                <w:color w:val="auto"/>
                <w:szCs w:val="21"/>
                <w:highlight w:val="none"/>
                <w:lang w:val="en-US" w:eastAsia="zh-CN"/>
              </w:rPr>
              <w:t>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3"/>
              <w:gridCol w:w="1345"/>
              <w:gridCol w:w="1213"/>
              <w:gridCol w:w="825"/>
              <w:gridCol w:w="662"/>
              <w:gridCol w:w="988"/>
              <w:gridCol w:w="750"/>
              <w:gridCol w:w="1312"/>
            </w:tblGrid>
            <w:tr w14:paraId="0DDAC2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tcBorders>
                    <w:tl2br w:val="nil"/>
                    <w:tr2bl w:val="nil"/>
                  </w:tcBorders>
                  <w:noWrap w:val="0"/>
                  <w:vAlign w:val="center"/>
                </w:tcPr>
                <w:p w14:paraId="03723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产生环节</w:t>
                  </w:r>
                </w:p>
              </w:tc>
              <w:tc>
                <w:tcPr>
                  <w:tcW w:w="1345" w:type="dxa"/>
                  <w:tcBorders>
                    <w:tl2br w:val="nil"/>
                    <w:tr2bl w:val="nil"/>
                  </w:tcBorders>
                  <w:noWrap w:val="0"/>
                  <w:vAlign w:val="center"/>
                </w:tcPr>
                <w:p w14:paraId="5686EE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5A14C3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1213" w:type="dxa"/>
                  <w:tcBorders>
                    <w:tl2br w:val="nil"/>
                    <w:tr2bl w:val="nil"/>
                  </w:tcBorders>
                  <w:noWrap w:val="0"/>
                  <w:vAlign w:val="center"/>
                </w:tcPr>
                <w:p w14:paraId="00BC0E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0F630B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属性</w:t>
                  </w:r>
                </w:p>
              </w:tc>
              <w:tc>
                <w:tcPr>
                  <w:tcW w:w="825" w:type="dxa"/>
                  <w:tcBorders>
                    <w:tl2br w:val="nil"/>
                    <w:tr2bl w:val="nil"/>
                  </w:tcBorders>
                  <w:noWrap w:val="0"/>
                  <w:vAlign w:val="center"/>
                </w:tcPr>
                <w:p w14:paraId="54D44E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662" w:type="dxa"/>
                  <w:tcBorders>
                    <w:tl2br w:val="nil"/>
                    <w:tr2bl w:val="nil"/>
                  </w:tcBorders>
                  <w:noWrap w:val="0"/>
                  <w:vAlign w:val="center"/>
                </w:tcPr>
                <w:p w14:paraId="0523F8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物理</w:t>
                  </w:r>
                </w:p>
                <w:p w14:paraId="604A0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性状</w:t>
                  </w:r>
                </w:p>
              </w:tc>
              <w:tc>
                <w:tcPr>
                  <w:tcW w:w="988" w:type="dxa"/>
                  <w:tcBorders>
                    <w:tl2br w:val="nil"/>
                    <w:tr2bl w:val="nil"/>
                  </w:tcBorders>
                  <w:noWrap w:val="0"/>
                  <w:vAlign w:val="center"/>
                </w:tcPr>
                <w:p w14:paraId="15048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贮存方式</w:t>
                  </w:r>
                </w:p>
              </w:tc>
              <w:tc>
                <w:tcPr>
                  <w:tcW w:w="750" w:type="dxa"/>
                  <w:tcBorders>
                    <w:tl2br w:val="nil"/>
                    <w:tr2bl w:val="nil"/>
                  </w:tcBorders>
                  <w:noWrap w:val="0"/>
                  <w:vAlign w:val="center"/>
                </w:tcPr>
                <w:p w14:paraId="0722AE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处置量t/a</w:t>
                  </w:r>
                </w:p>
              </w:tc>
              <w:tc>
                <w:tcPr>
                  <w:tcW w:w="1312" w:type="dxa"/>
                  <w:tcBorders>
                    <w:tl2br w:val="nil"/>
                    <w:tr2bl w:val="nil"/>
                  </w:tcBorders>
                  <w:noWrap w:val="0"/>
                  <w:vAlign w:val="center"/>
                </w:tcPr>
                <w:p w14:paraId="3D2D3F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最终去向</w:t>
                  </w:r>
                </w:p>
              </w:tc>
            </w:tr>
            <w:tr w14:paraId="37F2CA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restart"/>
                  <w:tcBorders>
                    <w:tl2br w:val="nil"/>
                    <w:tr2bl w:val="nil"/>
                  </w:tcBorders>
                  <w:noWrap w:val="0"/>
                  <w:vAlign w:val="center"/>
                </w:tcPr>
                <w:p w14:paraId="4E844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Cs/>
                      <w:color w:val="auto"/>
                      <w:sz w:val="18"/>
                      <w:szCs w:val="18"/>
                      <w:highlight w:val="none"/>
                      <w:lang w:eastAsia="zh-CN"/>
                    </w:rPr>
                  </w:pPr>
                  <w:r>
                    <w:rPr>
                      <w:rFonts w:hint="eastAsia" w:cs="Times New Roman"/>
                      <w:bCs/>
                      <w:color w:val="auto"/>
                      <w:sz w:val="18"/>
                      <w:szCs w:val="18"/>
                      <w:highlight w:val="none"/>
                      <w:lang w:val="en-US" w:eastAsia="zh-CN"/>
                    </w:rPr>
                    <w:t>锅炉</w:t>
                  </w:r>
                </w:p>
              </w:tc>
              <w:tc>
                <w:tcPr>
                  <w:tcW w:w="1345" w:type="dxa"/>
                  <w:tcBorders>
                    <w:tl2br w:val="nil"/>
                    <w:tr2bl w:val="nil"/>
                  </w:tcBorders>
                  <w:noWrap w:val="0"/>
                  <w:vAlign w:val="center"/>
                </w:tcPr>
                <w:p w14:paraId="40C886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锅炉多管陶瓷</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布袋除尘器收尘</w:t>
                  </w:r>
                </w:p>
              </w:tc>
              <w:tc>
                <w:tcPr>
                  <w:tcW w:w="1213" w:type="dxa"/>
                  <w:tcBorders>
                    <w:tl2br w:val="nil"/>
                    <w:tr2bl w:val="nil"/>
                  </w:tcBorders>
                  <w:noWrap w:val="0"/>
                  <w:vAlign w:val="center"/>
                </w:tcPr>
                <w:p w14:paraId="5527B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工业固体废物</w:t>
                  </w:r>
                  <w:r>
                    <w:rPr>
                      <w:rFonts w:hint="eastAsia"/>
                      <w:color w:val="auto"/>
                      <w:sz w:val="18"/>
                      <w:szCs w:val="18"/>
                      <w:highlight w:val="none"/>
                      <w:lang w:val="en-US" w:eastAsia="zh-CN"/>
                    </w:rPr>
                    <w:t>900</w:t>
                  </w:r>
                  <w:r>
                    <w:rPr>
                      <w:rFonts w:hint="default"/>
                      <w:color w:val="auto"/>
                      <w:sz w:val="18"/>
                      <w:szCs w:val="18"/>
                      <w:highlight w:val="none"/>
                    </w:rPr>
                    <w:t>-099-S03</w:t>
                  </w:r>
                </w:p>
              </w:tc>
              <w:tc>
                <w:tcPr>
                  <w:tcW w:w="825" w:type="dxa"/>
                  <w:tcBorders>
                    <w:tl2br w:val="nil"/>
                    <w:tr2bl w:val="nil"/>
                  </w:tcBorders>
                  <w:noWrap w:val="0"/>
                  <w:vAlign w:val="center"/>
                </w:tcPr>
                <w:p w14:paraId="26F91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944.83</w:t>
                  </w:r>
                </w:p>
              </w:tc>
              <w:tc>
                <w:tcPr>
                  <w:tcW w:w="662" w:type="dxa"/>
                  <w:tcBorders>
                    <w:tl2br w:val="nil"/>
                    <w:tr2bl w:val="nil"/>
                  </w:tcBorders>
                  <w:noWrap w:val="0"/>
                  <w:vAlign w:val="center"/>
                </w:tcPr>
                <w:p w14:paraId="23ABB6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988" w:type="dxa"/>
                  <w:vMerge w:val="restart"/>
                  <w:tcBorders>
                    <w:tl2br w:val="nil"/>
                    <w:tr2bl w:val="nil"/>
                  </w:tcBorders>
                  <w:noWrap w:val="0"/>
                  <w:vAlign w:val="center"/>
                </w:tcPr>
                <w:p w14:paraId="2A730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袋装收集，暂存于密闭灰渣库内</w:t>
                  </w:r>
                </w:p>
              </w:tc>
              <w:tc>
                <w:tcPr>
                  <w:tcW w:w="750" w:type="dxa"/>
                  <w:tcBorders>
                    <w:tl2br w:val="nil"/>
                    <w:tr2bl w:val="nil"/>
                  </w:tcBorders>
                  <w:noWrap w:val="0"/>
                  <w:vAlign w:val="center"/>
                </w:tcPr>
                <w:p w14:paraId="606BCE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944.83</w:t>
                  </w:r>
                </w:p>
              </w:tc>
              <w:tc>
                <w:tcPr>
                  <w:tcW w:w="1312" w:type="dxa"/>
                  <w:vMerge w:val="restart"/>
                  <w:tcBorders>
                    <w:tl2br w:val="nil"/>
                    <w:tr2bl w:val="nil"/>
                  </w:tcBorders>
                  <w:noWrap w:val="0"/>
                  <w:vAlign w:val="center"/>
                </w:tcPr>
                <w:p w14:paraId="58B2E88A">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定期外售，综合利用</w:t>
                  </w:r>
                </w:p>
              </w:tc>
            </w:tr>
            <w:tr w14:paraId="118BB0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tcBorders>
                    <w:tl2br w:val="nil"/>
                    <w:tr2bl w:val="nil"/>
                  </w:tcBorders>
                  <w:noWrap w:val="0"/>
                  <w:vAlign w:val="center"/>
                </w:tcPr>
                <w:p w14:paraId="5E63B6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bCs/>
                      <w:color w:val="auto"/>
                      <w:sz w:val="18"/>
                      <w:szCs w:val="18"/>
                      <w:highlight w:val="none"/>
                      <w:lang w:val="en-US" w:eastAsia="zh-CN"/>
                    </w:rPr>
                  </w:pPr>
                </w:p>
              </w:tc>
              <w:tc>
                <w:tcPr>
                  <w:tcW w:w="1345" w:type="dxa"/>
                  <w:tcBorders>
                    <w:tl2br w:val="nil"/>
                    <w:tr2bl w:val="nil"/>
                  </w:tcBorders>
                  <w:noWrap w:val="0"/>
                  <w:vAlign w:val="center"/>
                </w:tcPr>
                <w:p w14:paraId="65BA81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锅炉</w:t>
                  </w:r>
                  <w:r>
                    <w:rPr>
                      <w:rFonts w:hint="default" w:ascii="Times New Roman" w:hAnsi="Times New Roman" w:cs="Times New Roman"/>
                      <w:color w:val="auto"/>
                      <w:sz w:val="18"/>
                      <w:szCs w:val="18"/>
                      <w:highlight w:val="none"/>
                      <w:lang w:val="en-US" w:eastAsia="zh-CN"/>
                    </w:rPr>
                    <w:t>炉渣</w:t>
                  </w:r>
                </w:p>
              </w:tc>
              <w:tc>
                <w:tcPr>
                  <w:tcW w:w="1213" w:type="dxa"/>
                  <w:tcBorders>
                    <w:tl2br w:val="nil"/>
                    <w:tr2bl w:val="nil"/>
                  </w:tcBorders>
                  <w:noWrap w:val="0"/>
                  <w:vAlign w:val="center"/>
                </w:tcPr>
                <w:p w14:paraId="429924D4">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工业固体废物</w:t>
                  </w:r>
                  <w:r>
                    <w:rPr>
                      <w:rFonts w:hint="eastAsia"/>
                      <w:color w:val="auto"/>
                      <w:sz w:val="18"/>
                      <w:szCs w:val="18"/>
                      <w:highlight w:val="none"/>
                      <w:lang w:val="en-US" w:eastAsia="zh-CN"/>
                    </w:rPr>
                    <w:t>900</w:t>
                  </w:r>
                  <w:r>
                    <w:rPr>
                      <w:rFonts w:hint="default"/>
                      <w:color w:val="auto"/>
                      <w:sz w:val="18"/>
                      <w:szCs w:val="18"/>
                      <w:highlight w:val="none"/>
                    </w:rPr>
                    <w:t>-099-S03</w:t>
                  </w:r>
                </w:p>
              </w:tc>
              <w:tc>
                <w:tcPr>
                  <w:tcW w:w="825" w:type="dxa"/>
                  <w:tcBorders>
                    <w:tl2br w:val="nil"/>
                    <w:tr2bl w:val="nil"/>
                  </w:tcBorders>
                  <w:noWrap w:val="0"/>
                  <w:vAlign w:val="center"/>
                </w:tcPr>
                <w:p w14:paraId="1E00E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2571.08</w:t>
                  </w:r>
                </w:p>
              </w:tc>
              <w:tc>
                <w:tcPr>
                  <w:tcW w:w="662" w:type="dxa"/>
                  <w:tcBorders>
                    <w:tl2br w:val="nil"/>
                    <w:tr2bl w:val="nil"/>
                  </w:tcBorders>
                  <w:noWrap w:val="0"/>
                  <w:vAlign w:val="center"/>
                </w:tcPr>
                <w:p w14:paraId="00F75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988" w:type="dxa"/>
                  <w:vMerge w:val="continue"/>
                  <w:tcBorders>
                    <w:tl2br w:val="nil"/>
                    <w:tr2bl w:val="nil"/>
                  </w:tcBorders>
                  <w:noWrap w:val="0"/>
                  <w:vAlign w:val="center"/>
                </w:tcPr>
                <w:p w14:paraId="56942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750" w:type="dxa"/>
                  <w:tcBorders>
                    <w:tl2br w:val="nil"/>
                    <w:tr2bl w:val="nil"/>
                  </w:tcBorders>
                  <w:noWrap w:val="0"/>
                  <w:vAlign w:val="center"/>
                </w:tcPr>
                <w:p w14:paraId="261B9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2571.08</w:t>
                  </w:r>
                </w:p>
              </w:tc>
              <w:tc>
                <w:tcPr>
                  <w:tcW w:w="1312" w:type="dxa"/>
                  <w:vMerge w:val="continue"/>
                  <w:tcBorders>
                    <w:tl2br w:val="nil"/>
                    <w:tr2bl w:val="nil"/>
                  </w:tcBorders>
                  <w:noWrap w:val="0"/>
                  <w:vAlign w:val="center"/>
                </w:tcPr>
                <w:p w14:paraId="0C3933EE">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r>
            <w:tr w14:paraId="30ED67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tcBorders>
                    <w:tl2br w:val="nil"/>
                    <w:tr2bl w:val="nil"/>
                  </w:tcBorders>
                  <w:noWrap w:val="0"/>
                  <w:vAlign w:val="center"/>
                </w:tcPr>
                <w:p w14:paraId="406E64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bCs/>
                      <w:color w:val="auto"/>
                      <w:sz w:val="18"/>
                      <w:szCs w:val="18"/>
                      <w:highlight w:val="none"/>
                      <w:lang w:val="en-US" w:eastAsia="zh-CN"/>
                    </w:rPr>
                  </w:pPr>
                </w:p>
              </w:tc>
              <w:tc>
                <w:tcPr>
                  <w:tcW w:w="1345" w:type="dxa"/>
                  <w:tcBorders>
                    <w:tl2br w:val="nil"/>
                    <w:tr2bl w:val="nil"/>
                  </w:tcBorders>
                  <w:noWrap w:val="0"/>
                  <w:vAlign w:val="center"/>
                </w:tcPr>
                <w:p w14:paraId="7D042C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废布袋</w:t>
                  </w:r>
                </w:p>
              </w:tc>
              <w:tc>
                <w:tcPr>
                  <w:tcW w:w="1213" w:type="dxa"/>
                  <w:tcBorders>
                    <w:tl2br w:val="nil"/>
                    <w:tr2bl w:val="nil"/>
                  </w:tcBorders>
                  <w:noWrap w:val="0"/>
                  <w:vAlign w:val="center"/>
                </w:tcPr>
                <w:p w14:paraId="1C584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工业固体废物</w:t>
                  </w:r>
                  <w:r>
                    <w:rPr>
                      <w:rFonts w:hint="eastAsia"/>
                      <w:color w:val="auto"/>
                      <w:sz w:val="18"/>
                      <w:szCs w:val="18"/>
                      <w:highlight w:val="none"/>
                      <w:lang w:val="en-US" w:eastAsia="zh-CN"/>
                    </w:rPr>
                    <w:t>900</w:t>
                  </w:r>
                  <w:r>
                    <w:rPr>
                      <w:rFonts w:hint="default"/>
                      <w:color w:val="auto"/>
                      <w:sz w:val="18"/>
                      <w:szCs w:val="18"/>
                      <w:highlight w:val="none"/>
                    </w:rPr>
                    <w:t>-009-S59</w:t>
                  </w:r>
                </w:p>
              </w:tc>
              <w:tc>
                <w:tcPr>
                  <w:tcW w:w="825" w:type="dxa"/>
                  <w:tcBorders>
                    <w:tl2br w:val="nil"/>
                    <w:tr2bl w:val="nil"/>
                  </w:tcBorders>
                  <w:noWrap w:val="0"/>
                  <w:vAlign w:val="center"/>
                </w:tcPr>
                <w:p w14:paraId="147B40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0.8</w:t>
                  </w:r>
                </w:p>
              </w:tc>
              <w:tc>
                <w:tcPr>
                  <w:tcW w:w="662" w:type="dxa"/>
                  <w:tcBorders>
                    <w:tl2br w:val="nil"/>
                    <w:tr2bl w:val="nil"/>
                  </w:tcBorders>
                  <w:noWrap w:val="0"/>
                  <w:vAlign w:val="center"/>
                </w:tcPr>
                <w:p w14:paraId="7FC3E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988" w:type="dxa"/>
                  <w:tcBorders>
                    <w:tl2br w:val="nil"/>
                    <w:tr2bl w:val="nil"/>
                  </w:tcBorders>
                  <w:noWrap w:val="0"/>
                  <w:vAlign w:val="center"/>
                </w:tcPr>
                <w:p w14:paraId="19B02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袋装</w:t>
                  </w:r>
                </w:p>
              </w:tc>
              <w:tc>
                <w:tcPr>
                  <w:tcW w:w="750" w:type="dxa"/>
                  <w:tcBorders>
                    <w:tl2br w:val="nil"/>
                    <w:tr2bl w:val="nil"/>
                  </w:tcBorders>
                  <w:noWrap w:val="0"/>
                  <w:vAlign w:val="center"/>
                </w:tcPr>
                <w:p w14:paraId="3954A8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0.8</w:t>
                  </w:r>
                </w:p>
              </w:tc>
              <w:tc>
                <w:tcPr>
                  <w:tcW w:w="1312" w:type="dxa"/>
                  <w:tcBorders>
                    <w:tl2br w:val="nil"/>
                    <w:tr2bl w:val="nil"/>
                  </w:tcBorders>
                  <w:noWrap w:val="0"/>
                  <w:vAlign w:val="center"/>
                </w:tcPr>
                <w:p w14:paraId="76B44DF6">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rPr>
                    <w:t>除尘器厂家更换后直接带走</w:t>
                  </w:r>
                </w:p>
              </w:tc>
            </w:tr>
            <w:tr w14:paraId="39FD71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tcBorders>
                    <w:tl2br w:val="nil"/>
                    <w:tr2bl w:val="nil"/>
                  </w:tcBorders>
                  <w:noWrap w:val="0"/>
                  <w:vAlign w:val="center"/>
                </w:tcPr>
                <w:p w14:paraId="7B51B7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软化水处理</w:t>
                  </w:r>
                  <w:r>
                    <w:rPr>
                      <w:rFonts w:hint="eastAsia" w:ascii="Times New Roman" w:hAnsi="Times New Roman" w:cs="Times New Roman"/>
                      <w:bCs/>
                      <w:color w:val="auto"/>
                      <w:sz w:val="18"/>
                      <w:szCs w:val="18"/>
                      <w:highlight w:val="none"/>
                      <w:lang w:val="en-US" w:eastAsia="zh-CN"/>
                    </w:rPr>
                    <w:t>系统</w:t>
                  </w:r>
                </w:p>
              </w:tc>
              <w:tc>
                <w:tcPr>
                  <w:tcW w:w="1345" w:type="dxa"/>
                  <w:tcBorders>
                    <w:tl2br w:val="nil"/>
                    <w:tr2bl w:val="nil"/>
                  </w:tcBorders>
                  <w:noWrap w:val="0"/>
                  <w:vAlign w:val="center"/>
                </w:tcPr>
                <w:p w14:paraId="0E78E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contextualSpacing/>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废离子交换树脂</w:t>
                  </w:r>
                </w:p>
              </w:tc>
              <w:tc>
                <w:tcPr>
                  <w:tcW w:w="1213" w:type="dxa"/>
                  <w:tcBorders>
                    <w:tl2br w:val="nil"/>
                    <w:tr2bl w:val="nil"/>
                  </w:tcBorders>
                  <w:noWrap w:val="0"/>
                  <w:vAlign w:val="center"/>
                </w:tcPr>
                <w:p w14:paraId="07A1A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工业固体废物</w:t>
                  </w:r>
                  <w:r>
                    <w:rPr>
                      <w:rFonts w:hint="eastAsia"/>
                      <w:color w:val="auto"/>
                      <w:sz w:val="18"/>
                      <w:szCs w:val="18"/>
                      <w:highlight w:val="none"/>
                      <w:lang w:val="en-US" w:eastAsia="zh-CN"/>
                    </w:rPr>
                    <w:t>900</w:t>
                  </w:r>
                  <w:r>
                    <w:rPr>
                      <w:rFonts w:hint="default"/>
                      <w:color w:val="auto"/>
                      <w:sz w:val="18"/>
                      <w:szCs w:val="18"/>
                      <w:highlight w:val="none"/>
                    </w:rPr>
                    <w:t>-008-S59</w:t>
                  </w:r>
                </w:p>
              </w:tc>
              <w:tc>
                <w:tcPr>
                  <w:tcW w:w="825" w:type="dxa"/>
                  <w:tcBorders>
                    <w:tl2br w:val="nil"/>
                    <w:tr2bl w:val="nil"/>
                  </w:tcBorders>
                  <w:noWrap w:val="0"/>
                  <w:vAlign w:val="center"/>
                </w:tcPr>
                <w:p w14:paraId="0178E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1.8</w:t>
                  </w:r>
                </w:p>
              </w:tc>
              <w:tc>
                <w:tcPr>
                  <w:tcW w:w="662" w:type="dxa"/>
                  <w:tcBorders>
                    <w:tl2br w:val="nil"/>
                    <w:tr2bl w:val="nil"/>
                  </w:tcBorders>
                  <w:noWrap w:val="0"/>
                  <w:vAlign w:val="center"/>
                </w:tcPr>
                <w:p w14:paraId="0ADFC7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988" w:type="dxa"/>
                  <w:tcBorders>
                    <w:tl2br w:val="nil"/>
                    <w:tr2bl w:val="nil"/>
                  </w:tcBorders>
                  <w:noWrap w:val="0"/>
                  <w:vAlign w:val="center"/>
                </w:tcPr>
                <w:p w14:paraId="01B76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750" w:type="dxa"/>
                  <w:tcBorders>
                    <w:tl2br w:val="nil"/>
                    <w:tr2bl w:val="nil"/>
                  </w:tcBorders>
                  <w:noWrap w:val="0"/>
                  <w:vAlign w:val="center"/>
                </w:tcPr>
                <w:p w14:paraId="4C0FE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1.8</w:t>
                  </w:r>
                </w:p>
              </w:tc>
              <w:tc>
                <w:tcPr>
                  <w:tcW w:w="1312" w:type="dxa"/>
                  <w:tcBorders>
                    <w:tl2br w:val="nil"/>
                    <w:tr2bl w:val="nil"/>
                  </w:tcBorders>
                  <w:noWrap w:val="0"/>
                  <w:vAlign w:val="center"/>
                </w:tcPr>
                <w:p w14:paraId="295D7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eastAsia" w:ascii="宋体" w:hAnsi="宋体" w:cs="宋体"/>
                      <w:color w:val="auto"/>
                      <w:sz w:val="18"/>
                      <w:szCs w:val="18"/>
                      <w:highlight w:val="none"/>
                    </w:rPr>
                    <w:t>更换后由厂家回收处置</w:t>
                  </w:r>
                </w:p>
              </w:tc>
            </w:tr>
            <w:tr w14:paraId="63FFA3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restart"/>
                  <w:tcBorders>
                    <w:tl2br w:val="nil"/>
                    <w:tr2bl w:val="nil"/>
                  </w:tcBorders>
                  <w:noWrap w:val="0"/>
                  <w:vAlign w:val="center"/>
                </w:tcPr>
                <w:p w14:paraId="5D95D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设备维修</w:t>
                  </w:r>
                </w:p>
              </w:tc>
              <w:tc>
                <w:tcPr>
                  <w:tcW w:w="1345" w:type="dxa"/>
                  <w:tcBorders>
                    <w:tl2br w:val="nil"/>
                    <w:tr2bl w:val="nil"/>
                  </w:tcBorders>
                  <w:noWrap w:val="0"/>
                  <w:vAlign w:val="center"/>
                </w:tcPr>
                <w:p w14:paraId="442CDFBE">
                  <w:pPr>
                    <w:keepNext w:val="0"/>
                    <w:keepLines w:val="0"/>
                    <w:widowControl/>
                    <w:suppressLineNumbers w:val="0"/>
                    <w:spacing w:before="0" w:beforeAutospacing="0" w:after="0" w:afterAutospacing="0"/>
                    <w:ind w:left="0" w:leftChars="0" w:right="0" w:rightChars="0"/>
                    <w:jc w:val="center"/>
                    <w:rPr>
                      <w:rFonts w:hint="eastAsia" w:cs="Times New Roman"/>
                      <w:color w:val="auto"/>
                      <w:sz w:val="18"/>
                      <w:szCs w:val="18"/>
                      <w:highlight w:val="none"/>
                      <w:lang w:val="en-US" w:eastAsia="zh-CN"/>
                    </w:rPr>
                  </w:pPr>
                  <w:r>
                    <w:rPr>
                      <w:rFonts w:hint="default"/>
                      <w:color w:val="auto"/>
                      <w:sz w:val="18"/>
                      <w:szCs w:val="18"/>
                      <w:highlight w:val="none"/>
                    </w:rPr>
                    <w:t>废机油</w:t>
                  </w:r>
                </w:p>
              </w:tc>
              <w:tc>
                <w:tcPr>
                  <w:tcW w:w="1213" w:type="dxa"/>
                  <w:tcBorders>
                    <w:tl2br w:val="nil"/>
                    <w:tr2bl w:val="nil"/>
                  </w:tcBorders>
                  <w:noWrap w:val="0"/>
                  <w:vAlign w:val="center"/>
                </w:tcPr>
                <w:p w14:paraId="45326D85">
                  <w:pPr>
                    <w:pStyle w:val="9"/>
                    <w:keepNext w:val="0"/>
                    <w:keepLines w:val="0"/>
                    <w:suppressLineNumbers w:val="0"/>
                    <w:snapToGrid/>
                    <w:spacing w:before="0" w:beforeAutospacing="0" w:after="0" w:afterAutospacing="0" w:line="240" w:lineRule="auto"/>
                    <w:ind w:left="0" w:right="0"/>
                    <w:jc w:val="center"/>
                    <w:rPr>
                      <w:rFonts w:hint="default"/>
                      <w:color w:val="auto"/>
                      <w:szCs w:val="18"/>
                      <w:highlight w:val="none"/>
                      <w:lang w:val="en-US" w:eastAsia="zh-CN"/>
                    </w:rPr>
                  </w:pPr>
                  <w:r>
                    <w:rPr>
                      <w:rFonts w:hint="default"/>
                      <w:color w:val="auto"/>
                      <w:szCs w:val="18"/>
                      <w:highlight w:val="none"/>
                      <w:lang w:val="en-US" w:eastAsia="zh-CN"/>
                    </w:rPr>
                    <w:t>危险废物HW08</w:t>
                  </w:r>
                </w:p>
                <w:p w14:paraId="140C5CA3">
                  <w:pPr>
                    <w:pStyle w:val="9"/>
                    <w:keepNext w:val="0"/>
                    <w:keepLines w:val="0"/>
                    <w:suppressLineNumbers w:val="0"/>
                    <w:snapToGrid/>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color w:val="auto"/>
                      <w:szCs w:val="18"/>
                      <w:highlight w:val="none"/>
                      <w:lang w:val="en-US" w:eastAsia="zh-CN"/>
                    </w:rPr>
                    <w:t>900-214-08</w:t>
                  </w:r>
                </w:p>
              </w:tc>
              <w:tc>
                <w:tcPr>
                  <w:tcW w:w="825" w:type="dxa"/>
                  <w:tcBorders>
                    <w:tl2br w:val="nil"/>
                    <w:tr2bl w:val="nil"/>
                  </w:tcBorders>
                  <w:noWrap w:val="0"/>
                  <w:vAlign w:val="center"/>
                </w:tcPr>
                <w:p w14:paraId="4E36FC07">
                  <w:pPr>
                    <w:keepNext w:val="0"/>
                    <w:keepLines w:val="0"/>
                    <w:widowControl/>
                    <w:suppressLineNumbers w:val="0"/>
                    <w:spacing w:before="0" w:beforeAutospacing="0" w:after="0" w:afterAutospacing="0"/>
                    <w:ind w:left="0" w:leftChars="0" w:right="0" w:rightChars="0"/>
                    <w:jc w:val="center"/>
                    <w:rPr>
                      <w:rFonts w:hint="eastAsia" w:cs="Times New Roman"/>
                      <w:bCs/>
                      <w:color w:val="auto"/>
                      <w:sz w:val="18"/>
                      <w:szCs w:val="18"/>
                      <w:highlight w:val="none"/>
                      <w:lang w:val="en-US" w:eastAsia="zh-CN"/>
                    </w:rPr>
                  </w:pPr>
                  <w:r>
                    <w:rPr>
                      <w:rFonts w:hint="default"/>
                      <w:bCs/>
                      <w:color w:val="auto"/>
                      <w:sz w:val="18"/>
                      <w:szCs w:val="18"/>
                      <w:highlight w:val="none"/>
                    </w:rPr>
                    <w:t>0.1</w:t>
                  </w:r>
                </w:p>
              </w:tc>
              <w:tc>
                <w:tcPr>
                  <w:tcW w:w="662" w:type="dxa"/>
                  <w:tcBorders>
                    <w:tl2br w:val="nil"/>
                    <w:tr2bl w:val="nil"/>
                  </w:tcBorders>
                  <w:noWrap w:val="0"/>
                  <w:vAlign w:val="center"/>
                </w:tcPr>
                <w:p w14:paraId="070971D9">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color w:val="auto"/>
                      <w:sz w:val="18"/>
                      <w:szCs w:val="18"/>
                      <w:highlight w:val="none"/>
                    </w:rPr>
                    <w:t>液</w:t>
                  </w:r>
                </w:p>
              </w:tc>
              <w:tc>
                <w:tcPr>
                  <w:tcW w:w="988" w:type="dxa"/>
                  <w:tcBorders>
                    <w:tl2br w:val="nil"/>
                    <w:tr2bl w:val="nil"/>
                  </w:tcBorders>
                  <w:noWrap w:val="0"/>
                  <w:vAlign w:val="center"/>
                </w:tcPr>
                <w:p w14:paraId="6C28118F">
                  <w:pPr>
                    <w:keepNext w:val="0"/>
                    <w:keepLines w:val="0"/>
                    <w:widowControl/>
                    <w:suppressLineNumbers w:val="0"/>
                    <w:spacing w:before="0" w:beforeAutospacing="0" w:after="0" w:afterAutospacing="0"/>
                    <w:ind w:left="0" w:leftChars="0" w:right="0" w:rightChars="0"/>
                    <w:jc w:val="center"/>
                    <w:rPr>
                      <w:rFonts w:hint="eastAsia" w:cs="Times New Roman"/>
                      <w:color w:val="auto"/>
                      <w:sz w:val="18"/>
                      <w:szCs w:val="18"/>
                      <w:highlight w:val="none"/>
                      <w:lang w:val="en-US" w:eastAsia="zh-CN"/>
                    </w:rPr>
                  </w:pPr>
                  <w:r>
                    <w:rPr>
                      <w:rFonts w:hint="default"/>
                      <w:color w:val="auto"/>
                      <w:sz w:val="18"/>
                      <w:szCs w:val="18"/>
                      <w:highlight w:val="none"/>
                    </w:rPr>
                    <w:t>设置</w:t>
                  </w:r>
                  <w:r>
                    <w:rPr>
                      <w:rFonts w:hint="eastAsia"/>
                      <w:color w:val="auto"/>
                      <w:sz w:val="18"/>
                      <w:szCs w:val="18"/>
                      <w:highlight w:val="none"/>
                      <w:lang w:val="en-US" w:eastAsia="zh-CN"/>
                    </w:rPr>
                    <w:t>密封</w:t>
                  </w:r>
                  <w:r>
                    <w:rPr>
                      <w:rFonts w:hint="default"/>
                      <w:color w:val="auto"/>
                      <w:sz w:val="18"/>
                      <w:szCs w:val="18"/>
                      <w:highlight w:val="none"/>
                    </w:rPr>
                    <w:t>收集桶，集中收集暂存于</w:t>
                  </w:r>
                  <w:bookmarkStart w:id="19" w:name="_GoBack"/>
                  <w:r>
                    <w:rPr>
                      <w:rFonts w:hint="eastAsia"/>
                      <w:color w:val="auto"/>
                      <w:sz w:val="18"/>
                      <w:szCs w:val="18"/>
                      <w:highlight w:val="none"/>
                      <w:lang w:val="en-US" w:eastAsia="zh-CN"/>
                    </w:rPr>
                    <w:t>东山</w:t>
                  </w:r>
                  <w:bookmarkEnd w:id="19"/>
                  <w:r>
                    <w:rPr>
                      <w:rFonts w:hint="eastAsia"/>
                      <w:color w:val="auto"/>
                      <w:sz w:val="18"/>
                      <w:szCs w:val="18"/>
                      <w:highlight w:val="none"/>
                      <w:lang w:val="en-US" w:eastAsia="zh-CN"/>
                    </w:rPr>
                    <w:t>煤矿材料科</w:t>
                  </w:r>
                  <w:r>
                    <w:rPr>
                      <w:rFonts w:hint="default"/>
                      <w:color w:val="auto"/>
                      <w:sz w:val="18"/>
                      <w:szCs w:val="18"/>
                      <w:highlight w:val="none"/>
                    </w:rPr>
                    <w:t>危险废物贮存</w:t>
                  </w:r>
                  <w:r>
                    <w:rPr>
                      <w:rFonts w:hint="eastAsia"/>
                      <w:color w:val="auto"/>
                      <w:sz w:val="18"/>
                      <w:szCs w:val="18"/>
                      <w:highlight w:val="none"/>
                      <w:lang w:val="en-US" w:eastAsia="zh-CN"/>
                    </w:rPr>
                    <w:t>库</w:t>
                  </w:r>
                  <w:r>
                    <w:rPr>
                      <w:rFonts w:hint="default"/>
                      <w:color w:val="auto"/>
                      <w:sz w:val="18"/>
                      <w:szCs w:val="18"/>
                      <w:highlight w:val="none"/>
                    </w:rPr>
                    <w:t>内</w:t>
                  </w:r>
                </w:p>
              </w:tc>
              <w:tc>
                <w:tcPr>
                  <w:tcW w:w="750" w:type="dxa"/>
                  <w:tcBorders>
                    <w:tl2br w:val="nil"/>
                    <w:tr2bl w:val="nil"/>
                  </w:tcBorders>
                  <w:noWrap w:val="0"/>
                  <w:vAlign w:val="center"/>
                </w:tcPr>
                <w:p w14:paraId="33564FAD">
                  <w:pPr>
                    <w:keepNext w:val="0"/>
                    <w:keepLines w:val="0"/>
                    <w:widowControl/>
                    <w:suppressLineNumbers w:val="0"/>
                    <w:spacing w:before="0" w:beforeAutospacing="0" w:after="0" w:afterAutospacing="0"/>
                    <w:ind w:left="0" w:leftChars="0" w:right="0" w:rightChars="0"/>
                    <w:jc w:val="center"/>
                    <w:rPr>
                      <w:rFonts w:hint="eastAsia" w:cs="Times New Roman"/>
                      <w:bCs/>
                      <w:color w:val="auto"/>
                      <w:sz w:val="18"/>
                      <w:szCs w:val="18"/>
                      <w:highlight w:val="none"/>
                      <w:lang w:val="en-US" w:eastAsia="zh-CN"/>
                    </w:rPr>
                  </w:pPr>
                  <w:r>
                    <w:rPr>
                      <w:rFonts w:hint="default"/>
                      <w:bCs/>
                      <w:color w:val="auto"/>
                      <w:sz w:val="18"/>
                      <w:szCs w:val="18"/>
                      <w:highlight w:val="none"/>
                    </w:rPr>
                    <w:t>0.1</w:t>
                  </w:r>
                </w:p>
              </w:tc>
              <w:tc>
                <w:tcPr>
                  <w:tcW w:w="1312" w:type="dxa"/>
                  <w:tcBorders>
                    <w:tl2br w:val="nil"/>
                    <w:tr2bl w:val="nil"/>
                  </w:tcBorders>
                  <w:noWrap w:val="0"/>
                  <w:vAlign w:val="center"/>
                </w:tcPr>
                <w:p w14:paraId="0DC079B3">
                  <w:pPr>
                    <w:keepNext w:val="0"/>
                    <w:keepLines w:val="0"/>
                    <w:widowControl/>
                    <w:suppressLineNumbers w:val="0"/>
                    <w:spacing w:before="0" w:beforeAutospacing="0" w:after="0" w:afterAutospacing="0"/>
                    <w:ind w:left="0" w:leftChars="0" w:right="0" w:rightChars="0"/>
                    <w:jc w:val="center"/>
                    <w:rPr>
                      <w:rFonts w:hint="eastAsia" w:ascii="宋体" w:hAnsi="宋体" w:cs="宋体"/>
                      <w:color w:val="auto"/>
                      <w:sz w:val="18"/>
                      <w:szCs w:val="18"/>
                      <w:highlight w:val="none"/>
                    </w:rPr>
                  </w:pPr>
                  <w:r>
                    <w:rPr>
                      <w:rFonts w:hint="default"/>
                      <w:color w:val="auto"/>
                      <w:kern w:val="21"/>
                      <w:sz w:val="18"/>
                      <w:szCs w:val="18"/>
                      <w:highlight w:val="none"/>
                    </w:rPr>
                    <w:t>由有资质单位拉运处理</w:t>
                  </w:r>
                </w:p>
              </w:tc>
            </w:tr>
            <w:tr w14:paraId="04364E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tcBorders>
                    <w:tl2br w:val="nil"/>
                    <w:tr2bl w:val="nil"/>
                  </w:tcBorders>
                  <w:noWrap w:val="0"/>
                  <w:vAlign w:val="center"/>
                </w:tcPr>
                <w:p w14:paraId="63270D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p>
              </w:tc>
              <w:tc>
                <w:tcPr>
                  <w:tcW w:w="1345" w:type="dxa"/>
                  <w:tcBorders>
                    <w:tl2br w:val="nil"/>
                    <w:tr2bl w:val="nil"/>
                  </w:tcBorders>
                  <w:noWrap w:val="0"/>
                  <w:vAlign w:val="center"/>
                </w:tcPr>
                <w:p w14:paraId="1BCD91A4">
                  <w:pPr>
                    <w:keepNext w:val="0"/>
                    <w:keepLines w:val="0"/>
                    <w:pageBreakBefore w:val="0"/>
                    <w:widowControl w:val="0"/>
                    <w:tabs>
                      <w:tab w:val="center" w:pos="4153"/>
                      <w:tab w:val="right" w:pos="8306"/>
                    </w:tabs>
                    <w:kinsoku/>
                    <w:wordWrap/>
                    <w:overflowPunct/>
                    <w:topLinePunct w:val="0"/>
                    <w:autoSpaceDE/>
                    <w:autoSpaceDN/>
                    <w:bidi w:val="0"/>
                    <w:adjustRightInd/>
                    <w:snapToGrid w:val="0"/>
                    <w:spacing w:line="240" w:lineRule="auto"/>
                    <w:jc w:val="center"/>
                    <w:textAlignment w:val="auto"/>
                    <w:rPr>
                      <w:rFonts w:hint="default"/>
                      <w:color w:val="FF0000"/>
                      <w:sz w:val="18"/>
                      <w:szCs w:val="18"/>
                      <w:highlight w:val="none"/>
                    </w:rPr>
                  </w:pPr>
                  <w:r>
                    <w:rPr>
                      <w:rFonts w:hint="eastAsia" w:ascii="Times New Roman" w:hAnsi="Times New Roman" w:eastAsia="宋体" w:cs="Times New Roman"/>
                      <w:color w:val="FF0000"/>
                      <w:kern w:val="0"/>
                      <w:sz w:val="18"/>
                      <w:szCs w:val="18"/>
                      <w:highlight w:val="none"/>
                      <w:lang w:val="en-US" w:eastAsia="zh-CN" w:bidi="ar-SA"/>
                    </w:rPr>
                    <w:t>废弃含油抹布、手套</w:t>
                  </w:r>
                </w:p>
              </w:tc>
              <w:tc>
                <w:tcPr>
                  <w:tcW w:w="1213" w:type="dxa"/>
                  <w:tcBorders>
                    <w:tl2br w:val="nil"/>
                    <w:tr2bl w:val="nil"/>
                  </w:tcBorders>
                  <w:noWrap w:val="0"/>
                  <w:vAlign w:val="center"/>
                </w:tcPr>
                <w:p w14:paraId="7571325A">
                  <w:pPr>
                    <w:keepNext w:val="0"/>
                    <w:keepLines w:val="0"/>
                    <w:pageBreakBefore w:val="0"/>
                    <w:widowControl w:val="0"/>
                    <w:tabs>
                      <w:tab w:val="center" w:pos="4153"/>
                      <w:tab w:val="right" w:pos="8306"/>
                    </w:tabs>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FF0000"/>
                      <w:kern w:val="0"/>
                      <w:sz w:val="18"/>
                      <w:szCs w:val="18"/>
                      <w:highlight w:val="none"/>
                      <w:lang w:val="en-US" w:eastAsia="zh-CN" w:bidi="ar-SA"/>
                    </w:rPr>
                  </w:pPr>
                  <w:r>
                    <w:rPr>
                      <w:rFonts w:hint="eastAsia" w:ascii="Times New Roman" w:hAnsi="Times New Roman" w:eastAsia="宋体" w:cs="Times New Roman"/>
                      <w:color w:val="FF0000"/>
                      <w:kern w:val="0"/>
                      <w:sz w:val="18"/>
                      <w:szCs w:val="18"/>
                      <w:highlight w:val="none"/>
                      <w:lang w:val="en-US" w:eastAsia="zh-CN" w:bidi="ar-SA"/>
                    </w:rPr>
                    <w:t>其他</w:t>
                  </w:r>
                  <w:r>
                    <w:rPr>
                      <w:rFonts w:hint="default" w:ascii="Times New Roman" w:hAnsi="Times New Roman" w:eastAsia="宋体" w:cs="Times New Roman"/>
                      <w:color w:val="FF0000"/>
                      <w:kern w:val="0"/>
                      <w:sz w:val="18"/>
                      <w:szCs w:val="18"/>
                      <w:highlight w:val="none"/>
                      <w:lang w:val="en-US" w:eastAsia="zh-CN" w:bidi="ar-SA"/>
                    </w:rPr>
                    <w:t>废物</w:t>
                  </w:r>
                </w:p>
                <w:p w14:paraId="632FCEC7">
                  <w:pPr>
                    <w:keepNext w:val="0"/>
                    <w:keepLines w:val="0"/>
                    <w:pageBreakBefore w:val="0"/>
                    <w:widowControl w:val="0"/>
                    <w:tabs>
                      <w:tab w:val="center" w:pos="4153"/>
                      <w:tab w:val="right" w:pos="8306"/>
                    </w:tabs>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FF0000"/>
                      <w:kern w:val="0"/>
                      <w:sz w:val="18"/>
                      <w:szCs w:val="18"/>
                      <w:highlight w:val="none"/>
                      <w:lang w:val="en-US" w:eastAsia="zh-CN" w:bidi="ar-SA"/>
                    </w:rPr>
                  </w:pPr>
                  <w:r>
                    <w:rPr>
                      <w:rFonts w:hint="eastAsia" w:ascii="Times New Roman" w:hAnsi="Times New Roman" w:eastAsia="宋体" w:cs="Times New Roman"/>
                      <w:color w:val="FF0000"/>
                      <w:kern w:val="0"/>
                      <w:sz w:val="18"/>
                      <w:szCs w:val="18"/>
                      <w:highlight w:val="none"/>
                      <w:lang w:val="en-US" w:eastAsia="zh-CN" w:bidi="ar-SA"/>
                    </w:rPr>
                    <w:t>HW49</w:t>
                  </w:r>
                </w:p>
                <w:p w14:paraId="23B9E3C4">
                  <w:pPr>
                    <w:keepNext w:val="0"/>
                    <w:keepLines w:val="0"/>
                    <w:pageBreakBefore w:val="0"/>
                    <w:widowControl w:val="0"/>
                    <w:tabs>
                      <w:tab w:val="center" w:pos="4153"/>
                      <w:tab w:val="right" w:pos="8306"/>
                    </w:tabs>
                    <w:kinsoku/>
                    <w:wordWrap/>
                    <w:overflowPunct/>
                    <w:topLinePunct w:val="0"/>
                    <w:autoSpaceDE/>
                    <w:autoSpaceDN/>
                    <w:bidi w:val="0"/>
                    <w:adjustRightInd/>
                    <w:snapToGrid w:val="0"/>
                    <w:spacing w:line="240" w:lineRule="auto"/>
                    <w:jc w:val="center"/>
                    <w:textAlignment w:val="auto"/>
                    <w:rPr>
                      <w:rFonts w:hint="default"/>
                      <w:color w:val="FF0000"/>
                      <w:szCs w:val="18"/>
                      <w:highlight w:val="none"/>
                      <w:lang w:val="en-US" w:eastAsia="zh-CN"/>
                    </w:rPr>
                  </w:pPr>
                  <w:r>
                    <w:rPr>
                      <w:rFonts w:hint="eastAsia" w:ascii="Times New Roman" w:hAnsi="Times New Roman" w:eastAsia="宋体" w:cs="Times New Roman"/>
                      <w:color w:val="FF0000"/>
                      <w:kern w:val="0"/>
                      <w:sz w:val="18"/>
                      <w:szCs w:val="18"/>
                      <w:highlight w:val="none"/>
                      <w:lang w:val="en-US" w:eastAsia="zh-CN" w:bidi="ar-SA"/>
                    </w:rPr>
                    <w:t>900-041-49</w:t>
                  </w:r>
                </w:p>
              </w:tc>
              <w:tc>
                <w:tcPr>
                  <w:tcW w:w="825" w:type="dxa"/>
                  <w:tcBorders>
                    <w:tl2br w:val="nil"/>
                    <w:tr2bl w:val="nil"/>
                  </w:tcBorders>
                  <w:noWrap w:val="0"/>
                  <w:vAlign w:val="center"/>
                </w:tcPr>
                <w:p w14:paraId="382AE2CF">
                  <w:pPr>
                    <w:keepNext w:val="0"/>
                    <w:keepLines w:val="0"/>
                    <w:widowControl/>
                    <w:suppressLineNumbers w:val="0"/>
                    <w:spacing w:before="0" w:beforeAutospacing="0" w:after="0" w:afterAutospacing="0"/>
                    <w:ind w:left="0" w:leftChars="0" w:right="0" w:rightChars="0"/>
                    <w:jc w:val="center"/>
                    <w:rPr>
                      <w:rFonts w:hint="default"/>
                      <w:bCs/>
                      <w:color w:val="FF0000"/>
                      <w:sz w:val="18"/>
                      <w:szCs w:val="18"/>
                      <w:highlight w:val="none"/>
                    </w:rPr>
                  </w:pPr>
                  <w:r>
                    <w:rPr>
                      <w:rFonts w:hint="eastAsia"/>
                      <w:bCs/>
                      <w:color w:val="FF0000"/>
                      <w:sz w:val="18"/>
                      <w:szCs w:val="18"/>
                      <w:highlight w:val="none"/>
                      <w:lang w:val="en-US" w:eastAsia="zh-CN"/>
                    </w:rPr>
                    <w:t>0.01</w:t>
                  </w:r>
                </w:p>
              </w:tc>
              <w:tc>
                <w:tcPr>
                  <w:tcW w:w="662" w:type="dxa"/>
                  <w:tcBorders>
                    <w:tl2br w:val="nil"/>
                    <w:tr2bl w:val="nil"/>
                  </w:tcBorders>
                  <w:noWrap w:val="0"/>
                  <w:vAlign w:val="center"/>
                </w:tcPr>
                <w:p w14:paraId="11D2E46E">
                  <w:pPr>
                    <w:keepNext w:val="0"/>
                    <w:keepLines w:val="0"/>
                    <w:widowControl/>
                    <w:suppressLineNumbers w:val="0"/>
                    <w:spacing w:before="0" w:beforeAutospacing="0" w:after="0" w:afterAutospacing="0"/>
                    <w:ind w:left="0" w:leftChars="0" w:right="0" w:rightChars="0"/>
                    <w:jc w:val="center"/>
                    <w:rPr>
                      <w:rFonts w:hint="default"/>
                      <w:color w:val="FF0000"/>
                      <w:sz w:val="18"/>
                      <w:szCs w:val="18"/>
                      <w:highlight w:val="none"/>
                    </w:rPr>
                  </w:pPr>
                  <w:r>
                    <w:rPr>
                      <w:rFonts w:hint="eastAsia"/>
                      <w:color w:val="FF0000"/>
                      <w:sz w:val="18"/>
                      <w:szCs w:val="18"/>
                      <w:highlight w:val="none"/>
                      <w:lang w:eastAsia="zh-CN"/>
                    </w:rPr>
                    <w:t>固</w:t>
                  </w:r>
                </w:p>
              </w:tc>
              <w:tc>
                <w:tcPr>
                  <w:tcW w:w="988" w:type="dxa"/>
                  <w:tcBorders>
                    <w:tl2br w:val="nil"/>
                    <w:tr2bl w:val="nil"/>
                  </w:tcBorders>
                  <w:noWrap w:val="0"/>
                  <w:vAlign w:val="center"/>
                </w:tcPr>
                <w:p w14:paraId="43A7F09C">
                  <w:pPr>
                    <w:keepNext w:val="0"/>
                    <w:keepLines w:val="0"/>
                    <w:widowControl/>
                    <w:suppressLineNumbers w:val="0"/>
                    <w:spacing w:before="0" w:beforeAutospacing="0" w:after="0" w:afterAutospacing="0"/>
                    <w:ind w:left="0" w:leftChars="0" w:right="0" w:rightChars="0"/>
                    <w:jc w:val="center"/>
                    <w:rPr>
                      <w:rFonts w:hint="default"/>
                      <w:color w:val="FF0000"/>
                      <w:sz w:val="18"/>
                      <w:szCs w:val="18"/>
                      <w:highlight w:val="none"/>
                    </w:rPr>
                  </w:pPr>
                  <w:r>
                    <w:rPr>
                      <w:rFonts w:hint="eastAsia"/>
                      <w:color w:val="FF0000"/>
                      <w:sz w:val="18"/>
                      <w:szCs w:val="18"/>
                      <w:highlight w:val="none"/>
                      <w:lang w:eastAsia="zh-CN"/>
                    </w:rPr>
                    <w:t>集中收集</w:t>
                  </w:r>
                  <w:r>
                    <w:rPr>
                      <w:rFonts w:hint="default"/>
                      <w:color w:val="FF0000"/>
                      <w:sz w:val="18"/>
                      <w:szCs w:val="18"/>
                      <w:highlight w:val="none"/>
                    </w:rPr>
                    <w:t>暂存于</w:t>
                  </w:r>
                  <w:r>
                    <w:rPr>
                      <w:rFonts w:hint="eastAsia"/>
                      <w:color w:val="FF0000"/>
                      <w:sz w:val="18"/>
                      <w:szCs w:val="18"/>
                      <w:highlight w:val="none"/>
                      <w:lang w:val="en-US" w:eastAsia="zh-CN"/>
                    </w:rPr>
                    <w:t>东山煤矿材料科</w:t>
                  </w:r>
                  <w:r>
                    <w:rPr>
                      <w:rFonts w:hint="default"/>
                      <w:color w:val="FF0000"/>
                      <w:sz w:val="18"/>
                      <w:szCs w:val="18"/>
                      <w:highlight w:val="none"/>
                    </w:rPr>
                    <w:t>危险废物贮存</w:t>
                  </w:r>
                  <w:r>
                    <w:rPr>
                      <w:rFonts w:hint="eastAsia"/>
                      <w:color w:val="FF0000"/>
                      <w:sz w:val="18"/>
                      <w:szCs w:val="18"/>
                      <w:highlight w:val="none"/>
                      <w:lang w:val="en-US" w:eastAsia="zh-CN"/>
                    </w:rPr>
                    <w:t>库</w:t>
                  </w:r>
                  <w:r>
                    <w:rPr>
                      <w:rFonts w:hint="default"/>
                      <w:color w:val="FF0000"/>
                      <w:sz w:val="18"/>
                      <w:szCs w:val="18"/>
                      <w:highlight w:val="none"/>
                    </w:rPr>
                    <w:t>内</w:t>
                  </w:r>
                </w:p>
              </w:tc>
              <w:tc>
                <w:tcPr>
                  <w:tcW w:w="750" w:type="dxa"/>
                  <w:tcBorders>
                    <w:tl2br w:val="nil"/>
                    <w:tr2bl w:val="nil"/>
                  </w:tcBorders>
                  <w:noWrap w:val="0"/>
                  <w:vAlign w:val="center"/>
                </w:tcPr>
                <w:p w14:paraId="005378F0">
                  <w:pPr>
                    <w:keepNext w:val="0"/>
                    <w:keepLines w:val="0"/>
                    <w:widowControl/>
                    <w:suppressLineNumbers w:val="0"/>
                    <w:spacing w:before="0" w:beforeAutospacing="0" w:after="0" w:afterAutospacing="0"/>
                    <w:ind w:left="0" w:leftChars="0" w:right="0" w:rightChars="0"/>
                    <w:jc w:val="center"/>
                    <w:rPr>
                      <w:rFonts w:hint="default"/>
                      <w:bCs/>
                      <w:color w:val="FF0000"/>
                      <w:sz w:val="18"/>
                      <w:szCs w:val="18"/>
                      <w:highlight w:val="none"/>
                    </w:rPr>
                  </w:pPr>
                  <w:r>
                    <w:rPr>
                      <w:rFonts w:hint="eastAsia"/>
                      <w:bCs/>
                      <w:color w:val="FF0000"/>
                      <w:sz w:val="18"/>
                      <w:szCs w:val="18"/>
                      <w:highlight w:val="none"/>
                      <w:lang w:val="en-US" w:eastAsia="zh-CN"/>
                    </w:rPr>
                    <w:t>0.01</w:t>
                  </w:r>
                </w:p>
              </w:tc>
              <w:tc>
                <w:tcPr>
                  <w:tcW w:w="1312" w:type="dxa"/>
                  <w:tcBorders>
                    <w:tl2br w:val="nil"/>
                    <w:tr2bl w:val="nil"/>
                  </w:tcBorders>
                  <w:noWrap w:val="0"/>
                  <w:vAlign w:val="center"/>
                </w:tcPr>
                <w:p w14:paraId="505069FA">
                  <w:pPr>
                    <w:keepNext w:val="0"/>
                    <w:keepLines w:val="0"/>
                    <w:widowControl/>
                    <w:suppressLineNumbers w:val="0"/>
                    <w:spacing w:before="0" w:beforeAutospacing="0" w:after="0" w:afterAutospacing="0"/>
                    <w:ind w:left="0" w:leftChars="0" w:right="0" w:rightChars="0"/>
                    <w:jc w:val="center"/>
                    <w:rPr>
                      <w:rFonts w:hint="default"/>
                      <w:color w:val="FF0000"/>
                      <w:kern w:val="21"/>
                      <w:sz w:val="18"/>
                      <w:szCs w:val="18"/>
                      <w:highlight w:val="none"/>
                    </w:rPr>
                  </w:pPr>
                  <w:r>
                    <w:rPr>
                      <w:rFonts w:hint="default"/>
                      <w:color w:val="FF0000"/>
                      <w:kern w:val="21"/>
                      <w:sz w:val="18"/>
                      <w:szCs w:val="18"/>
                      <w:highlight w:val="none"/>
                    </w:rPr>
                    <w:t>由有资质单位拉运处理</w:t>
                  </w:r>
                </w:p>
              </w:tc>
            </w:tr>
          </w:tbl>
          <w:p w14:paraId="063B8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olor w:val="auto"/>
                <w:highlight w:val="none"/>
                <w:lang w:val="en-US" w:eastAsia="zh-CN"/>
              </w:rPr>
            </w:pPr>
            <w:r>
              <w:rPr>
                <w:rFonts w:hint="default" w:ascii="Times New Roman" w:hAnsi="Times New Roman" w:eastAsia="宋体" w:cs="Times New Roman"/>
                <w:color w:val="auto"/>
                <w:kern w:val="21"/>
                <w:sz w:val="21"/>
                <w:szCs w:val="21"/>
                <w:highlight w:val="none"/>
                <w:lang w:val="en-US" w:eastAsia="zh-CN"/>
              </w:rPr>
              <w:t>经核实，</w:t>
            </w:r>
            <w:r>
              <w:rPr>
                <w:rFonts w:hint="default" w:ascii="Times New Roman" w:hAnsi="Times New Roman" w:eastAsia="宋体" w:cs="Times New Roman"/>
                <w:color w:val="auto"/>
                <w:kern w:val="21"/>
                <w:sz w:val="21"/>
                <w:szCs w:val="21"/>
                <w:highlight w:val="none"/>
              </w:rPr>
              <w:t>本项目运营期产生的固体废物主要为</w:t>
            </w:r>
            <w:r>
              <w:rPr>
                <w:rFonts w:hint="eastAsia" w:cs="Times New Roman"/>
                <w:color w:val="auto"/>
                <w:sz w:val="21"/>
                <w:szCs w:val="21"/>
                <w:highlight w:val="none"/>
                <w:lang w:val="en-US" w:eastAsia="zh-CN"/>
              </w:rPr>
              <w:t>锅炉多管陶瓷+</w:t>
            </w:r>
            <w:r>
              <w:rPr>
                <w:rFonts w:hint="eastAsia"/>
                <w:color w:val="auto"/>
                <w:sz w:val="21"/>
                <w:szCs w:val="21"/>
                <w:highlight w:val="none"/>
                <w:lang w:eastAsia="zh-CN"/>
              </w:rPr>
              <w:t>布袋除尘器收尘、</w:t>
            </w:r>
            <w:r>
              <w:rPr>
                <w:rFonts w:hint="eastAsia"/>
                <w:color w:val="auto"/>
                <w:sz w:val="21"/>
                <w:szCs w:val="21"/>
                <w:highlight w:val="none"/>
                <w:lang w:val="en-US" w:eastAsia="zh-CN"/>
              </w:rPr>
              <w:t>锅炉炉渣、</w:t>
            </w:r>
            <w:r>
              <w:rPr>
                <w:rFonts w:hint="eastAsia" w:ascii="Times New Roman" w:hAnsi="Times New Roman" w:eastAsia="宋体" w:cs="Times New Roman"/>
                <w:color w:val="auto"/>
                <w:sz w:val="21"/>
                <w:szCs w:val="21"/>
                <w:highlight w:val="none"/>
                <w:lang w:val="en-US" w:eastAsia="zh-CN"/>
              </w:rPr>
              <w:t>废布袋、</w:t>
            </w:r>
            <w:r>
              <w:rPr>
                <w:rFonts w:hint="eastAsia"/>
                <w:color w:val="auto"/>
                <w:sz w:val="21"/>
                <w:szCs w:val="21"/>
                <w:highlight w:val="none"/>
                <w:lang w:val="en-US" w:eastAsia="zh-CN"/>
              </w:rPr>
              <w:t>废离子交换树脂、废机油，废弃含油抹布、手套</w:t>
            </w:r>
            <w:r>
              <w:rPr>
                <w:rFonts w:hint="eastAsia" w:cs="Times New Roman"/>
                <w:color w:val="auto"/>
                <w:sz w:val="21"/>
                <w:szCs w:val="21"/>
                <w:highlight w:val="none"/>
                <w:lang w:val="en-US" w:eastAsia="zh-CN"/>
              </w:rPr>
              <w:t>。</w:t>
            </w:r>
          </w:p>
          <w:p w14:paraId="4D2761B5">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①</w:t>
            </w:r>
            <w:r>
              <w:rPr>
                <w:rFonts w:hint="eastAsia" w:cs="Times New Roman"/>
                <w:color w:val="auto"/>
                <w:sz w:val="21"/>
                <w:szCs w:val="21"/>
                <w:highlight w:val="none"/>
                <w:lang w:val="en-US" w:eastAsia="zh-CN"/>
              </w:rPr>
              <w:t>本项目无新增员工，故无新增生活垃圾。</w:t>
            </w:r>
          </w:p>
          <w:p w14:paraId="51AB8B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eastAsia="宋体"/>
                <w:color w:val="auto"/>
                <w:sz w:val="21"/>
                <w:szCs w:val="21"/>
                <w:highlight w:val="none"/>
                <w:lang w:val="en-US" w:eastAsia="zh-CN"/>
              </w:rPr>
            </w:pPr>
            <w:r>
              <w:rPr>
                <w:rFonts w:hint="default" w:ascii="Times New Roman" w:hAnsi="Times New Roman" w:eastAsia="宋体" w:cs="Times New Roman"/>
                <w:color w:val="auto"/>
                <w:sz w:val="21"/>
                <w:szCs w:val="21"/>
                <w:highlight w:val="none"/>
              </w:rPr>
              <w:t>②</w:t>
            </w:r>
            <w:r>
              <w:rPr>
                <w:rFonts w:hint="eastAsia" w:cs="Times New Roman"/>
                <w:color w:val="auto"/>
                <w:sz w:val="21"/>
                <w:szCs w:val="21"/>
                <w:highlight w:val="none"/>
                <w:lang w:val="en-US" w:eastAsia="zh-CN"/>
              </w:rPr>
              <w:t>锅炉多管陶瓷+</w:t>
            </w:r>
            <w:r>
              <w:rPr>
                <w:rFonts w:hint="eastAsia"/>
                <w:color w:val="auto"/>
                <w:sz w:val="21"/>
                <w:szCs w:val="21"/>
                <w:highlight w:val="none"/>
                <w:lang w:eastAsia="zh-CN"/>
              </w:rPr>
              <w:t>布袋除尘器收尘</w:t>
            </w:r>
          </w:p>
          <w:p w14:paraId="304FF60D">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本项目</w:t>
            </w:r>
            <w:r>
              <w:rPr>
                <w:rFonts w:hint="eastAsia" w:cs="Times New Roman"/>
                <w:color w:val="auto"/>
                <w:sz w:val="21"/>
                <w:szCs w:val="21"/>
                <w:highlight w:val="none"/>
                <w:lang w:val="en-US" w:eastAsia="zh-CN"/>
              </w:rPr>
              <w:t>锅炉多管陶瓷+</w:t>
            </w:r>
            <w:r>
              <w:rPr>
                <w:rFonts w:hint="eastAsia"/>
                <w:color w:val="auto"/>
                <w:sz w:val="21"/>
                <w:szCs w:val="21"/>
                <w:highlight w:val="none"/>
              </w:rPr>
              <w:t>布袋除尘器收集的除尘灰</w:t>
            </w:r>
            <w:r>
              <w:rPr>
                <w:rFonts w:hint="eastAsia"/>
                <w:color w:val="auto"/>
                <w:sz w:val="21"/>
                <w:szCs w:val="21"/>
                <w:highlight w:val="none"/>
                <w:lang w:val="en-US" w:eastAsia="zh-CN"/>
              </w:rPr>
              <w:t>量为944.83</w:t>
            </w:r>
            <w:r>
              <w:rPr>
                <w:rFonts w:hint="eastAsia"/>
                <w:color w:val="auto"/>
                <w:sz w:val="21"/>
                <w:szCs w:val="21"/>
                <w:highlight w:val="none"/>
              </w:rPr>
              <w:t>t/a</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rPr>
              <w:t>集中收集</w:t>
            </w:r>
            <w:r>
              <w:rPr>
                <w:rFonts w:hint="eastAsia" w:cs="Times New Roman"/>
                <w:color w:val="auto"/>
                <w:sz w:val="21"/>
                <w:szCs w:val="21"/>
                <w:highlight w:val="none"/>
                <w:lang w:val="en-US" w:eastAsia="zh-CN"/>
              </w:rPr>
              <w:t>袋装存储于密闭灰渣库，定期外售综合利用。</w:t>
            </w:r>
          </w:p>
          <w:p w14:paraId="59CBC5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③</w:t>
            </w:r>
            <w:r>
              <w:rPr>
                <w:rFonts w:hint="eastAsia" w:cs="Times New Roman"/>
                <w:color w:val="auto"/>
                <w:sz w:val="21"/>
                <w:szCs w:val="21"/>
                <w:highlight w:val="none"/>
                <w:lang w:val="en-US" w:eastAsia="zh-CN"/>
              </w:rPr>
              <w:t>锅炉炉渣：</w:t>
            </w:r>
            <w:r>
              <w:rPr>
                <w:rFonts w:hint="eastAsia" w:ascii="宋体" w:hAnsi="宋体" w:cs="宋体"/>
                <w:bCs/>
                <w:color w:val="auto"/>
                <w:sz w:val="21"/>
                <w:szCs w:val="21"/>
                <w:highlight w:val="none"/>
              </w:rPr>
              <w:t>本项目</w:t>
            </w:r>
            <w:r>
              <w:rPr>
                <w:rFonts w:hint="eastAsia"/>
                <w:color w:val="auto"/>
                <w:sz w:val="21"/>
                <w:szCs w:val="21"/>
                <w:highlight w:val="none"/>
                <w:lang w:val="en-US" w:eastAsia="zh-CN"/>
              </w:rPr>
              <w:t>炉</w:t>
            </w:r>
            <w:r>
              <w:rPr>
                <w:rFonts w:hint="default"/>
                <w:color w:val="auto"/>
                <w:sz w:val="21"/>
                <w:szCs w:val="21"/>
                <w:highlight w:val="none"/>
              </w:rPr>
              <w:t>渣产生量根据《污染源源强核算技术指南 锅炉》（HJ 991-2018）中8.1物料衡算法计算：</w:t>
            </w:r>
          </w:p>
          <w:p w14:paraId="32470C79">
            <w:pPr>
              <w:keepNext w:val="0"/>
              <w:keepLines w:val="0"/>
              <w:suppressLineNumbers w:val="0"/>
              <w:spacing w:before="0" w:beforeAutospacing="0" w:after="0" w:afterAutospacing="0" w:line="360" w:lineRule="auto"/>
              <w:ind w:left="0" w:right="0"/>
              <w:jc w:val="center"/>
              <w:rPr>
                <w:rFonts w:hint="default"/>
                <w:color w:val="auto"/>
                <w:sz w:val="21"/>
                <w:szCs w:val="21"/>
                <w:highlight w:val="none"/>
              </w:rPr>
            </w:pPr>
            <w:r>
              <w:rPr>
                <w:rFonts w:hint="default"/>
                <w:color w:val="auto"/>
                <w:position w:val="-30"/>
                <w:sz w:val="21"/>
                <w:szCs w:val="21"/>
                <w:highlight w:val="none"/>
              </w:rPr>
              <w:object>
                <v:shape id="_x0000_i1031" o:spt="75" type="#_x0000_t75" style="height:36pt;width:147pt;" o:ole="t" filled="f" o:preferrelative="t" stroked="f" coordsize="21600,21600">
                  <v:path/>
                  <v:fill on="f" focussize="0,0"/>
                  <v:stroke on="f"/>
                  <v:imagedata r:id="rId26" o:title=""/>
                  <o:lock v:ext="edit" aspectratio="t"/>
                  <w10:wrap type="none"/>
                  <w10:anchorlock/>
                </v:shape>
                <o:OLEObject Type="Embed" ProgID="Equation.KSEE3" ShapeID="_x0000_i1031" DrawAspect="Content" ObjectID="_1468075731" r:id="rId25">
                  <o:LockedField>false</o:LockedField>
                </o:OLEObject>
              </w:object>
            </w:r>
          </w:p>
          <w:p w14:paraId="68F997D9">
            <w:pPr>
              <w:pStyle w:val="34"/>
              <w:keepNext w:val="0"/>
              <w:keepLines w:val="0"/>
              <w:suppressLineNumbers w:val="0"/>
              <w:snapToGrid/>
              <w:spacing w:before="0" w:beforeAutospacing="0" w:after="0" w:afterAutospacing="0" w:line="360" w:lineRule="auto"/>
              <w:ind w:left="0" w:right="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式中：E</w:t>
            </w:r>
            <w:r>
              <w:rPr>
                <w:rFonts w:hint="default" w:ascii="Times New Roman" w:hAnsi="Times New Roman" w:cs="Times New Roman"/>
                <w:color w:val="auto"/>
                <w:sz w:val="21"/>
                <w:szCs w:val="21"/>
                <w:highlight w:val="none"/>
                <w:vertAlign w:val="subscript"/>
              </w:rPr>
              <w:t>hc</w:t>
            </w:r>
            <w:r>
              <w:rPr>
                <w:rFonts w:hint="default" w:ascii="Times New Roman" w:hAnsi="Times New Roman" w:cs="Times New Roman"/>
                <w:color w:val="auto"/>
                <w:sz w:val="21"/>
                <w:szCs w:val="21"/>
                <w:highlight w:val="none"/>
              </w:rPr>
              <w:t>----核算时段内灰渣产生量，t；</w:t>
            </w:r>
          </w:p>
          <w:p w14:paraId="47D5DE62">
            <w:pPr>
              <w:pStyle w:val="34"/>
              <w:keepNext w:val="0"/>
              <w:keepLines w:val="0"/>
              <w:suppressLineNumbers w:val="0"/>
              <w:snapToGrid/>
              <w:spacing w:before="0" w:beforeAutospacing="0" w:after="0" w:afterAutospacing="0" w:line="360" w:lineRule="auto"/>
              <w:ind w:left="0" w:right="0" w:firstLine="1050" w:firstLineChars="5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R----核算时段内锅炉燃料耗量，</w:t>
            </w:r>
            <w:r>
              <w:rPr>
                <w:rFonts w:hint="eastAsia" w:cs="Times New Roman"/>
                <w:color w:val="auto"/>
                <w:sz w:val="21"/>
                <w:szCs w:val="21"/>
                <w:highlight w:val="none"/>
                <w:lang w:val="en-US" w:eastAsia="zh-CN"/>
              </w:rPr>
              <w:t>本项目锅炉燃料总量为25137.15</w:t>
            </w:r>
            <w:r>
              <w:rPr>
                <w:rFonts w:hint="default" w:ascii="Times New Roman" w:hAnsi="Times New Roman" w:cs="Times New Roman"/>
                <w:color w:val="auto"/>
                <w:sz w:val="21"/>
                <w:szCs w:val="21"/>
                <w:highlight w:val="none"/>
              </w:rPr>
              <w:t>t；</w:t>
            </w:r>
          </w:p>
          <w:p w14:paraId="7B368A53">
            <w:pPr>
              <w:pStyle w:val="34"/>
              <w:keepNext w:val="0"/>
              <w:keepLines w:val="0"/>
              <w:suppressLineNumbers w:val="0"/>
              <w:snapToGrid/>
              <w:spacing w:before="0" w:beforeAutospacing="0" w:after="0" w:afterAutospacing="0" w:line="360" w:lineRule="auto"/>
              <w:ind w:left="0" w:right="0" w:firstLine="1050" w:firstLineChars="500"/>
              <w:jc w:val="both"/>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A</w:t>
            </w:r>
            <w:r>
              <w:rPr>
                <w:rFonts w:hint="default" w:ascii="Times New Roman" w:hAnsi="Times New Roman" w:cs="Times New Roman"/>
                <w:color w:val="auto"/>
                <w:sz w:val="21"/>
                <w:szCs w:val="21"/>
                <w:highlight w:val="none"/>
                <w:vertAlign w:val="subscript"/>
              </w:rPr>
              <w:t>ar</w:t>
            </w:r>
            <w:r>
              <w:rPr>
                <w:rFonts w:hint="default" w:ascii="Times New Roman" w:hAnsi="Times New Roman" w:cs="Times New Roman"/>
                <w:color w:val="auto"/>
                <w:sz w:val="21"/>
                <w:szCs w:val="21"/>
                <w:highlight w:val="none"/>
              </w:rPr>
              <w:t>----收到基灰分的质量分数，%；取</w:t>
            </w:r>
            <w:r>
              <w:rPr>
                <w:rFonts w:hint="eastAsia"/>
                <w:bCs w:val="0"/>
                <w:color w:val="auto"/>
                <w:sz w:val="21"/>
                <w:szCs w:val="21"/>
                <w:highlight w:val="none"/>
                <w:lang w:val="en-US" w:eastAsia="zh-CN"/>
              </w:rPr>
              <w:t>6.56</w:t>
            </w:r>
            <w:r>
              <w:rPr>
                <w:rFonts w:hint="default"/>
                <w:bCs w:val="0"/>
                <w:color w:val="auto"/>
                <w:sz w:val="21"/>
                <w:szCs w:val="21"/>
                <w:highlight w:val="none"/>
                <w:lang w:val="en-US" w:eastAsia="zh-CN"/>
              </w:rPr>
              <w:t>%</w:t>
            </w:r>
            <w:r>
              <w:rPr>
                <w:rFonts w:hint="default" w:ascii="Times New Roman" w:hAnsi="Times New Roman" w:cs="Times New Roman"/>
                <w:color w:val="auto"/>
                <w:sz w:val="21"/>
                <w:szCs w:val="21"/>
                <w:highlight w:val="none"/>
              </w:rPr>
              <w:t>。（根据生物质成分分析报告换算得出：A</w:t>
            </w:r>
            <w:r>
              <w:rPr>
                <w:rFonts w:hint="default" w:ascii="Times New Roman" w:hAnsi="Times New Roman" w:cs="Times New Roman"/>
                <w:color w:val="auto"/>
                <w:sz w:val="21"/>
                <w:szCs w:val="21"/>
                <w:highlight w:val="none"/>
                <w:vertAlign w:val="subscript"/>
              </w:rPr>
              <w:t>ar</w:t>
            </w:r>
            <w:r>
              <w:rPr>
                <w:rFonts w:hint="default" w:ascii="Times New Roman" w:hAnsi="Times New Roman" w:cs="Times New Roman"/>
                <w:color w:val="auto"/>
                <w:sz w:val="21"/>
                <w:szCs w:val="21"/>
                <w:highlight w:val="none"/>
              </w:rPr>
              <w:t xml:space="preserve"> =A</w:t>
            </w:r>
            <w:r>
              <w:rPr>
                <w:rFonts w:hint="default" w:ascii="Times New Roman" w:hAnsi="Times New Roman" w:cs="Times New Roman"/>
                <w:color w:val="auto"/>
                <w:sz w:val="21"/>
                <w:szCs w:val="21"/>
                <w:highlight w:val="none"/>
                <w:vertAlign w:val="subscript"/>
              </w:rPr>
              <w:t>ad</w:t>
            </w:r>
            <w:r>
              <w:rPr>
                <w:rFonts w:hint="default" w:ascii="Times New Roman" w:hAnsi="Times New Roman" w:cs="Times New Roman"/>
                <w:color w:val="auto"/>
                <w:sz w:val="21"/>
                <w:szCs w:val="21"/>
                <w:highlight w:val="none"/>
              </w:rPr>
              <w:t>×(1-M</w:t>
            </w:r>
            <w:r>
              <w:rPr>
                <w:rFonts w:hint="default" w:ascii="Times New Roman" w:hAnsi="Times New Roman" w:cs="Times New Roman"/>
                <w:color w:val="auto"/>
                <w:sz w:val="21"/>
                <w:szCs w:val="21"/>
                <w:highlight w:val="none"/>
                <w:vertAlign w:val="subscript"/>
              </w:rPr>
              <w:t>t,ar</w:t>
            </w:r>
            <w:r>
              <w:rPr>
                <w:rFonts w:hint="default" w:ascii="Times New Roman" w:hAnsi="Times New Roman" w:cs="Times New Roman"/>
                <w:color w:val="auto"/>
                <w:sz w:val="21"/>
                <w:szCs w:val="21"/>
                <w:highlight w:val="none"/>
              </w:rPr>
              <w:t>)/(1-M</w:t>
            </w:r>
            <w:r>
              <w:rPr>
                <w:rFonts w:hint="default" w:ascii="Times New Roman" w:hAnsi="Times New Roman" w:cs="Times New Roman"/>
                <w:color w:val="auto"/>
                <w:sz w:val="21"/>
                <w:szCs w:val="21"/>
                <w:highlight w:val="none"/>
                <w:vertAlign w:val="subscript"/>
              </w:rPr>
              <w:t>ad</w:t>
            </w:r>
            <w:r>
              <w:rPr>
                <w:rFonts w:hint="default" w:ascii="Times New Roman" w:hAnsi="Times New Roman" w:cs="Times New Roman"/>
                <w:color w:val="auto"/>
                <w:sz w:val="21"/>
                <w:szCs w:val="21"/>
                <w:highlight w:val="none"/>
              </w:rPr>
              <w:t>)）；</w:t>
            </w:r>
          </w:p>
          <w:p w14:paraId="6091540F">
            <w:pPr>
              <w:pStyle w:val="34"/>
              <w:keepNext w:val="0"/>
              <w:keepLines w:val="0"/>
              <w:suppressLineNumbers w:val="0"/>
              <w:snapToGrid/>
              <w:spacing w:before="0" w:beforeAutospacing="0" w:after="0" w:afterAutospacing="0" w:line="360" w:lineRule="auto"/>
              <w:ind w:left="0" w:right="0" w:firstLine="1050" w:firstLineChars="500"/>
              <w:jc w:val="both"/>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rPr>
              <w:t>----锅炉机械不完全燃烧热损失，%；取</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w:t>
            </w:r>
            <w:r>
              <w:rPr>
                <w:rFonts w:hint="eastAsia" w:cs="Times New Roman"/>
                <w:color w:val="auto"/>
                <w:position w:val="0"/>
                <w:sz w:val="21"/>
                <w:szCs w:val="21"/>
                <w:highlight w:val="none"/>
                <w:lang w:val="en-US" w:eastAsia="zh-CN"/>
              </w:rPr>
              <w:t>链条</w:t>
            </w:r>
            <w:r>
              <w:rPr>
                <w:rFonts w:hint="default" w:ascii="Times New Roman" w:hAnsi="Times New Roman" w:eastAsia="宋体" w:cs="Times New Roman"/>
                <w:color w:val="auto"/>
                <w:position w:val="0"/>
                <w:sz w:val="21"/>
                <w:szCs w:val="21"/>
                <w:highlight w:val="none"/>
              </w:rPr>
              <w:t>炉排炉不完全燃烧热损失</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r>
              <w:rPr>
                <w:rFonts w:hint="eastAsia" w:cs="Times New Roman"/>
                <w:color w:val="auto"/>
                <w:position w:val="0"/>
                <w:sz w:val="21"/>
                <w:szCs w:val="21"/>
                <w:highlight w:val="none"/>
                <w:lang w:eastAsia="zh-CN"/>
              </w:rPr>
              <w:t>～</w:t>
            </w:r>
            <w:r>
              <w:rPr>
                <w:rFonts w:hint="default" w:ascii="Times New Roman" w:hAnsi="Times New Roman" w:eastAsia="宋体" w:cs="Times New Roman"/>
                <w:color w:val="auto"/>
                <w:position w:val="0"/>
                <w:sz w:val="21"/>
                <w:szCs w:val="21"/>
                <w:highlight w:val="none"/>
              </w:rPr>
              <w:t>1</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r>
              <w:rPr>
                <w:rFonts w:hint="default" w:ascii="Times New Roman" w:hAnsi="Times New Roman" w:cs="Times New Roman"/>
                <w:color w:val="auto"/>
                <w:sz w:val="21"/>
                <w:szCs w:val="21"/>
                <w:highlight w:val="none"/>
              </w:rPr>
              <w:t>；</w:t>
            </w:r>
          </w:p>
          <w:p w14:paraId="05854ABE">
            <w:pPr>
              <w:pStyle w:val="34"/>
              <w:keepNext w:val="0"/>
              <w:keepLines w:val="0"/>
              <w:suppressLineNumbers w:val="0"/>
              <w:snapToGrid/>
              <w:spacing w:before="0" w:beforeAutospacing="0" w:after="0" w:afterAutospacing="0" w:line="360" w:lineRule="auto"/>
              <w:ind w:left="0" w:right="0" w:firstLine="1050" w:firstLineChars="5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----收到基低位发热量，kJ/kg。</w:t>
            </w:r>
            <w:r>
              <w:rPr>
                <w:rFonts w:hint="default" w:ascii="Times New Roman" w:hAnsi="Times New Roman" w:eastAsia="宋体" w:cs="Times New Roman"/>
                <w:color w:val="auto"/>
                <w:sz w:val="21"/>
                <w:szCs w:val="21"/>
                <w:highlight w:val="none"/>
              </w:rPr>
              <w:t>（根据生物质颗粒检测报告</w:t>
            </w:r>
            <w:r>
              <w:rPr>
                <w:rFonts w:hint="default" w:ascii="Times New Roman" w:hAnsi="Times New Roman" w:eastAsia="宋体" w:cs="Times New Roman"/>
                <w:bCs w:val="0"/>
                <w:color w:val="auto"/>
                <w:sz w:val="21"/>
                <w:szCs w:val="21"/>
                <w:highlight w:val="none"/>
                <w:lang w:val="en-US" w:eastAsia="zh-CN"/>
              </w:rPr>
              <w:t>取</w:t>
            </w:r>
            <w:r>
              <w:rPr>
                <w:rFonts w:hint="eastAsia"/>
                <w:bCs w:val="0"/>
                <w:color w:val="auto"/>
                <w:sz w:val="21"/>
                <w:szCs w:val="21"/>
                <w:highlight w:val="none"/>
                <w:lang w:val="en-US" w:eastAsia="zh-CN"/>
              </w:rPr>
              <w:t>16.77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rPr>
              <w:t>；</w:t>
            </w:r>
          </w:p>
          <w:p w14:paraId="6987AC3B">
            <w:pPr>
              <w:keepNext w:val="0"/>
              <w:keepLines w:val="0"/>
              <w:widowControl/>
              <w:suppressLineNumbers w:val="0"/>
              <w:spacing w:before="0" w:beforeAutospacing="0" w:after="0" w:afterAutospacing="0" w:line="360" w:lineRule="auto"/>
              <w:ind w:left="0" w:right="0" w:firstLine="420" w:firstLineChars="200"/>
              <w:jc w:val="both"/>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E</w:t>
            </w:r>
            <w:r>
              <w:rPr>
                <w:rFonts w:hint="default" w:ascii="Times New Roman" w:hAnsi="Times New Roman" w:cs="Times New Roman"/>
                <w:color w:val="auto"/>
                <w:sz w:val="21"/>
                <w:szCs w:val="21"/>
                <w:highlight w:val="none"/>
                <w:vertAlign w:val="subscript"/>
              </w:rPr>
              <w:t>hc</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25137.15</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eastAsia="zh-CN"/>
              </w:rPr>
              <w:t>(</w:t>
            </w:r>
            <w:r>
              <w:rPr>
                <w:rFonts w:hint="eastAsia"/>
                <w:bCs w:val="0"/>
                <w:color w:val="auto"/>
                <w:highlight w:val="none"/>
                <w:lang w:val="en-US" w:eastAsia="zh-CN"/>
              </w:rPr>
              <w:t>6.56</w:t>
            </w:r>
            <w:r>
              <w:rPr>
                <w:rFonts w:hint="default"/>
                <w:bCs w:val="0"/>
                <w:color w:val="auto"/>
                <w:highlight w:val="none"/>
                <w:lang w:val="en-US" w:eastAsia="zh-CN"/>
              </w:rPr>
              <w:t>%</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kern w:val="24"/>
                <w:sz w:val="21"/>
                <w:szCs w:val="21"/>
                <w:highlight w:val="none"/>
              </w:rPr>
              <w:t>1</w:t>
            </w:r>
            <w:r>
              <w:rPr>
                <w:rFonts w:hint="eastAsia" w:cs="Times New Roman"/>
                <w:color w:val="auto"/>
                <w:kern w:val="24"/>
                <w:sz w:val="21"/>
                <w:szCs w:val="21"/>
                <w:highlight w:val="none"/>
                <w:lang w:val="en-US" w:eastAsia="zh-CN"/>
              </w:rPr>
              <w:t>6770</w:t>
            </w:r>
            <w:r>
              <w:rPr>
                <w:rFonts w:hint="default" w:ascii="Times New Roman" w:hAnsi="Times New Roman" w:cs="Times New Roman"/>
                <w:color w:val="auto"/>
                <w:sz w:val="21"/>
                <w:szCs w:val="21"/>
                <w:highlight w:val="none"/>
              </w:rPr>
              <w:t>/33870</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eastAsia" w:cs="Times New Roman"/>
                <w:bCs/>
                <w:color w:val="auto"/>
                <w:sz w:val="21"/>
                <w:szCs w:val="21"/>
                <w:highlight w:val="none"/>
                <w:lang w:val="en-US" w:eastAsia="zh-CN"/>
              </w:rPr>
              <w:t>3515.91</w:t>
            </w:r>
            <w:r>
              <w:rPr>
                <w:rFonts w:hint="default" w:ascii="Times New Roman" w:hAnsi="Times New Roman" w:cs="Times New Roman"/>
                <w:color w:val="auto"/>
                <w:sz w:val="21"/>
                <w:szCs w:val="21"/>
                <w:highlight w:val="none"/>
              </w:rPr>
              <w:t>t/a</w:t>
            </w:r>
            <w:r>
              <w:rPr>
                <w:rFonts w:hint="eastAsia" w:cs="Times New Roman"/>
                <w:color w:val="auto"/>
                <w:sz w:val="21"/>
                <w:szCs w:val="21"/>
                <w:highlight w:val="none"/>
                <w:lang w:eastAsia="zh-CN"/>
              </w:rPr>
              <w:t>。</w:t>
            </w:r>
          </w:p>
          <w:p w14:paraId="35616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经计算，本项目</w:t>
            </w:r>
            <w:r>
              <w:rPr>
                <w:rFonts w:hint="default" w:ascii="Times New Roman" w:hAnsi="Times New Roman" w:eastAsia="宋体" w:cs="Times New Roman"/>
                <w:bCs/>
                <w:color w:val="auto"/>
                <w:sz w:val="21"/>
                <w:szCs w:val="21"/>
                <w:highlight w:val="none"/>
                <w:lang w:val="en-US" w:eastAsia="zh-CN"/>
              </w:rPr>
              <w:t>炉</w:t>
            </w:r>
            <w:r>
              <w:rPr>
                <w:rFonts w:hint="default" w:ascii="Times New Roman" w:hAnsi="Times New Roman" w:eastAsia="宋体" w:cs="Times New Roman"/>
                <w:bCs/>
                <w:color w:val="auto"/>
                <w:sz w:val="21"/>
                <w:szCs w:val="21"/>
                <w:highlight w:val="none"/>
              </w:rPr>
              <w:t>渣的产生量为</w:t>
            </w:r>
            <w:r>
              <w:rPr>
                <w:rFonts w:hint="eastAsia" w:cs="Times New Roman"/>
                <w:bCs/>
                <w:color w:val="auto"/>
                <w:sz w:val="21"/>
                <w:szCs w:val="21"/>
                <w:highlight w:val="none"/>
                <w:lang w:val="en-US" w:eastAsia="zh-CN"/>
              </w:rPr>
              <w:t>2571.08</w:t>
            </w:r>
            <w:r>
              <w:rPr>
                <w:rFonts w:hint="default" w:ascii="Times New Roman" w:hAnsi="Times New Roman" w:eastAsia="宋体" w:cs="Times New Roman"/>
                <w:bCs/>
                <w:color w:val="auto"/>
                <w:sz w:val="21"/>
                <w:szCs w:val="21"/>
                <w:highlight w:val="none"/>
              </w:rPr>
              <w:t>t/a，</w:t>
            </w:r>
            <w:r>
              <w:rPr>
                <w:rFonts w:hint="default" w:ascii="Times New Roman" w:hAnsi="Times New Roman" w:eastAsia="宋体" w:cs="Times New Roman"/>
                <w:color w:val="auto"/>
                <w:sz w:val="21"/>
                <w:szCs w:val="21"/>
                <w:highlight w:val="none"/>
              </w:rPr>
              <w:t>炉渣</w:t>
            </w:r>
            <w:r>
              <w:rPr>
                <w:rFonts w:hint="default" w:ascii="Times New Roman" w:hAnsi="Times New Roman" w:cs="Times New Roman"/>
                <w:color w:val="auto"/>
                <w:sz w:val="21"/>
                <w:szCs w:val="21"/>
                <w:highlight w:val="none"/>
              </w:rPr>
              <w:t>集中</w:t>
            </w:r>
            <w:r>
              <w:rPr>
                <w:rFonts w:hint="eastAsia" w:ascii="Times New Roman" w:hAnsi="Times New Roman" w:cs="Times New Roman"/>
                <w:color w:val="auto"/>
                <w:sz w:val="21"/>
                <w:szCs w:val="21"/>
                <w:highlight w:val="none"/>
                <w:lang w:val="en-US" w:eastAsia="zh-CN"/>
              </w:rPr>
              <w:t>密闭</w:t>
            </w:r>
            <w:r>
              <w:rPr>
                <w:rFonts w:hint="default" w:ascii="Times New Roman" w:hAnsi="Times New Roman" w:cs="Times New Roman"/>
                <w:color w:val="auto"/>
                <w:sz w:val="21"/>
                <w:szCs w:val="21"/>
                <w:highlight w:val="none"/>
              </w:rPr>
              <w:t>收集</w:t>
            </w:r>
            <w:r>
              <w:rPr>
                <w:rFonts w:hint="eastAsia" w:cs="Times New Roman"/>
                <w:color w:val="auto"/>
                <w:sz w:val="21"/>
                <w:szCs w:val="21"/>
                <w:highlight w:val="none"/>
                <w:lang w:val="en-US" w:eastAsia="zh-CN"/>
              </w:rPr>
              <w:t>袋装存储于灰渣库，定期外售综合利用。</w:t>
            </w:r>
          </w:p>
          <w:p w14:paraId="7DF9CF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④</w:t>
            </w:r>
            <w:r>
              <w:rPr>
                <w:rFonts w:hint="eastAsia" w:cs="Times New Roman"/>
                <w:color w:val="auto"/>
                <w:sz w:val="21"/>
                <w:szCs w:val="21"/>
                <w:highlight w:val="none"/>
                <w:lang w:val="en-US" w:eastAsia="zh-CN"/>
              </w:rPr>
              <w:t>废离子交换树脂：</w:t>
            </w:r>
            <w:r>
              <w:rPr>
                <w:rFonts w:hint="default" w:ascii="Times New Roman" w:hAnsi="Times New Roman" w:eastAsia="宋体" w:cs="Times New Roman"/>
                <w:color w:val="auto"/>
                <w:sz w:val="21"/>
                <w:szCs w:val="21"/>
                <w:highlight w:val="none"/>
              </w:rPr>
              <w:t>锅炉软化水处理系统中的树脂定期更换，废离子交换树脂产生量约</w:t>
            </w:r>
            <w:r>
              <w:rPr>
                <w:rFonts w:hint="eastAsia" w:cs="Times New Roman"/>
                <w:color w:val="auto"/>
                <w:sz w:val="21"/>
                <w:szCs w:val="21"/>
                <w:highlight w:val="none"/>
                <w:lang w:val="en-US" w:eastAsia="zh-CN"/>
              </w:rPr>
              <w:t>1.8</w:t>
            </w:r>
            <w:r>
              <w:rPr>
                <w:rFonts w:hint="default" w:ascii="Times New Roman" w:hAnsi="Times New Roman" w:eastAsia="宋体" w:cs="Times New Roman"/>
                <w:color w:val="auto"/>
                <w:sz w:val="21"/>
                <w:szCs w:val="21"/>
                <w:highlight w:val="none"/>
              </w:rPr>
              <w:t>t/a，</w:t>
            </w:r>
            <w:r>
              <w:rPr>
                <w:rFonts w:hint="eastAsia" w:ascii="宋体" w:hAnsi="宋体" w:cs="宋体"/>
                <w:color w:val="auto"/>
                <w:sz w:val="21"/>
                <w:szCs w:val="21"/>
                <w:highlight w:val="none"/>
              </w:rPr>
              <w:t>更换后由厂家回收处置</w:t>
            </w:r>
            <w:r>
              <w:rPr>
                <w:rFonts w:hint="default" w:ascii="Times New Roman" w:hAnsi="Times New Roman" w:eastAsia="宋体" w:cs="Times New Roman"/>
                <w:color w:val="auto"/>
                <w:sz w:val="21"/>
                <w:szCs w:val="21"/>
                <w:highlight w:val="none"/>
              </w:rPr>
              <w:t>。</w:t>
            </w:r>
          </w:p>
          <w:p w14:paraId="59F9532F">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ascii="Times New Roman" w:hAnsi="Times New Roman" w:cs="Times New Roman"/>
                <w:color w:val="auto"/>
                <w:sz w:val="21"/>
                <w:szCs w:val="21"/>
                <w:highlight w:val="none"/>
              </w:rPr>
              <w:t>⑤</w:t>
            </w:r>
            <w:r>
              <w:rPr>
                <w:rFonts w:hint="eastAsia" w:ascii="Times New Roman" w:hAnsi="Times New Roman" w:eastAsia="宋体" w:cs="Times New Roman"/>
                <w:color w:val="auto"/>
                <w:sz w:val="21"/>
                <w:szCs w:val="21"/>
                <w:highlight w:val="none"/>
                <w:lang w:val="en-US" w:eastAsia="zh-CN"/>
              </w:rPr>
              <w:t>废布袋</w:t>
            </w:r>
            <w:r>
              <w:rPr>
                <w:rFonts w:hint="eastAsia"/>
                <w:color w:val="auto"/>
                <w:sz w:val="21"/>
                <w:szCs w:val="21"/>
                <w:highlight w:val="none"/>
              </w:rPr>
              <w:t>：</w:t>
            </w:r>
            <w:r>
              <w:rPr>
                <w:rFonts w:hint="default"/>
                <w:color w:val="auto"/>
                <w:sz w:val="21"/>
                <w:szCs w:val="21"/>
                <w:highlight w:val="none"/>
              </w:rPr>
              <w:t>本项目除尘器为保证除尘效率，定期更换布袋，</w:t>
            </w:r>
            <w:r>
              <w:rPr>
                <w:rFonts w:hint="eastAsia" w:ascii="Times New Roman" w:hAnsi="Times New Roman" w:cs="Times New Roman"/>
                <w:color w:val="auto"/>
                <w:sz w:val="21"/>
                <w:szCs w:val="21"/>
                <w:highlight w:val="none"/>
                <w:lang w:eastAsia="zh-CN" w:bidi="ar"/>
              </w:rPr>
              <w:t>每年</w:t>
            </w:r>
            <w:r>
              <w:rPr>
                <w:rFonts w:hint="default"/>
                <w:color w:val="auto"/>
                <w:sz w:val="21"/>
                <w:szCs w:val="21"/>
                <w:highlight w:val="none"/>
              </w:rPr>
              <w:t>更换一次，废弃布袋产生量</w:t>
            </w:r>
            <w:r>
              <w:rPr>
                <w:rFonts w:hint="eastAsia"/>
                <w:color w:val="auto"/>
                <w:sz w:val="21"/>
                <w:szCs w:val="21"/>
                <w:highlight w:val="none"/>
                <w:lang w:val="en-US" w:eastAsia="zh-CN"/>
              </w:rPr>
              <w:t>0.8</w:t>
            </w:r>
            <w:r>
              <w:rPr>
                <w:rFonts w:hint="default"/>
                <w:color w:val="auto"/>
                <w:sz w:val="21"/>
                <w:szCs w:val="21"/>
                <w:highlight w:val="none"/>
              </w:rPr>
              <w:t>t/a，</w:t>
            </w:r>
            <w:r>
              <w:rPr>
                <w:rFonts w:hint="eastAsia"/>
                <w:color w:val="auto"/>
                <w:sz w:val="21"/>
                <w:szCs w:val="21"/>
                <w:highlight w:val="none"/>
              </w:rPr>
              <w:t>更换后由厂家直接带走</w:t>
            </w:r>
            <w:r>
              <w:rPr>
                <w:rFonts w:hint="default"/>
                <w:color w:val="auto"/>
                <w:sz w:val="21"/>
                <w:szCs w:val="21"/>
                <w:highlight w:val="none"/>
              </w:rPr>
              <w:t>。</w:t>
            </w:r>
          </w:p>
          <w:p w14:paraId="431D019E">
            <w:pPr>
              <w:pStyle w:val="35"/>
              <w:keepNext w:val="0"/>
              <w:keepLines w:val="0"/>
              <w:pageBreakBefore w:val="0"/>
              <w:widowControl/>
              <w:suppressLineNumbers w:val="0"/>
              <w:kinsoku/>
              <w:wordWrap/>
              <w:overflowPunct/>
              <w:topLinePunct w:val="0"/>
              <w:autoSpaceDE/>
              <w:autoSpaceDN/>
              <w:bidi w:val="0"/>
              <w:adjustRightInd/>
              <w:snapToGrid/>
              <w:spacing w:beforeAutospacing="0" w:afterAutospacing="0"/>
              <w:ind w:left="0"/>
              <w:textAlignment w:val="auto"/>
              <w:rPr>
                <w:rFonts w:hint="default"/>
              </w:rPr>
            </w:pPr>
            <w:r>
              <w:rPr>
                <w:rFonts w:hint="default"/>
                <w:color w:val="auto"/>
                <w:sz w:val="21"/>
                <w:szCs w:val="21"/>
                <w:highlight w:val="none"/>
              </w:rPr>
              <w:t>⑥</w:t>
            </w:r>
            <w:r>
              <w:rPr>
                <w:rFonts w:hint="eastAsia"/>
                <w:color w:val="auto"/>
                <w:sz w:val="21"/>
                <w:szCs w:val="21"/>
                <w:highlight w:val="none"/>
                <w:lang w:val="en-US" w:eastAsia="zh-CN"/>
              </w:rPr>
              <w:t>废机油、废弃含油抹布、手套：</w:t>
            </w:r>
            <w:r>
              <w:rPr>
                <w:rFonts w:hint="default"/>
                <w:color w:val="auto"/>
                <w:sz w:val="21"/>
                <w:szCs w:val="21"/>
                <w:highlight w:val="none"/>
              </w:rPr>
              <w:t>本项目设备维修保养产生废机油总量为0.1t/a，密封桶装，</w:t>
            </w:r>
            <w:r>
              <w:rPr>
                <w:rFonts w:hint="eastAsia"/>
                <w:color w:val="auto"/>
                <w:sz w:val="21"/>
                <w:szCs w:val="21"/>
                <w:highlight w:val="none"/>
                <w:lang w:eastAsia="zh-CN"/>
              </w:rPr>
              <w:t>废弃含油抹布、手套产生量约为</w:t>
            </w:r>
            <w:r>
              <w:rPr>
                <w:rFonts w:hint="eastAsia"/>
                <w:color w:val="auto"/>
                <w:sz w:val="21"/>
                <w:szCs w:val="21"/>
                <w:highlight w:val="none"/>
                <w:lang w:val="en-US" w:eastAsia="zh-CN"/>
              </w:rPr>
              <w:t>0.01t/a，集中收集，</w:t>
            </w:r>
            <w:r>
              <w:rPr>
                <w:rFonts w:hint="default"/>
                <w:color w:val="FF0000"/>
                <w:sz w:val="21"/>
                <w:szCs w:val="21"/>
                <w:highlight w:val="none"/>
              </w:rPr>
              <w:t>暂存于</w:t>
            </w:r>
            <w:r>
              <w:rPr>
                <w:rFonts w:hint="eastAsia"/>
                <w:color w:val="FF0000"/>
                <w:sz w:val="21"/>
                <w:szCs w:val="21"/>
                <w:highlight w:val="none"/>
                <w:lang w:val="en-US" w:eastAsia="zh-CN"/>
              </w:rPr>
              <w:t>东山煤矿材料科</w:t>
            </w:r>
            <w:r>
              <w:rPr>
                <w:rFonts w:hint="default"/>
                <w:color w:val="FF0000"/>
                <w:sz w:val="21"/>
                <w:szCs w:val="21"/>
                <w:highlight w:val="none"/>
              </w:rPr>
              <w:t>危险废物贮存</w:t>
            </w:r>
            <w:r>
              <w:rPr>
                <w:rFonts w:hint="eastAsia"/>
                <w:color w:val="FF0000"/>
                <w:sz w:val="21"/>
                <w:szCs w:val="21"/>
                <w:highlight w:val="none"/>
                <w:lang w:val="en-US" w:eastAsia="zh-CN"/>
              </w:rPr>
              <w:t>库</w:t>
            </w:r>
            <w:r>
              <w:rPr>
                <w:rFonts w:hint="default"/>
                <w:color w:val="FF0000"/>
                <w:sz w:val="21"/>
                <w:szCs w:val="21"/>
                <w:highlight w:val="none"/>
              </w:rPr>
              <w:t>内，</w:t>
            </w:r>
            <w:r>
              <w:rPr>
                <w:rFonts w:hint="default"/>
                <w:color w:val="FF0000"/>
                <w:kern w:val="21"/>
                <w:sz w:val="21"/>
                <w:szCs w:val="21"/>
                <w:highlight w:val="none"/>
              </w:rPr>
              <w:t>定期由有资质单位拉运处理。</w:t>
            </w:r>
          </w:p>
          <w:p w14:paraId="0EF4EABC">
            <w:pPr>
              <w:keepNext w:val="0"/>
              <w:keepLines w:val="0"/>
              <w:suppressLineNumbers w:val="0"/>
              <w:topLinePunct/>
              <w:adjustRightInd w:val="0"/>
              <w:snapToGrid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表4-</w:t>
            </w:r>
            <w:r>
              <w:rPr>
                <w:rFonts w:hint="eastAsia"/>
                <w:b/>
                <w:color w:val="auto"/>
                <w:szCs w:val="21"/>
                <w:highlight w:val="none"/>
              </w:rPr>
              <w:t>10</w:t>
            </w:r>
            <w:r>
              <w:rPr>
                <w:rFonts w:hint="default"/>
                <w:b/>
                <w:color w:val="auto"/>
                <w:szCs w:val="21"/>
                <w:highlight w:val="none"/>
              </w:rPr>
              <w:t>危险废物汇总表</w:t>
            </w:r>
          </w:p>
          <w:tbl>
            <w:tblPr>
              <w:tblStyle w:val="38"/>
              <w:tblW w:w="8053"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6"/>
              <w:gridCol w:w="623"/>
              <w:gridCol w:w="623"/>
              <w:gridCol w:w="623"/>
              <w:gridCol w:w="623"/>
              <w:gridCol w:w="623"/>
              <w:gridCol w:w="566"/>
              <w:gridCol w:w="623"/>
              <w:gridCol w:w="623"/>
              <w:gridCol w:w="623"/>
              <w:gridCol w:w="623"/>
              <w:gridCol w:w="1484"/>
            </w:tblGrid>
            <w:tr w14:paraId="35FDA6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9" w:hRule="atLeast"/>
              </w:trPr>
              <w:tc>
                <w:tcPr>
                  <w:tcW w:w="245" w:type="pct"/>
                  <w:tcBorders>
                    <w:tl2br w:val="nil"/>
                    <w:tr2bl w:val="nil"/>
                  </w:tcBorders>
                  <w:vAlign w:val="center"/>
                </w:tcPr>
                <w:p w14:paraId="42E55E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序号</w:t>
                  </w:r>
                </w:p>
              </w:tc>
              <w:tc>
                <w:tcPr>
                  <w:tcW w:w="386" w:type="pct"/>
                  <w:tcBorders>
                    <w:tl2br w:val="nil"/>
                    <w:tr2bl w:val="nil"/>
                  </w:tcBorders>
                  <w:vAlign w:val="center"/>
                </w:tcPr>
                <w:p w14:paraId="06E333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危险废物名称</w:t>
                  </w:r>
                </w:p>
              </w:tc>
              <w:tc>
                <w:tcPr>
                  <w:tcW w:w="386" w:type="pct"/>
                  <w:tcBorders>
                    <w:tl2br w:val="nil"/>
                    <w:tr2bl w:val="nil"/>
                  </w:tcBorders>
                  <w:vAlign w:val="center"/>
                </w:tcPr>
                <w:p w14:paraId="5F3C5D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危险废物类别</w:t>
                  </w:r>
                </w:p>
              </w:tc>
              <w:tc>
                <w:tcPr>
                  <w:tcW w:w="386" w:type="pct"/>
                  <w:tcBorders>
                    <w:tl2br w:val="nil"/>
                    <w:tr2bl w:val="nil"/>
                  </w:tcBorders>
                  <w:vAlign w:val="center"/>
                </w:tcPr>
                <w:p w14:paraId="54AC73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危险废物代码</w:t>
                  </w:r>
                </w:p>
              </w:tc>
              <w:tc>
                <w:tcPr>
                  <w:tcW w:w="386" w:type="pct"/>
                  <w:tcBorders>
                    <w:tl2br w:val="nil"/>
                    <w:tr2bl w:val="nil"/>
                  </w:tcBorders>
                  <w:vAlign w:val="center"/>
                </w:tcPr>
                <w:p w14:paraId="5B7B61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产生量</w:t>
                  </w:r>
                  <w:r>
                    <w:rPr>
                      <w:rFonts w:hint="default"/>
                      <w:color w:val="auto"/>
                      <w:kern w:val="0"/>
                      <w:sz w:val="18"/>
                      <w:szCs w:val="18"/>
                      <w:highlight w:val="none"/>
                      <w:lang w:bidi="ar"/>
                    </w:rPr>
                    <w:t>t/a</w:t>
                  </w:r>
                </w:p>
              </w:tc>
              <w:tc>
                <w:tcPr>
                  <w:tcW w:w="386" w:type="pct"/>
                  <w:tcBorders>
                    <w:tl2br w:val="nil"/>
                    <w:tr2bl w:val="nil"/>
                  </w:tcBorders>
                  <w:vAlign w:val="center"/>
                </w:tcPr>
                <w:p w14:paraId="720B9A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产生工序及装置</w:t>
                  </w:r>
                </w:p>
              </w:tc>
              <w:tc>
                <w:tcPr>
                  <w:tcW w:w="351" w:type="pct"/>
                  <w:tcBorders>
                    <w:tl2br w:val="nil"/>
                    <w:tr2bl w:val="nil"/>
                  </w:tcBorders>
                  <w:vAlign w:val="center"/>
                </w:tcPr>
                <w:p w14:paraId="3ED421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形态</w:t>
                  </w:r>
                </w:p>
              </w:tc>
              <w:tc>
                <w:tcPr>
                  <w:tcW w:w="386" w:type="pct"/>
                  <w:tcBorders>
                    <w:tl2br w:val="nil"/>
                    <w:tr2bl w:val="nil"/>
                  </w:tcBorders>
                  <w:vAlign w:val="center"/>
                </w:tcPr>
                <w:p w14:paraId="4190407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主要成分</w:t>
                  </w:r>
                </w:p>
              </w:tc>
              <w:tc>
                <w:tcPr>
                  <w:tcW w:w="386" w:type="pct"/>
                  <w:tcBorders>
                    <w:tl2br w:val="nil"/>
                    <w:tr2bl w:val="nil"/>
                  </w:tcBorders>
                  <w:vAlign w:val="center"/>
                </w:tcPr>
                <w:p w14:paraId="5CEA18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有害成分</w:t>
                  </w:r>
                </w:p>
              </w:tc>
              <w:tc>
                <w:tcPr>
                  <w:tcW w:w="386" w:type="pct"/>
                  <w:tcBorders>
                    <w:tl2br w:val="nil"/>
                    <w:tr2bl w:val="nil"/>
                  </w:tcBorders>
                  <w:vAlign w:val="center"/>
                </w:tcPr>
                <w:p w14:paraId="7D7CF7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产废周期</w:t>
                  </w:r>
                </w:p>
              </w:tc>
              <w:tc>
                <w:tcPr>
                  <w:tcW w:w="386" w:type="pct"/>
                  <w:tcBorders>
                    <w:tl2br w:val="nil"/>
                    <w:tr2bl w:val="nil"/>
                  </w:tcBorders>
                  <w:vAlign w:val="center"/>
                </w:tcPr>
                <w:p w14:paraId="2D9757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危险特性</w:t>
                  </w:r>
                </w:p>
              </w:tc>
              <w:tc>
                <w:tcPr>
                  <w:tcW w:w="921" w:type="pct"/>
                  <w:tcBorders>
                    <w:tl2br w:val="nil"/>
                    <w:tr2bl w:val="nil"/>
                  </w:tcBorders>
                  <w:vAlign w:val="center"/>
                </w:tcPr>
                <w:p w14:paraId="1EC8F6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污染防治措施</w:t>
                  </w:r>
                </w:p>
              </w:tc>
            </w:tr>
            <w:tr w14:paraId="67EC03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7" w:hRule="atLeast"/>
              </w:trPr>
              <w:tc>
                <w:tcPr>
                  <w:tcW w:w="245" w:type="pct"/>
                  <w:tcBorders>
                    <w:tl2br w:val="nil"/>
                    <w:tr2bl w:val="nil"/>
                  </w:tcBorders>
                  <w:vAlign w:val="center"/>
                </w:tcPr>
                <w:p w14:paraId="096F3FF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color w:val="auto"/>
                      <w:sz w:val="18"/>
                      <w:szCs w:val="18"/>
                      <w:highlight w:val="none"/>
                    </w:rPr>
                    <w:t>1</w:t>
                  </w:r>
                </w:p>
              </w:tc>
              <w:tc>
                <w:tcPr>
                  <w:tcW w:w="386" w:type="pct"/>
                  <w:tcBorders>
                    <w:tl2br w:val="nil"/>
                    <w:tr2bl w:val="nil"/>
                  </w:tcBorders>
                  <w:vAlign w:val="center"/>
                </w:tcPr>
                <w:p w14:paraId="2A497D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color w:val="auto"/>
                      <w:kern w:val="0"/>
                      <w:sz w:val="18"/>
                      <w:szCs w:val="18"/>
                      <w:highlight w:val="none"/>
                    </w:rPr>
                    <w:t>废机油</w:t>
                  </w:r>
                </w:p>
              </w:tc>
              <w:tc>
                <w:tcPr>
                  <w:tcW w:w="386" w:type="pct"/>
                  <w:tcBorders>
                    <w:tl2br w:val="nil"/>
                    <w:tr2bl w:val="nil"/>
                  </w:tcBorders>
                  <w:vAlign w:val="center"/>
                </w:tcPr>
                <w:p w14:paraId="6D180141">
                  <w:pPr>
                    <w:pStyle w:val="14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color w:val="auto"/>
                      <w:sz w:val="18"/>
                      <w:szCs w:val="18"/>
                      <w:highlight w:val="none"/>
                    </w:rPr>
                    <w:t>HW08</w:t>
                  </w:r>
                </w:p>
              </w:tc>
              <w:tc>
                <w:tcPr>
                  <w:tcW w:w="386" w:type="pct"/>
                  <w:tcBorders>
                    <w:tl2br w:val="nil"/>
                    <w:tr2bl w:val="nil"/>
                  </w:tcBorders>
                  <w:vAlign w:val="center"/>
                </w:tcPr>
                <w:p w14:paraId="60A8FBF5">
                  <w:pPr>
                    <w:pStyle w:val="14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color w:val="auto"/>
                      <w:kern w:val="0"/>
                      <w:sz w:val="18"/>
                      <w:szCs w:val="18"/>
                      <w:highlight w:val="none"/>
                    </w:rPr>
                    <w:t>900-214-08</w:t>
                  </w:r>
                </w:p>
              </w:tc>
              <w:tc>
                <w:tcPr>
                  <w:tcW w:w="386" w:type="pct"/>
                  <w:tcBorders>
                    <w:tl2br w:val="nil"/>
                    <w:tr2bl w:val="nil"/>
                  </w:tcBorders>
                  <w:vAlign w:val="center"/>
                </w:tcPr>
                <w:p w14:paraId="704B6E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bCs/>
                      <w:color w:val="auto"/>
                      <w:sz w:val="18"/>
                      <w:szCs w:val="18"/>
                      <w:highlight w:val="none"/>
                    </w:rPr>
                    <w:t>0.1</w:t>
                  </w:r>
                </w:p>
              </w:tc>
              <w:tc>
                <w:tcPr>
                  <w:tcW w:w="386" w:type="pct"/>
                  <w:tcBorders>
                    <w:tl2br w:val="nil"/>
                    <w:tr2bl w:val="nil"/>
                  </w:tcBorders>
                  <w:vAlign w:val="center"/>
                </w:tcPr>
                <w:p w14:paraId="02E1E3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color w:val="auto"/>
                      <w:kern w:val="0"/>
                      <w:sz w:val="18"/>
                      <w:szCs w:val="18"/>
                      <w:highlight w:val="none"/>
                      <w:lang w:bidi="ar"/>
                    </w:rPr>
                    <w:t>设备维修</w:t>
                  </w:r>
                </w:p>
              </w:tc>
              <w:tc>
                <w:tcPr>
                  <w:tcW w:w="351" w:type="pct"/>
                  <w:tcBorders>
                    <w:tl2br w:val="nil"/>
                    <w:tr2bl w:val="nil"/>
                  </w:tcBorders>
                  <w:vAlign w:val="center"/>
                </w:tcPr>
                <w:p w14:paraId="0FBC85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color w:val="auto"/>
                      <w:sz w:val="18"/>
                      <w:szCs w:val="18"/>
                      <w:highlight w:val="none"/>
                    </w:rPr>
                    <w:t>液</w:t>
                  </w:r>
                  <w:r>
                    <w:rPr>
                      <w:rFonts w:hint="default"/>
                      <w:color w:val="auto"/>
                      <w:sz w:val="18"/>
                      <w:szCs w:val="18"/>
                      <w:highlight w:val="none"/>
                    </w:rPr>
                    <w:t>态</w:t>
                  </w:r>
                </w:p>
              </w:tc>
              <w:tc>
                <w:tcPr>
                  <w:tcW w:w="386" w:type="pct"/>
                  <w:tcBorders>
                    <w:tl2br w:val="nil"/>
                    <w:tr2bl w:val="nil"/>
                  </w:tcBorders>
                  <w:vAlign w:val="center"/>
                </w:tcPr>
                <w:p w14:paraId="056FFC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w:t>
                  </w:r>
                </w:p>
              </w:tc>
              <w:tc>
                <w:tcPr>
                  <w:tcW w:w="386" w:type="pct"/>
                  <w:tcBorders>
                    <w:tl2br w:val="nil"/>
                    <w:tr2bl w:val="nil"/>
                  </w:tcBorders>
                  <w:vAlign w:val="center"/>
                </w:tcPr>
                <w:p w14:paraId="6859712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default"/>
                      <w:color w:val="auto"/>
                      <w:sz w:val="18"/>
                      <w:szCs w:val="18"/>
                      <w:highlight w:val="none"/>
                    </w:rPr>
                    <w:t>/</w:t>
                  </w:r>
                </w:p>
              </w:tc>
              <w:tc>
                <w:tcPr>
                  <w:tcW w:w="386" w:type="pct"/>
                  <w:tcBorders>
                    <w:tl2br w:val="nil"/>
                    <w:tr2bl w:val="nil"/>
                  </w:tcBorders>
                  <w:vAlign w:val="center"/>
                </w:tcPr>
                <w:p w14:paraId="69409B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color w:val="auto"/>
                      <w:sz w:val="18"/>
                      <w:szCs w:val="18"/>
                      <w:highlight w:val="none"/>
                    </w:rPr>
                    <w:t>1年</w:t>
                  </w:r>
                </w:p>
              </w:tc>
              <w:tc>
                <w:tcPr>
                  <w:tcW w:w="386" w:type="pct"/>
                  <w:tcBorders>
                    <w:tl2br w:val="nil"/>
                    <w:tr2bl w:val="nil"/>
                  </w:tcBorders>
                  <w:vAlign w:val="center"/>
                </w:tcPr>
                <w:p w14:paraId="38DAB4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vertAlign w:val="baseline"/>
                    </w:rPr>
                  </w:pPr>
                  <w:r>
                    <w:rPr>
                      <w:rFonts w:hint="eastAsia"/>
                      <w:bCs/>
                      <w:color w:val="auto"/>
                      <w:sz w:val="18"/>
                      <w:szCs w:val="18"/>
                      <w:highlight w:val="none"/>
                    </w:rPr>
                    <w:t>T/I</w:t>
                  </w:r>
                </w:p>
              </w:tc>
              <w:tc>
                <w:tcPr>
                  <w:tcW w:w="921" w:type="pct"/>
                  <w:tcBorders>
                    <w:tl2br w:val="nil"/>
                    <w:tr2bl w:val="nil"/>
                  </w:tcBorders>
                  <w:vAlign w:val="center"/>
                </w:tcPr>
                <w:p w14:paraId="2D9E5BB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color w:val="FF0000"/>
                      <w:vertAlign w:val="baseline"/>
                    </w:rPr>
                  </w:pPr>
                  <w:r>
                    <w:rPr>
                      <w:rFonts w:hint="eastAsia"/>
                      <w:color w:val="FF0000"/>
                      <w:sz w:val="18"/>
                      <w:szCs w:val="18"/>
                      <w:highlight w:val="none"/>
                    </w:rPr>
                    <w:t>暂存于</w:t>
                  </w:r>
                  <w:r>
                    <w:rPr>
                      <w:rFonts w:hint="eastAsia"/>
                      <w:color w:val="FF0000"/>
                      <w:sz w:val="18"/>
                      <w:szCs w:val="18"/>
                      <w:highlight w:val="none"/>
                      <w:lang w:val="en-US" w:eastAsia="zh-CN"/>
                    </w:rPr>
                    <w:t>东山煤矿材料科</w:t>
                  </w:r>
                  <w:r>
                    <w:rPr>
                      <w:rFonts w:hint="eastAsia"/>
                      <w:color w:val="FF0000"/>
                      <w:sz w:val="18"/>
                      <w:szCs w:val="18"/>
                      <w:highlight w:val="none"/>
                    </w:rPr>
                    <w:t>危险废物贮存</w:t>
                  </w:r>
                  <w:r>
                    <w:rPr>
                      <w:rFonts w:hint="eastAsia"/>
                      <w:color w:val="FF0000"/>
                      <w:sz w:val="18"/>
                      <w:szCs w:val="18"/>
                      <w:highlight w:val="none"/>
                      <w:lang w:val="en-US" w:eastAsia="zh-CN"/>
                    </w:rPr>
                    <w:t>库</w:t>
                  </w:r>
                  <w:r>
                    <w:rPr>
                      <w:rFonts w:hint="eastAsia"/>
                      <w:color w:val="FF0000"/>
                      <w:sz w:val="18"/>
                      <w:szCs w:val="18"/>
                      <w:highlight w:val="none"/>
                    </w:rPr>
                    <w:t>，由</w:t>
                  </w:r>
                  <w:r>
                    <w:rPr>
                      <w:rFonts w:hint="default"/>
                      <w:color w:val="FF0000"/>
                      <w:sz w:val="18"/>
                      <w:szCs w:val="18"/>
                      <w:highlight w:val="none"/>
                    </w:rPr>
                    <w:t>有资质单位进行处置</w:t>
                  </w:r>
                </w:p>
              </w:tc>
            </w:tr>
            <w:tr w14:paraId="5EECB3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6" w:hRule="atLeast"/>
              </w:trPr>
              <w:tc>
                <w:tcPr>
                  <w:tcW w:w="245" w:type="pct"/>
                  <w:tcBorders>
                    <w:tl2br w:val="nil"/>
                    <w:tr2bl w:val="nil"/>
                  </w:tcBorders>
                  <w:vAlign w:val="center"/>
                </w:tcPr>
                <w:p w14:paraId="2B7EA1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color w:val="auto"/>
                      <w:sz w:val="18"/>
                      <w:szCs w:val="18"/>
                      <w:highlight w:val="none"/>
                    </w:rPr>
                  </w:pPr>
                  <w:r>
                    <w:rPr>
                      <w:rFonts w:hint="eastAsia"/>
                      <w:color w:val="auto"/>
                      <w:sz w:val="18"/>
                      <w:szCs w:val="18"/>
                      <w:highlight w:val="none"/>
                      <w:lang w:val="en-US" w:eastAsia="zh-CN"/>
                    </w:rPr>
                    <w:t>2</w:t>
                  </w:r>
                </w:p>
              </w:tc>
              <w:tc>
                <w:tcPr>
                  <w:tcW w:w="386" w:type="pct"/>
                  <w:tcBorders>
                    <w:tl2br w:val="nil"/>
                    <w:tr2bl w:val="nil"/>
                  </w:tcBorders>
                  <w:shd w:val="clear"/>
                  <w:vAlign w:val="center"/>
                </w:tcPr>
                <w:p w14:paraId="4FC0FB0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eastAsia="zh-CN"/>
                    </w:rPr>
                    <w:t>废弃含油抹布、手套</w:t>
                  </w:r>
                </w:p>
              </w:tc>
              <w:tc>
                <w:tcPr>
                  <w:tcW w:w="386" w:type="pct"/>
                  <w:tcBorders>
                    <w:tl2br w:val="nil"/>
                    <w:tr2bl w:val="nil"/>
                  </w:tcBorders>
                  <w:shd w:val="clear"/>
                  <w:vAlign w:val="center"/>
                </w:tcPr>
                <w:p w14:paraId="5B49FE6B">
                  <w:pPr>
                    <w:keepNext w:val="0"/>
                    <w:keepLines w:val="0"/>
                    <w:pageBreakBefore w:val="0"/>
                    <w:widowControl w:val="0"/>
                    <w:tabs>
                      <w:tab w:val="center" w:pos="4153"/>
                      <w:tab w:val="right" w:pos="8306"/>
                    </w:tabs>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HW49</w:t>
                  </w:r>
                </w:p>
              </w:tc>
              <w:tc>
                <w:tcPr>
                  <w:tcW w:w="386" w:type="pct"/>
                  <w:tcBorders>
                    <w:tl2br w:val="nil"/>
                    <w:tr2bl w:val="nil"/>
                  </w:tcBorders>
                  <w:shd w:val="clear"/>
                  <w:vAlign w:val="center"/>
                </w:tcPr>
                <w:p w14:paraId="479100B9">
                  <w:pPr>
                    <w:pStyle w:val="14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900-041-49</w:t>
                  </w:r>
                </w:p>
              </w:tc>
              <w:tc>
                <w:tcPr>
                  <w:tcW w:w="386" w:type="pct"/>
                  <w:tcBorders>
                    <w:tl2br w:val="nil"/>
                    <w:tr2bl w:val="nil"/>
                  </w:tcBorders>
                  <w:shd w:val="clear"/>
                  <w:vAlign w:val="center"/>
                </w:tcPr>
                <w:p w14:paraId="20C69F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0.01</w:t>
                  </w:r>
                </w:p>
              </w:tc>
              <w:tc>
                <w:tcPr>
                  <w:tcW w:w="386" w:type="pct"/>
                  <w:tcBorders>
                    <w:tl2br w:val="nil"/>
                    <w:tr2bl w:val="nil"/>
                  </w:tcBorders>
                  <w:shd w:val="clear" w:color="auto" w:fill="auto"/>
                  <w:vAlign w:val="center"/>
                </w:tcPr>
                <w:p w14:paraId="237C6CA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color w:val="auto"/>
                      <w:kern w:val="0"/>
                      <w:sz w:val="18"/>
                      <w:szCs w:val="18"/>
                      <w:highlight w:val="none"/>
                      <w:lang w:bidi="ar"/>
                    </w:rPr>
                    <w:t>设备维修</w:t>
                  </w:r>
                </w:p>
              </w:tc>
              <w:tc>
                <w:tcPr>
                  <w:tcW w:w="351" w:type="pct"/>
                  <w:tcBorders>
                    <w:tl2br w:val="nil"/>
                    <w:tr2bl w:val="nil"/>
                  </w:tcBorders>
                  <w:shd w:val="clear"/>
                  <w:vAlign w:val="center"/>
                </w:tcPr>
                <w:p w14:paraId="77C3BA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固态</w:t>
                  </w:r>
                </w:p>
              </w:tc>
              <w:tc>
                <w:tcPr>
                  <w:tcW w:w="386" w:type="pct"/>
                  <w:tcBorders>
                    <w:tl2br w:val="nil"/>
                    <w:tr2bl w:val="nil"/>
                  </w:tcBorders>
                  <w:shd w:val="clear"/>
                  <w:vAlign w:val="center"/>
                </w:tcPr>
                <w:p w14:paraId="0D5658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w:t>
                  </w:r>
                </w:p>
              </w:tc>
              <w:tc>
                <w:tcPr>
                  <w:tcW w:w="386" w:type="pct"/>
                  <w:tcBorders>
                    <w:tl2br w:val="nil"/>
                    <w:tr2bl w:val="nil"/>
                  </w:tcBorders>
                  <w:shd w:val="clear"/>
                  <w:vAlign w:val="center"/>
                </w:tcPr>
                <w:p w14:paraId="6E30D0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w:t>
                  </w:r>
                </w:p>
              </w:tc>
              <w:tc>
                <w:tcPr>
                  <w:tcW w:w="386" w:type="pct"/>
                  <w:tcBorders>
                    <w:tl2br w:val="nil"/>
                    <w:tr2bl w:val="nil"/>
                  </w:tcBorders>
                  <w:shd w:val="clear" w:color="auto" w:fill="auto"/>
                  <w:vAlign w:val="center"/>
                </w:tcPr>
                <w:p w14:paraId="3883A0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color w:val="auto"/>
                      <w:sz w:val="18"/>
                      <w:szCs w:val="18"/>
                      <w:highlight w:val="none"/>
                    </w:rPr>
                    <w:t>1年</w:t>
                  </w:r>
                </w:p>
              </w:tc>
              <w:tc>
                <w:tcPr>
                  <w:tcW w:w="386" w:type="pct"/>
                  <w:tcBorders>
                    <w:tl2br w:val="nil"/>
                    <w:tr2bl w:val="nil"/>
                  </w:tcBorders>
                  <w:shd w:val="clear"/>
                  <w:vAlign w:val="center"/>
                </w:tcPr>
                <w:p w14:paraId="00A4EA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rPr>
                    <w:t>T/I</w:t>
                  </w:r>
                  <w:r>
                    <w:rPr>
                      <w:rFonts w:hint="eastAsia"/>
                      <w:bCs/>
                      <w:color w:val="auto"/>
                      <w:sz w:val="18"/>
                      <w:szCs w:val="18"/>
                      <w:highlight w:val="none"/>
                      <w:lang w:val="en-US" w:eastAsia="zh-CN"/>
                    </w:rPr>
                    <w:t>n</w:t>
                  </w:r>
                </w:p>
              </w:tc>
              <w:tc>
                <w:tcPr>
                  <w:tcW w:w="921" w:type="pct"/>
                  <w:tcBorders>
                    <w:tl2br w:val="nil"/>
                    <w:tr2bl w:val="nil"/>
                  </w:tcBorders>
                  <w:shd w:val="clear" w:color="auto" w:fill="auto"/>
                  <w:vAlign w:val="center"/>
                </w:tcPr>
                <w:p w14:paraId="2F6AB6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color w:val="auto"/>
                      <w:sz w:val="18"/>
                      <w:szCs w:val="18"/>
                      <w:highlight w:val="none"/>
                    </w:rPr>
                    <w:t>暂存于</w:t>
                  </w:r>
                  <w:r>
                    <w:rPr>
                      <w:rFonts w:hint="eastAsia"/>
                      <w:color w:val="auto"/>
                      <w:sz w:val="18"/>
                      <w:szCs w:val="18"/>
                      <w:highlight w:val="none"/>
                      <w:lang w:val="en-US" w:eastAsia="zh-CN"/>
                    </w:rPr>
                    <w:t>东山煤矿材料科</w:t>
                  </w:r>
                  <w:r>
                    <w:rPr>
                      <w:rFonts w:hint="eastAsia"/>
                      <w:color w:val="auto"/>
                      <w:sz w:val="18"/>
                      <w:szCs w:val="18"/>
                      <w:highlight w:val="none"/>
                    </w:rPr>
                    <w:t>危险废物贮存</w:t>
                  </w:r>
                  <w:r>
                    <w:rPr>
                      <w:rFonts w:hint="eastAsia"/>
                      <w:color w:val="auto"/>
                      <w:sz w:val="18"/>
                      <w:szCs w:val="18"/>
                      <w:highlight w:val="none"/>
                      <w:lang w:val="en-US" w:eastAsia="zh-CN"/>
                    </w:rPr>
                    <w:t>库</w:t>
                  </w:r>
                  <w:r>
                    <w:rPr>
                      <w:rFonts w:hint="eastAsia"/>
                      <w:color w:val="auto"/>
                      <w:sz w:val="18"/>
                      <w:szCs w:val="18"/>
                      <w:highlight w:val="none"/>
                    </w:rPr>
                    <w:t>，由</w:t>
                  </w:r>
                  <w:r>
                    <w:rPr>
                      <w:rFonts w:hint="default"/>
                      <w:color w:val="auto"/>
                      <w:sz w:val="18"/>
                      <w:szCs w:val="18"/>
                      <w:highlight w:val="none"/>
                    </w:rPr>
                    <w:t>有资质单位进行处置</w:t>
                  </w:r>
                </w:p>
              </w:tc>
            </w:tr>
          </w:tbl>
          <w:p w14:paraId="5E9991F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eastAsia"/>
                <w:b/>
                <w:color w:val="auto"/>
                <w:szCs w:val="21"/>
                <w:highlight w:val="none"/>
              </w:rPr>
              <w:t>表4-11建设项目危险废物贮存场所 （设施） 基本情况</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11"/>
              <w:gridCol w:w="952"/>
              <w:gridCol w:w="953"/>
              <w:gridCol w:w="671"/>
              <w:gridCol w:w="1302"/>
              <w:gridCol w:w="973"/>
              <w:gridCol w:w="890"/>
              <w:gridCol w:w="640"/>
              <w:gridCol w:w="556"/>
              <w:gridCol w:w="590"/>
            </w:tblGrid>
            <w:tr w14:paraId="2FAEE0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dxa"/>
                  <w:noWrap w:val="0"/>
                  <w:vAlign w:val="center"/>
                </w:tcPr>
                <w:p w14:paraId="08DD0A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序号</w:t>
                  </w:r>
                </w:p>
              </w:tc>
              <w:tc>
                <w:tcPr>
                  <w:tcW w:w="952" w:type="dxa"/>
                  <w:noWrap w:val="0"/>
                  <w:vAlign w:val="center"/>
                </w:tcPr>
                <w:p w14:paraId="10E45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rPr>
                  </w:pPr>
                  <w:r>
                    <w:rPr>
                      <w:rFonts w:hint="eastAsia"/>
                      <w:color w:val="auto"/>
                      <w:sz w:val="18"/>
                      <w:szCs w:val="18"/>
                      <w:highlight w:val="none"/>
                    </w:rPr>
                    <w:t>贮存场所</w:t>
                  </w:r>
                </w:p>
                <w:p w14:paraId="04C982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rPr>
                  </w:pPr>
                  <w:r>
                    <w:rPr>
                      <w:rFonts w:hint="eastAsia"/>
                      <w:color w:val="auto"/>
                      <w:sz w:val="18"/>
                      <w:szCs w:val="18"/>
                      <w:highlight w:val="none"/>
                    </w:rPr>
                    <w:t>名称</w:t>
                  </w:r>
                </w:p>
              </w:tc>
              <w:tc>
                <w:tcPr>
                  <w:tcW w:w="953" w:type="dxa"/>
                  <w:noWrap w:val="0"/>
                  <w:vAlign w:val="center"/>
                </w:tcPr>
                <w:p w14:paraId="1EA6D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危险废物</w:t>
                  </w:r>
                </w:p>
                <w:p w14:paraId="5DCC5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名称</w:t>
                  </w:r>
                </w:p>
              </w:tc>
              <w:tc>
                <w:tcPr>
                  <w:tcW w:w="671" w:type="dxa"/>
                  <w:noWrap w:val="0"/>
                  <w:vAlign w:val="center"/>
                </w:tcPr>
                <w:p w14:paraId="7CDB0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危险废物类别</w:t>
                  </w:r>
                </w:p>
              </w:tc>
              <w:tc>
                <w:tcPr>
                  <w:tcW w:w="1302" w:type="dxa"/>
                  <w:noWrap w:val="0"/>
                  <w:vAlign w:val="center"/>
                </w:tcPr>
                <w:p w14:paraId="028137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危险废物代码</w:t>
                  </w:r>
                </w:p>
              </w:tc>
              <w:tc>
                <w:tcPr>
                  <w:tcW w:w="973" w:type="dxa"/>
                  <w:noWrap w:val="0"/>
                  <w:vAlign w:val="center"/>
                </w:tcPr>
                <w:p w14:paraId="4ED294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rPr>
                  </w:pPr>
                  <w:r>
                    <w:rPr>
                      <w:rFonts w:hint="eastAsia"/>
                      <w:color w:val="auto"/>
                      <w:sz w:val="18"/>
                      <w:szCs w:val="18"/>
                      <w:highlight w:val="none"/>
                    </w:rPr>
                    <w:t>位置</w:t>
                  </w:r>
                </w:p>
              </w:tc>
              <w:tc>
                <w:tcPr>
                  <w:tcW w:w="890" w:type="dxa"/>
                  <w:noWrap w:val="0"/>
                  <w:vAlign w:val="center"/>
                </w:tcPr>
                <w:p w14:paraId="5533F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rPr>
                  </w:pPr>
                  <w:r>
                    <w:rPr>
                      <w:rFonts w:hint="eastAsia"/>
                      <w:color w:val="auto"/>
                      <w:sz w:val="18"/>
                      <w:szCs w:val="18"/>
                      <w:highlight w:val="none"/>
                    </w:rPr>
                    <w:t>占地面积</w:t>
                  </w:r>
                </w:p>
              </w:tc>
              <w:tc>
                <w:tcPr>
                  <w:tcW w:w="640" w:type="dxa"/>
                  <w:noWrap w:val="0"/>
                  <w:vAlign w:val="center"/>
                </w:tcPr>
                <w:p w14:paraId="67A341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rPr>
                  </w:pPr>
                  <w:r>
                    <w:rPr>
                      <w:rFonts w:hint="eastAsia"/>
                      <w:color w:val="auto"/>
                      <w:sz w:val="18"/>
                      <w:szCs w:val="18"/>
                      <w:highlight w:val="none"/>
                    </w:rPr>
                    <w:t>贮存</w:t>
                  </w:r>
                </w:p>
                <w:p w14:paraId="5036A1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rPr>
                  </w:pPr>
                  <w:r>
                    <w:rPr>
                      <w:rFonts w:hint="eastAsia"/>
                      <w:color w:val="auto"/>
                      <w:sz w:val="18"/>
                      <w:szCs w:val="18"/>
                      <w:highlight w:val="none"/>
                    </w:rPr>
                    <w:t>方式</w:t>
                  </w:r>
                </w:p>
              </w:tc>
              <w:tc>
                <w:tcPr>
                  <w:tcW w:w="556" w:type="dxa"/>
                  <w:noWrap w:val="0"/>
                  <w:vAlign w:val="center"/>
                </w:tcPr>
                <w:p w14:paraId="2784B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rPr>
                  </w:pPr>
                  <w:r>
                    <w:rPr>
                      <w:rFonts w:hint="eastAsia"/>
                      <w:color w:val="auto"/>
                      <w:sz w:val="18"/>
                      <w:szCs w:val="18"/>
                      <w:highlight w:val="none"/>
                    </w:rPr>
                    <w:t>贮存能力</w:t>
                  </w:r>
                </w:p>
              </w:tc>
              <w:tc>
                <w:tcPr>
                  <w:tcW w:w="590" w:type="dxa"/>
                  <w:noWrap w:val="0"/>
                  <w:vAlign w:val="center"/>
                </w:tcPr>
                <w:p w14:paraId="3BED56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rPr>
                  </w:pPr>
                  <w:r>
                    <w:rPr>
                      <w:rFonts w:hint="eastAsia"/>
                      <w:color w:val="auto"/>
                      <w:sz w:val="18"/>
                      <w:szCs w:val="18"/>
                      <w:highlight w:val="none"/>
                    </w:rPr>
                    <w:t>贮存</w:t>
                  </w:r>
                </w:p>
                <w:p w14:paraId="5CACF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周期</w:t>
                  </w:r>
                </w:p>
              </w:tc>
            </w:tr>
            <w:tr w14:paraId="634536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dxa"/>
                  <w:noWrap w:val="0"/>
                  <w:vAlign w:val="center"/>
                </w:tcPr>
                <w:p w14:paraId="53B060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rPr>
                    <w:t>1</w:t>
                  </w:r>
                </w:p>
              </w:tc>
              <w:tc>
                <w:tcPr>
                  <w:tcW w:w="952" w:type="dxa"/>
                  <w:vMerge w:val="restart"/>
                  <w:noWrap w:val="0"/>
                  <w:vAlign w:val="center"/>
                </w:tcPr>
                <w:p w14:paraId="49EBFF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bCs/>
                      <w:color w:val="auto"/>
                      <w:sz w:val="18"/>
                      <w:szCs w:val="18"/>
                      <w:highlight w:val="none"/>
                      <w:lang w:val="en-US" w:eastAsia="zh-CN"/>
                    </w:rPr>
                  </w:pPr>
                  <w:r>
                    <w:rPr>
                      <w:rFonts w:hint="eastAsia"/>
                      <w:bCs/>
                      <w:color w:val="auto"/>
                      <w:sz w:val="18"/>
                      <w:szCs w:val="18"/>
                      <w:highlight w:val="none"/>
                      <w:lang w:val="en-US" w:eastAsia="zh-CN"/>
                    </w:rPr>
                    <w:t>危险废物贮存库</w:t>
                  </w:r>
                </w:p>
              </w:tc>
              <w:tc>
                <w:tcPr>
                  <w:tcW w:w="953" w:type="dxa"/>
                  <w:noWrap w:val="0"/>
                  <w:vAlign w:val="center"/>
                </w:tcPr>
                <w:p w14:paraId="34F887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Cs/>
                      <w:color w:val="auto"/>
                      <w:sz w:val="18"/>
                      <w:szCs w:val="18"/>
                      <w:highlight w:val="none"/>
                    </w:rPr>
                  </w:pPr>
                  <w:r>
                    <w:rPr>
                      <w:rFonts w:hint="eastAsia"/>
                      <w:bCs/>
                      <w:color w:val="auto"/>
                      <w:sz w:val="18"/>
                      <w:szCs w:val="18"/>
                      <w:highlight w:val="none"/>
                    </w:rPr>
                    <w:t>废机油</w:t>
                  </w:r>
                </w:p>
              </w:tc>
              <w:tc>
                <w:tcPr>
                  <w:tcW w:w="671" w:type="dxa"/>
                  <w:noWrap w:val="0"/>
                  <w:vAlign w:val="center"/>
                </w:tcPr>
                <w:p w14:paraId="3AAE51B0">
                  <w:pPr>
                    <w:pStyle w:val="14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rPr>
                    <w:t>HW08</w:t>
                  </w:r>
                </w:p>
              </w:tc>
              <w:tc>
                <w:tcPr>
                  <w:tcW w:w="1302" w:type="dxa"/>
                  <w:noWrap w:val="0"/>
                  <w:vAlign w:val="center"/>
                </w:tcPr>
                <w:p w14:paraId="3199DA43">
                  <w:pPr>
                    <w:pStyle w:val="14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kern w:val="0"/>
                      <w:sz w:val="18"/>
                      <w:szCs w:val="18"/>
                      <w:highlight w:val="none"/>
                    </w:rPr>
                    <w:t>900-214-08</w:t>
                  </w:r>
                </w:p>
              </w:tc>
              <w:tc>
                <w:tcPr>
                  <w:tcW w:w="973" w:type="dxa"/>
                  <w:vMerge w:val="restart"/>
                  <w:noWrap w:val="0"/>
                  <w:vAlign w:val="center"/>
                </w:tcPr>
                <w:p w14:paraId="580BD3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bCs/>
                      <w:color w:val="auto"/>
                      <w:sz w:val="18"/>
                      <w:szCs w:val="18"/>
                      <w:highlight w:val="none"/>
                      <w:lang w:val="en-US"/>
                    </w:rPr>
                  </w:pPr>
                  <w:r>
                    <w:rPr>
                      <w:rFonts w:hint="eastAsia"/>
                      <w:color w:val="auto"/>
                      <w:sz w:val="18"/>
                      <w:szCs w:val="18"/>
                      <w:highlight w:val="none"/>
                      <w:lang w:val="en-US" w:eastAsia="zh-CN"/>
                    </w:rPr>
                    <w:t>东山煤矿材料科</w:t>
                  </w:r>
                </w:p>
              </w:tc>
              <w:tc>
                <w:tcPr>
                  <w:tcW w:w="890" w:type="dxa"/>
                  <w:vMerge w:val="restart"/>
                  <w:noWrap w:val="0"/>
                  <w:vAlign w:val="center"/>
                </w:tcPr>
                <w:p w14:paraId="4CA670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lang w:val="en-US" w:eastAsia="zh-CN"/>
                    </w:rPr>
                    <w:t>30</w:t>
                  </w:r>
                  <w:r>
                    <w:rPr>
                      <w:rFonts w:hint="eastAsia"/>
                      <w:color w:val="auto"/>
                      <w:sz w:val="18"/>
                      <w:szCs w:val="18"/>
                      <w:highlight w:val="none"/>
                    </w:rPr>
                    <w:t>m</w:t>
                  </w:r>
                  <w:r>
                    <w:rPr>
                      <w:rFonts w:hint="eastAsia"/>
                      <w:color w:val="auto"/>
                      <w:sz w:val="18"/>
                      <w:szCs w:val="18"/>
                      <w:highlight w:val="none"/>
                      <w:vertAlign w:val="superscript"/>
                    </w:rPr>
                    <w:t>2</w:t>
                  </w:r>
                </w:p>
              </w:tc>
              <w:tc>
                <w:tcPr>
                  <w:tcW w:w="640" w:type="dxa"/>
                  <w:noWrap w:val="0"/>
                  <w:vAlign w:val="center"/>
                </w:tcPr>
                <w:p w14:paraId="7FBAE3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密封油桶</w:t>
                  </w:r>
                </w:p>
              </w:tc>
              <w:tc>
                <w:tcPr>
                  <w:tcW w:w="556" w:type="dxa"/>
                  <w:noWrap w:val="0"/>
                  <w:vAlign w:val="center"/>
                </w:tcPr>
                <w:p w14:paraId="0EFF5A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lang w:val="en-US" w:eastAsia="zh-CN"/>
                    </w:rPr>
                    <w:t>10</w:t>
                  </w:r>
                  <w:r>
                    <w:rPr>
                      <w:rFonts w:hint="eastAsia"/>
                      <w:color w:val="auto"/>
                      <w:sz w:val="18"/>
                      <w:szCs w:val="18"/>
                      <w:highlight w:val="none"/>
                    </w:rPr>
                    <w:t>t</w:t>
                  </w:r>
                </w:p>
              </w:tc>
              <w:tc>
                <w:tcPr>
                  <w:tcW w:w="590" w:type="dxa"/>
                  <w:noWrap w:val="0"/>
                  <w:vAlign w:val="center"/>
                </w:tcPr>
                <w:p w14:paraId="57FE65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rPr>
                    <w:t>100d</w:t>
                  </w:r>
                </w:p>
              </w:tc>
            </w:tr>
            <w:tr w14:paraId="1B70B8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dxa"/>
                  <w:noWrap w:val="0"/>
                  <w:vAlign w:val="center"/>
                </w:tcPr>
                <w:p w14:paraId="20E91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2</w:t>
                  </w:r>
                </w:p>
              </w:tc>
              <w:tc>
                <w:tcPr>
                  <w:tcW w:w="952" w:type="dxa"/>
                  <w:vMerge w:val="continue"/>
                  <w:tcBorders/>
                  <w:noWrap w:val="0"/>
                  <w:vAlign w:val="center"/>
                </w:tcPr>
                <w:p w14:paraId="25BE12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bCs/>
                      <w:color w:val="auto"/>
                      <w:sz w:val="18"/>
                      <w:szCs w:val="18"/>
                      <w:highlight w:val="none"/>
                      <w:lang w:val="en-US" w:eastAsia="zh-CN"/>
                    </w:rPr>
                  </w:pPr>
                </w:p>
              </w:tc>
              <w:tc>
                <w:tcPr>
                  <w:tcW w:w="953" w:type="dxa"/>
                  <w:noWrap w:val="0"/>
                  <w:vAlign w:val="center"/>
                </w:tcPr>
                <w:p w14:paraId="0EEDB0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bCs/>
                      <w:color w:val="FF0000"/>
                      <w:sz w:val="18"/>
                      <w:szCs w:val="18"/>
                      <w:highlight w:val="none"/>
                      <w:lang w:val="en-US" w:eastAsia="zh-CN"/>
                    </w:rPr>
                  </w:pPr>
                  <w:r>
                    <w:rPr>
                      <w:rFonts w:hint="eastAsia"/>
                      <w:bCs/>
                      <w:color w:val="FF0000"/>
                      <w:sz w:val="18"/>
                      <w:szCs w:val="18"/>
                      <w:highlight w:val="none"/>
                      <w:lang w:val="en-US" w:eastAsia="zh-CN"/>
                    </w:rPr>
                    <w:t>废弃含油抹布、手套</w:t>
                  </w:r>
                </w:p>
              </w:tc>
              <w:tc>
                <w:tcPr>
                  <w:tcW w:w="671" w:type="dxa"/>
                  <w:shd w:val="clear" w:color="auto" w:fill="auto"/>
                  <w:noWrap w:val="0"/>
                  <w:vAlign w:val="center"/>
                </w:tcPr>
                <w:p w14:paraId="7A577992">
                  <w:pPr>
                    <w:keepNext w:val="0"/>
                    <w:keepLines w:val="0"/>
                    <w:pageBreakBefore w:val="0"/>
                    <w:widowControl w:val="0"/>
                    <w:tabs>
                      <w:tab w:val="center" w:pos="4153"/>
                      <w:tab w:val="right" w:pos="8306"/>
                    </w:tabs>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FF0000"/>
                      <w:kern w:val="2"/>
                      <w:sz w:val="18"/>
                      <w:szCs w:val="18"/>
                      <w:highlight w:val="none"/>
                      <w:lang w:val="en-US" w:eastAsia="zh-CN" w:bidi="ar-SA"/>
                    </w:rPr>
                  </w:pPr>
                  <w:r>
                    <w:rPr>
                      <w:rFonts w:hint="eastAsia" w:ascii="Times New Roman" w:hAnsi="Times New Roman" w:eastAsia="宋体" w:cs="Times New Roman"/>
                      <w:color w:val="FF0000"/>
                      <w:kern w:val="0"/>
                      <w:sz w:val="18"/>
                      <w:szCs w:val="18"/>
                      <w:highlight w:val="none"/>
                      <w:lang w:val="en-US" w:eastAsia="zh-CN" w:bidi="ar-SA"/>
                    </w:rPr>
                    <w:t>HW49</w:t>
                  </w:r>
                </w:p>
              </w:tc>
              <w:tc>
                <w:tcPr>
                  <w:tcW w:w="1302" w:type="dxa"/>
                  <w:shd w:val="clear" w:color="auto" w:fill="auto"/>
                  <w:noWrap w:val="0"/>
                  <w:vAlign w:val="center"/>
                </w:tcPr>
                <w:p w14:paraId="1E0BF936">
                  <w:pPr>
                    <w:pStyle w:val="14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FF0000"/>
                      <w:kern w:val="0"/>
                      <w:sz w:val="18"/>
                      <w:szCs w:val="18"/>
                      <w:highlight w:val="none"/>
                      <w:lang w:val="en-US" w:eastAsia="zh-CN" w:bidi="ar-SA"/>
                    </w:rPr>
                  </w:pPr>
                  <w:r>
                    <w:rPr>
                      <w:rFonts w:hint="eastAsia" w:ascii="Times New Roman" w:hAnsi="Times New Roman" w:eastAsia="宋体" w:cs="Times New Roman"/>
                      <w:color w:val="FF0000"/>
                      <w:kern w:val="0"/>
                      <w:sz w:val="18"/>
                      <w:szCs w:val="18"/>
                      <w:highlight w:val="none"/>
                      <w:lang w:val="en-US" w:eastAsia="zh-CN" w:bidi="ar-SA"/>
                    </w:rPr>
                    <w:t>900-041-49</w:t>
                  </w:r>
                </w:p>
              </w:tc>
              <w:tc>
                <w:tcPr>
                  <w:tcW w:w="973" w:type="dxa"/>
                  <w:vMerge w:val="continue"/>
                  <w:tcBorders/>
                  <w:shd w:val="clear"/>
                  <w:noWrap w:val="0"/>
                  <w:vAlign w:val="center"/>
                </w:tcPr>
                <w:p w14:paraId="6D9B1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bCs/>
                      <w:color w:val="FF0000"/>
                      <w:kern w:val="2"/>
                      <w:sz w:val="18"/>
                      <w:szCs w:val="18"/>
                      <w:highlight w:val="none"/>
                      <w:lang w:val="en-US" w:eastAsia="zh-CN" w:bidi="ar-SA"/>
                    </w:rPr>
                  </w:pPr>
                </w:p>
              </w:tc>
              <w:tc>
                <w:tcPr>
                  <w:tcW w:w="890" w:type="dxa"/>
                  <w:vMerge w:val="continue"/>
                  <w:tcBorders/>
                  <w:noWrap w:val="0"/>
                  <w:vAlign w:val="center"/>
                </w:tcPr>
                <w:p w14:paraId="03C589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FF0000"/>
                      <w:sz w:val="18"/>
                      <w:szCs w:val="18"/>
                      <w:highlight w:val="none"/>
                      <w:lang w:val="en-US" w:eastAsia="zh-CN"/>
                    </w:rPr>
                  </w:pPr>
                </w:p>
              </w:tc>
              <w:tc>
                <w:tcPr>
                  <w:tcW w:w="640" w:type="dxa"/>
                  <w:noWrap w:val="0"/>
                  <w:vAlign w:val="center"/>
                </w:tcPr>
                <w:p w14:paraId="723B1F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18"/>
                      <w:szCs w:val="18"/>
                      <w:highlight w:val="none"/>
                      <w:lang w:val="en-US" w:eastAsia="zh-CN"/>
                    </w:rPr>
                  </w:pPr>
                  <w:r>
                    <w:rPr>
                      <w:rFonts w:hint="eastAsia"/>
                      <w:color w:val="FF0000"/>
                      <w:sz w:val="18"/>
                      <w:szCs w:val="18"/>
                      <w:highlight w:val="none"/>
                      <w:lang w:val="en-US" w:eastAsia="zh-CN"/>
                    </w:rPr>
                    <w:t>密闭设施</w:t>
                  </w:r>
                </w:p>
              </w:tc>
              <w:tc>
                <w:tcPr>
                  <w:tcW w:w="556" w:type="dxa"/>
                  <w:noWrap w:val="0"/>
                  <w:vAlign w:val="center"/>
                </w:tcPr>
                <w:p w14:paraId="23522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FF0000"/>
                      <w:sz w:val="18"/>
                      <w:szCs w:val="18"/>
                      <w:highlight w:val="none"/>
                      <w:lang w:val="en-US" w:eastAsia="zh-CN"/>
                    </w:rPr>
                  </w:pPr>
                  <w:r>
                    <w:rPr>
                      <w:rFonts w:hint="eastAsia"/>
                      <w:color w:val="FF0000"/>
                      <w:sz w:val="18"/>
                      <w:szCs w:val="18"/>
                      <w:highlight w:val="none"/>
                      <w:lang w:val="en-US" w:eastAsia="zh-CN"/>
                    </w:rPr>
                    <w:t>5t</w:t>
                  </w:r>
                </w:p>
              </w:tc>
              <w:tc>
                <w:tcPr>
                  <w:tcW w:w="590" w:type="dxa"/>
                  <w:shd w:val="clear"/>
                  <w:noWrap w:val="0"/>
                  <w:vAlign w:val="center"/>
                </w:tcPr>
                <w:p w14:paraId="26918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FF0000"/>
                      <w:kern w:val="2"/>
                      <w:sz w:val="18"/>
                      <w:szCs w:val="18"/>
                      <w:highlight w:val="none"/>
                      <w:lang w:val="en-US" w:eastAsia="zh-CN" w:bidi="ar-SA"/>
                    </w:rPr>
                  </w:pPr>
                  <w:r>
                    <w:rPr>
                      <w:rFonts w:hint="eastAsia"/>
                      <w:color w:val="FF0000"/>
                      <w:sz w:val="18"/>
                      <w:szCs w:val="18"/>
                      <w:highlight w:val="none"/>
                    </w:rPr>
                    <w:t>100d</w:t>
                  </w:r>
                </w:p>
              </w:tc>
            </w:tr>
          </w:tbl>
          <w:p w14:paraId="72B28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eastAsia" w:cs="Times New Roman"/>
                <w:color w:val="auto"/>
                <w:kern w:val="21"/>
                <w:szCs w:val="21"/>
                <w:highlight w:val="none"/>
                <w:lang w:eastAsia="zh-CN"/>
              </w:rPr>
              <w:t>（</w:t>
            </w:r>
            <w:r>
              <w:rPr>
                <w:rFonts w:hint="default" w:ascii="Times New Roman" w:hAnsi="Times New Roman" w:eastAsia="宋体" w:cs="Times New Roman"/>
                <w:color w:val="auto"/>
                <w:kern w:val="21"/>
                <w:szCs w:val="21"/>
                <w:highlight w:val="none"/>
              </w:rPr>
              <w:t>2）环境管理</w:t>
            </w:r>
            <w:r>
              <w:rPr>
                <w:rFonts w:hint="default" w:ascii="Times New Roman" w:hAnsi="Times New Roman" w:cs="Times New Roman"/>
                <w:bCs/>
                <w:color w:val="auto"/>
                <w:szCs w:val="21"/>
                <w:highlight w:val="none"/>
              </w:rPr>
              <w:t>要求</w:t>
            </w:r>
          </w:p>
          <w:p w14:paraId="64CE78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eastAsia="宋体"/>
                <w:color w:val="auto"/>
                <w:szCs w:val="21"/>
                <w:highlight w:val="none"/>
                <w:lang w:val="en-US" w:eastAsia="zh-CN"/>
              </w:rPr>
            </w:pPr>
            <w:r>
              <w:rPr>
                <w:rFonts w:hint="eastAsia" w:ascii="宋体" w:hAnsi="宋体" w:cs="宋体"/>
                <w:bCs/>
                <w:color w:val="auto"/>
                <w:sz w:val="21"/>
                <w:szCs w:val="21"/>
                <w:highlight w:val="none"/>
              </w:rPr>
              <w:t>本项目</w:t>
            </w:r>
            <w:r>
              <w:rPr>
                <w:rFonts w:hint="eastAsia" w:cs="Times New Roman"/>
                <w:color w:val="auto"/>
                <w:sz w:val="21"/>
                <w:szCs w:val="21"/>
                <w:highlight w:val="none"/>
                <w:lang w:val="en-US" w:eastAsia="zh-CN"/>
              </w:rPr>
              <w:t>无新增生活垃圾；锅炉多管陶瓷+</w:t>
            </w:r>
            <w:r>
              <w:rPr>
                <w:rFonts w:hint="eastAsia"/>
                <w:color w:val="auto"/>
                <w:sz w:val="21"/>
                <w:szCs w:val="21"/>
                <w:highlight w:val="none"/>
                <w:lang w:eastAsia="zh-CN"/>
              </w:rPr>
              <w:t>布袋除尘器收尘</w:t>
            </w:r>
            <w:r>
              <w:rPr>
                <w:rFonts w:hint="eastAsia"/>
                <w:color w:val="auto"/>
                <w:sz w:val="21"/>
                <w:szCs w:val="21"/>
                <w:highlight w:val="none"/>
                <w:lang w:val="en-US" w:eastAsia="zh-CN"/>
              </w:rPr>
              <w:t>及锅炉炉渣</w:t>
            </w:r>
            <w:r>
              <w:rPr>
                <w:rFonts w:hint="eastAsia"/>
                <w:color w:val="auto"/>
                <w:sz w:val="21"/>
                <w:szCs w:val="21"/>
                <w:highlight w:val="none"/>
                <w:lang w:eastAsia="zh-CN"/>
              </w:rPr>
              <w:t>，</w:t>
            </w:r>
            <w:r>
              <w:rPr>
                <w:rFonts w:hint="eastAsia" w:cs="Times New Roman"/>
                <w:color w:val="auto"/>
                <w:sz w:val="21"/>
                <w:szCs w:val="21"/>
                <w:highlight w:val="none"/>
                <w:lang w:val="en-US" w:eastAsia="zh-CN"/>
              </w:rPr>
              <w:t>袋装收集存储于密闭灰渣库内，定期外售综合利用；</w:t>
            </w:r>
            <w:r>
              <w:rPr>
                <w:rFonts w:hint="eastAsia"/>
                <w:color w:val="auto"/>
                <w:sz w:val="21"/>
                <w:szCs w:val="21"/>
                <w:highlight w:val="none"/>
                <w:lang w:val="en-US" w:eastAsia="zh-CN"/>
              </w:rPr>
              <w:t>废离子交换树脂</w:t>
            </w:r>
            <w:r>
              <w:rPr>
                <w:rFonts w:hint="eastAsia" w:cs="Times New Roman"/>
                <w:color w:val="auto"/>
                <w:sz w:val="21"/>
                <w:szCs w:val="21"/>
                <w:highlight w:val="none"/>
                <w:lang w:val="en-US" w:eastAsia="zh-CN"/>
              </w:rPr>
              <w:t>，</w:t>
            </w:r>
            <w:r>
              <w:rPr>
                <w:rFonts w:hint="eastAsia" w:ascii="宋体" w:hAnsi="宋体" w:cs="宋体"/>
                <w:color w:val="auto"/>
                <w:sz w:val="21"/>
                <w:szCs w:val="21"/>
                <w:highlight w:val="none"/>
              </w:rPr>
              <w:t>更换后由厂家回收处置</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废布袋，</w:t>
            </w:r>
            <w:r>
              <w:rPr>
                <w:rFonts w:hint="eastAsia" w:ascii="宋体" w:hAnsi="宋体" w:cs="宋体"/>
                <w:color w:val="auto"/>
                <w:sz w:val="21"/>
                <w:szCs w:val="21"/>
                <w:highlight w:val="none"/>
              </w:rPr>
              <w:t>由除尘器厂家更换后直接带走</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废机油</w:t>
            </w:r>
            <w:r>
              <w:rPr>
                <w:rFonts w:hint="default"/>
                <w:color w:val="auto"/>
                <w:szCs w:val="21"/>
                <w:highlight w:val="none"/>
              </w:rPr>
              <w:t>密封桶装，</w:t>
            </w:r>
            <w:r>
              <w:rPr>
                <w:rFonts w:hint="eastAsia"/>
                <w:color w:val="auto"/>
                <w:sz w:val="21"/>
                <w:szCs w:val="21"/>
                <w:highlight w:val="none"/>
                <w:lang w:eastAsia="zh-CN"/>
              </w:rPr>
              <w:t>废弃含油抹布、手套集中收集，</w:t>
            </w:r>
            <w:r>
              <w:rPr>
                <w:rFonts w:hint="default"/>
                <w:color w:val="auto"/>
                <w:szCs w:val="21"/>
                <w:highlight w:val="none"/>
              </w:rPr>
              <w:t>暂存于</w:t>
            </w:r>
            <w:r>
              <w:rPr>
                <w:rFonts w:hint="eastAsia"/>
                <w:color w:val="auto"/>
                <w:szCs w:val="21"/>
                <w:highlight w:val="none"/>
                <w:lang w:val="en-US" w:eastAsia="zh-CN"/>
              </w:rPr>
              <w:t>东山煤矿材料科</w:t>
            </w:r>
            <w:r>
              <w:rPr>
                <w:rFonts w:hint="default"/>
                <w:color w:val="auto"/>
                <w:szCs w:val="21"/>
                <w:highlight w:val="none"/>
              </w:rPr>
              <w:t>危险废物贮存</w:t>
            </w:r>
            <w:r>
              <w:rPr>
                <w:rFonts w:hint="eastAsia"/>
                <w:color w:val="auto"/>
                <w:szCs w:val="21"/>
                <w:highlight w:val="none"/>
                <w:lang w:val="en-US" w:eastAsia="zh-CN"/>
              </w:rPr>
              <w:t>库</w:t>
            </w:r>
            <w:r>
              <w:rPr>
                <w:rFonts w:hint="default"/>
                <w:color w:val="auto"/>
                <w:szCs w:val="21"/>
                <w:highlight w:val="none"/>
              </w:rPr>
              <w:t>内，</w:t>
            </w:r>
            <w:r>
              <w:rPr>
                <w:rFonts w:hint="default"/>
                <w:color w:val="auto"/>
                <w:kern w:val="21"/>
                <w:szCs w:val="21"/>
                <w:highlight w:val="none"/>
              </w:rPr>
              <w:t>定期由有资质单位拉运处理</w:t>
            </w:r>
            <w:r>
              <w:rPr>
                <w:rFonts w:hint="eastAsia"/>
                <w:color w:val="auto"/>
                <w:kern w:val="21"/>
                <w:szCs w:val="21"/>
                <w:highlight w:val="none"/>
                <w:lang w:eastAsia="zh-CN"/>
              </w:rPr>
              <w:t>。</w:t>
            </w:r>
          </w:p>
          <w:p w14:paraId="0B03B37E">
            <w:pPr>
              <w:pStyle w:val="4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1）一般固体废物环境管理要求</w:t>
            </w:r>
          </w:p>
          <w:p w14:paraId="1D062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1 \* GB3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①</w:t>
            </w:r>
            <w:r>
              <w:rPr>
                <w:rFonts w:hint="default" w:ascii="Times New Roman" w:hAnsi="Times New Roman" w:eastAsia="宋体" w:cs="Times New Roman"/>
                <w:color w:val="auto"/>
                <w:kern w:val="2"/>
                <w:sz w:val="21"/>
                <w:szCs w:val="21"/>
                <w:highlight w:val="none"/>
                <w:lang w:val="en-US" w:eastAsia="zh-CN" w:bidi="ar-SA"/>
              </w:rPr>
              <w:fldChar w:fldCharType="end"/>
            </w:r>
            <w:r>
              <w:rPr>
                <w:rFonts w:hint="default" w:ascii="Times New Roman" w:hAnsi="Times New Roman" w:eastAsia="宋体" w:cs="Times New Roman"/>
                <w:color w:val="auto"/>
                <w:kern w:val="2"/>
                <w:sz w:val="21"/>
                <w:szCs w:val="21"/>
                <w:highlight w:val="none"/>
                <w:lang w:val="en-US" w:eastAsia="zh-CN" w:bidi="ar-SA"/>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644676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2 \* GB3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②</w:t>
            </w:r>
            <w:r>
              <w:rPr>
                <w:rFonts w:hint="default" w:ascii="Times New Roman" w:hAnsi="Times New Roman" w:eastAsia="宋体" w:cs="Times New Roman"/>
                <w:color w:val="auto"/>
                <w:kern w:val="2"/>
                <w:sz w:val="21"/>
                <w:szCs w:val="21"/>
                <w:highlight w:val="none"/>
                <w:lang w:val="en-US" w:eastAsia="zh-CN" w:bidi="ar-SA"/>
              </w:rPr>
              <w:fldChar w:fldCharType="end"/>
            </w:r>
            <w:r>
              <w:rPr>
                <w:rFonts w:hint="default" w:ascii="Times New Roman" w:hAnsi="Times New Roman" w:eastAsia="宋体" w:cs="Times New Roman"/>
                <w:color w:val="auto"/>
                <w:kern w:val="2"/>
                <w:sz w:val="21"/>
                <w:szCs w:val="21"/>
                <w:highlight w:val="none"/>
                <w:lang w:val="en-US" w:eastAsia="zh-CN" w:bidi="ar-SA"/>
              </w:rPr>
              <w:t>禁止向生活垃圾收集设施中投放工业固体废物。</w:t>
            </w:r>
          </w:p>
          <w:p w14:paraId="5C57BE18">
            <w:pPr>
              <w:pStyle w:val="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fldChar w:fldCharType="begin"/>
            </w:r>
            <w:r>
              <w:rPr>
                <w:rFonts w:hint="default" w:ascii="Times New Roman" w:hAnsi="Times New Roman" w:eastAsia="宋体" w:cs="Times New Roman"/>
                <w:color w:val="auto"/>
                <w:kern w:val="2"/>
                <w:sz w:val="21"/>
                <w:szCs w:val="21"/>
                <w:highlight w:val="none"/>
                <w:lang w:val="en-US" w:eastAsia="zh-CN" w:bidi="ar-SA"/>
              </w:rPr>
              <w:instrText xml:space="preserve"> = 3 \* GB3 </w:instrText>
            </w:r>
            <w:r>
              <w:rPr>
                <w:rFonts w:hint="default" w:ascii="Times New Roman" w:hAnsi="Times New Roman" w:eastAsia="宋体" w:cs="Times New Roman"/>
                <w:color w:val="auto"/>
                <w:kern w:val="2"/>
                <w:sz w:val="21"/>
                <w:szCs w:val="21"/>
                <w:highlight w:val="none"/>
                <w:lang w:val="en-US" w:eastAsia="zh-CN" w:bidi="ar-SA"/>
              </w:rPr>
              <w:fldChar w:fldCharType="separate"/>
            </w:r>
            <w:r>
              <w:rPr>
                <w:rFonts w:hint="default" w:ascii="Times New Roman" w:hAnsi="Times New Roman" w:eastAsia="宋体" w:cs="Times New Roman"/>
                <w:color w:val="auto"/>
                <w:kern w:val="2"/>
                <w:sz w:val="21"/>
                <w:szCs w:val="21"/>
                <w:highlight w:val="none"/>
                <w:lang w:val="en-US" w:eastAsia="zh-CN" w:bidi="ar-SA"/>
              </w:rPr>
              <w:t>③</w:t>
            </w:r>
            <w:r>
              <w:rPr>
                <w:rFonts w:hint="default" w:ascii="Times New Roman" w:hAnsi="Times New Roman" w:eastAsia="宋体" w:cs="Times New Roman"/>
                <w:color w:val="auto"/>
                <w:kern w:val="2"/>
                <w:sz w:val="21"/>
                <w:szCs w:val="21"/>
                <w:highlight w:val="none"/>
                <w:lang w:val="en-US" w:eastAsia="zh-CN" w:bidi="ar-SA"/>
              </w:rPr>
              <w:fldChar w:fldCharType="end"/>
            </w:r>
            <w:r>
              <w:rPr>
                <w:rFonts w:hint="default" w:ascii="Times New Roman" w:hAnsi="Times New Roman" w:eastAsia="宋体" w:cs="Times New Roman"/>
                <w:color w:val="auto"/>
                <w:kern w:val="2"/>
                <w:sz w:val="21"/>
                <w:szCs w:val="21"/>
                <w:highlight w:val="none"/>
                <w:lang w:val="en-US" w:eastAsia="zh-CN" w:bidi="ar-SA"/>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7AFAD7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2）危险废物环境管理要求</w:t>
            </w:r>
          </w:p>
          <w:p w14:paraId="743DE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本项目危险废物产生后密封收集，再送到</w:t>
            </w:r>
            <w:r>
              <w:rPr>
                <w:rFonts w:hint="eastAsia" w:cs="Times New Roman"/>
                <w:color w:val="auto"/>
                <w:sz w:val="21"/>
                <w:szCs w:val="21"/>
                <w:highlight w:val="none"/>
                <w:lang w:val="en-US" w:eastAsia="zh-CN"/>
              </w:rPr>
              <w:t>东山煤矿材料科</w:t>
            </w:r>
            <w:r>
              <w:rPr>
                <w:rFonts w:hint="default" w:ascii="Times New Roman" w:hAnsi="Times New Roman" w:eastAsia="宋体" w:cs="Times New Roman"/>
                <w:color w:val="auto"/>
                <w:sz w:val="21"/>
                <w:szCs w:val="21"/>
                <w:highlight w:val="none"/>
              </w:rPr>
              <w:t>危险废物贮存</w:t>
            </w:r>
            <w:r>
              <w:rPr>
                <w:rFonts w:hint="eastAsia" w:cs="Times New Roman"/>
                <w:color w:val="auto"/>
                <w:sz w:val="21"/>
                <w:szCs w:val="21"/>
                <w:highlight w:val="none"/>
                <w:lang w:val="en-US" w:eastAsia="zh-CN"/>
              </w:rPr>
              <w:t>库</w:t>
            </w:r>
            <w:r>
              <w:rPr>
                <w:rFonts w:hint="default" w:ascii="Times New Roman" w:hAnsi="Times New Roman" w:eastAsia="宋体" w:cs="Times New Roman"/>
                <w:color w:val="auto"/>
                <w:sz w:val="21"/>
                <w:szCs w:val="21"/>
                <w:highlight w:val="none"/>
              </w:rPr>
              <w:t>暂存，运输环节在厂内，不会因厂内运输过程中撒漏等导致排放到环境中；外运由有资质单位采用专用车辆运输，运输过程中对环境影响小。</w:t>
            </w:r>
          </w:p>
          <w:p w14:paraId="2C270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建设单位应按照</w:t>
            </w:r>
            <w:r>
              <w:rPr>
                <w:rFonts w:hint="default" w:ascii="Times New Roman" w:hAnsi="Times New Roman" w:eastAsia="宋体" w:cs="Times New Roman"/>
                <w:color w:val="auto"/>
                <w:kern w:val="0"/>
                <w:sz w:val="21"/>
                <w:szCs w:val="21"/>
                <w:highlight w:val="none"/>
                <w:lang w:bidi="ar"/>
              </w:rPr>
              <w:t>《危险废物贮存污染控制标准》（GB18597-2023）</w:t>
            </w:r>
            <w:r>
              <w:rPr>
                <w:rFonts w:hint="default" w:ascii="Times New Roman" w:hAnsi="Times New Roman" w:eastAsia="宋体" w:cs="Times New Roman"/>
                <w:color w:val="auto"/>
                <w:sz w:val="21"/>
                <w:szCs w:val="21"/>
                <w:highlight w:val="none"/>
              </w:rPr>
              <w:t>要求设置暂存区（危险废物贮存</w:t>
            </w:r>
            <w:r>
              <w:rPr>
                <w:rFonts w:hint="eastAsia" w:cs="Times New Roman"/>
                <w:color w:val="auto"/>
                <w:sz w:val="21"/>
                <w:szCs w:val="21"/>
                <w:highlight w:val="none"/>
                <w:lang w:val="en-US" w:eastAsia="zh-CN"/>
              </w:rPr>
              <w:t>库</w:t>
            </w:r>
            <w:r>
              <w:rPr>
                <w:rFonts w:hint="default" w:ascii="Times New Roman" w:hAnsi="Times New Roman" w:eastAsia="宋体" w:cs="Times New Roman"/>
                <w:color w:val="auto"/>
                <w:sz w:val="21"/>
                <w:szCs w:val="21"/>
                <w:highlight w:val="none"/>
              </w:rPr>
              <w:t>），</w:t>
            </w:r>
            <w:r>
              <w:rPr>
                <w:rFonts w:hint="eastAsia"/>
                <w:bCs/>
                <w:color w:val="auto"/>
                <w:szCs w:val="21"/>
                <w:highlight w:val="none"/>
                <w:lang w:val="en-US" w:eastAsia="zh-CN"/>
              </w:rPr>
              <w:t>贮存库地面与</w:t>
            </w:r>
            <w:r>
              <w:rPr>
                <w:rFonts w:hint="default"/>
                <w:color w:val="auto"/>
                <w:szCs w:val="21"/>
                <w:highlight w:val="none"/>
                <w:lang w:val="en-US" w:eastAsia="zh-CN"/>
              </w:rPr>
              <w:t>裙脚</w:t>
            </w:r>
            <w:r>
              <w:rPr>
                <w:rFonts w:hint="eastAsia"/>
                <w:bCs/>
                <w:color w:val="auto"/>
                <w:szCs w:val="21"/>
                <w:highlight w:val="none"/>
                <w:lang w:val="en-US" w:eastAsia="zh-CN"/>
              </w:rPr>
              <w:t>采取</w:t>
            </w:r>
            <w:r>
              <w:rPr>
                <w:rFonts w:hint="eastAsia"/>
                <w:color w:val="auto"/>
                <w:szCs w:val="21"/>
                <w:highlight w:val="none"/>
                <w:lang w:val="en-US" w:eastAsia="zh-CN"/>
              </w:rPr>
              <w:t>抗渗混凝土重点防渗，</w:t>
            </w:r>
            <w:r>
              <w:rPr>
                <w:rFonts w:hint="default"/>
                <w:color w:val="auto"/>
                <w:szCs w:val="21"/>
                <w:highlight w:val="none"/>
                <w:lang w:val="en-US" w:eastAsia="zh-CN"/>
              </w:rPr>
              <w:t>贮存</w:t>
            </w:r>
            <w:r>
              <w:rPr>
                <w:rFonts w:hint="eastAsia"/>
                <w:color w:val="auto"/>
                <w:szCs w:val="21"/>
                <w:highlight w:val="none"/>
                <w:lang w:val="en-US" w:eastAsia="zh-CN"/>
              </w:rPr>
              <w:t>库</w:t>
            </w:r>
            <w:r>
              <w:rPr>
                <w:rFonts w:hint="default"/>
                <w:color w:val="auto"/>
                <w:szCs w:val="21"/>
                <w:highlight w:val="none"/>
                <w:lang w:val="en-US" w:eastAsia="zh-CN"/>
              </w:rPr>
              <w:t>外贴明显标识</w:t>
            </w:r>
            <w:r>
              <w:rPr>
                <w:rFonts w:hint="eastAsia"/>
                <w:color w:val="auto"/>
                <w:szCs w:val="21"/>
                <w:highlight w:val="none"/>
                <w:lang w:val="en-US" w:eastAsia="zh-CN"/>
              </w:rPr>
              <w:t>，贮存库内设置密封油桶</w:t>
            </w:r>
            <w:r>
              <w:rPr>
                <w:rFonts w:hint="default" w:ascii="Times New Roman" w:hAnsi="Times New Roman" w:eastAsia="宋体" w:cs="Times New Roman"/>
                <w:snapToGrid w:val="0"/>
                <w:color w:val="auto"/>
                <w:kern w:val="0"/>
                <w:sz w:val="21"/>
                <w:szCs w:val="21"/>
                <w:highlight w:val="none"/>
              </w:rPr>
              <w:t>，</w:t>
            </w:r>
            <w:r>
              <w:rPr>
                <w:rFonts w:hint="default" w:ascii="Times New Roman" w:hAnsi="Times New Roman" w:eastAsia="宋体" w:cs="Times New Roman"/>
                <w:color w:val="auto"/>
                <w:sz w:val="21"/>
                <w:szCs w:val="21"/>
                <w:highlight w:val="none"/>
              </w:rPr>
              <w:t>本项目危险废物</w:t>
            </w:r>
            <w:r>
              <w:rPr>
                <w:rFonts w:hint="eastAsia" w:ascii="Times New Roman" w:hAnsi="Times New Roman" w:eastAsia="宋体" w:cs="Times New Roman"/>
                <w:color w:val="auto"/>
                <w:sz w:val="21"/>
                <w:szCs w:val="21"/>
                <w:highlight w:val="none"/>
                <w:lang w:val="en-US" w:eastAsia="zh-CN"/>
              </w:rPr>
              <w:t>存储</w:t>
            </w:r>
            <w:r>
              <w:rPr>
                <w:rFonts w:hint="default" w:ascii="Times New Roman" w:hAnsi="Times New Roman" w:eastAsia="宋体" w:cs="Times New Roman"/>
                <w:color w:val="auto"/>
                <w:sz w:val="21"/>
                <w:szCs w:val="21"/>
                <w:highlight w:val="none"/>
              </w:rPr>
              <w:t>、转运过程严格执行</w:t>
            </w:r>
            <w:r>
              <w:rPr>
                <w:rFonts w:hint="default" w:ascii="Times New Roman" w:hAnsi="Times New Roman" w:eastAsia="宋体" w:cs="Times New Roman"/>
                <w:color w:val="auto"/>
                <w:kern w:val="0"/>
                <w:sz w:val="21"/>
                <w:szCs w:val="21"/>
                <w:highlight w:val="none"/>
                <w:lang w:bidi="ar"/>
              </w:rPr>
              <w:t>《危险废物贮存污染控制标准》（GB18597-2023）</w:t>
            </w:r>
            <w:r>
              <w:rPr>
                <w:rFonts w:hint="default" w:ascii="Times New Roman" w:hAnsi="Times New Roman" w:eastAsia="宋体" w:cs="Times New Roman"/>
                <w:color w:val="auto"/>
                <w:sz w:val="21"/>
                <w:szCs w:val="21"/>
                <w:highlight w:val="none"/>
              </w:rPr>
              <w:t>的规定，危险废物贮存</w:t>
            </w:r>
            <w:r>
              <w:rPr>
                <w:rFonts w:hint="eastAsia" w:cs="Times New Roman"/>
                <w:color w:val="auto"/>
                <w:sz w:val="21"/>
                <w:szCs w:val="21"/>
                <w:highlight w:val="none"/>
                <w:lang w:val="en-US" w:eastAsia="zh-CN"/>
              </w:rPr>
              <w:t>库</w:t>
            </w:r>
            <w:r>
              <w:rPr>
                <w:rFonts w:hint="default" w:ascii="Times New Roman" w:hAnsi="Times New Roman" w:eastAsia="宋体" w:cs="Times New Roman"/>
                <w:color w:val="auto"/>
                <w:sz w:val="21"/>
                <w:szCs w:val="21"/>
                <w:highlight w:val="none"/>
              </w:rPr>
              <w:t>采取防雨、防渗、防风、防晒的措施，对危险废物的容器或包装物以及收集、贮存、运输、处置危险废物的设施、场所，必须设置危险废物识别标志；定期对所贮存的危险废物包装容器及贮存设施进行检查，发现破损，应及时采取措施清理更换。转运严格遵照《危险废物转移联单管理办法》规定执行，危险废物产生者和危险废物贮存设施；经营者均须做好危险废物情况的记录，记录上须注明危险废物的名称、来源、数量、特性和包装容器的类别、入库日期、存放库位、废物出库日期及接收单位名称。</w:t>
            </w:r>
          </w:p>
          <w:p w14:paraId="2A2552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危险废物委托有资质单位进行运输，在运输过程中要采用专用的车辆，密闭运输，严格禁止跑冒滴漏，杜绝在运输过程中造成环境的二次污染，在危险废物的运输中执行《危险废物转移联单管理办法》中有关的规定和要求。</w:t>
            </w:r>
          </w:p>
          <w:p w14:paraId="46B26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危险废物贮存</w:t>
            </w:r>
            <w:r>
              <w:rPr>
                <w:rFonts w:hint="eastAsia" w:cs="Times New Roman"/>
                <w:color w:val="auto"/>
                <w:sz w:val="21"/>
                <w:szCs w:val="21"/>
                <w:highlight w:val="none"/>
                <w:lang w:val="en-US" w:eastAsia="zh-CN"/>
              </w:rPr>
              <w:t>库</w:t>
            </w:r>
            <w:r>
              <w:rPr>
                <w:rFonts w:hint="default" w:ascii="Times New Roman" w:hAnsi="Times New Roman" w:eastAsia="宋体" w:cs="Times New Roman"/>
                <w:color w:val="auto"/>
                <w:sz w:val="21"/>
                <w:szCs w:val="21"/>
                <w:highlight w:val="none"/>
              </w:rPr>
              <w:t>管理要求：</w:t>
            </w:r>
          </w:p>
          <w:p w14:paraId="24DA36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①危险废物的管理由专人负责，设立危险管理相关台账记录，按规定办理危险废物转移手续；</w:t>
            </w:r>
          </w:p>
          <w:p w14:paraId="094EA4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②危险废物产生和贮存场所按危险废物管理要求设立相应的标识、标志；建立健全危险废物管理制度，并在显著位置张贴管理制度、危险废物产生工艺流程等；</w:t>
            </w:r>
          </w:p>
          <w:p w14:paraId="3F25AA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③危险废物贮存</w:t>
            </w:r>
            <w:r>
              <w:rPr>
                <w:rFonts w:hint="eastAsia" w:cs="Times New Roman"/>
                <w:color w:val="auto"/>
                <w:sz w:val="21"/>
                <w:szCs w:val="21"/>
                <w:highlight w:val="none"/>
                <w:lang w:val="en-US" w:eastAsia="zh-CN"/>
              </w:rPr>
              <w:t>库</w:t>
            </w:r>
            <w:r>
              <w:rPr>
                <w:rFonts w:hint="default" w:ascii="Times New Roman" w:hAnsi="Times New Roman" w:eastAsia="宋体" w:cs="Times New Roman"/>
                <w:color w:val="auto"/>
                <w:sz w:val="21"/>
                <w:szCs w:val="21"/>
                <w:highlight w:val="none"/>
              </w:rPr>
              <w:t>为危险废物专用</w:t>
            </w:r>
            <w:r>
              <w:rPr>
                <w:rFonts w:hint="eastAsia" w:cs="Times New Roman"/>
                <w:color w:val="auto"/>
                <w:sz w:val="21"/>
                <w:szCs w:val="21"/>
                <w:highlight w:val="none"/>
                <w:lang w:val="en-US" w:eastAsia="zh-CN"/>
              </w:rPr>
              <w:t>贮存</w:t>
            </w:r>
            <w:r>
              <w:rPr>
                <w:rFonts w:hint="default" w:ascii="Times New Roman" w:hAnsi="Times New Roman" w:eastAsia="宋体" w:cs="Times New Roman"/>
                <w:color w:val="auto"/>
                <w:sz w:val="21"/>
                <w:szCs w:val="21"/>
                <w:highlight w:val="none"/>
              </w:rPr>
              <w:t>，不得混存其他固体废物和物品；明确房间用途，杜绝闲杂人等误入并对人体造成损害；</w:t>
            </w:r>
          </w:p>
          <w:p w14:paraId="758320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④定期巡检，发现问题及时处理，并做好巡检记录；设立出入库台账并如实记录。</w:t>
            </w:r>
          </w:p>
          <w:p w14:paraId="686DC9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rPr>
              <w:t>采取上述措施后，运营期产生的固体废物均可得到有效处理处置，不会对周边环境产生危害性影响。</w:t>
            </w:r>
            <w:r>
              <w:rPr>
                <w:rFonts w:hint="default" w:ascii="Times New Roman" w:hAnsi="Times New Roman" w:eastAsia="宋体" w:cs="Times New Roman"/>
                <w:bCs/>
                <w:color w:val="auto"/>
                <w:sz w:val="21"/>
                <w:szCs w:val="21"/>
                <w:highlight w:val="none"/>
              </w:rPr>
              <w:t>综上所述，本项目产生的固体废物有相应的、安全的处置处理，对环境的影响较小。</w:t>
            </w:r>
          </w:p>
          <w:p w14:paraId="62E60781">
            <w:pPr>
              <w:pStyle w:val="6"/>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leftChars="0" w:right="0"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（3）环境影响分析</w:t>
            </w:r>
          </w:p>
          <w:p w14:paraId="22B9FCD0">
            <w:pPr>
              <w:pStyle w:val="6"/>
              <w:keepNext w:val="0"/>
              <w:keepLines w:val="0"/>
              <w:widowControl/>
              <w:suppressLineNumbers w:val="0"/>
              <w:spacing w:before="0" w:beforeAutospacing="0" w:after="0" w:afterAutospacing="0" w:line="360" w:lineRule="auto"/>
              <w:ind w:left="0" w:right="0" w:firstLineChars="200"/>
              <w:rPr>
                <w:rFonts w:hint="eastAsia"/>
                <w:color w:val="auto"/>
                <w:highlight w:val="none"/>
                <w:lang w:val="en-US" w:eastAsia="zh-CN"/>
              </w:rPr>
            </w:pPr>
            <w:r>
              <w:rPr>
                <w:rFonts w:hint="default" w:ascii="Times New Roman" w:hAnsi="Times New Roman" w:cs="Times New Roman"/>
                <w:color w:val="auto"/>
                <w:sz w:val="21"/>
                <w:szCs w:val="21"/>
                <w:highlight w:val="none"/>
              </w:rPr>
              <w:t>本项目所产生的固体废物做到及时收集，妥善处置，本项目一般固体废物满足《一般工业固体废物贮存和填埋污染控制标准》（GB18599-2020）</w:t>
            </w:r>
            <w:r>
              <w:rPr>
                <w:rFonts w:hint="eastAsia" w:cs="Times New Roman"/>
                <w:color w:val="auto"/>
                <w:sz w:val="21"/>
                <w:szCs w:val="21"/>
                <w:highlight w:val="none"/>
                <w:lang w:eastAsia="zh-CN"/>
              </w:rPr>
              <w:t>、</w:t>
            </w:r>
            <w:r>
              <w:rPr>
                <w:rFonts w:hint="eastAsia"/>
                <w:bCs/>
                <w:color w:val="auto"/>
                <w:szCs w:val="21"/>
                <w:highlight w:val="none"/>
              </w:rPr>
              <w:t>《固体废物分类与代码目录》（公告2024年第4号）</w:t>
            </w:r>
            <w:r>
              <w:rPr>
                <w:rFonts w:hint="eastAsia"/>
                <w:color w:val="auto"/>
                <w:szCs w:val="21"/>
                <w:highlight w:val="none"/>
              </w:rPr>
              <w:t>，</w:t>
            </w:r>
            <w:r>
              <w:rPr>
                <w:rFonts w:hint="default"/>
                <w:color w:val="auto"/>
                <w:kern w:val="0"/>
                <w:szCs w:val="21"/>
                <w:highlight w:val="none"/>
              </w:rPr>
              <w:t>危险废物</w:t>
            </w:r>
            <w:r>
              <w:rPr>
                <w:rFonts w:hint="eastAsia"/>
                <w:color w:val="auto"/>
                <w:kern w:val="0"/>
                <w:szCs w:val="21"/>
                <w:highlight w:val="none"/>
                <w:lang w:val="en-US" w:eastAsia="zh-CN"/>
              </w:rPr>
              <w:t>满足</w:t>
            </w:r>
            <w:r>
              <w:rPr>
                <w:rFonts w:hint="eastAsia" w:ascii="宋体" w:hAnsi="宋体" w:cs="宋体"/>
                <w:color w:val="auto"/>
                <w:kern w:val="0"/>
                <w:szCs w:val="21"/>
                <w:highlight w:val="none"/>
                <w:lang w:bidi="ar"/>
              </w:rPr>
              <w:t>《危险废物贮存污染控制标准》（</w:t>
            </w:r>
            <w:r>
              <w:rPr>
                <w:rFonts w:hint="default"/>
                <w:color w:val="auto"/>
                <w:kern w:val="0"/>
                <w:szCs w:val="21"/>
                <w:highlight w:val="none"/>
                <w:lang w:bidi="ar"/>
              </w:rPr>
              <w:t>GB18597-2023</w:t>
            </w:r>
            <w:r>
              <w:rPr>
                <w:rFonts w:hint="eastAsia" w:ascii="宋体" w:hAnsi="宋体" w:cs="宋体"/>
                <w:color w:val="auto"/>
                <w:kern w:val="0"/>
                <w:szCs w:val="21"/>
                <w:highlight w:val="none"/>
                <w:lang w:bidi="ar"/>
              </w:rPr>
              <w:t>）</w:t>
            </w:r>
            <w:r>
              <w:rPr>
                <w:rFonts w:hint="eastAsia" w:cs="Times New Roman"/>
                <w:color w:val="auto"/>
                <w:sz w:val="21"/>
                <w:szCs w:val="21"/>
                <w:highlight w:val="none"/>
                <w:lang w:eastAsia="zh-CN"/>
              </w:rPr>
              <w:t>，</w:t>
            </w:r>
            <w:r>
              <w:rPr>
                <w:rFonts w:hint="default"/>
                <w:color w:val="auto"/>
                <w:szCs w:val="21"/>
                <w:highlight w:val="none"/>
              </w:rPr>
              <w:t>本项目产生的固体废物经过妥善处理后，处置率达到100%不会影响周边环境。</w:t>
            </w:r>
          </w:p>
          <w:p w14:paraId="2844B13F">
            <w:pPr>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leftChars="0" w:right="0" w:firstLine="422" w:firstLineChars="200"/>
              <w:rPr>
                <w:rFonts w:hint="default" w:ascii="Times New Roman" w:hAnsi="Times New Roman" w:cs="Times New Roman"/>
                <w:b/>
                <w:color w:val="FF0000"/>
                <w:szCs w:val="21"/>
                <w:highlight w:val="none"/>
              </w:rPr>
            </w:pPr>
            <w:r>
              <w:rPr>
                <w:rFonts w:hint="default" w:ascii="Times New Roman" w:hAnsi="Times New Roman" w:cs="Times New Roman"/>
                <w:b/>
                <w:color w:val="FF0000"/>
                <w:szCs w:val="21"/>
                <w:highlight w:val="none"/>
              </w:rPr>
              <w:t>5、土壤和地下水</w:t>
            </w:r>
          </w:p>
          <w:p w14:paraId="6062A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snapToGrid w:val="0"/>
                <w:color w:val="FF0000"/>
                <w:kern w:val="0"/>
                <w:sz w:val="21"/>
                <w:szCs w:val="21"/>
                <w:highlight w:val="none"/>
              </w:rPr>
            </w:pPr>
            <w:r>
              <w:rPr>
                <w:rFonts w:hint="eastAsia"/>
                <w:bCs/>
                <w:color w:val="FF0000"/>
                <w:szCs w:val="21"/>
                <w:highlight w:val="none"/>
              </w:rPr>
              <w:t>本项目</w:t>
            </w:r>
            <w:r>
              <w:rPr>
                <w:rFonts w:hint="eastAsia"/>
                <w:bCs/>
                <w:color w:val="FF0000"/>
                <w:szCs w:val="21"/>
                <w:highlight w:val="none"/>
                <w:lang w:val="en-US" w:eastAsia="zh-CN"/>
              </w:rPr>
              <w:t>废机油、废弃含油抹布、手套，依托东山煤矿材料科危险废物贮存库，贮存库地面与</w:t>
            </w:r>
            <w:r>
              <w:rPr>
                <w:rFonts w:hint="default"/>
                <w:color w:val="FF0000"/>
                <w:szCs w:val="21"/>
                <w:highlight w:val="none"/>
                <w:lang w:val="en-US" w:eastAsia="zh-CN"/>
              </w:rPr>
              <w:t>裙脚</w:t>
            </w:r>
            <w:r>
              <w:rPr>
                <w:rFonts w:hint="eastAsia"/>
                <w:bCs/>
                <w:color w:val="FF0000"/>
                <w:szCs w:val="21"/>
                <w:highlight w:val="none"/>
                <w:lang w:val="en-US" w:eastAsia="zh-CN"/>
              </w:rPr>
              <w:t>采取</w:t>
            </w:r>
            <w:r>
              <w:rPr>
                <w:rFonts w:hint="eastAsia"/>
                <w:color w:val="FF0000"/>
                <w:szCs w:val="21"/>
                <w:highlight w:val="none"/>
                <w:lang w:val="en-US" w:eastAsia="zh-CN"/>
              </w:rPr>
              <w:t>抗渗混凝土重点防渗，</w:t>
            </w:r>
            <w:r>
              <w:rPr>
                <w:rFonts w:hint="default"/>
                <w:color w:val="FF0000"/>
                <w:szCs w:val="21"/>
                <w:highlight w:val="none"/>
                <w:lang w:val="en-US" w:eastAsia="zh-CN"/>
              </w:rPr>
              <w:t>贮存</w:t>
            </w:r>
            <w:r>
              <w:rPr>
                <w:rFonts w:hint="eastAsia"/>
                <w:color w:val="FF0000"/>
                <w:szCs w:val="21"/>
                <w:highlight w:val="none"/>
                <w:lang w:val="en-US" w:eastAsia="zh-CN"/>
              </w:rPr>
              <w:t>库</w:t>
            </w:r>
            <w:r>
              <w:rPr>
                <w:rFonts w:hint="default"/>
                <w:color w:val="FF0000"/>
                <w:szCs w:val="21"/>
                <w:highlight w:val="none"/>
                <w:lang w:val="en-US" w:eastAsia="zh-CN"/>
              </w:rPr>
              <w:t>外贴明显标识</w:t>
            </w:r>
            <w:r>
              <w:rPr>
                <w:rFonts w:hint="eastAsia"/>
                <w:color w:val="FF0000"/>
                <w:szCs w:val="21"/>
                <w:highlight w:val="none"/>
                <w:lang w:val="en-US" w:eastAsia="zh-CN"/>
              </w:rPr>
              <w:t>，贮存库内设置密封油桶</w:t>
            </w:r>
            <w:r>
              <w:rPr>
                <w:rFonts w:hint="default"/>
                <w:color w:val="FF0000"/>
                <w:szCs w:val="21"/>
                <w:highlight w:val="none"/>
                <w:lang w:val="en-US" w:eastAsia="zh-CN"/>
              </w:rPr>
              <w:t>。满足</w:t>
            </w:r>
            <w:r>
              <w:rPr>
                <w:rFonts w:hint="default"/>
                <w:color w:val="FF0000"/>
                <w:kern w:val="2"/>
                <w:szCs w:val="21"/>
                <w:highlight w:val="none"/>
                <w:lang w:val="en-US" w:eastAsia="zh-CN"/>
              </w:rPr>
              <w:t>《危险废物贮存污染控制标准》（GB18597-2023）的防渗要求</w:t>
            </w:r>
            <w:r>
              <w:rPr>
                <w:rFonts w:hint="eastAsia"/>
                <w:color w:val="FF0000"/>
                <w:kern w:val="2"/>
                <w:szCs w:val="21"/>
                <w:highlight w:val="none"/>
                <w:lang w:val="en-US" w:eastAsia="zh-CN"/>
              </w:rPr>
              <w:t>，</w:t>
            </w:r>
            <w:r>
              <w:rPr>
                <w:rFonts w:hint="eastAsia"/>
                <w:bCs/>
                <w:color w:val="FF0000"/>
                <w:szCs w:val="21"/>
                <w:highlight w:val="none"/>
                <w:lang w:val="en-US" w:eastAsia="zh-CN"/>
              </w:rPr>
              <w:t>锅炉房其他位置、灰渣库、燃料库及厂区构筑物地面</w:t>
            </w:r>
            <w:r>
              <w:rPr>
                <w:rFonts w:hint="eastAsia"/>
                <w:bCs/>
                <w:color w:val="FF0000"/>
                <w:szCs w:val="21"/>
                <w:highlight w:val="none"/>
              </w:rPr>
              <w:t>均进行了硬化</w:t>
            </w:r>
            <w:r>
              <w:rPr>
                <w:rFonts w:hint="eastAsia"/>
                <w:bCs/>
                <w:color w:val="FF0000"/>
                <w:szCs w:val="21"/>
                <w:highlight w:val="none"/>
                <w:lang w:val="en-US" w:eastAsia="zh-CN"/>
              </w:rPr>
              <w:t>地面</w:t>
            </w:r>
            <w:r>
              <w:rPr>
                <w:rFonts w:hint="eastAsia"/>
                <w:color w:val="FF0000"/>
                <w:highlight w:val="none"/>
              </w:rPr>
              <w:t>。</w:t>
            </w:r>
            <w:r>
              <w:rPr>
                <w:rFonts w:hint="eastAsia"/>
                <w:bCs/>
                <w:color w:val="FF0000"/>
                <w:szCs w:val="21"/>
                <w:highlight w:val="none"/>
              </w:rPr>
              <w:t>不存在土壤、地下水污染途径，对地下水、土壤无影响</w:t>
            </w:r>
            <w:r>
              <w:rPr>
                <w:rFonts w:hint="eastAsia"/>
                <w:color w:val="FF0000"/>
                <w:szCs w:val="21"/>
                <w:highlight w:val="none"/>
              </w:rPr>
              <w:t>。</w:t>
            </w:r>
          </w:p>
          <w:p w14:paraId="50C0A27D">
            <w:pPr>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leftChars="0" w:right="0" w:firstLine="422" w:firstLineChars="200"/>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6、环境风险</w:t>
            </w:r>
          </w:p>
          <w:p w14:paraId="6EC576DE">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 xml:space="preserve">1、风险物质 </w:t>
            </w:r>
          </w:p>
          <w:p w14:paraId="1FEF395C">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bCs/>
                <w:color w:val="FF0000"/>
                <w:kern w:val="2"/>
                <w:sz w:val="21"/>
                <w:szCs w:val="21"/>
                <w:highlight w:val="none"/>
                <w:lang w:val="en-US" w:eastAsia="zh-CN"/>
              </w:rPr>
            </w:pPr>
            <w:bookmarkStart w:id="11" w:name="_Hlk191021829"/>
            <w:r>
              <w:rPr>
                <w:rFonts w:hint="default" w:eastAsia="宋体"/>
                <w:color w:val="FF0000"/>
                <w:sz w:val="21"/>
                <w:szCs w:val="21"/>
                <w:highlight w:val="none"/>
                <w:lang w:val="en-US" w:eastAsia="zh-CN"/>
              </w:rPr>
              <w:t>根据《建设项目环境风险评价技术导则》（HJ169-2018）附录 B 以及《企业突发环境事件风险分级方法》</w:t>
            </w:r>
            <w:r>
              <w:rPr>
                <w:rFonts w:hint="eastAsia" w:eastAsia="宋体"/>
                <w:color w:val="FF0000"/>
                <w:sz w:val="21"/>
                <w:szCs w:val="21"/>
                <w:highlight w:val="none"/>
                <w:lang w:val="en-US" w:eastAsia="zh-CN"/>
              </w:rPr>
              <w:t>（</w:t>
            </w:r>
            <w:r>
              <w:rPr>
                <w:rFonts w:hint="default" w:eastAsia="宋体"/>
                <w:color w:val="FF0000"/>
                <w:sz w:val="21"/>
                <w:szCs w:val="21"/>
                <w:highlight w:val="none"/>
                <w:lang w:val="en-US" w:eastAsia="zh-CN"/>
              </w:rPr>
              <w:t>HJ941-2018）附录 A，本项目涉及的风险物质主要是设备维修保养使用的机油以及产生的废机油。正常工况下，</w:t>
            </w:r>
            <w:r>
              <w:rPr>
                <w:rFonts w:hint="eastAsia" w:eastAsia="宋体"/>
                <w:color w:val="FF0000"/>
                <w:sz w:val="21"/>
                <w:szCs w:val="21"/>
                <w:highlight w:val="none"/>
                <w:lang w:val="en-US" w:eastAsia="zh-CN"/>
              </w:rPr>
              <w:t>锅炉房</w:t>
            </w:r>
            <w:r>
              <w:rPr>
                <w:rFonts w:hint="default" w:eastAsia="宋体"/>
                <w:color w:val="FF0000"/>
                <w:sz w:val="21"/>
                <w:szCs w:val="21"/>
                <w:highlight w:val="none"/>
                <w:lang w:val="en-US" w:eastAsia="zh-CN"/>
              </w:rPr>
              <w:t>内无机油贮存，仅在设备维修保养期间使用，本项目</w:t>
            </w:r>
            <w:r>
              <w:rPr>
                <w:rFonts w:hint="eastAsia" w:eastAsia="宋体"/>
                <w:color w:val="FF0000"/>
                <w:sz w:val="21"/>
                <w:szCs w:val="21"/>
                <w:highlight w:val="none"/>
                <w:lang w:val="en-US" w:eastAsia="zh-CN"/>
              </w:rPr>
              <w:t>废机油的</w:t>
            </w:r>
            <w:r>
              <w:rPr>
                <w:rFonts w:hint="default" w:eastAsia="宋体"/>
                <w:color w:val="FF0000"/>
                <w:sz w:val="21"/>
                <w:szCs w:val="21"/>
                <w:highlight w:val="none"/>
                <w:lang w:val="en-US" w:eastAsia="zh-CN"/>
              </w:rPr>
              <w:t>最大</w:t>
            </w:r>
            <w:r>
              <w:rPr>
                <w:rFonts w:hint="eastAsia" w:eastAsia="宋体"/>
                <w:color w:val="FF0000"/>
                <w:sz w:val="21"/>
                <w:szCs w:val="21"/>
                <w:highlight w:val="none"/>
                <w:lang w:val="en-US" w:eastAsia="zh-CN"/>
              </w:rPr>
              <w:t>存在</w:t>
            </w:r>
            <w:r>
              <w:rPr>
                <w:rFonts w:hint="default" w:eastAsia="宋体"/>
                <w:color w:val="FF0000"/>
                <w:sz w:val="21"/>
                <w:szCs w:val="21"/>
                <w:highlight w:val="none"/>
                <w:lang w:val="en-US" w:eastAsia="zh-CN"/>
              </w:rPr>
              <w:t>量为0.</w:t>
            </w:r>
            <w:r>
              <w:rPr>
                <w:rFonts w:hint="eastAsia" w:eastAsia="宋体"/>
                <w:color w:val="FF0000"/>
                <w:sz w:val="21"/>
                <w:szCs w:val="21"/>
                <w:highlight w:val="none"/>
                <w:lang w:val="en-US" w:eastAsia="zh-CN"/>
              </w:rPr>
              <w:t>1</w:t>
            </w:r>
            <w:r>
              <w:rPr>
                <w:rFonts w:hint="default" w:eastAsia="宋体"/>
                <w:color w:val="FF0000"/>
                <w:sz w:val="21"/>
                <w:szCs w:val="21"/>
                <w:highlight w:val="none"/>
                <w:lang w:val="en-US" w:eastAsia="zh-CN"/>
              </w:rPr>
              <w:t>t；油类物质临界量为2500t，因此Q=0.0000</w:t>
            </w:r>
            <w:r>
              <w:rPr>
                <w:rFonts w:hint="eastAsia" w:eastAsia="宋体"/>
                <w:color w:val="FF0000"/>
                <w:sz w:val="21"/>
                <w:szCs w:val="21"/>
                <w:highlight w:val="none"/>
                <w:lang w:val="en-US" w:eastAsia="zh-CN"/>
              </w:rPr>
              <w:t>4</w:t>
            </w:r>
            <w:r>
              <w:rPr>
                <w:rFonts w:hint="default" w:eastAsia="宋体"/>
                <w:color w:val="FF0000"/>
                <w:sz w:val="21"/>
                <w:szCs w:val="21"/>
                <w:highlight w:val="none"/>
                <w:lang w:val="en-US" w:eastAsia="zh-CN"/>
              </w:rPr>
              <w:t>；因此本项目Q=0.0000</w:t>
            </w:r>
            <w:r>
              <w:rPr>
                <w:rFonts w:hint="eastAsia" w:eastAsia="宋体"/>
                <w:color w:val="FF0000"/>
                <w:sz w:val="21"/>
                <w:szCs w:val="21"/>
                <w:highlight w:val="none"/>
                <w:lang w:val="en-US" w:eastAsia="zh-CN"/>
              </w:rPr>
              <w:t>4</w:t>
            </w:r>
            <w:r>
              <w:rPr>
                <w:rFonts w:hint="default" w:eastAsia="宋体"/>
                <w:color w:val="FF0000"/>
                <w:sz w:val="21"/>
                <w:szCs w:val="21"/>
                <w:highlight w:val="none"/>
                <w:lang w:val="en-US" w:eastAsia="zh-CN"/>
              </w:rPr>
              <w:t>＜1。</w:t>
            </w:r>
            <w:bookmarkEnd w:id="11"/>
          </w:p>
          <w:p w14:paraId="16CDEBA8">
            <w:pPr>
              <w:pStyle w:val="74"/>
              <w:keepNext w:val="0"/>
              <w:keepLines w:val="0"/>
              <w:suppressLineNumbers w:val="0"/>
              <w:adjustRightInd/>
              <w:snapToGrid/>
              <w:spacing w:before="0" w:beforeAutospacing="0" w:after="0" w:afterAutospacing="0" w:line="240" w:lineRule="auto"/>
              <w:ind w:left="0" w:right="0"/>
              <w:rPr>
                <w:rFonts w:hint="default" w:ascii="Times New Roman" w:hAnsi="Times New Roman" w:cs="Times New Roman"/>
                <w:b/>
                <w:bCs w:val="0"/>
                <w:color w:val="auto"/>
                <w:szCs w:val="21"/>
                <w:highlight w:val="none"/>
              </w:rPr>
            </w:pPr>
            <w:r>
              <w:rPr>
                <w:rFonts w:hint="default" w:ascii="Times New Roman" w:hAnsi="Times New Roman" w:eastAsia="宋体" w:cs="Times New Roman"/>
                <w:b/>
                <w:bCs w:val="0"/>
                <w:color w:val="auto"/>
                <w:sz w:val="21"/>
                <w:szCs w:val="21"/>
                <w:highlight w:val="none"/>
              </w:rPr>
              <w:t>表4-1</w:t>
            </w:r>
            <w:r>
              <w:rPr>
                <w:rFonts w:hint="eastAsia" w:ascii="Times New Roman" w:eastAsia="宋体" w:cs="Times New Roman"/>
                <w:b/>
                <w:bCs w:val="0"/>
                <w:color w:val="auto"/>
                <w:sz w:val="21"/>
                <w:szCs w:val="21"/>
                <w:highlight w:val="none"/>
                <w:lang w:val="en-US" w:eastAsia="zh-CN"/>
              </w:rPr>
              <w:t>2</w:t>
            </w:r>
            <w:r>
              <w:rPr>
                <w:rFonts w:hint="default" w:ascii="Times New Roman" w:hAnsi="Times New Roman" w:eastAsia="宋体" w:cs="Times New Roman"/>
                <w:b/>
                <w:bCs w:val="0"/>
                <w:color w:val="auto"/>
                <w:sz w:val="21"/>
                <w:szCs w:val="21"/>
                <w:highlight w:val="none"/>
              </w:rPr>
              <w:t>建设项目Q值确定表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7"/>
              <w:gridCol w:w="1655"/>
              <w:gridCol w:w="1073"/>
              <w:gridCol w:w="2119"/>
              <w:gridCol w:w="1280"/>
              <w:gridCol w:w="1145"/>
            </w:tblGrid>
            <w:tr w14:paraId="4C0777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71" w:type="pct"/>
                  <w:tcBorders>
                    <w:left w:val="nil"/>
                    <w:bottom w:val="single" w:color="auto" w:sz="4" w:space="0"/>
                    <w:right w:val="single" w:color="auto" w:sz="4" w:space="0"/>
                  </w:tcBorders>
                  <w:noWrap w:val="0"/>
                  <w:vAlign w:val="center"/>
                </w:tcPr>
                <w:p w14:paraId="139A796C">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序号</w:t>
                  </w:r>
                </w:p>
              </w:tc>
              <w:tc>
                <w:tcPr>
                  <w:tcW w:w="1017" w:type="pct"/>
                  <w:tcBorders>
                    <w:left w:val="single" w:color="auto" w:sz="4" w:space="0"/>
                    <w:bottom w:val="single" w:color="auto" w:sz="4" w:space="0"/>
                    <w:right w:val="single" w:color="auto" w:sz="4" w:space="0"/>
                  </w:tcBorders>
                  <w:noWrap w:val="0"/>
                  <w:vAlign w:val="center"/>
                </w:tcPr>
                <w:p w14:paraId="76B72D48">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危险物质名称</w:t>
                  </w:r>
                </w:p>
              </w:tc>
              <w:tc>
                <w:tcPr>
                  <w:tcW w:w="660" w:type="pct"/>
                  <w:tcBorders>
                    <w:left w:val="single" w:color="auto" w:sz="4" w:space="0"/>
                    <w:bottom w:val="single" w:color="auto" w:sz="4" w:space="0"/>
                    <w:right w:val="single" w:color="auto" w:sz="4" w:space="0"/>
                  </w:tcBorders>
                  <w:noWrap w:val="0"/>
                  <w:vAlign w:val="center"/>
                </w:tcPr>
                <w:p w14:paraId="2ED8FF4A">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CAS号</w:t>
                  </w:r>
                </w:p>
              </w:tc>
              <w:tc>
                <w:tcPr>
                  <w:tcW w:w="1303" w:type="pct"/>
                  <w:tcBorders>
                    <w:left w:val="single" w:color="auto" w:sz="4" w:space="0"/>
                    <w:bottom w:val="single" w:color="auto" w:sz="4" w:space="0"/>
                    <w:right w:val="single" w:color="auto" w:sz="4" w:space="0"/>
                  </w:tcBorders>
                  <w:noWrap w:val="0"/>
                  <w:vAlign w:val="center"/>
                </w:tcPr>
                <w:p w14:paraId="141570FB">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最大存在总量qn/t</w:t>
                  </w:r>
                </w:p>
              </w:tc>
              <w:tc>
                <w:tcPr>
                  <w:tcW w:w="834" w:type="pct"/>
                  <w:tcBorders>
                    <w:left w:val="single" w:color="auto" w:sz="4" w:space="0"/>
                    <w:bottom w:val="single" w:color="auto" w:sz="4" w:space="0"/>
                    <w:right w:val="single" w:color="auto" w:sz="4" w:space="0"/>
                  </w:tcBorders>
                  <w:noWrap w:val="0"/>
                  <w:vAlign w:val="center"/>
                </w:tcPr>
                <w:p w14:paraId="4582B44A">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临界量Qn/t</w:t>
                  </w:r>
                </w:p>
              </w:tc>
              <w:tc>
                <w:tcPr>
                  <w:tcW w:w="712" w:type="pct"/>
                  <w:tcBorders>
                    <w:left w:val="single" w:color="auto" w:sz="4" w:space="0"/>
                    <w:bottom w:val="single" w:color="auto" w:sz="4" w:space="0"/>
                    <w:right w:val="nil"/>
                  </w:tcBorders>
                  <w:noWrap w:val="0"/>
                  <w:vAlign w:val="center"/>
                </w:tcPr>
                <w:p w14:paraId="24144799">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Q值</w:t>
                  </w:r>
                </w:p>
              </w:tc>
            </w:tr>
            <w:tr w14:paraId="116D16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1" w:type="pct"/>
                  <w:tcBorders>
                    <w:top w:val="single" w:color="auto" w:sz="4" w:space="0"/>
                    <w:left w:val="nil"/>
                    <w:bottom w:val="single" w:color="auto" w:sz="4" w:space="0"/>
                    <w:right w:val="single" w:color="auto" w:sz="4" w:space="0"/>
                  </w:tcBorders>
                  <w:noWrap w:val="0"/>
                  <w:vAlign w:val="center"/>
                </w:tcPr>
                <w:p w14:paraId="466FF618">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1</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736F961B">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废机油</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24814EDC">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w:t>
                  </w:r>
                </w:p>
              </w:tc>
              <w:tc>
                <w:tcPr>
                  <w:tcW w:w="1303" w:type="pct"/>
                  <w:tcBorders>
                    <w:top w:val="single" w:color="auto" w:sz="4" w:space="0"/>
                    <w:left w:val="single" w:color="auto" w:sz="4" w:space="0"/>
                    <w:bottom w:val="single" w:color="auto" w:sz="4" w:space="0"/>
                    <w:right w:val="single" w:color="auto" w:sz="4" w:space="0"/>
                  </w:tcBorders>
                  <w:noWrap w:val="0"/>
                  <w:vAlign w:val="center"/>
                </w:tcPr>
                <w:p w14:paraId="401259AC">
                  <w:pPr>
                    <w:pStyle w:val="23"/>
                    <w:keepNext w:val="0"/>
                    <w:keepLines w:val="0"/>
                    <w:widowControl/>
                    <w:suppressLineNumbers w:val="0"/>
                    <w:spacing w:before="0" w:beforeAutospacing="0" w:after="0" w:afterAutospacing="0"/>
                    <w:ind w:left="0" w:right="0" w:firstLine="0" w:firstLineChars="0"/>
                    <w:jc w:val="center"/>
                    <w:rPr>
                      <w:rFonts w:hint="eastAsia" w:eastAsia="宋体"/>
                      <w:color w:val="auto"/>
                      <w:sz w:val="18"/>
                      <w:szCs w:val="18"/>
                      <w:highlight w:val="none"/>
                      <w:lang w:eastAsia="zh-CN"/>
                    </w:rPr>
                  </w:pPr>
                  <w:r>
                    <w:rPr>
                      <w:rFonts w:hint="default"/>
                      <w:color w:val="auto"/>
                      <w:sz w:val="18"/>
                      <w:szCs w:val="18"/>
                      <w:highlight w:val="none"/>
                    </w:rPr>
                    <w:t>0.</w:t>
                  </w:r>
                  <w:r>
                    <w:rPr>
                      <w:rFonts w:hint="eastAsia"/>
                      <w:color w:val="auto"/>
                      <w:sz w:val="18"/>
                      <w:szCs w:val="18"/>
                      <w:highlight w:val="none"/>
                      <w:lang w:val="en-US" w:eastAsia="zh-CN"/>
                    </w:rPr>
                    <w:t>1</w:t>
                  </w:r>
                </w:p>
              </w:tc>
              <w:tc>
                <w:tcPr>
                  <w:tcW w:w="834" w:type="pct"/>
                  <w:tcBorders>
                    <w:top w:val="single" w:color="auto" w:sz="4" w:space="0"/>
                    <w:left w:val="single" w:color="auto" w:sz="4" w:space="0"/>
                    <w:bottom w:val="single" w:color="auto" w:sz="4" w:space="0"/>
                    <w:right w:val="single" w:color="auto" w:sz="4" w:space="0"/>
                  </w:tcBorders>
                  <w:noWrap w:val="0"/>
                  <w:vAlign w:val="center"/>
                </w:tcPr>
                <w:p w14:paraId="24E5917B">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2500</w:t>
                  </w:r>
                </w:p>
              </w:tc>
              <w:tc>
                <w:tcPr>
                  <w:tcW w:w="712" w:type="pct"/>
                  <w:tcBorders>
                    <w:top w:val="single" w:color="auto" w:sz="4" w:space="0"/>
                    <w:left w:val="single" w:color="auto" w:sz="4" w:space="0"/>
                    <w:bottom w:val="single" w:color="auto" w:sz="4" w:space="0"/>
                    <w:right w:val="nil"/>
                  </w:tcBorders>
                  <w:noWrap w:val="0"/>
                  <w:vAlign w:val="center"/>
                </w:tcPr>
                <w:p w14:paraId="462D591C">
                  <w:pPr>
                    <w:pStyle w:val="23"/>
                    <w:keepNext w:val="0"/>
                    <w:keepLines w:val="0"/>
                    <w:widowControl/>
                    <w:suppressLineNumbers w:val="0"/>
                    <w:spacing w:before="0" w:beforeAutospacing="0" w:after="0" w:afterAutospacing="0"/>
                    <w:ind w:left="0" w:right="0" w:firstLine="0" w:firstLineChars="0"/>
                    <w:jc w:val="center"/>
                    <w:rPr>
                      <w:rFonts w:hint="eastAsia" w:eastAsia="宋体"/>
                      <w:color w:val="auto"/>
                      <w:sz w:val="18"/>
                      <w:szCs w:val="18"/>
                      <w:highlight w:val="none"/>
                      <w:lang w:eastAsia="zh-CN"/>
                    </w:rPr>
                  </w:pPr>
                  <w:r>
                    <w:rPr>
                      <w:rFonts w:hint="default"/>
                      <w:color w:val="auto"/>
                      <w:sz w:val="18"/>
                      <w:szCs w:val="18"/>
                      <w:highlight w:val="none"/>
                    </w:rPr>
                    <w:t>0.0000</w:t>
                  </w:r>
                  <w:r>
                    <w:rPr>
                      <w:rFonts w:hint="eastAsia"/>
                      <w:color w:val="auto"/>
                      <w:sz w:val="18"/>
                      <w:szCs w:val="18"/>
                      <w:highlight w:val="none"/>
                      <w:lang w:val="en-US" w:eastAsia="zh-CN"/>
                    </w:rPr>
                    <w:t>4</w:t>
                  </w:r>
                </w:p>
              </w:tc>
            </w:tr>
            <w:tr w14:paraId="595A18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287" w:type="pct"/>
                  <w:gridSpan w:val="5"/>
                  <w:tcBorders>
                    <w:top w:val="single" w:color="auto" w:sz="4" w:space="0"/>
                    <w:left w:val="nil"/>
                    <w:right w:val="single" w:color="auto" w:sz="4" w:space="0"/>
                  </w:tcBorders>
                  <w:noWrap w:val="0"/>
                  <w:vAlign w:val="center"/>
                </w:tcPr>
                <w:p w14:paraId="40C2147C">
                  <w:pPr>
                    <w:pStyle w:val="23"/>
                    <w:keepNext w:val="0"/>
                    <w:keepLines w:val="0"/>
                    <w:widowControl/>
                    <w:suppressLineNumbers w:val="0"/>
                    <w:spacing w:before="0" w:beforeAutospacing="0" w:after="0" w:afterAutospacing="0"/>
                    <w:ind w:left="0" w:right="0" w:firstLine="0" w:firstLineChars="0"/>
                    <w:jc w:val="center"/>
                    <w:rPr>
                      <w:rFonts w:hint="default"/>
                      <w:color w:val="auto"/>
                      <w:sz w:val="18"/>
                      <w:szCs w:val="18"/>
                      <w:highlight w:val="none"/>
                    </w:rPr>
                  </w:pPr>
                  <w:r>
                    <w:rPr>
                      <w:rFonts w:hint="default"/>
                      <w:color w:val="auto"/>
                      <w:sz w:val="18"/>
                      <w:szCs w:val="18"/>
                      <w:highlight w:val="none"/>
                    </w:rPr>
                    <w:t>合计</w:t>
                  </w:r>
                </w:p>
              </w:tc>
              <w:tc>
                <w:tcPr>
                  <w:tcW w:w="712" w:type="pct"/>
                  <w:tcBorders>
                    <w:top w:val="single" w:color="auto" w:sz="4" w:space="0"/>
                    <w:left w:val="single" w:color="auto" w:sz="4" w:space="0"/>
                    <w:right w:val="nil"/>
                  </w:tcBorders>
                  <w:noWrap w:val="0"/>
                  <w:vAlign w:val="center"/>
                </w:tcPr>
                <w:p w14:paraId="264F4C2B">
                  <w:pPr>
                    <w:pStyle w:val="23"/>
                    <w:keepNext w:val="0"/>
                    <w:keepLines w:val="0"/>
                    <w:widowControl/>
                    <w:suppressLineNumbers w:val="0"/>
                    <w:spacing w:before="0" w:beforeAutospacing="0" w:after="0" w:afterAutospacing="0"/>
                    <w:ind w:left="0" w:right="0" w:firstLine="0" w:firstLineChars="0"/>
                    <w:jc w:val="center"/>
                    <w:rPr>
                      <w:rFonts w:hint="eastAsia" w:eastAsia="宋体"/>
                      <w:color w:val="auto"/>
                      <w:sz w:val="18"/>
                      <w:szCs w:val="18"/>
                      <w:highlight w:val="none"/>
                      <w:lang w:eastAsia="zh-CN"/>
                    </w:rPr>
                  </w:pPr>
                  <w:r>
                    <w:rPr>
                      <w:rFonts w:hint="default"/>
                      <w:color w:val="auto"/>
                      <w:sz w:val="18"/>
                      <w:szCs w:val="18"/>
                      <w:highlight w:val="none"/>
                    </w:rPr>
                    <w:t>0.0000</w:t>
                  </w:r>
                  <w:r>
                    <w:rPr>
                      <w:rFonts w:hint="eastAsia"/>
                      <w:color w:val="auto"/>
                      <w:sz w:val="18"/>
                      <w:szCs w:val="18"/>
                      <w:highlight w:val="none"/>
                      <w:lang w:val="en-US" w:eastAsia="zh-CN"/>
                    </w:rPr>
                    <w:t>4</w:t>
                  </w:r>
                </w:p>
              </w:tc>
            </w:tr>
          </w:tbl>
          <w:p w14:paraId="4F00919E">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2、风险事故分析</w:t>
            </w:r>
          </w:p>
          <w:p w14:paraId="6735F180">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color w:val="auto"/>
                <w:sz w:val="21"/>
                <w:szCs w:val="21"/>
                <w:highlight w:val="none"/>
                <w:lang w:val="en-US" w:eastAsia="zh-CN"/>
              </w:rPr>
            </w:pPr>
            <w:bookmarkStart w:id="12" w:name="_Hlk191021856"/>
            <w:r>
              <w:rPr>
                <w:rFonts w:hint="default" w:eastAsia="宋体"/>
                <w:color w:val="auto"/>
                <w:sz w:val="21"/>
                <w:szCs w:val="21"/>
                <w:highlight w:val="none"/>
                <w:lang w:val="en-US" w:eastAsia="zh-CN"/>
              </w:rPr>
              <w:t>项目存在的环境风险主要是废机油贮存处置不当发生泄漏后进入土壤，将导致土壤被破坏，造成污染，被人体重复接触后会造成中毒、致癌等严重危害，或发生火灾爆炸。如废机油下渗会导致地下水受到严重污染，严重影响城市民生保障系统的正常运行，危害人体健康。</w:t>
            </w:r>
            <w:bookmarkEnd w:id="12"/>
          </w:p>
          <w:p w14:paraId="2ACEFB83">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3</w:t>
            </w:r>
            <w:r>
              <w:rPr>
                <w:rFonts w:hint="eastAsia" w:eastAsia="宋体"/>
                <w:color w:val="auto"/>
                <w:sz w:val="21"/>
                <w:szCs w:val="21"/>
                <w:highlight w:val="none"/>
                <w:lang w:val="en-US" w:eastAsia="zh-CN"/>
              </w:rPr>
              <w:t>、</w:t>
            </w:r>
            <w:r>
              <w:rPr>
                <w:rFonts w:hint="default" w:eastAsia="宋体"/>
                <w:color w:val="auto"/>
                <w:sz w:val="21"/>
                <w:szCs w:val="21"/>
                <w:highlight w:val="none"/>
                <w:lang w:val="en-US" w:eastAsia="zh-CN"/>
              </w:rPr>
              <w:t>环境风险防范措施</w:t>
            </w:r>
          </w:p>
          <w:p w14:paraId="4D7CBD50">
            <w:pPr>
              <w:pStyle w:val="168"/>
              <w:keepNext w:val="0"/>
              <w:keepLines w:val="0"/>
              <w:widowControl/>
              <w:suppressLineNumbers w:val="0"/>
              <w:adjustRightInd/>
              <w:snapToGrid/>
              <w:spacing w:before="0" w:beforeAutospacing="0" w:after="0" w:afterAutospacing="0" w:line="360" w:lineRule="auto"/>
              <w:ind w:left="0" w:right="0" w:firstLine="420"/>
              <w:rPr>
                <w:rFonts w:hint="eastAsia" w:eastAsia="宋体"/>
                <w:color w:val="auto"/>
                <w:sz w:val="21"/>
                <w:szCs w:val="21"/>
                <w:highlight w:val="none"/>
                <w:lang w:val="en-US" w:eastAsia="zh-CN"/>
              </w:rPr>
            </w:pPr>
            <w:r>
              <w:rPr>
                <w:rFonts w:hint="default" w:eastAsia="宋体"/>
                <w:color w:val="auto"/>
                <w:sz w:val="21"/>
                <w:szCs w:val="21"/>
                <w:highlight w:val="none"/>
                <w:lang w:val="en-US" w:eastAsia="zh-CN"/>
              </w:rPr>
              <w:t>①严格按照相关要求落实废机油的储存，</w:t>
            </w:r>
            <w:r>
              <w:rPr>
                <w:rFonts w:hint="eastAsia" w:eastAsia="宋体"/>
                <w:color w:val="auto"/>
                <w:sz w:val="21"/>
                <w:szCs w:val="21"/>
                <w:highlight w:val="none"/>
                <w:lang w:val="en-US" w:eastAsia="zh-CN"/>
              </w:rPr>
              <w:t>设备维修产生的废机油采用密闭桶装、废弃含油抹布手套集中收集，暂存材料科危险废物贮存库。</w:t>
            </w:r>
          </w:p>
          <w:p w14:paraId="059DD431">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②厂区内制定安全操作管理规程，安排专人对废机油</w:t>
            </w:r>
            <w:r>
              <w:rPr>
                <w:rFonts w:hint="eastAsia" w:eastAsia="宋体"/>
                <w:color w:val="auto"/>
                <w:sz w:val="21"/>
                <w:szCs w:val="21"/>
                <w:highlight w:val="none"/>
                <w:lang w:val="en-US" w:eastAsia="zh-CN"/>
              </w:rPr>
              <w:t>收集、</w:t>
            </w:r>
            <w:r>
              <w:rPr>
                <w:rFonts w:hint="default" w:eastAsia="宋体"/>
                <w:color w:val="auto"/>
                <w:sz w:val="21"/>
                <w:szCs w:val="21"/>
                <w:highlight w:val="none"/>
                <w:lang w:val="en-US" w:eastAsia="zh-CN"/>
              </w:rPr>
              <w:t xml:space="preserve">存放，确保废机油不发生泄漏。 </w:t>
            </w:r>
          </w:p>
          <w:p w14:paraId="0F68FB52">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③加强对厂区人员的环境安全宣传教育，严格按操作规程操作，杜绝处理不当导致废机油存储器皿发生破裂现象，废机油装</w:t>
            </w:r>
            <w:r>
              <w:rPr>
                <w:rFonts w:hint="eastAsia" w:eastAsia="宋体"/>
                <w:color w:val="auto"/>
                <w:sz w:val="21"/>
                <w:szCs w:val="21"/>
                <w:highlight w:val="none"/>
                <w:lang w:val="en-US" w:eastAsia="zh-CN"/>
              </w:rPr>
              <w:t>桶</w:t>
            </w:r>
            <w:r>
              <w:rPr>
                <w:rFonts w:hint="default" w:eastAsia="宋体"/>
                <w:color w:val="auto"/>
                <w:sz w:val="21"/>
                <w:szCs w:val="21"/>
                <w:highlight w:val="none"/>
                <w:lang w:val="en-US" w:eastAsia="zh-CN"/>
              </w:rPr>
              <w:t>后要及时将</w:t>
            </w:r>
            <w:r>
              <w:rPr>
                <w:rFonts w:hint="eastAsia" w:eastAsia="宋体"/>
                <w:color w:val="auto"/>
                <w:sz w:val="21"/>
                <w:szCs w:val="21"/>
                <w:highlight w:val="none"/>
                <w:lang w:val="en-US" w:eastAsia="zh-CN"/>
              </w:rPr>
              <w:t>桶</w:t>
            </w:r>
            <w:r>
              <w:rPr>
                <w:rFonts w:hint="default" w:eastAsia="宋体"/>
                <w:color w:val="auto"/>
                <w:sz w:val="21"/>
                <w:szCs w:val="21"/>
                <w:highlight w:val="none"/>
                <w:lang w:val="en-US" w:eastAsia="zh-CN"/>
              </w:rPr>
              <w:t xml:space="preserve">口封闭。 </w:t>
            </w:r>
          </w:p>
          <w:p w14:paraId="39B4AAEB">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 xml:space="preserve">④废机油储存区域应远离明火，最大限度地杜绝火灾爆炸现象的发生。 </w:t>
            </w:r>
          </w:p>
          <w:p w14:paraId="44C6C224">
            <w:pPr>
              <w:pStyle w:val="168"/>
              <w:keepNext w:val="0"/>
              <w:keepLines w:val="0"/>
              <w:widowControl/>
              <w:suppressLineNumbers w:val="0"/>
              <w:adjustRightInd/>
              <w:snapToGrid/>
              <w:spacing w:before="0" w:beforeAutospacing="0" w:after="0" w:afterAutospacing="0" w:line="360" w:lineRule="auto"/>
              <w:ind w:left="0" w:right="0" w:firstLine="420"/>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 xml:space="preserve">⑤严格落实各项消防措施。 </w:t>
            </w:r>
          </w:p>
          <w:p w14:paraId="5AE29213">
            <w:pPr>
              <w:pStyle w:val="168"/>
              <w:keepNext w:val="0"/>
              <w:keepLines w:val="0"/>
              <w:widowControl/>
              <w:suppressLineNumbers w:val="0"/>
              <w:adjustRightInd/>
              <w:snapToGrid/>
              <w:spacing w:before="0" w:beforeAutospacing="0" w:after="0" w:afterAutospacing="0" w:line="360" w:lineRule="auto"/>
              <w:ind w:left="0" w:right="0" w:firstLine="420"/>
              <w:rPr>
                <w:rFonts w:hint="default"/>
                <w:color w:val="auto"/>
                <w:highlight w:val="none"/>
              </w:rPr>
            </w:pPr>
            <w:r>
              <w:rPr>
                <w:rFonts w:hint="default" w:eastAsia="宋体"/>
                <w:color w:val="auto"/>
                <w:sz w:val="21"/>
                <w:szCs w:val="21"/>
                <w:highlight w:val="none"/>
                <w:lang w:val="en-US" w:eastAsia="zh-CN"/>
              </w:rPr>
              <w:t>⑥危废贮存</w:t>
            </w:r>
            <w:r>
              <w:rPr>
                <w:rFonts w:hint="eastAsia" w:eastAsia="宋体"/>
                <w:color w:val="auto"/>
                <w:sz w:val="21"/>
                <w:szCs w:val="21"/>
                <w:highlight w:val="none"/>
                <w:lang w:val="en-US" w:eastAsia="zh-CN"/>
              </w:rPr>
              <w:t>库</w:t>
            </w:r>
            <w:r>
              <w:rPr>
                <w:rFonts w:hint="default" w:eastAsia="宋体"/>
                <w:color w:val="auto"/>
                <w:sz w:val="21"/>
                <w:szCs w:val="21"/>
                <w:highlight w:val="none"/>
                <w:lang w:val="en-US" w:eastAsia="zh-CN"/>
              </w:rPr>
              <w:t>的贮存设施污染控制要求、容器和包装物污染控制要求以及环境管理要求等均应满足《危险废物贮存污染控制标准》（GB18597-2023）要求。</w:t>
            </w:r>
          </w:p>
          <w:p w14:paraId="46086187">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22" w:firstLineChars="200"/>
              <w:contextualSpacing/>
              <w:jc w:val="both"/>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7</w:t>
            </w:r>
            <w:r>
              <w:rPr>
                <w:rFonts w:hint="default" w:ascii="Times New Roman" w:hAnsi="Times New Roman" w:cs="Times New Roman"/>
                <w:b/>
                <w:bCs/>
                <w:color w:val="auto"/>
                <w:sz w:val="21"/>
                <w:szCs w:val="21"/>
                <w:highlight w:val="none"/>
                <w:lang w:val="en-US" w:eastAsia="zh-CN"/>
              </w:rPr>
              <w:t>、与排污许可证衔接</w:t>
            </w:r>
          </w:p>
          <w:p w14:paraId="7A708D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根据</w:t>
            </w:r>
            <w:r>
              <w:rPr>
                <w:rFonts w:hint="default" w:ascii="Times New Roman" w:hAnsi="Times New Roman" w:eastAsia="宋体" w:cs="Times New Roman"/>
                <w:color w:val="auto"/>
                <w:kern w:val="2"/>
                <w:sz w:val="21"/>
                <w:szCs w:val="21"/>
                <w:highlight w:val="none"/>
                <w:lang w:val="en-US" w:eastAsia="zh-CN" w:bidi="ar-SA"/>
              </w:rPr>
              <w:t>《关于做好环境影响评价制度与排污许可制衔接相关工作的通知》</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环办环评〔2017〕84号</w:t>
            </w:r>
            <w:r>
              <w:rPr>
                <w:rFonts w:hint="eastAsia" w:ascii="Times New Roman" w:hAnsi="Times New Roman" w:eastAsia="宋体" w:cs="Times New Roman"/>
                <w:color w:val="auto"/>
                <w:kern w:val="2"/>
                <w:sz w:val="21"/>
                <w:szCs w:val="21"/>
                <w:highlight w:val="none"/>
                <w:lang w:val="en-US" w:eastAsia="zh-CN" w:bidi="ar-SA"/>
              </w:rPr>
              <w:t>），建设项目发生实际排污行为之前，排污单位应当按照国家环境保护相关法律法规以及排污许可证申请与核发技术规范要求申请排污许可证，不得无证排污或不按证排污。国家将分行业制定建设项目重大变动清单。建设项目的环境影响报告书（表）经批准后，建设项目的性质、规模、地点、采用的生产工艺或者防治污染、防止生态破坏的措施发生重大变动的，建设单位应当依法重新报批环境影响评价文件，并在申请排污许可时提交重新报批的环评批复（文号）。发生变动但不属于重大变动情形的建设项目，环境影响报告书（表）2015年1月1日（含）后获得批准的，排污许可证核发部门按照污染物排放标准、总量控制要求、环境影响报告书（表）以及审批文件从严核发，其他建设项目由排污许可证核发部门按照排污许可证申请与核发技术规范要求核发。</w:t>
            </w:r>
          </w:p>
          <w:p w14:paraId="02D30BA7">
            <w:pPr>
              <w:pStyle w:val="3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根据《排污许可管理办法》（2024年7月1日），第三条：依照法律规定实行排污许可管理的企业事业单位和其他生产经营者（以下简称排污单位），应当依法申请取得排污许可证，并按照排污许可证的规定排放污染物；未取得排污许可证的，不得排放污染物。依法需要填报排污登记表的企业事业单位和其他生产经营者（以下简称排污登记单位），应当在全国排污许可证管理信息平台进行排污登记。第四条：根据污染物产生量、排放量、对环境的影响程度等因素，对企业事业单位和其他生产经营者实行排污许可重点管理、简化管理和排污登记管理。实行排污许可重点管理、简化管理的排污单位具体范围，依照固定污染源排污许可分类管理名录规定执行。实行排污登记管理的排污登记单位具体范围由国务院生态环境主管部门制定并公布。</w:t>
            </w:r>
          </w:p>
          <w:p w14:paraId="5208BE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eastAsia="宋体"/>
                <w:bCs/>
                <w:color w:val="auto"/>
                <w:spacing w:val="-10"/>
                <w:szCs w:val="21"/>
                <w:highlight w:val="none"/>
                <w:lang w:val="en-US" w:eastAsia="zh-CN"/>
              </w:rPr>
            </w:pPr>
            <w:r>
              <w:rPr>
                <w:rFonts w:hint="eastAsia"/>
                <w:color w:val="auto"/>
                <w:szCs w:val="21"/>
                <w:highlight w:val="none"/>
              </w:rPr>
              <w:t>本项目</w:t>
            </w:r>
            <w:r>
              <w:rPr>
                <w:rFonts w:hint="default"/>
                <w:color w:val="auto"/>
                <w:szCs w:val="21"/>
                <w:highlight w:val="none"/>
              </w:rPr>
              <w:t>属于实施简化管理的行业，本项目当在启动生产设施或者发生实际排污之前，应当在全国排污许可证管理信息平台完成重新申请排污许可证。填报基本信息、污染物排放去向、执行的污染物排放标准以及采取的污染防治措施等信息。</w:t>
            </w:r>
          </w:p>
        </w:tc>
      </w:tr>
    </w:tbl>
    <w:p w14:paraId="533E8D7B">
      <w:pPr>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br w:type="page"/>
      </w:r>
    </w:p>
    <w:p w14:paraId="52FA9715">
      <w:pPr>
        <w:pStyle w:val="31"/>
        <w:spacing w:before="0" w:beforeAutospacing="0" w:after="158" w:afterLines="50" w:afterAutospacing="0"/>
        <w:jc w:val="center"/>
        <w:outlineLvl w:val="0"/>
        <w:rPr>
          <w:rFonts w:hint="eastAsia" w:ascii="Times New Roman" w:hAnsi="Times New Roman" w:eastAsia="黑体" w:cs="Times New Roman"/>
          <w:snapToGrid w:val="0"/>
          <w:color w:val="auto"/>
          <w:kern w:val="21"/>
          <w:sz w:val="30"/>
          <w:szCs w:val="30"/>
          <w:highlight w:val="none"/>
          <w:lang w:eastAsia="zh-CN"/>
        </w:rPr>
      </w:pPr>
      <w:bookmarkStart w:id="13" w:name="_Toc21713"/>
      <w:r>
        <w:rPr>
          <w:rFonts w:hint="default" w:ascii="Times New Roman" w:hAnsi="Times New Roman" w:eastAsia="黑体" w:cs="Times New Roman"/>
          <w:snapToGrid w:val="0"/>
          <w:color w:val="auto"/>
          <w:kern w:val="21"/>
          <w:sz w:val="30"/>
          <w:szCs w:val="30"/>
          <w:highlight w:val="none"/>
        </w:rPr>
        <w:t>五、</w:t>
      </w:r>
      <w:bookmarkStart w:id="14" w:name="_Hlk54167917"/>
      <w:r>
        <w:rPr>
          <w:rFonts w:hint="default" w:ascii="Times New Roman" w:hAnsi="Times New Roman" w:eastAsia="黑体" w:cs="Times New Roman"/>
          <w:snapToGrid w:val="0"/>
          <w:color w:val="auto"/>
          <w:kern w:val="21"/>
          <w:sz w:val="30"/>
          <w:szCs w:val="30"/>
          <w:highlight w:val="none"/>
        </w:rPr>
        <w:t>环境保护措施监督检查清单</w:t>
      </w:r>
      <w:bookmarkEnd w:id="13"/>
      <w:bookmarkEnd w:id="14"/>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489"/>
        <w:gridCol w:w="1661"/>
        <w:gridCol w:w="1451"/>
        <w:gridCol w:w="1877"/>
        <w:gridCol w:w="2525"/>
      </w:tblGrid>
      <w:tr w14:paraId="64DD96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14:paraId="1DC08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21"/>
                <w:sz w:val="21"/>
                <w:szCs w:val="21"/>
                <w:highlight w:val="none"/>
                <w:lang w:val="en-US" w:eastAsia="zh-CN" w:bidi="ar-SA"/>
              </w:rPr>
            </w:pPr>
          </w:p>
          <w:p w14:paraId="65A0C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mc:AlternateContent>
                <mc:Choice Requires="wpsCustomData">
                  <wpsCustomData:diagonalParaType/>
                </mc:Choice>
              </mc:AlternateContent>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要素</w:t>
            </w:r>
          </w:p>
          <w:p w14:paraId="335CE4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210" w:firstLineChars="100"/>
              <w:jc w:val="both"/>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内容</w:t>
            </w:r>
          </w:p>
          <w:p w14:paraId="49C9E0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21"/>
                <w:sz w:val="21"/>
                <w:szCs w:val="21"/>
                <w:highlight w:val="none"/>
                <w:lang w:val="en-US" w:eastAsia="zh-CN" w:bidi="ar-SA"/>
              </w:rPr>
            </w:pPr>
          </w:p>
        </w:tc>
        <w:tc>
          <w:tcPr>
            <w:tcW w:w="922" w:type="pct"/>
            <w:tcBorders>
              <w:tl2br w:val="nil"/>
              <w:tr2bl w:val="nil"/>
            </w:tcBorders>
            <w:vAlign w:val="center"/>
          </w:tcPr>
          <w:p w14:paraId="6E812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排放口（编号、名称）/污染源</w:t>
            </w:r>
          </w:p>
        </w:tc>
        <w:tc>
          <w:tcPr>
            <w:tcW w:w="805" w:type="pct"/>
            <w:tcBorders>
              <w:tl2br w:val="nil"/>
              <w:tr2bl w:val="nil"/>
            </w:tcBorders>
            <w:vAlign w:val="center"/>
          </w:tcPr>
          <w:p w14:paraId="58CFAA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污染物项目</w:t>
            </w:r>
          </w:p>
        </w:tc>
        <w:tc>
          <w:tcPr>
            <w:tcW w:w="1042" w:type="pct"/>
            <w:tcBorders>
              <w:tl2br w:val="nil"/>
              <w:tr2bl w:val="nil"/>
            </w:tcBorders>
            <w:vAlign w:val="center"/>
          </w:tcPr>
          <w:p w14:paraId="0C82A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环境保护措施</w:t>
            </w:r>
          </w:p>
        </w:tc>
        <w:tc>
          <w:tcPr>
            <w:tcW w:w="1402" w:type="pct"/>
            <w:tcBorders>
              <w:tl2br w:val="nil"/>
              <w:tr2bl w:val="nil"/>
            </w:tcBorders>
            <w:vAlign w:val="center"/>
          </w:tcPr>
          <w:p w14:paraId="2CD25C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执行标准</w:t>
            </w:r>
          </w:p>
        </w:tc>
      </w:tr>
      <w:tr w14:paraId="20D695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88" w:hRule="atLeast"/>
          <w:jc w:val="center"/>
        </w:trPr>
        <w:tc>
          <w:tcPr>
            <w:tcW w:w="826" w:type="pct"/>
            <w:vMerge w:val="restart"/>
            <w:tcBorders>
              <w:tl2br w:val="nil"/>
              <w:tr2bl w:val="nil"/>
            </w:tcBorders>
            <w:vAlign w:val="center"/>
          </w:tcPr>
          <w:p w14:paraId="057C34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大气环境</w:t>
            </w:r>
          </w:p>
        </w:tc>
        <w:tc>
          <w:tcPr>
            <w:tcW w:w="922" w:type="pct"/>
            <w:tcBorders>
              <w:tl2br w:val="nil"/>
              <w:tr2bl w:val="nil"/>
            </w:tcBorders>
            <w:vAlign w:val="center"/>
          </w:tcPr>
          <w:p w14:paraId="671D74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锅炉烟囱（DA00</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p>
        </w:tc>
        <w:tc>
          <w:tcPr>
            <w:tcW w:w="805" w:type="pct"/>
            <w:tcBorders>
              <w:tl2br w:val="nil"/>
              <w:tr2bl w:val="nil"/>
            </w:tcBorders>
            <w:vAlign w:val="center"/>
          </w:tcPr>
          <w:p w14:paraId="61AE274A">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二氧化硫、氮氧化物、颗粒物、林格曼黑度</w:t>
            </w:r>
          </w:p>
        </w:tc>
        <w:tc>
          <w:tcPr>
            <w:tcW w:w="1042" w:type="pct"/>
            <w:tcBorders>
              <w:tl2br w:val="nil"/>
              <w:tr2bl w:val="nil"/>
            </w:tcBorders>
            <w:vAlign w:val="center"/>
          </w:tcPr>
          <w:p w14:paraId="73B7AB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3台10t/h生物质蒸汽锅炉分别</w:t>
            </w:r>
            <w:r>
              <w:rPr>
                <w:rFonts w:hint="default" w:ascii="Times New Roman" w:hAnsi="Times New Roman" w:eastAsia="宋体" w:cs="Times New Roman"/>
                <w:color w:val="auto"/>
                <w:sz w:val="21"/>
                <w:szCs w:val="21"/>
                <w:highlight w:val="none"/>
              </w:rPr>
              <w:t>经</w:t>
            </w:r>
            <w:r>
              <w:rPr>
                <w:rFonts w:hint="eastAsia" w:cs="Times New Roman"/>
                <w:color w:val="auto"/>
                <w:sz w:val="21"/>
                <w:szCs w:val="21"/>
                <w:highlight w:val="none"/>
                <w:lang w:val="en-US" w:eastAsia="zh-CN"/>
              </w:rPr>
              <w:t>各自配备的</w:t>
            </w:r>
            <w:r>
              <w:rPr>
                <w:rFonts w:hint="eastAsia" w:cs="Times New Roman"/>
                <w:color w:val="auto"/>
                <w:sz w:val="21"/>
                <w:szCs w:val="21"/>
                <w:highlight w:val="none"/>
                <w:lang w:eastAsia="zh-CN"/>
              </w:rPr>
              <w:t>多管陶瓷</w:t>
            </w:r>
            <w:r>
              <w:rPr>
                <w:rFonts w:hint="default" w:ascii="Times New Roman" w:hAnsi="Times New Roman" w:eastAsia="宋体" w:cs="Times New Roman"/>
                <w:color w:val="auto"/>
                <w:sz w:val="21"/>
                <w:szCs w:val="21"/>
                <w:highlight w:val="none"/>
              </w:rPr>
              <w:t>+布袋除尘器处理（除尘效率99</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%）后，由</w:t>
            </w:r>
            <w:r>
              <w:rPr>
                <w:rFonts w:hint="eastAsia" w:cs="Times New Roman"/>
                <w:color w:val="auto"/>
                <w:sz w:val="21"/>
                <w:szCs w:val="21"/>
                <w:highlight w:val="none"/>
                <w:lang w:val="en-US" w:eastAsia="zh-CN"/>
              </w:rPr>
              <w:t>1根60</w:t>
            </w:r>
            <w:r>
              <w:rPr>
                <w:rFonts w:hint="default" w:ascii="Times New Roman" w:hAnsi="Times New Roman" w:eastAsia="宋体" w:cs="Times New Roman"/>
                <w:color w:val="auto"/>
                <w:sz w:val="21"/>
                <w:szCs w:val="21"/>
                <w:highlight w:val="none"/>
              </w:rPr>
              <w:t>m高烟囱排放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DA00</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w:t>
            </w:r>
          </w:p>
        </w:tc>
        <w:tc>
          <w:tcPr>
            <w:tcW w:w="1402" w:type="pct"/>
            <w:tcBorders>
              <w:tl2br w:val="nil"/>
              <w:tr2bl w:val="nil"/>
            </w:tcBorders>
            <w:vAlign w:val="center"/>
          </w:tcPr>
          <w:p w14:paraId="31310C89">
            <w:pPr>
              <w:pStyle w:val="8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《锅炉大气污染物排放标准》（GB13271-2014）中</w:t>
            </w:r>
            <w:r>
              <w:rPr>
                <w:rFonts w:hint="default" w:ascii="Times New Roman" w:hAnsi="Times New Roman" w:eastAsia="宋体" w:cs="Times New Roman"/>
                <w:color w:val="auto"/>
                <w:kern w:val="0"/>
                <w:sz w:val="21"/>
                <w:szCs w:val="21"/>
                <w:highlight w:val="none"/>
              </w:rPr>
              <w:t>表</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燃煤锅炉标准限值要求</w:t>
            </w:r>
          </w:p>
        </w:tc>
      </w:tr>
      <w:tr w14:paraId="3F8471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vMerge w:val="continue"/>
            <w:tcBorders>
              <w:tl2br w:val="nil"/>
              <w:tr2bl w:val="nil"/>
            </w:tcBorders>
            <w:vAlign w:val="center"/>
          </w:tcPr>
          <w:p w14:paraId="3BFE8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922" w:type="pct"/>
            <w:tcBorders>
              <w:tl2br w:val="nil"/>
              <w:tr2bl w:val="nil"/>
            </w:tcBorders>
            <w:vAlign w:val="center"/>
          </w:tcPr>
          <w:p w14:paraId="7D9925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厂界</w:t>
            </w:r>
          </w:p>
        </w:tc>
        <w:tc>
          <w:tcPr>
            <w:tcW w:w="805" w:type="pct"/>
            <w:tcBorders>
              <w:tl2br w:val="nil"/>
              <w:tr2bl w:val="nil"/>
            </w:tcBorders>
            <w:vAlign w:val="center"/>
          </w:tcPr>
          <w:p w14:paraId="0AE37A3A">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颗粒物</w:t>
            </w:r>
          </w:p>
        </w:tc>
        <w:tc>
          <w:tcPr>
            <w:tcW w:w="1042" w:type="pct"/>
            <w:tcBorders>
              <w:tl2br w:val="nil"/>
              <w:tr2bl w:val="nil"/>
            </w:tcBorders>
            <w:vAlign w:val="center"/>
          </w:tcPr>
          <w:p w14:paraId="0EDC99BD">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Cs/>
                <w:color w:val="auto"/>
                <w:sz w:val="21"/>
                <w:szCs w:val="21"/>
                <w:highlight w:val="none"/>
                <w:lang w:val="en-US" w:eastAsia="zh-CN"/>
              </w:rPr>
              <w:t>锅炉除渣过程在密闭锅炉房内完成，并配合洒水降尘，生物质燃料存储于封闭燃料库内，并燃料苫盖，灰渣（炉渣及</w:t>
            </w:r>
            <w:r>
              <w:rPr>
                <w:rFonts w:hint="eastAsia" w:cs="Times New Roman"/>
                <w:bCs/>
                <w:color w:val="auto"/>
                <w:sz w:val="21"/>
                <w:szCs w:val="21"/>
                <w:highlight w:val="none"/>
                <w:lang w:val="en-US" w:eastAsia="zh-CN"/>
              </w:rPr>
              <w:t>多管陶瓷+布袋除尘器收尘</w:t>
            </w:r>
            <w:r>
              <w:rPr>
                <w:rFonts w:hint="default" w:ascii="Times New Roman" w:hAnsi="Times New Roman" w:eastAsia="宋体" w:cs="Times New Roman"/>
                <w:bCs/>
                <w:color w:val="auto"/>
                <w:sz w:val="21"/>
                <w:szCs w:val="21"/>
                <w:highlight w:val="none"/>
                <w:lang w:val="en-US" w:eastAsia="zh-CN"/>
              </w:rPr>
              <w:t>）存储于密闭灰渣库，配合洒水降尘措施。</w:t>
            </w:r>
          </w:p>
        </w:tc>
        <w:tc>
          <w:tcPr>
            <w:tcW w:w="1402" w:type="pct"/>
            <w:tcBorders>
              <w:tl2br w:val="nil"/>
              <w:tr2bl w:val="nil"/>
            </w:tcBorders>
            <w:vAlign w:val="center"/>
          </w:tcPr>
          <w:p w14:paraId="46E93DCB">
            <w:pPr>
              <w:pStyle w:val="8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《大气污染物综合排放标准》（GB16297-1996）表2中无组织排放限值</w:t>
            </w:r>
          </w:p>
        </w:tc>
      </w:tr>
      <w:tr w14:paraId="7D90D9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73D2A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地表水环境</w:t>
            </w:r>
          </w:p>
        </w:tc>
        <w:tc>
          <w:tcPr>
            <w:tcW w:w="922" w:type="pct"/>
            <w:tcBorders>
              <w:tl2br w:val="nil"/>
              <w:tr2bl w:val="nil"/>
            </w:tcBorders>
            <w:vAlign w:val="center"/>
          </w:tcPr>
          <w:p w14:paraId="58DC8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锅炉排污水</w:t>
            </w:r>
            <w:r>
              <w:rPr>
                <w:rFonts w:hint="eastAsia" w:cs="Times New Roman"/>
                <w:color w:val="auto"/>
                <w:sz w:val="21"/>
                <w:szCs w:val="21"/>
                <w:highlight w:val="none"/>
                <w:lang w:val="en-US" w:eastAsia="zh-CN"/>
              </w:rPr>
              <w:t>及软化处理废水</w:t>
            </w:r>
          </w:p>
        </w:tc>
        <w:tc>
          <w:tcPr>
            <w:tcW w:w="805" w:type="pct"/>
            <w:tcBorders>
              <w:tl2br w:val="nil"/>
              <w:tr2bl w:val="nil"/>
            </w:tcBorders>
            <w:vAlign w:val="center"/>
          </w:tcPr>
          <w:p w14:paraId="630AC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COD、溶解性总固体</w:t>
            </w:r>
          </w:p>
        </w:tc>
        <w:tc>
          <w:tcPr>
            <w:tcW w:w="1042" w:type="pct"/>
            <w:tcBorders>
              <w:tl2br w:val="nil"/>
              <w:tr2bl w:val="nil"/>
            </w:tcBorders>
            <w:vAlign w:val="center"/>
          </w:tcPr>
          <w:p w14:paraId="1909D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rPr>
              <w:t>暂存厂区</w:t>
            </w:r>
            <w:r>
              <w:rPr>
                <w:rFonts w:hint="eastAsia" w:cs="Times New Roman"/>
                <w:color w:val="auto"/>
                <w:sz w:val="21"/>
                <w:szCs w:val="21"/>
                <w:highlight w:val="none"/>
                <w:lang w:val="en-US" w:eastAsia="zh-CN"/>
              </w:rPr>
              <w:t>70</w:t>
            </w:r>
            <w:r>
              <w:rPr>
                <w:rFonts w:hint="default" w:ascii="Times New Roman" w:hAnsi="Times New Roman" w:cs="Times New Roman"/>
                <w:b w:val="0"/>
                <w:bCs w:val="0"/>
                <w:color w:val="auto"/>
                <w:sz w:val="21"/>
                <w:szCs w:val="21"/>
                <w:highlight w:val="none"/>
              </w:rPr>
              <w:t>m³</w:t>
            </w:r>
            <w:r>
              <w:rPr>
                <w:rFonts w:hint="default" w:ascii="Times New Roman" w:hAnsi="Times New Roman" w:cs="Times New Roman"/>
                <w:color w:val="auto"/>
                <w:sz w:val="21"/>
                <w:szCs w:val="21"/>
                <w:highlight w:val="none"/>
              </w:rPr>
              <w:t>防渗</w:t>
            </w:r>
            <w:r>
              <w:rPr>
                <w:rFonts w:hint="eastAsia" w:cs="Times New Roman"/>
                <w:color w:val="auto"/>
                <w:sz w:val="21"/>
                <w:szCs w:val="21"/>
                <w:highlight w:val="none"/>
                <w:lang w:val="en-US" w:eastAsia="zh-CN"/>
              </w:rPr>
              <w:t>储水罐</w:t>
            </w:r>
            <w:r>
              <w:rPr>
                <w:rFonts w:hint="default" w:ascii="Times New Roman" w:hAnsi="Times New Roman" w:cs="Times New Roman"/>
                <w:color w:val="auto"/>
                <w:sz w:val="21"/>
                <w:szCs w:val="21"/>
                <w:highlight w:val="none"/>
              </w:rPr>
              <w:t>内，</w:t>
            </w:r>
            <w:r>
              <w:rPr>
                <w:rFonts w:hint="eastAsia" w:cs="Times New Roman"/>
                <w:color w:val="auto"/>
                <w:sz w:val="21"/>
                <w:szCs w:val="21"/>
                <w:highlight w:val="none"/>
                <w:lang w:val="en-US" w:eastAsia="zh-CN"/>
              </w:rPr>
              <w:t>定期拉</w:t>
            </w:r>
            <w:r>
              <w:rPr>
                <w:rFonts w:hint="default" w:ascii="Times New Roman" w:hAnsi="Times New Roman" w:cs="Times New Roman"/>
                <w:color w:val="auto"/>
                <w:sz w:val="21"/>
                <w:szCs w:val="21"/>
                <w:highlight w:val="none"/>
              </w:rPr>
              <w:t>运至</w:t>
            </w:r>
            <w:r>
              <w:rPr>
                <w:rFonts w:hint="eastAsia" w:ascii="Times New Roman" w:hAnsi="Times New Roman" w:cs="Times New Roman"/>
                <w:color w:val="auto"/>
                <w:kern w:val="0"/>
                <w:sz w:val="21"/>
                <w:szCs w:val="21"/>
                <w:highlight w:val="none"/>
                <w:lang w:val="en-US" w:eastAsia="zh-CN" w:bidi="ar"/>
              </w:rPr>
              <w:t>恒山区污水处理厂</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rPr>
              <w:t>经</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rPr>
              <w:t>处理达标后</w:t>
            </w:r>
            <w:r>
              <w:rPr>
                <w:rFonts w:hint="default" w:ascii="Times New Roman" w:hAnsi="Times New Roman" w:eastAsia="宋体" w:cs="Times New Roman"/>
                <w:color w:val="auto"/>
                <w:sz w:val="21"/>
                <w:szCs w:val="21"/>
                <w:highlight w:val="none"/>
              </w:rPr>
              <w:t>排入小黄泥河，最终汇入穆棱河</w:t>
            </w:r>
            <w:r>
              <w:rPr>
                <w:rFonts w:hint="eastAsia" w:ascii="Times New Roman" w:hAnsi="Times New Roman" w:eastAsia="宋体" w:cs="Times New Roman"/>
                <w:color w:val="auto"/>
                <w:sz w:val="21"/>
                <w:szCs w:val="21"/>
                <w:highlight w:val="none"/>
                <w:lang w:eastAsia="zh-CN"/>
              </w:rPr>
              <w:t>。</w:t>
            </w:r>
          </w:p>
        </w:tc>
        <w:tc>
          <w:tcPr>
            <w:tcW w:w="1402" w:type="pct"/>
            <w:tcBorders>
              <w:tl2br w:val="nil"/>
              <w:tr2bl w:val="nil"/>
            </w:tcBorders>
            <w:vAlign w:val="center"/>
          </w:tcPr>
          <w:p w14:paraId="1F54CD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lang w:val="en-US" w:eastAsia="zh-CN"/>
              </w:rPr>
              <w:t>进水水质</w:t>
            </w:r>
          </w:p>
        </w:tc>
      </w:tr>
      <w:tr w14:paraId="05D8B16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05F5C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地下水及土壤环境</w:t>
            </w:r>
          </w:p>
        </w:tc>
        <w:tc>
          <w:tcPr>
            <w:tcW w:w="922" w:type="pct"/>
            <w:tcBorders>
              <w:tl2br w:val="nil"/>
              <w:tr2bl w:val="nil"/>
            </w:tcBorders>
            <w:vAlign w:val="center"/>
          </w:tcPr>
          <w:p w14:paraId="1BE8D6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805" w:type="pct"/>
            <w:tcBorders>
              <w:tl2br w:val="nil"/>
              <w:tr2bl w:val="nil"/>
            </w:tcBorders>
            <w:vAlign w:val="center"/>
          </w:tcPr>
          <w:p w14:paraId="30D59E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tcBorders>
              <w:tl2br w:val="nil"/>
              <w:tr2bl w:val="nil"/>
            </w:tcBorders>
            <w:vAlign w:val="center"/>
          </w:tcPr>
          <w:p w14:paraId="3CA7D5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2" w:type="pct"/>
            <w:tcBorders>
              <w:tl2br w:val="nil"/>
              <w:tr2bl w:val="nil"/>
            </w:tcBorders>
            <w:vAlign w:val="center"/>
          </w:tcPr>
          <w:p w14:paraId="451608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14:paraId="5DE2D87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7E348C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声环境</w:t>
            </w:r>
          </w:p>
        </w:tc>
        <w:tc>
          <w:tcPr>
            <w:tcW w:w="922" w:type="pct"/>
            <w:tcBorders>
              <w:tl2br w:val="nil"/>
              <w:tr2bl w:val="nil"/>
            </w:tcBorders>
            <w:vAlign w:val="center"/>
          </w:tcPr>
          <w:p w14:paraId="4AA431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设备运行</w:t>
            </w:r>
          </w:p>
        </w:tc>
        <w:tc>
          <w:tcPr>
            <w:tcW w:w="805" w:type="pct"/>
            <w:tcBorders>
              <w:tl2br w:val="nil"/>
              <w:tr2bl w:val="nil"/>
            </w:tcBorders>
            <w:vAlign w:val="center"/>
          </w:tcPr>
          <w:p w14:paraId="7E285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kern w:val="21"/>
                <w:sz w:val="21"/>
                <w:szCs w:val="21"/>
                <w:highlight w:val="none"/>
                <w:lang w:val="en-US" w:eastAsia="zh-CN"/>
              </w:rPr>
              <w:t>噪声</w:t>
            </w:r>
          </w:p>
        </w:tc>
        <w:tc>
          <w:tcPr>
            <w:tcW w:w="1042" w:type="pct"/>
            <w:tcBorders>
              <w:tl2br w:val="nil"/>
              <w:tr2bl w:val="nil"/>
            </w:tcBorders>
            <w:vAlign w:val="center"/>
          </w:tcPr>
          <w:p w14:paraId="4D21D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选取低噪声设备，</w:t>
            </w:r>
            <w:r>
              <w:rPr>
                <w:rFonts w:hint="eastAsia" w:cs="Times New Roman"/>
                <w:color w:val="auto"/>
                <w:sz w:val="21"/>
                <w:szCs w:val="21"/>
                <w:highlight w:val="none"/>
                <w:lang w:val="en-US" w:eastAsia="zh-CN"/>
              </w:rPr>
              <w:t>基础</w:t>
            </w:r>
            <w:r>
              <w:rPr>
                <w:rFonts w:hint="default" w:ascii="Times New Roman" w:hAnsi="Times New Roman" w:eastAsia="宋体" w:cs="Times New Roman"/>
                <w:color w:val="auto"/>
                <w:sz w:val="21"/>
                <w:szCs w:val="21"/>
                <w:highlight w:val="none"/>
              </w:rPr>
              <w:t>减振、</w:t>
            </w:r>
            <w:r>
              <w:rPr>
                <w:rFonts w:hint="eastAsia" w:cs="Times New Roman"/>
                <w:color w:val="auto"/>
                <w:sz w:val="21"/>
                <w:szCs w:val="21"/>
                <w:highlight w:val="none"/>
                <w:lang w:val="en-US" w:eastAsia="zh-CN"/>
              </w:rPr>
              <w:t>锅炉房隔声等</w:t>
            </w:r>
          </w:p>
        </w:tc>
        <w:tc>
          <w:tcPr>
            <w:tcW w:w="1402" w:type="pct"/>
            <w:tcBorders>
              <w:tl2br w:val="nil"/>
              <w:tr2bl w:val="nil"/>
            </w:tcBorders>
            <w:vAlign w:val="center"/>
          </w:tcPr>
          <w:p w14:paraId="6A55C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rPr>
              <w:t>《工业企业厂界环境噪声排放标准》（GB12348-2008）</w:t>
            </w:r>
            <w:r>
              <w:rPr>
                <w:rFonts w:hint="eastAsia" w:cs="Times New Roman"/>
                <w:color w:val="auto"/>
                <w:kern w:val="21"/>
                <w:sz w:val="21"/>
                <w:szCs w:val="21"/>
                <w:highlight w:val="none"/>
                <w:lang w:val="en-US" w:eastAsia="zh-CN"/>
              </w:rPr>
              <w:t>2</w:t>
            </w:r>
            <w:r>
              <w:rPr>
                <w:rFonts w:hint="default"/>
                <w:color w:val="auto"/>
                <w:sz w:val="21"/>
                <w:szCs w:val="21"/>
                <w:highlight w:val="none"/>
              </w:rPr>
              <w:t>类标准限值</w:t>
            </w:r>
          </w:p>
        </w:tc>
      </w:tr>
      <w:tr w14:paraId="171F28B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33EFA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电磁辐射</w:t>
            </w:r>
          </w:p>
        </w:tc>
        <w:tc>
          <w:tcPr>
            <w:tcW w:w="922" w:type="pct"/>
            <w:tcBorders>
              <w:tl2br w:val="nil"/>
              <w:tr2bl w:val="nil"/>
            </w:tcBorders>
            <w:vAlign w:val="center"/>
          </w:tcPr>
          <w:p w14:paraId="12326D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805" w:type="pct"/>
            <w:tcBorders>
              <w:tl2br w:val="nil"/>
              <w:tr2bl w:val="nil"/>
            </w:tcBorders>
            <w:vAlign w:val="center"/>
          </w:tcPr>
          <w:p w14:paraId="51D87A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tcBorders>
              <w:tl2br w:val="nil"/>
              <w:tr2bl w:val="nil"/>
            </w:tcBorders>
            <w:vAlign w:val="center"/>
          </w:tcPr>
          <w:p w14:paraId="6C00F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2" w:type="pct"/>
            <w:tcBorders>
              <w:tl2br w:val="nil"/>
              <w:tr2bl w:val="nil"/>
            </w:tcBorders>
            <w:vAlign w:val="center"/>
          </w:tcPr>
          <w:p w14:paraId="50553B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14:paraId="4AC99F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05A296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固体废物</w:t>
            </w:r>
          </w:p>
        </w:tc>
        <w:tc>
          <w:tcPr>
            <w:tcW w:w="4173" w:type="pct"/>
            <w:gridSpan w:val="4"/>
            <w:tcBorders>
              <w:tl2br w:val="nil"/>
              <w:tr2bl w:val="nil"/>
            </w:tcBorders>
            <w:vAlign w:val="center"/>
          </w:tcPr>
          <w:p w14:paraId="51E90D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kern w:val="21"/>
                <w:sz w:val="21"/>
                <w:szCs w:val="21"/>
                <w:highlight w:val="none"/>
                <w:lang w:val="en-US" w:eastAsia="zh-CN"/>
              </w:rPr>
            </w:pPr>
            <w:r>
              <w:rPr>
                <w:rFonts w:hint="eastAsia" w:ascii="宋体" w:hAnsi="宋体" w:cs="宋体"/>
                <w:bCs/>
                <w:color w:val="auto"/>
                <w:sz w:val="21"/>
                <w:szCs w:val="21"/>
                <w:highlight w:val="none"/>
              </w:rPr>
              <w:t>本项目</w:t>
            </w:r>
            <w:r>
              <w:rPr>
                <w:rFonts w:hint="eastAsia" w:cs="Times New Roman"/>
                <w:color w:val="auto"/>
                <w:sz w:val="21"/>
                <w:szCs w:val="21"/>
                <w:highlight w:val="none"/>
                <w:lang w:val="en-US" w:eastAsia="zh-CN"/>
              </w:rPr>
              <w:t>无新增生活垃圾；锅炉多管陶瓷+</w:t>
            </w:r>
            <w:r>
              <w:rPr>
                <w:rFonts w:hint="eastAsia"/>
                <w:color w:val="auto"/>
                <w:sz w:val="21"/>
                <w:szCs w:val="21"/>
                <w:highlight w:val="none"/>
                <w:lang w:eastAsia="zh-CN"/>
              </w:rPr>
              <w:t>布袋除尘器收尘</w:t>
            </w:r>
            <w:r>
              <w:rPr>
                <w:rFonts w:hint="eastAsia"/>
                <w:color w:val="auto"/>
                <w:sz w:val="21"/>
                <w:szCs w:val="21"/>
                <w:highlight w:val="none"/>
                <w:lang w:val="en-US" w:eastAsia="zh-CN"/>
              </w:rPr>
              <w:t>及锅炉炉渣</w:t>
            </w:r>
            <w:r>
              <w:rPr>
                <w:rFonts w:hint="eastAsia"/>
                <w:color w:val="auto"/>
                <w:sz w:val="21"/>
                <w:szCs w:val="21"/>
                <w:highlight w:val="none"/>
                <w:lang w:eastAsia="zh-CN"/>
              </w:rPr>
              <w:t>，</w:t>
            </w:r>
            <w:r>
              <w:rPr>
                <w:rFonts w:hint="eastAsia" w:cs="Times New Roman"/>
                <w:color w:val="auto"/>
                <w:sz w:val="21"/>
                <w:szCs w:val="21"/>
                <w:highlight w:val="none"/>
                <w:lang w:val="en-US" w:eastAsia="zh-CN"/>
              </w:rPr>
              <w:t>袋装收集存储于密闭灰渣库内，定期外售综合利用；</w:t>
            </w:r>
            <w:r>
              <w:rPr>
                <w:rFonts w:hint="eastAsia"/>
                <w:color w:val="auto"/>
                <w:sz w:val="21"/>
                <w:szCs w:val="21"/>
                <w:highlight w:val="none"/>
                <w:lang w:val="en-US" w:eastAsia="zh-CN"/>
              </w:rPr>
              <w:t>废离子交换树脂</w:t>
            </w:r>
            <w:r>
              <w:rPr>
                <w:rFonts w:hint="eastAsia" w:cs="Times New Roman"/>
                <w:color w:val="auto"/>
                <w:sz w:val="21"/>
                <w:szCs w:val="21"/>
                <w:highlight w:val="none"/>
                <w:lang w:val="en-US" w:eastAsia="zh-CN"/>
              </w:rPr>
              <w:t>，</w:t>
            </w:r>
            <w:r>
              <w:rPr>
                <w:rFonts w:hint="eastAsia" w:ascii="宋体" w:hAnsi="宋体" w:cs="宋体"/>
                <w:color w:val="auto"/>
                <w:sz w:val="21"/>
                <w:szCs w:val="21"/>
                <w:highlight w:val="none"/>
              </w:rPr>
              <w:t>更换后由厂家回收处置</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废布袋，</w:t>
            </w:r>
            <w:r>
              <w:rPr>
                <w:rFonts w:hint="eastAsia" w:ascii="宋体" w:hAnsi="宋体" w:cs="宋体"/>
                <w:color w:val="auto"/>
                <w:sz w:val="21"/>
                <w:szCs w:val="21"/>
                <w:highlight w:val="none"/>
              </w:rPr>
              <w:t>由除尘器厂家更换后直接带走</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废机油</w:t>
            </w:r>
            <w:r>
              <w:rPr>
                <w:rFonts w:hint="default"/>
                <w:color w:val="auto"/>
                <w:szCs w:val="21"/>
                <w:highlight w:val="none"/>
              </w:rPr>
              <w:t>密封桶装，</w:t>
            </w:r>
            <w:r>
              <w:rPr>
                <w:rFonts w:hint="eastAsia"/>
                <w:color w:val="auto"/>
                <w:szCs w:val="21"/>
                <w:highlight w:val="none"/>
                <w:lang w:eastAsia="zh-CN"/>
              </w:rPr>
              <w:t>废弃含油抹布、手套集中收集，</w:t>
            </w:r>
            <w:r>
              <w:rPr>
                <w:rFonts w:hint="default"/>
                <w:color w:val="FF0000"/>
                <w:szCs w:val="21"/>
                <w:highlight w:val="none"/>
              </w:rPr>
              <w:t>暂存于</w:t>
            </w:r>
            <w:r>
              <w:rPr>
                <w:rFonts w:hint="eastAsia"/>
                <w:color w:val="FF0000"/>
                <w:szCs w:val="21"/>
                <w:highlight w:val="none"/>
                <w:lang w:val="en-US" w:eastAsia="zh-CN"/>
              </w:rPr>
              <w:t>东山煤矿材料科</w:t>
            </w:r>
            <w:r>
              <w:rPr>
                <w:rFonts w:hint="default"/>
                <w:color w:val="FF0000"/>
                <w:szCs w:val="21"/>
                <w:highlight w:val="none"/>
              </w:rPr>
              <w:t>危险废物贮存</w:t>
            </w:r>
            <w:r>
              <w:rPr>
                <w:rFonts w:hint="eastAsia"/>
                <w:color w:val="FF0000"/>
                <w:szCs w:val="21"/>
                <w:highlight w:val="none"/>
                <w:lang w:val="en-US" w:eastAsia="zh-CN"/>
              </w:rPr>
              <w:t>库</w:t>
            </w:r>
            <w:r>
              <w:rPr>
                <w:rFonts w:hint="default"/>
                <w:color w:val="FF0000"/>
                <w:szCs w:val="21"/>
                <w:highlight w:val="none"/>
              </w:rPr>
              <w:t>内，</w:t>
            </w:r>
            <w:r>
              <w:rPr>
                <w:rFonts w:hint="default"/>
                <w:color w:val="FF0000"/>
                <w:kern w:val="21"/>
                <w:szCs w:val="21"/>
                <w:highlight w:val="none"/>
              </w:rPr>
              <w:t>定期由有资质单位拉运处理</w:t>
            </w:r>
            <w:r>
              <w:rPr>
                <w:rFonts w:hint="default"/>
                <w:color w:val="FF0000"/>
                <w:szCs w:val="21"/>
                <w:highlight w:val="none"/>
              </w:rPr>
              <w:t>。</w:t>
            </w:r>
          </w:p>
        </w:tc>
      </w:tr>
      <w:tr w14:paraId="088F81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1002EF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宋体" w:hAnsi="宋体" w:cs="宋体"/>
                <w:color w:val="auto"/>
                <w:sz w:val="21"/>
                <w:szCs w:val="21"/>
                <w:highlight w:val="none"/>
              </w:rPr>
            </w:pPr>
            <w:r>
              <w:rPr>
                <w:rFonts w:hint="default" w:ascii="宋体" w:hAnsi="宋体" w:cs="宋体"/>
                <w:color w:val="auto"/>
                <w:sz w:val="21"/>
                <w:szCs w:val="21"/>
                <w:highlight w:val="none"/>
              </w:rPr>
              <w:t>土壤及地下水污染防治措施</w:t>
            </w:r>
          </w:p>
        </w:tc>
        <w:tc>
          <w:tcPr>
            <w:tcW w:w="4173" w:type="pct"/>
            <w:gridSpan w:val="4"/>
            <w:tcBorders>
              <w:tl2br w:val="nil"/>
              <w:tr2bl w:val="nil"/>
            </w:tcBorders>
            <w:vAlign w:val="center"/>
          </w:tcPr>
          <w:p w14:paraId="7C413F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宋体" w:hAnsi="宋体" w:cs="宋体"/>
                <w:color w:val="auto"/>
                <w:sz w:val="21"/>
                <w:szCs w:val="21"/>
                <w:highlight w:val="none"/>
                <w:lang w:eastAsia="zh-CN"/>
              </w:rPr>
            </w:pPr>
            <w:r>
              <w:rPr>
                <w:rFonts w:hint="eastAsia" w:ascii="宋体" w:hAnsi="宋体" w:cs="宋体"/>
                <w:color w:val="FF0000"/>
                <w:sz w:val="21"/>
                <w:szCs w:val="21"/>
                <w:highlight w:val="none"/>
              </w:rPr>
              <w:t>本项目</w:t>
            </w:r>
            <w:r>
              <w:rPr>
                <w:rFonts w:hint="eastAsia" w:ascii="宋体" w:hAnsi="宋体" w:cs="宋体"/>
                <w:color w:val="FF0000"/>
                <w:sz w:val="21"/>
                <w:szCs w:val="21"/>
                <w:highlight w:val="none"/>
                <w:lang w:val="en-US" w:eastAsia="zh-CN"/>
              </w:rPr>
              <w:t>废机油、废弃含油抹布、手套，依托东山煤矿材料</w:t>
            </w:r>
            <w:r>
              <w:rPr>
                <w:rFonts w:hint="eastAsia" w:ascii="宋体" w:hAnsi="宋体" w:cs="宋体"/>
                <w:color w:val="auto"/>
                <w:sz w:val="21"/>
                <w:szCs w:val="21"/>
                <w:highlight w:val="none"/>
                <w:lang w:val="en-US" w:eastAsia="zh-CN"/>
              </w:rPr>
              <w:t>科危险废物贮存库，贮存库地面与</w:t>
            </w:r>
            <w:r>
              <w:rPr>
                <w:rFonts w:hint="default" w:ascii="宋体" w:hAnsi="宋体" w:cs="宋体"/>
                <w:color w:val="auto"/>
                <w:sz w:val="21"/>
                <w:szCs w:val="21"/>
                <w:highlight w:val="none"/>
                <w:lang w:val="en-US" w:eastAsia="zh-CN"/>
              </w:rPr>
              <w:t>裙脚</w:t>
            </w:r>
            <w:r>
              <w:rPr>
                <w:rFonts w:hint="eastAsia" w:ascii="宋体" w:hAnsi="宋体" w:cs="宋体"/>
                <w:color w:val="auto"/>
                <w:sz w:val="21"/>
                <w:szCs w:val="21"/>
                <w:highlight w:val="none"/>
                <w:lang w:val="en-US" w:eastAsia="zh-CN"/>
              </w:rPr>
              <w:t>采取抗渗混凝土重点防渗，</w:t>
            </w:r>
            <w:r>
              <w:rPr>
                <w:rFonts w:hint="default" w:ascii="宋体" w:hAnsi="宋体" w:cs="宋体"/>
                <w:color w:val="auto"/>
                <w:sz w:val="21"/>
                <w:szCs w:val="21"/>
                <w:highlight w:val="none"/>
                <w:lang w:val="en-US" w:eastAsia="zh-CN"/>
              </w:rPr>
              <w:t>贮存</w:t>
            </w:r>
            <w:r>
              <w:rPr>
                <w:rFonts w:hint="eastAsia" w:ascii="宋体" w:hAnsi="宋体" w:cs="宋体"/>
                <w:color w:val="auto"/>
                <w:sz w:val="21"/>
                <w:szCs w:val="21"/>
                <w:highlight w:val="none"/>
                <w:lang w:val="en-US" w:eastAsia="zh-CN"/>
              </w:rPr>
              <w:t>库</w:t>
            </w:r>
            <w:r>
              <w:rPr>
                <w:rFonts w:hint="default" w:ascii="宋体" w:hAnsi="宋体" w:cs="宋体"/>
                <w:color w:val="auto"/>
                <w:sz w:val="21"/>
                <w:szCs w:val="21"/>
                <w:highlight w:val="none"/>
                <w:lang w:val="en-US" w:eastAsia="zh-CN"/>
              </w:rPr>
              <w:t>外贴明显标识</w:t>
            </w:r>
            <w:r>
              <w:rPr>
                <w:rFonts w:hint="eastAsia" w:ascii="宋体" w:hAnsi="宋体" w:cs="宋体"/>
                <w:color w:val="auto"/>
                <w:sz w:val="21"/>
                <w:szCs w:val="21"/>
                <w:highlight w:val="none"/>
                <w:lang w:val="en-US" w:eastAsia="zh-CN"/>
              </w:rPr>
              <w:t>，贮存库内设置密封油桶，密闭收集设施</w:t>
            </w:r>
            <w:r>
              <w:rPr>
                <w:rFonts w:hint="default" w:ascii="宋体" w:hAnsi="宋体" w:cs="宋体"/>
                <w:color w:val="auto"/>
                <w:sz w:val="21"/>
                <w:szCs w:val="21"/>
                <w:highlight w:val="none"/>
                <w:lang w:val="en-US" w:eastAsia="zh-CN"/>
              </w:rPr>
              <w:t>。满足《危险废物贮存污染控制标准》（</w:t>
            </w:r>
            <w:r>
              <w:rPr>
                <w:rFonts w:hint="default" w:ascii="Times New Roman" w:hAnsi="Times New Roman" w:cs="Times New Roman"/>
                <w:color w:val="auto"/>
                <w:sz w:val="21"/>
                <w:szCs w:val="21"/>
                <w:highlight w:val="none"/>
                <w:lang w:val="en-US" w:eastAsia="zh-CN"/>
              </w:rPr>
              <w:t>GB18597-2023</w:t>
            </w:r>
            <w:r>
              <w:rPr>
                <w:rFonts w:hint="default" w:ascii="宋体" w:hAnsi="宋体" w:cs="宋体"/>
                <w:color w:val="auto"/>
                <w:sz w:val="21"/>
                <w:szCs w:val="21"/>
                <w:highlight w:val="none"/>
                <w:lang w:val="en-US" w:eastAsia="zh-CN"/>
              </w:rPr>
              <w:t>）的防渗要求</w:t>
            </w:r>
            <w:r>
              <w:rPr>
                <w:rFonts w:hint="eastAsia" w:ascii="宋体" w:hAnsi="宋体" w:cs="宋体"/>
                <w:color w:val="auto"/>
                <w:sz w:val="21"/>
                <w:szCs w:val="21"/>
                <w:highlight w:val="none"/>
                <w:lang w:val="en-US" w:eastAsia="zh-CN"/>
              </w:rPr>
              <w:t>，锅炉房其他位置、灰渣库、燃料库及厂区构筑物地面</w:t>
            </w:r>
            <w:r>
              <w:rPr>
                <w:rFonts w:hint="eastAsia" w:ascii="宋体" w:hAnsi="宋体" w:cs="宋体"/>
                <w:color w:val="auto"/>
                <w:sz w:val="21"/>
                <w:szCs w:val="21"/>
                <w:highlight w:val="none"/>
              </w:rPr>
              <w:t>均进行了硬化</w:t>
            </w:r>
            <w:r>
              <w:rPr>
                <w:rFonts w:hint="eastAsia" w:ascii="宋体" w:hAnsi="宋体" w:cs="宋体"/>
                <w:color w:val="auto"/>
                <w:sz w:val="21"/>
                <w:szCs w:val="21"/>
                <w:highlight w:val="none"/>
                <w:lang w:val="en-US" w:eastAsia="zh-CN"/>
              </w:rPr>
              <w:t>地面</w:t>
            </w:r>
            <w:r>
              <w:rPr>
                <w:rFonts w:hint="eastAsia" w:ascii="宋体" w:hAnsi="宋体" w:cs="宋体"/>
                <w:color w:val="auto"/>
                <w:sz w:val="21"/>
                <w:szCs w:val="21"/>
                <w:highlight w:val="none"/>
              </w:rPr>
              <w:t>。不存在土壤、地下水污染途径，对地下水、土壤无影响。</w:t>
            </w:r>
          </w:p>
        </w:tc>
      </w:tr>
      <w:tr w14:paraId="0B3DB0B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5C0AB7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生态保护措施</w:t>
            </w:r>
          </w:p>
        </w:tc>
        <w:tc>
          <w:tcPr>
            <w:tcW w:w="4173" w:type="pct"/>
            <w:gridSpan w:val="4"/>
            <w:tcBorders>
              <w:tl2br w:val="nil"/>
              <w:tr2bl w:val="nil"/>
            </w:tcBorders>
            <w:vAlign w:val="center"/>
          </w:tcPr>
          <w:p w14:paraId="0F0131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无</w:t>
            </w:r>
          </w:p>
        </w:tc>
      </w:tr>
      <w:tr w14:paraId="42DD02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2EB7B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环境风险防范措施</w:t>
            </w:r>
          </w:p>
        </w:tc>
        <w:tc>
          <w:tcPr>
            <w:tcW w:w="4173" w:type="pct"/>
            <w:gridSpan w:val="4"/>
            <w:tcBorders>
              <w:tl2br w:val="nil"/>
              <w:tr2bl w:val="nil"/>
            </w:tcBorders>
            <w:vAlign w:val="center"/>
          </w:tcPr>
          <w:p w14:paraId="7FF1C6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eastAsia" w:eastAsia="宋体"/>
                <w:color w:val="auto"/>
                <w:szCs w:val="21"/>
                <w:highlight w:val="none"/>
                <w:lang w:val="en-US" w:eastAsia="zh-CN"/>
              </w:rPr>
            </w:pPr>
            <w:r>
              <w:rPr>
                <w:rFonts w:hint="eastAsia"/>
                <w:color w:val="auto"/>
                <w:szCs w:val="21"/>
                <w:highlight w:val="none"/>
              </w:rPr>
              <w:t>1.</w:t>
            </w:r>
            <w:r>
              <w:rPr>
                <w:rFonts w:hint="default"/>
                <w:color w:val="auto"/>
                <w:szCs w:val="21"/>
                <w:highlight w:val="none"/>
              </w:rPr>
              <w:t>严格落实各项消防措施</w:t>
            </w:r>
            <w:r>
              <w:rPr>
                <w:rFonts w:hint="eastAsia"/>
                <w:color w:val="auto"/>
                <w:szCs w:val="21"/>
                <w:highlight w:val="none"/>
              </w:rPr>
              <w:t>：</w:t>
            </w:r>
            <w:r>
              <w:rPr>
                <w:rFonts w:hint="default"/>
                <w:color w:val="auto"/>
                <w:szCs w:val="21"/>
                <w:highlight w:val="none"/>
              </w:rPr>
              <w:t>按照《建筑灭火器配置设计规范》规定，配置相应的灭火器类型与数量，并在火灾危险场所设置报警装置。严禁区内有明火出现</w:t>
            </w:r>
            <w:r>
              <w:rPr>
                <w:rFonts w:hint="eastAsia"/>
                <w:color w:val="auto"/>
                <w:szCs w:val="21"/>
                <w:highlight w:val="none"/>
              </w:rPr>
              <w:t>；</w:t>
            </w:r>
            <w:r>
              <w:rPr>
                <w:rFonts w:hint="default"/>
                <w:color w:val="auto"/>
                <w:szCs w:val="21"/>
                <w:highlight w:val="none"/>
              </w:rPr>
              <w:t>2、运输过程的风险防范</w:t>
            </w:r>
            <w:r>
              <w:rPr>
                <w:rFonts w:hint="eastAsia"/>
                <w:color w:val="auto"/>
                <w:szCs w:val="21"/>
                <w:highlight w:val="none"/>
              </w:rPr>
              <w:t>：</w:t>
            </w:r>
            <w:r>
              <w:rPr>
                <w:rFonts w:hint="default"/>
                <w:color w:val="auto"/>
                <w:szCs w:val="21"/>
                <w:highlight w:val="none"/>
              </w:rPr>
              <w:t>运输过程风险防范包括交通事故预防运输过程设备故障性泄漏防范以及事故发生后的应急处理等</w:t>
            </w:r>
            <w:r>
              <w:rPr>
                <w:rFonts w:hint="eastAsia"/>
                <w:color w:val="auto"/>
                <w:szCs w:val="21"/>
                <w:highlight w:val="none"/>
                <w:lang w:eastAsia="zh-CN"/>
              </w:rPr>
              <w:t>。</w:t>
            </w:r>
          </w:p>
        </w:tc>
      </w:tr>
      <w:tr w14:paraId="5C22FC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66" w:hRule="atLeast"/>
          <w:jc w:val="center"/>
        </w:trPr>
        <w:tc>
          <w:tcPr>
            <w:tcW w:w="826" w:type="pct"/>
            <w:tcBorders>
              <w:tl2br w:val="nil"/>
              <w:tr2bl w:val="nil"/>
            </w:tcBorders>
            <w:vAlign w:val="center"/>
          </w:tcPr>
          <w:p w14:paraId="37BFFA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其他环境管理要求</w:t>
            </w:r>
          </w:p>
        </w:tc>
        <w:tc>
          <w:tcPr>
            <w:tcW w:w="4173" w:type="pct"/>
            <w:gridSpan w:val="4"/>
            <w:tcBorders>
              <w:tl2br w:val="nil"/>
              <w:tr2bl w:val="nil"/>
            </w:tcBorders>
            <w:vAlign w:val="center"/>
          </w:tcPr>
          <w:p w14:paraId="21DF94CA">
            <w:pPr>
              <w:keepNext w:val="0"/>
              <w:keepLines w:val="0"/>
              <w:widowControl/>
              <w:suppressLineNumbers w:val="0"/>
              <w:shd w:val="clear"/>
              <w:spacing w:before="0" w:beforeAutospacing="0" w:after="0" w:afterAutospacing="0"/>
              <w:ind w:left="0" w:right="0"/>
              <w:jc w:val="left"/>
              <w:rPr>
                <w:rFonts w:hint="default"/>
                <w:color w:val="auto"/>
                <w:szCs w:val="21"/>
                <w:highlight w:val="none"/>
              </w:rPr>
            </w:pPr>
            <w:r>
              <w:rPr>
                <w:rFonts w:hint="eastAsia"/>
                <w:color w:val="auto"/>
                <w:szCs w:val="21"/>
                <w:highlight w:val="none"/>
              </w:rPr>
              <w:t>本项目</w:t>
            </w:r>
            <w:r>
              <w:rPr>
                <w:rFonts w:hint="default"/>
                <w:color w:val="auto"/>
                <w:szCs w:val="21"/>
                <w:highlight w:val="none"/>
              </w:rPr>
              <w:t>属于实施简化管理的行业，本项目当在启动生产设施或者发生实际排污之前，应当在全国排污许可证管理信息平台完成重新申请排污许可证。填报基本信息、污染物排放去向、执行的污染物排放标准以及采取的污染防治措施等信息。</w:t>
            </w:r>
          </w:p>
          <w:p w14:paraId="29737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ascii="Times New Roman" w:hAnsi="Times New Roman" w:eastAsia="宋体" w:cs="Times New Roman"/>
                <w:color w:val="auto"/>
                <w:kern w:val="21"/>
                <w:sz w:val="21"/>
                <w:szCs w:val="21"/>
                <w:highlight w:val="none"/>
                <w:lang w:val="en-US" w:eastAsia="zh-CN"/>
              </w:rPr>
            </w:pPr>
            <w:r>
              <w:rPr>
                <w:rFonts w:hint="default"/>
                <w:color w:val="auto"/>
                <w:szCs w:val="21"/>
                <w:highlight w:val="none"/>
              </w:rPr>
              <w:t>工作区内需指定专门的人员，在本项</w:t>
            </w:r>
            <w:r>
              <w:rPr>
                <w:rFonts w:hint="eastAsia" w:ascii="宋体" w:hAnsi="宋体" w:cs="宋体"/>
                <w:color w:val="auto"/>
                <w:szCs w:val="21"/>
                <w:highlight w:val="none"/>
              </w:rPr>
              <w:t>目实施时严格执行“三同时”制度，保证项目运营时三废均能得到有效处理后达标排放。在日常生产中，应加强环保管理，大力推行清洁生产，并加强职工对污染要“</w:t>
            </w:r>
            <w:r>
              <w:rPr>
                <w:rFonts w:hint="eastAsia" w:ascii="宋体" w:hAnsi="宋体" w:cs="宋体"/>
                <w:color w:val="auto"/>
                <w:szCs w:val="21"/>
                <w:highlight w:val="none"/>
                <w:lang w:eastAsia="zh-CN"/>
              </w:rPr>
              <w:t>预防为主</w:t>
            </w:r>
            <w:r>
              <w:rPr>
                <w:rFonts w:hint="eastAsia" w:ascii="宋体" w:hAnsi="宋体" w:cs="宋体"/>
                <w:color w:val="auto"/>
                <w:szCs w:val="21"/>
                <w:highlight w:val="none"/>
              </w:rPr>
              <w:t>，防治结合”的认识。另外，应加强对设备运行状况的检查，特别是环保设</w:t>
            </w:r>
            <w:r>
              <w:rPr>
                <w:rFonts w:hint="default"/>
                <w:color w:val="auto"/>
                <w:szCs w:val="21"/>
                <w:highlight w:val="none"/>
              </w:rPr>
              <w:t>施要做到定期检查，制定检查方案与实施计划，严防出故障，对三废处理装置要定期检修，以确保污染物达标排放。按照相关要求，对排污口进行规范化管理，在正确的排放点位设置标识，以便进行自行验收和规范化管理</w:t>
            </w:r>
            <w:r>
              <w:rPr>
                <w:rFonts w:hint="eastAsia"/>
                <w:color w:val="auto"/>
                <w:szCs w:val="21"/>
                <w:highlight w:val="none"/>
              </w:rPr>
              <w:t>。</w:t>
            </w:r>
          </w:p>
        </w:tc>
      </w:tr>
    </w:tbl>
    <w:p w14:paraId="68CB7C23">
      <w:pPr>
        <w:pStyle w:val="31"/>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sz w:val="30"/>
          <w:szCs w:val="30"/>
          <w:highlight w:val="none"/>
        </w:rPr>
        <w:br w:type="page"/>
      </w:r>
      <w:bookmarkStart w:id="15" w:name="_Toc19724"/>
      <w:r>
        <w:rPr>
          <w:rFonts w:hint="default" w:ascii="Times New Roman" w:hAnsi="Times New Roman" w:eastAsia="黑体" w:cs="Times New Roman"/>
          <w:snapToGrid w:val="0"/>
          <w:color w:val="auto"/>
          <w:kern w:val="21"/>
          <w:sz w:val="30"/>
          <w:szCs w:val="30"/>
          <w:highlight w:val="none"/>
        </w:rPr>
        <w:t>六、结论</w:t>
      </w:r>
      <w:bookmarkEnd w:id="15"/>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03"/>
      </w:tblGrid>
      <w:tr w14:paraId="146385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6" w:hRule="atLeast"/>
          <w:jc w:val="center"/>
        </w:trPr>
        <w:tc>
          <w:tcPr>
            <w:tcW w:w="5000" w:type="pct"/>
            <w:vAlign w:val="center"/>
          </w:tcPr>
          <w:p w14:paraId="1A41E6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eastAsia"/>
                <w:color w:val="auto"/>
                <w:szCs w:val="21"/>
                <w:highlight w:val="none"/>
              </w:rPr>
              <w:t>本</w:t>
            </w:r>
            <w:r>
              <w:rPr>
                <w:rFonts w:hint="default"/>
                <w:color w:val="auto"/>
                <w:szCs w:val="21"/>
                <w:highlight w:val="none"/>
              </w:rPr>
              <w:t>项目符合国家产业政策，环保治理措施技术可行、污染物达标排放。企业在确实落实各项治理措施的情况下，在环保方面是可行的。</w:t>
            </w:r>
          </w:p>
        </w:tc>
      </w:tr>
    </w:tbl>
    <w:p w14:paraId="0C4704EA">
      <w:pPr>
        <w:pStyle w:val="31"/>
        <w:spacing w:before="0" w:beforeAutospacing="0" w:after="158" w:afterLines="50" w:afterAutospacing="0"/>
        <w:outlineLvl w:val="0"/>
        <w:rPr>
          <w:rFonts w:hint="default" w:ascii="Times New Roman" w:hAnsi="Times New Roman" w:eastAsia="黑体" w:cs="Times New Roman"/>
          <w:snapToGrid w:val="0"/>
          <w:color w:val="auto"/>
          <w:sz w:val="32"/>
          <w:szCs w:val="32"/>
          <w:highlight w:val="none"/>
        </w:rPr>
        <w:sectPr>
          <w:footerReference r:id="rId5" w:type="default"/>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47A448D5">
      <w:pPr>
        <w:pStyle w:val="31"/>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黑体" w:cs="Times New Roman"/>
          <w:snapToGrid w:val="0"/>
          <w:color w:val="auto"/>
          <w:kern w:val="21"/>
          <w:sz w:val="30"/>
          <w:szCs w:val="30"/>
          <w:highlight w:val="none"/>
        </w:rPr>
      </w:pPr>
      <w:bookmarkStart w:id="16" w:name="_Toc17733"/>
      <w:r>
        <w:rPr>
          <w:rFonts w:hint="default" w:ascii="Times New Roman" w:hAnsi="Times New Roman" w:eastAsia="黑体" w:cs="Times New Roman"/>
          <w:snapToGrid w:val="0"/>
          <w:color w:val="auto"/>
          <w:kern w:val="21"/>
          <w:sz w:val="30"/>
          <w:szCs w:val="30"/>
          <w:highlight w:val="none"/>
        </w:rPr>
        <w:t>附表</w:t>
      </w:r>
      <w:bookmarkEnd w:id="16"/>
    </w:p>
    <w:p w14:paraId="52E4A06F">
      <w:pPr>
        <w:pStyle w:val="3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Times New Roman" w:hAnsi="Times New Roman" w:eastAsia="黑体" w:cs="Times New Roman"/>
          <w:snapToGrid w:val="0"/>
          <w:color w:val="auto"/>
          <w:kern w:val="21"/>
          <w:sz w:val="30"/>
          <w:szCs w:val="38"/>
          <w:highlight w:val="none"/>
          <w:lang w:eastAsia="zh-CN"/>
        </w:rPr>
      </w:pPr>
      <w:r>
        <w:rPr>
          <w:rFonts w:hint="default" w:ascii="Times New Roman" w:hAnsi="Times New Roman" w:eastAsia="黑体" w:cs="Times New Roman"/>
          <w:snapToGrid w:val="0"/>
          <w:color w:val="auto"/>
          <w:kern w:val="21"/>
          <w:sz w:val="30"/>
          <w:szCs w:val="38"/>
          <w:highlight w:val="none"/>
        </w:rPr>
        <w:t>建设项目污染物排放量汇总表</w:t>
      </w:r>
    </w:p>
    <w:tbl>
      <w:tblPr>
        <w:tblStyle w:val="37"/>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7"/>
        <w:gridCol w:w="2697"/>
        <w:gridCol w:w="1425"/>
        <w:gridCol w:w="1323"/>
        <w:gridCol w:w="1321"/>
        <w:gridCol w:w="1559"/>
        <w:gridCol w:w="1535"/>
        <w:gridCol w:w="1786"/>
        <w:gridCol w:w="1225"/>
      </w:tblGrid>
      <w:tr w14:paraId="685CFD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917" w:type="dxa"/>
            <w:tcBorders>
              <w:tl2br w:val="single" w:color="auto" w:sz="4" w:space="0"/>
            </w:tcBorders>
            <w:tcMar>
              <w:left w:w="28" w:type="dxa"/>
              <w:right w:w="28" w:type="dxa"/>
            </w:tcMar>
            <w:vAlign w:val="center"/>
          </w:tcPr>
          <w:p w14:paraId="7B8AA4A9">
            <w:pPr>
              <w:pStyle w:val="69"/>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14D7EF2C">
            <w:pPr>
              <w:pStyle w:val="69"/>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2697" w:type="dxa"/>
            <w:tcMar>
              <w:left w:w="28" w:type="dxa"/>
              <w:right w:w="28" w:type="dxa"/>
            </w:tcMar>
            <w:vAlign w:val="center"/>
          </w:tcPr>
          <w:p w14:paraId="45B649F3">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425" w:type="dxa"/>
            <w:tcMar>
              <w:left w:w="28" w:type="dxa"/>
              <w:right w:w="28" w:type="dxa"/>
            </w:tcMar>
            <w:vAlign w:val="center"/>
          </w:tcPr>
          <w:p w14:paraId="4E76FF00">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6B3079D1">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323" w:type="dxa"/>
            <w:tcMar>
              <w:left w:w="28" w:type="dxa"/>
              <w:right w:w="28" w:type="dxa"/>
            </w:tcMar>
            <w:vAlign w:val="center"/>
          </w:tcPr>
          <w:p w14:paraId="24B49950">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557039A8">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14:paraId="194F0E5C">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321" w:type="dxa"/>
            <w:tcMar>
              <w:left w:w="28" w:type="dxa"/>
              <w:right w:w="28" w:type="dxa"/>
            </w:tcMar>
            <w:vAlign w:val="center"/>
          </w:tcPr>
          <w:p w14:paraId="2FF3554F">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14:paraId="1C0767FA">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3D07F3D6">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3F0FC317">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535" w:type="dxa"/>
            <w:tcMar>
              <w:left w:w="28" w:type="dxa"/>
              <w:right w:w="28" w:type="dxa"/>
            </w:tcMar>
            <w:vAlign w:val="center"/>
          </w:tcPr>
          <w:p w14:paraId="784B907C">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71DFD962">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86" w:type="dxa"/>
            <w:tcMar>
              <w:left w:w="28" w:type="dxa"/>
              <w:right w:w="28" w:type="dxa"/>
            </w:tcMar>
            <w:vAlign w:val="center"/>
          </w:tcPr>
          <w:p w14:paraId="18218894">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350B5F6E">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25" w:type="dxa"/>
            <w:tcMar>
              <w:left w:w="28" w:type="dxa"/>
              <w:right w:w="28" w:type="dxa"/>
            </w:tcMar>
            <w:vAlign w:val="center"/>
          </w:tcPr>
          <w:p w14:paraId="0CCA1725">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14:paraId="723F8E34">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36C55F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restart"/>
            <w:vAlign w:val="center"/>
          </w:tcPr>
          <w:p w14:paraId="6BA66F50">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废气</w:t>
            </w:r>
          </w:p>
        </w:tc>
        <w:tc>
          <w:tcPr>
            <w:tcW w:w="2697" w:type="dxa"/>
            <w:vAlign w:val="center"/>
          </w:tcPr>
          <w:p w14:paraId="20392E5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rPr>
              <w:t>颗粒物</w:t>
            </w:r>
          </w:p>
        </w:tc>
        <w:tc>
          <w:tcPr>
            <w:tcW w:w="1425" w:type="dxa"/>
            <w:vAlign w:val="center"/>
          </w:tcPr>
          <w:p w14:paraId="1297F0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lang w:val="en-US" w:eastAsia="zh-CN"/>
              </w:rPr>
              <w:t>5.282</w:t>
            </w:r>
            <w:r>
              <w:rPr>
                <w:rFonts w:hint="default" w:ascii="Times New Roman" w:hAnsi="Times New Roman" w:cs="Times New Roman"/>
                <w:bCs/>
                <w:color w:val="auto"/>
                <w:sz w:val="21"/>
                <w:szCs w:val="21"/>
                <w:highlight w:val="none"/>
                <w:lang w:eastAsia="zh-CN"/>
              </w:rPr>
              <w:t>t/a</w:t>
            </w:r>
          </w:p>
        </w:tc>
        <w:tc>
          <w:tcPr>
            <w:tcW w:w="1323" w:type="dxa"/>
            <w:vAlign w:val="center"/>
          </w:tcPr>
          <w:p w14:paraId="05D6D8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color w:val="auto"/>
                <w:sz w:val="21"/>
                <w:szCs w:val="21"/>
                <w:highlight w:val="none"/>
                <w:lang w:val="en-US" w:eastAsia="zh-CN"/>
              </w:rPr>
              <w:t>10.122785</w:t>
            </w:r>
            <w:r>
              <w:rPr>
                <w:rFonts w:hint="default" w:ascii="Times New Roman" w:hAnsi="Times New Roman" w:cs="Times New Roman"/>
                <w:bCs/>
                <w:color w:val="auto"/>
                <w:sz w:val="21"/>
                <w:szCs w:val="21"/>
                <w:highlight w:val="none"/>
                <w:lang w:eastAsia="zh-CN"/>
              </w:rPr>
              <w:t>t/a</w:t>
            </w:r>
          </w:p>
        </w:tc>
        <w:tc>
          <w:tcPr>
            <w:tcW w:w="1321" w:type="dxa"/>
            <w:vAlign w:val="center"/>
          </w:tcPr>
          <w:p w14:paraId="099E26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2D6E88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position w:val="0"/>
                <w:sz w:val="21"/>
                <w:szCs w:val="21"/>
                <w:highlight w:val="none"/>
                <w:lang w:val="en-US" w:eastAsia="zh-CN"/>
              </w:rPr>
              <w:t>2.843</w:t>
            </w:r>
            <w:r>
              <w:rPr>
                <w:rFonts w:hint="default" w:ascii="Times New Roman" w:hAnsi="Times New Roman" w:cs="Times New Roman"/>
                <w:bCs/>
                <w:color w:val="auto"/>
                <w:sz w:val="21"/>
                <w:szCs w:val="21"/>
                <w:highlight w:val="none"/>
                <w:lang w:eastAsia="zh-CN"/>
              </w:rPr>
              <w:t>t/a</w:t>
            </w:r>
          </w:p>
        </w:tc>
        <w:tc>
          <w:tcPr>
            <w:tcW w:w="1535" w:type="dxa"/>
            <w:vAlign w:val="center"/>
          </w:tcPr>
          <w:p w14:paraId="733CC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lang w:val="en-US" w:eastAsia="zh-CN"/>
              </w:rPr>
              <w:t>5.282</w:t>
            </w:r>
            <w:r>
              <w:rPr>
                <w:rFonts w:hint="default" w:ascii="Times New Roman" w:hAnsi="Times New Roman" w:cs="Times New Roman"/>
                <w:bCs/>
                <w:color w:val="auto"/>
                <w:sz w:val="21"/>
                <w:szCs w:val="21"/>
                <w:highlight w:val="none"/>
                <w:lang w:eastAsia="zh-CN"/>
              </w:rPr>
              <w:t>t/a</w:t>
            </w:r>
          </w:p>
        </w:tc>
        <w:tc>
          <w:tcPr>
            <w:tcW w:w="1786" w:type="dxa"/>
            <w:vAlign w:val="center"/>
          </w:tcPr>
          <w:p w14:paraId="3A6FD0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position w:val="0"/>
                <w:sz w:val="21"/>
                <w:szCs w:val="21"/>
                <w:highlight w:val="none"/>
                <w:lang w:val="en-US" w:eastAsia="zh-CN"/>
              </w:rPr>
              <w:t>2.843</w:t>
            </w:r>
            <w:r>
              <w:rPr>
                <w:rFonts w:hint="default" w:ascii="Times New Roman" w:hAnsi="Times New Roman" w:cs="Times New Roman"/>
                <w:bCs/>
                <w:color w:val="auto"/>
                <w:sz w:val="21"/>
                <w:szCs w:val="21"/>
                <w:highlight w:val="none"/>
                <w:lang w:eastAsia="zh-CN"/>
              </w:rPr>
              <w:t>t/a</w:t>
            </w:r>
          </w:p>
        </w:tc>
        <w:tc>
          <w:tcPr>
            <w:tcW w:w="1225" w:type="dxa"/>
            <w:vAlign w:val="center"/>
          </w:tcPr>
          <w:p w14:paraId="7387A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r>
              <w:rPr>
                <w:rFonts w:hint="eastAsia" w:cs="Times New Roman"/>
                <w:bCs/>
                <w:color w:val="auto"/>
                <w:sz w:val="21"/>
                <w:szCs w:val="21"/>
                <w:highlight w:val="none"/>
                <w:lang w:val="en-US" w:eastAsia="zh-CN"/>
              </w:rPr>
              <w:t>439</w:t>
            </w:r>
            <w:r>
              <w:rPr>
                <w:rFonts w:hint="default" w:ascii="Times New Roman" w:hAnsi="Times New Roman" w:eastAsia="宋体" w:cs="Times New Roman"/>
                <w:snapToGrid w:val="0"/>
                <w:color w:val="auto"/>
                <w:kern w:val="21"/>
                <w:sz w:val="21"/>
                <w:szCs w:val="21"/>
                <w:highlight w:val="none"/>
                <w:lang w:val="en-US" w:eastAsia="zh-CN"/>
              </w:rPr>
              <w:t>t/a</w:t>
            </w:r>
          </w:p>
        </w:tc>
      </w:tr>
      <w:tr w14:paraId="6D41B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0F3A6D27">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lang w:val="en-US" w:eastAsia="zh-CN"/>
              </w:rPr>
            </w:pPr>
          </w:p>
        </w:tc>
        <w:tc>
          <w:tcPr>
            <w:tcW w:w="2697" w:type="dxa"/>
            <w:vAlign w:val="center"/>
          </w:tcPr>
          <w:p w14:paraId="375DBD6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pacing w:val="0"/>
                <w:position w:val="0"/>
                <w:sz w:val="21"/>
                <w:szCs w:val="21"/>
                <w:highlight w:val="none"/>
              </w:rPr>
              <w:t>SO</w:t>
            </w:r>
            <w:r>
              <w:rPr>
                <w:rFonts w:hint="default" w:ascii="Times New Roman" w:hAnsi="Times New Roman" w:eastAsia="宋体" w:cs="Times New Roman"/>
                <w:color w:val="auto"/>
                <w:spacing w:val="0"/>
                <w:position w:val="0"/>
                <w:sz w:val="21"/>
                <w:szCs w:val="21"/>
                <w:highlight w:val="none"/>
                <w:vertAlign w:val="subscript"/>
              </w:rPr>
              <w:t>2</w:t>
            </w:r>
          </w:p>
        </w:tc>
        <w:tc>
          <w:tcPr>
            <w:tcW w:w="1425" w:type="dxa"/>
            <w:vAlign w:val="center"/>
          </w:tcPr>
          <w:p w14:paraId="095BA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24.764</w:t>
            </w:r>
            <w:r>
              <w:rPr>
                <w:rFonts w:hint="default" w:ascii="Times New Roman" w:hAnsi="Times New Roman" w:cs="Times New Roman"/>
                <w:bCs/>
                <w:color w:val="auto"/>
                <w:sz w:val="21"/>
                <w:szCs w:val="21"/>
                <w:highlight w:val="none"/>
                <w:lang w:eastAsia="zh-CN"/>
              </w:rPr>
              <w:t>t/a</w:t>
            </w:r>
          </w:p>
        </w:tc>
        <w:tc>
          <w:tcPr>
            <w:tcW w:w="1323" w:type="dxa"/>
            <w:vAlign w:val="center"/>
          </w:tcPr>
          <w:p w14:paraId="6DEA3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lang w:val="en-US" w:eastAsia="zh-CN"/>
              </w:rPr>
              <w:t>40.491138</w:t>
            </w:r>
            <w:r>
              <w:rPr>
                <w:rFonts w:hint="default" w:ascii="Times New Roman" w:hAnsi="Times New Roman" w:cs="Times New Roman"/>
                <w:bCs/>
                <w:color w:val="auto"/>
                <w:sz w:val="21"/>
                <w:szCs w:val="21"/>
                <w:highlight w:val="none"/>
                <w:lang w:eastAsia="zh-CN"/>
              </w:rPr>
              <w:t>t/a</w:t>
            </w:r>
          </w:p>
        </w:tc>
        <w:tc>
          <w:tcPr>
            <w:tcW w:w="1321" w:type="dxa"/>
            <w:vAlign w:val="center"/>
          </w:tcPr>
          <w:p w14:paraId="09E9DF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23C1E0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cs="Times New Roman"/>
                <w:color w:val="auto"/>
                <w:position w:val="0"/>
                <w:sz w:val="21"/>
                <w:szCs w:val="21"/>
                <w:highlight w:val="none"/>
                <w:lang w:val="en-US" w:eastAsia="zh-CN"/>
              </w:rPr>
              <w:t>4.273</w:t>
            </w:r>
            <w:r>
              <w:rPr>
                <w:rFonts w:hint="default" w:ascii="Times New Roman" w:hAnsi="Times New Roman" w:cs="Times New Roman"/>
                <w:bCs/>
                <w:color w:val="auto"/>
                <w:sz w:val="21"/>
                <w:szCs w:val="21"/>
                <w:highlight w:val="none"/>
                <w:lang w:eastAsia="zh-CN"/>
              </w:rPr>
              <w:t>t/a</w:t>
            </w:r>
          </w:p>
        </w:tc>
        <w:tc>
          <w:tcPr>
            <w:tcW w:w="1535" w:type="dxa"/>
            <w:vAlign w:val="center"/>
          </w:tcPr>
          <w:p w14:paraId="48DC44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24.764</w:t>
            </w:r>
            <w:r>
              <w:rPr>
                <w:rFonts w:hint="default" w:ascii="Times New Roman" w:hAnsi="Times New Roman" w:cs="Times New Roman"/>
                <w:bCs/>
                <w:color w:val="auto"/>
                <w:sz w:val="21"/>
                <w:szCs w:val="21"/>
                <w:highlight w:val="none"/>
                <w:lang w:eastAsia="zh-CN"/>
              </w:rPr>
              <w:t>t/a</w:t>
            </w:r>
          </w:p>
        </w:tc>
        <w:tc>
          <w:tcPr>
            <w:tcW w:w="1786" w:type="dxa"/>
            <w:vAlign w:val="center"/>
          </w:tcPr>
          <w:p w14:paraId="456FCD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cs="Times New Roman"/>
                <w:color w:val="auto"/>
                <w:position w:val="0"/>
                <w:sz w:val="21"/>
                <w:szCs w:val="21"/>
                <w:highlight w:val="none"/>
                <w:lang w:val="en-US" w:eastAsia="zh-CN"/>
              </w:rPr>
              <w:t>4.273</w:t>
            </w:r>
            <w:r>
              <w:rPr>
                <w:rFonts w:hint="default" w:ascii="Times New Roman" w:hAnsi="Times New Roman" w:cs="Times New Roman"/>
                <w:bCs/>
                <w:color w:val="auto"/>
                <w:sz w:val="21"/>
                <w:szCs w:val="21"/>
                <w:highlight w:val="none"/>
                <w:lang w:eastAsia="zh-CN"/>
              </w:rPr>
              <w:t>t/a</w:t>
            </w:r>
          </w:p>
        </w:tc>
        <w:tc>
          <w:tcPr>
            <w:tcW w:w="1225" w:type="dxa"/>
            <w:vAlign w:val="center"/>
          </w:tcPr>
          <w:p w14:paraId="60AB75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default" w:ascii="Times New Roman" w:hAnsi="Times New Roman" w:cs="Times New Roman"/>
                <w:bCs/>
                <w:color w:val="auto"/>
                <w:sz w:val="21"/>
                <w:szCs w:val="21"/>
                <w:highlight w:val="none"/>
                <w:lang w:val="en-US" w:eastAsia="zh-CN"/>
              </w:rPr>
              <w:t>-20.491</w:t>
            </w:r>
            <w:r>
              <w:rPr>
                <w:rFonts w:hint="default" w:ascii="Times New Roman" w:hAnsi="Times New Roman" w:eastAsia="宋体" w:cs="Times New Roman"/>
                <w:snapToGrid w:val="0"/>
                <w:color w:val="auto"/>
                <w:kern w:val="21"/>
                <w:sz w:val="21"/>
                <w:szCs w:val="21"/>
                <w:highlight w:val="none"/>
                <w:lang w:val="en-US" w:eastAsia="zh-CN"/>
              </w:rPr>
              <w:t>t/a</w:t>
            </w:r>
          </w:p>
        </w:tc>
      </w:tr>
      <w:tr w14:paraId="131C20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00452B77">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lang w:val="en-US" w:eastAsia="zh-CN"/>
              </w:rPr>
            </w:pPr>
          </w:p>
        </w:tc>
        <w:tc>
          <w:tcPr>
            <w:tcW w:w="2697" w:type="dxa"/>
            <w:vAlign w:val="center"/>
          </w:tcPr>
          <w:p w14:paraId="332879D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pacing w:val="0"/>
                <w:position w:val="0"/>
                <w:sz w:val="21"/>
                <w:szCs w:val="21"/>
                <w:highlight w:val="none"/>
              </w:rPr>
              <w:t>NO</w:t>
            </w:r>
            <w:r>
              <w:rPr>
                <w:rFonts w:hint="default" w:ascii="Times New Roman" w:hAnsi="Times New Roman" w:eastAsia="宋体" w:cs="Times New Roman"/>
                <w:color w:val="auto"/>
                <w:spacing w:val="0"/>
                <w:position w:val="0"/>
                <w:sz w:val="21"/>
                <w:szCs w:val="21"/>
                <w:highlight w:val="none"/>
                <w:lang w:val="en-US" w:eastAsia="zh-CN"/>
              </w:rPr>
              <w:t>x</w:t>
            </w:r>
          </w:p>
        </w:tc>
        <w:tc>
          <w:tcPr>
            <w:tcW w:w="1425" w:type="dxa"/>
            <w:vAlign w:val="center"/>
          </w:tcPr>
          <w:p w14:paraId="55DD1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28.41</w:t>
            </w:r>
            <w:r>
              <w:rPr>
                <w:rFonts w:hint="default" w:ascii="Times New Roman" w:hAnsi="Times New Roman" w:cs="Times New Roman"/>
                <w:bCs/>
                <w:color w:val="auto"/>
                <w:sz w:val="21"/>
                <w:szCs w:val="21"/>
                <w:highlight w:val="none"/>
                <w:lang w:eastAsia="zh-CN"/>
              </w:rPr>
              <w:t>t/a</w:t>
            </w:r>
          </w:p>
        </w:tc>
        <w:tc>
          <w:tcPr>
            <w:tcW w:w="1323" w:type="dxa"/>
            <w:vAlign w:val="center"/>
          </w:tcPr>
          <w:p w14:paraId="50651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lang w:val="en-US" w:eastAsia="zh-CN"/>
              </w:rPr>
              <w:t>50.613923</w:t>
            </w:r>
            <w:r>
              <w:rPr>
                <w:rFonts w:hint="default" w:ascii="Times New Roman" w:hAnsi="Times New Roman" w:cs="Times New Roman"/>
                <w:bCs/>
                <w:color w:val="auto"/>
                <w:sz w:val="21"/>
                <w:szCs w:val="21"/>
                <w:highlight w:val="none"/>
                <w:lang w:eastAsia="zh-CN"/>
              </w:rPr>
              <w:t>t/a</w:t>
            </w:r>
          </w:p>
        </w:tc>
        <w:tc>
          <w:tcPr>
            <w:tcW w:w="1321" w:type="dxa"/>
            <w:vAlign w:val="center"/>
          </w:tcPr>
          <w:p w14:paraId="6FDA32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3B3719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cs="Times New Roman"/>
                <w:color w:val="auto"/>
                <w:position w:val="0"/>
                <w:sz w:val="21"/>
                <w:szCs w:val="21"/>
                <w:highlight w:val="none"/>
                <w:lang w:val="en-US" w:eastAsia="zh-CN"/>
              </w:rPr>
              <w:t>27.072</w:t>
            </w:r>
            <w:r>
              <w:rPr>
                <w:rFonts w:hint="default" w:ascii="Times New Roman" w:hAnsi="Times New Roman" w:cs="Times New Roman"/>
                <w:bCs/>
                <w:color w:val="auto"/>
                <w:sz w:val="21"/>
                <w:szCs w:val="21"/>
                <w:highlight w:val="none"/>
                <w:lang w:eastAsia="zh-CN"/>
              </w:rPr>
              <w:t>t/a</w:t>
            </w:r>
          </w:p>
        </w:tc>
        <w:tc>
          <w:tcPr>
            <w:tcW w:w="1535" w:type="dxa"/>
            <w:vAlign w:val="center"/>
          </w:tcPr>
          <w:p w14:paraId="4C6398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28.41</w:t>
            </w:r>
            <w:r>
              <w:rPr>
                <w:rFonts w:hint="default" w:ascii="Times New Roman" w:hAnsi="Times New Roman" w:cs="Times New Roman"/>
                <w:bCs/>
                <w:color w:val="auto"/>
                <w:sz w:val="21"/>
                <w:szCs w:val="21"/>
                <w:highlight w:val="none"/>
                <w:lang w:eastAsia="zh-CN"/>
              </w:rPr>
              <w:t>t/a</w:t>
            </w:r>
          </w:p>
        </w:tc>
        <w:tc>
          <w:tcPr>
            <w:tcW w:w="1786" w:type="dxa"/>
            <w:vAlign w:val="center"/>
          </w:tcPr>
          <w:p w14:paraId="3C08CD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cs="Times New Roman"/>
                <w:color w:val="auto"/>
                <w:position w:val="0"/>
                <w:sz w:val="21"/>
                <w:szCs w:val="21"/>
                <w:highlight w:val="none"/>
                <w:lang w:val="en-US" w:eastAsia="zh-CN"/>
              </w:rPr>
              <w:t>27.072</w:t>
            </w:r>
            <w:r>
              <w:rPr>
                <w:rFonts w:hint="default" w:ascii="Times New Roman" w:hAnsi="Times New Roman" w:cs="Times New Roman"/>
                <w:bCs/>
                <w:color w:val="auto"/>
                <w:sz w:val="21"/>
                <w:szCs w:val="21"/>
                <w:highlight w:val="none"/>
                <w:lang w:eastAsia="zh-CN"/>
              </w:rPr>
              <w:t>t/a</w:t>
            </w:r>
          </w:p>
        </w:tc>
        <w:tc>
          <w:tcPr>
            <w:tcW w:w="1225" w:type="dxa"/>
            <w:vAlign w:val="center"/>
          </w:tcPr>
          <w:p w14:paraId="03168E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default" w:ascii="Times New Roman" w:hAnsi="Times New Roman" w:cs="Times New Roman"/>
                <w:bCs/>
                <w:color w:val="auto"/>
                <w:sz w:val="21"/>
                <w:szCs w:val="21"/>
                <w:highlight w:val="none"/>
                <w:lang w:val="en-US" w:eastAsia="zh-CN"/>
              </w:rPr>
              <w:t>-1.338</w:t>
            </w:r>
            <w:r>
              <w:rPr>
                <w:rFonts w:hint="default" w:ascii="Times New Roman" w:hAnsi="Times New Roman" w:eastAsia="宋体" w:cs="Times New Roman"/>
                <w:snapToGrid w:val="0"/>
                <w:color w:val="auto"/>
                <w:kern w:val="21"/>
                <w:sz w:val="21"/>
                <w:szCs w:val="21"/>
                <w:highlight w:val="none"/>
                <w:lang w:val="en-US" w:eastAsia="zh-CN"/>
              </w:rPr>
              <w:t>t/a</w:t>
            </w:r>
          </w:p>
        </w:tc>
      </w:tr>
      <w:tr w14:paraId="31B3D2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restart"/>
            <w:vAlign w:val="center"/>
          </w:tcPr>
          <w:p w14:paraId="408A1A65">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废水</w:t>
            </w:r>
          </w:p>
        </w:tc>
        <w:tc>
          <w:tcPr>
            <w:tcW w:w="2697" w:type="dxa"/>
            <w:vAlign w:val="center"/>
          </w:tcPr>
          <w:p w14:paraId="1D37068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COD</w:t>
            </w:r>
          </w:p>
        </w:tc>
        <w:tc>
          <w:tcPr>
            <w:tcW w:w="1425" w:type="dxa"/>
            <w:vAlign w:val="center"/>
          </w:tcPr>
          <w:p w14:paraId="468E20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323" w:type="dxa"/>
            <w:vAlign w:val="center"/>
          </w:tcPr>
          <w:p w14:paraId="521909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321" w:type="dxa"/>
            <w:vAlign w:val="center"/>
          </w:tcPr>
          <w:p w14:paraId="621A09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position w:val="0"/>
                <w:sz w:val="21"/>
                <w:szCs w:val="21"/>
                <w:highlight w:val="none"/>
                <w:lang w:val="en-US" w:eastAsia="zh-CN"/>
              </w:rPr>
            </w:pPr>
            <w:r>
              <w:rPr>
                <w:rFonts w:hint="default" w:ascii="Times New Roman" w:hAnsi="Times New Roman" w:cs="Times New Roman"/>
                <w:bCs/>
                <w:color w:val="auto"/>
                <w:sz w:val="21"/>
                <w:szCs w:val="21"/>
                <w:highlight w:val="none"/>
              </w:rPr>
              <w:t>/</w:t>
            </w:r>
          </w:p>
        </w:tc>
        <w:tc>
          <w:tcPr>
            <w:tcW w:w="1559" w:type="dxa"/>
            <w:vAlign w:val="center"/>
          </w:tcPr>
          <w:p w14:paraId="4A88AA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position w:val="0"/>
                <w:sz w:val="21"/>
                <w:szCs w:val="21"/>
                <w:highlight w:val="none"/>
                <w:lang w:val="en-US" w:eastAsia="zh-CN"/>
              </w:rPr>
            </w:pPr>
            <w:r>
              <w:rPr>
                <w:rFonts w:hint="default" w:ascii="Times New Roman" w:hAnsi="Times New Roman" w:cs="Times New Roman"/>
                <w:bCs/>
                <w:color w:val="auto"/>
                <w:sz w:val="21"/>
                <w:szCs w:val="21"/>
                <w:highlight w:val="none"/>
                <w:lang w:val="en-US" w:eastAsia="zh-CN"/>
              </w:rPr>
              <w:t>0.754</w:t>
            </w:r>
            <w:r>
              <w:rPr>
                <w:rFonts w:hint="default" w:ascii="Times New Roman" w:hAnsi="Times New Roman" w:cs="Times New Roman"/>
                <w:bCs/>
                <w:color w:val="auto"/>
                <w:sz w:val="21"/>
                <w:szCs w:val="21"/>
                <w:highlight w:val="none"/>
                <w:lang w:eastAsia="zh-CN"/>
              </w:rPr>
              <w:t>t/a</w:t>
            </w:r>
          </w:p>
        </w:tc>
        <w:tc>
          <w:tcPr>
            <w:tcW w:w="1535" w:type="dxa"/>
            <w:vAlign w:val="center"/>
          </w:tcPr>
          <w:p w14:paraId="0BA510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786" w:type="dxa"/>
            <w:vAlign w:val="center"/>
          </w:tcPr>
          <w:p w14:paraId="6A75A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position w:val="0"/>
                <w:sz w:val="21"/>
                <w:szCs w:val="21"/>
                <w:highlight w:val="none"/>
                <w:lang w:val="en-US" w:eastAsia="zh-CN"/>
              </w:rPr>
            </w:pPr>
            <w:r>
              <w:rPr>
                <w:rFonts w:hint="default" w:ascii="Times New Roman" w:hAnsi="Times New Roman" w:cs="Times New Roman"/>
                <w:bCs/>
                <w:color w:val="auto"/>
                <w:sz w:val="21"/>
                <w:szCs w:val="21"/>
                <w:highlight w:val="none"/>
                <w:lang w:val="en-US" w:eastAsia="zh-CN"/>
              </w:rPr>
              <w:t>0.754</w:t>
            </w:r>
            <w:r>
              <w:rPr>
                <w:rFonts w:hint="default" w:ascii="Times New Roman" w:hAnsi="Times New Roman" w:cs="Times New Roman"/>
                <w:bCs/>
                <w:color w:val="auto"/>
                <w:sz w:val="21"/>
                <w:szCs w:val="21"/>
                <w:highlight w:val="none"/>
                <w:lang w:eastAsia="zh-CN"/>
              </w:rPr>
              <w:t>t/a</w:t>
            </w:r>
          </w:p>
        </w:tc>
        <w:tc>
          <w:tcPr>
            <w:tcW w:w="1225" w:type="dxa"/>
            <w:vAlign w:val="center"/>
          </w:tcPr>
          <w:p w14:paraId="0036D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0.754</w:t>
            </w:r>
            <w:r>
              <w:rPr>
                <w:rFonts w:hint="default" w:ascii="Times New Roman" w:hAnsi="Times New Roman" w:cs="Times New Roman"/>
                <w:bCs/>
                <w:color w:val="auto"/>
                <w:sz w:val="21"/>
                <w:szCs w:val="21"/>
                <w:highlight w:val="none"/>
                <w:lang w:eastAsia="zh-CN"/>
              </w:rPr>
              <w:t>t/a</w:t>
            </w:r>
          </w:p>
        </w:tc>
      </w:tr>
      <w:tr w14:paraId="1D62DA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3EFDC71F">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lang w:val="en-US" w:eastAsia="zh-CN"/>
              </w:rPr>
            </w:pPr>
          </w:p>
        </w:tc>
        <w:tc>
          <w:tcPr>
            <w:tcW w:w="2697" w:type="dxa"/>
            <w:vAlign w:val="center"/>
          </w:tcPr>
          <w:p w14:paraId="2E905B7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溶解性总固体</w:t>
            </w:r>
          </w:p>
        </w:tc>
        <w:tc>
          <w:tcPr>
            <w:tcW w:w="1425" w:type="dxa"/>
            <w:vAlign w:val="center"/>
          </w:tcPr>
          <w:p w14:paraId="0514BC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323" w:type="dxa"/>
            <w:vAlign w:val="center"/>
          </w:tcPr>
          <w:p w14:paraId="79368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321" w:type="dxa"/>
            <w:vAlign w:val="center"/>
          </w:tcPr>
          <w:p w14:paraId="5737EB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position w:val="0"/>
                <w:sz w:val="21"/>
                <w:szCs w:val="21"/>
                <w:highlight w:val="none"/>
                <w:lang w:val="en-US" w:eastAsia="zh-CN"/>
              </w:rPr>
            </w:pPr>
            <w:r>
              <w:rPr>
                <w:rFonts w:hint="default" w:ascii="Times New Roman" w:hAnsi="Times New Roman" w:cs="Times New Roman"/>
                <w:bCs/>
                <w:color w:val="auto"/>
                <w:sz w:val="21"/>
                <w:szCs w:val="21"/>
                <w:highlight w:val="none"/>
              </w:rPr>
              <w:t>/</w:t>
            </w:r>
          </w:p>
        </w:tc>
        <w:tc>
          <w:tcPr>
            <w:tcW w:w="1559" w:type="dxa"/>
            <w:vAlign w:val="center"/>
          </w:tcPr>
          <w:p w14:paraId="4A78B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positio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4.474</w:t>
            </w:r>
            <w:r>
              <w:rPr>
                <w:rFonts w:hint="default" w:ascii="Times New Roman" w:hAnsi="Times New Roman" w:cs="Times New Roman"/>
                <w:bCs/>
                <w:color w:val="auto"/>
                <w:sz w:val="21"/>
                <w:szCs w:val="21"/>
                <w:highlight w:val="none"/>
                <w:lang w:eastAsia="zh-CN"/>
              </w:rPr>
              <w:t>t/a</w:t>
            </w:r>
          </w:p>
        </w:tc>
        <w:tc>
          <w:tcPr>
            <w:tcW w:w="1535" w:type="dxa"/>
            <w:vAlign w:val="center"/>
          </w:tcPr>
          <w:p w14:paraId="5539B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786" w:type="dxa"/>
            <w:vAlign w:val="center"/>
          </w:tcPr>
          <w:p w14:paraId="699E9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positio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4.474</w:t>
            </w:r>
            <w:r>
              <w:rPr>
                <w:rFonts w:hint="default" w:ascii="Times New Roman" w:hAnsi="Times New Roman" w:cs="Times New Roman"/>
                <w:bCs/>
                <w:color w:val="auto"/>
                <w:sz w:val="21"/>
                <w:szCs w:val="21"/>
                <w:highlight w:val="none"/>
                <w:lang w:eastAsia="zh-CN"/>
              </w:rPr>
              <w:t>t/a</w:t>
            </w:r>
          </w:p>
        </w:tc>
        <w:tc>
          <w:tcPr>
            <w:tcW w:w="1225" w:type="dxa"/>
            <w:vAlign w:val="center"/>
          </w:tcPr>
          <w:p w14:paraId="31A6C2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4.474</w:t>
            </w:r>
            <w:r>
              <w:rPr>
                <w:rFonts w:hint="default" w:ascii="Times New Roman" w:hAnsi="Times New Roman" w:cs="Times New Roman"/>
                <w:bCs/>
                <w:color w:val="auto"/>
                <w:sz w:val="21"/>
                <w:szCs w:val="21"/>
                <w:highlight w:val="none"/>
                <w:lang w:eastAsia="zh-CN"/>
              </w:rPr>
              <w:t>t/a</w:t>
            </w:r>
          </w:p>
        </w:tc>
      </w:tr>
      <w:tr w14:paraId="53B649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917" w:type="dxa"/>
            <w:vMerge w:val="restart"/>
            <w:vAlign w:val="center"/>
          </w:tcPr>
          <w:p w14:paraId="151F4E35">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snapToGrid w:val="0"/>
                <w:color w:val="auto"/>
                <w:kern w:val="21"/>
                <w:sz w:val="21"/>
                <w:szCs w:val="21"/>
                <w:highlight w:val="none"/>
                <w:lang w:val="en-US" w:eastAsia="zh-CN"/>
              </w:rPr>
              <w:t>一般</w:t>
            </w:r>
            <w:r>
              <w:rPr>
                <w:rFonts w:hint="default" w:ascii="Times New Roman" w:hAnsi="Times New Roman" w:cs="Times New Roman"/>
                <w:snapToGrid w:val="0"/>
                <w:color w:val="auto"/>
                <w:kern w:val="21"/>
                <w:sz w:val="21"/>
                <w:szCs w:val="21"/>
                <w:highlight w:val="none"/>
              </w:rPr>
              <w:t>固体废物</w:t>
            </w:r>
          </w:p>
        </w:tc>
        <w:tc>
          <w:tcPr>
            <w:tcW w:w="2697" w:type="dxa"/>
            <w:vAlign w:val="center"/>
          </w:tcPr>
          <w:p w14:paraId="51AA9B03">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color w:val="auto"/>
                <w:sz w:val="21"/>
                <w:szCs w:val="21"/>
                <w:highlight w:val="none"/>
                <w:lang w:val="en-US" w:eastAsia="zh-CN"/>
              </w:rPr>
              <w:t>锅炉灰渣（多管陶瓷+布袋除尘器收尘灰、炉渣）</w:t>
            </w:r>
          </w:p>
        </w:tc>
        <w:tc>
          <w:tcPr>
            <w:tcW w:w="1425" w:type="dxa"/>
            <w:vAlign w:val="center"/>
          </w:tcPr>
          <w:p w14:paraId="3A1797A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12731</w:t>
            </w:r>
            <w:r>
              <w:rPr>
                <w:rFonts w:hint="default" w:ascii="Times New Roman" w:hAnsi="Times New Roman" w:eastAsia="宋体" w:cs="Times New Roman"/>
                <w:snapToGrid w:val="0"/>
                <w:color w:val="auto"/>
                <w:kern w:val="21"/>
                <w:sz w:val="21"/>
                <w:szCs w:val="21"/>
                <w:highlight w:val="none"/>
                <w:lang w:val="en-US" w:eastAsia="zh-CN"/>
              </w:rPr>
              <w:t>t/a</w:t>
            </w:r>
          </w:p>
        </w:tc>
        <w:tc>
          <w:tcPr>
            <w:tcW w:w="1323" w:type="dxa"/>
            <w:vAlign w:val="center"/>
          </w:tcPr>
          <w:p w14:paraId="09BE825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321" w:type="dxa"/>
            <w:vAlign w:val="center"/>
          </w:tcPr>
          <w:p w14:paraId="352AACF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52A7C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lang w:val="en-US" w:eastAsia="zh-CN"/>
              </w:rPr>
              <w:t>3515.91</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0DF5B4F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12731</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5E8A397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lang w:val="en-US" w:eastAsia="zh-CN"/>
              </w:rPr>
              <w:t>6529.95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2EABC536">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lang w:val="en-US" w:eastAsia="zh-CN"/>
              </w:rPr>
              <w:t>-6201.05</w:t>
            </w:r>
            <w:r>
              <w:rPr>
                <w:rFonts w:hint="default" w:ascii="Times New Roman" w:hAnsi="Times New Roman" w:eastAsia="宋体" w:cs="Times New Roman"/>
                <w:snapToGrid w:val="0"/>
                <w:color w:val="auto"/>
                <w:kern w:val="21"/>
                <w:sz w:val="21"/>
                <w:szCs w:val="21"/>
                <w:highlight w:val="none"/>
                <w:lang w:val="en-US" w:eastAsia="zh-CN"/>
              </w:rPr>
              <w:t>t/a</w:t>
            </w:r>
          </w:p>
        </w:tc>
      </w:tr>
      <w:tr w14:paraId="56219D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05BA47FC">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60352D96">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废布袋</w:t>
            </w:r>
          </w:p>
        </w:tc>
        <w:tc>
          <w:tcPr>
            <w:tcW w:w="1425" w:type="dxa"/>
            <w:vAlign w:val="center"/>
          </w:tcPr>
          <w:p w14:paraId="68DB36A4">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323" w:type="dxa"/>
            <w:vAlign w:val="center"/>
          </w:tcPr>
          <w:p w14:paraId="314C918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321" w:type="dxa"/>
            <w:vAlign w:val="center"/>
          </w:tcPr>
          <w:p w14:paraId="746BB93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38EC6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0.8</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53796CD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eastAsia" w:ascii="Times New Roman" w:hAnsi="Times New Roman"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786" w:type="dxa"/>
            <w:vAlign w:val="center"/>
          </w:tcPr>
          <w:p w14:paraId="5693E1D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0.8</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340CA9F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2</w:t>
            </w:r>
            <w:r>
              <w:rPr>
                <w:rFonts w:hint="default" w:ascii="Times New Roman" w:hAnsi="Times New Roman" w:eastAsia="宋体" w:cs="Times New Roman"/>
                <w:snapToGrid w:val="0"/>
                <w:color w:val="auto"/>
                <w:kern w:val="21"/>
                <w:sz w:val="21"/>
                <w:szCs w:val="21"/>
                <w:highlight w:val="none"/>
                <w:lang w:val="en-US" w:eastAsia="zh-CN"/>
              </w:rPr>
              <w:t>t/a</w:t>
            </w:r>
          </w:p>
        </w:tc>
      </w:tr>
      <w:tr w14:paraId="29D044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4C43A3A3">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7FDE0FDA">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废离子交换树脂</w:t>
            </w:r>
          </w:p>
        </w:tc>
        <w:tc>
          <w:tcPr>
            <w:tcW w:w="1425" w:type="dxa"/>
            <w:vAlign w:val="center"/>
          </w:tcPr>
          <w:p w14:paraId="44EF4AF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323" w:type="dxa"/>
            <w:vAlign w:val="center"/>
          </w:tcPr>
          <w:p w14:paraId="542EAB9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321" w:type="dxa"/>
            <w:vAlign w:val="center"/>
          </w:tcPr>
          <w:p w14:paraId="62C4D65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1DA0BB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1.8</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3E0FEA8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454B8D2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1.8</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31CD277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1.8</w:t>
            </w:r>
            <w:r>
              <w:rPr>
                <w:rFonts w:hint="default" w:ascii="Times New Roman" w:hAnsi="Times New Roman" w:eastAsia="宋体" w:cs="Times New Roman"/>
                <w:snapToGrid w:val="0"/>
                <w:color w:val="auto"/>
                <w:kern w:val="21"/>
                <w:sz w:val="21"/>
                <w:szCs w:val="21"/>
                <w:highlight w:val="none"/>
                <w:lang w:val="en-US" w:eastAsia="zh-CN"/>
              </w:rPr>
              <w:t>t/a</w:t>
            </w:r>
          </w:p>
        </w:tc>
      </w:tr>
      <w:tr w14:paraId="2EC879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2D1C1087">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63844A14">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废机油</w:t>
            </w:r>
          </w:p>
        </w:tc>
        <w:tc>
          <w:tcPr>
            <w:tcW w:w="1425" w:type="dxa"/>
            <w:vAlign w:val="center"/>
          </w:tcPr>
          <w:p w14:paraId="1E4E0952">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323" w:type="dxa"/>
            <w:vAlign w:val="center"/>
          </w:tcPr>
          <w:p w14:paraId="7005BA73">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321" w:type="dxa"/>
            <w:vAlign w:val="center"/>
          </w:tcPr>
          <w:p w14:paraId="0B87566C">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75CC13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0.1t/a</w:t>
            </w:r>
          </w:p>
        </w:tc>
        <w:tc>
          <w:tcPr>
            <w:tcW w:w="1535" w:type="dxa"/>
            <w:vAlign w:val="center"/>
          </w:tcPr>
          <w:p w14:paraId="25375EF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3246878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0.1t/a</w:t>
            </w:r>
          </w:p>
        </w:tc>
        <w:tc>
          <w:tcPr>
            <w:tcW w:w="1225" w:type="dxa"/>
            <w:vAlign w:val="center"/>
          </w:tcPr>
          <w:p w14:paraId="41DCA33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0.1t/a</w:t>
            </w:r>
          </w:p>
        </w:tc>
      </w:tr>
      <w:tr w14:paraId="04E351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2580A6FC">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shd w:val="clear"/>
            <w:vAlign w:val="center"/>
          </w:tcPr>
          <w:p w14:paraId="16DE0ADF">
            <w:pPr>
              <w:keepNext w:val="0"/>
              <w:keepLines w:val="0"/>
              <w:pageBreakBefore w:val="0"/>
              <w:widowControl/>
              <w:kinsoku/>
              <w:wordWrap/>
              <w:overflowPunct/>
              <w:topLinePunct w:val="0"/>
              <w:autoSpaceDE/>
              <w:autoSpaceDN/>
              <w:bidi w:val="0"/>
              <w:adjustRightInd/>
              <w:snapToGrid/>
              <w:contextualSpacing/>
              <w:jc w:val="center"/>
              <w:textAlignment w:val="auto"/>
              <w:rPr>
                <w:rFonts w:hint="eastAsia" w:ascii="Times New Roman" w:hAnsi="Times New Roman" w:eastAsia="宋体" w:cs="Times New Roman"/>
                <w:color w:val="FF0000"/>
                <w:spacing w:val="0"/>
                <w:kern w:val="2"/>
                <w:sz w:val="21"/>
                <w:szCs w:val="21"/>
                <w:highlight w:val="none"/>
                <w:lang w:val="en-US" w:eastAsia="zh-CN" w:bidi="ar-SA"/>
              </w:rPr>
            </w:pPr>
            <w:r>
              <w:rPr>
                <w:rFonts w:hint="eastAsia" w:cs="Times New Roman"/>
                <w:color w:val="FF0000"/>
                <w:spacing w:val="0"/>
                <w:kern w:val="0"/>
                <w:sz w:val="21"/>
                <w:szCs w:val="21"/>
                <w:highlight w:val="none"/>
                <w:lang w:val="en-US" w:eastAsia="zh-CN"/>
              </w:rPr>
              <w:t>废弃含油抹布、手套</w:t>
            </w:r>
          </w:p>
        </w:tc>
        <w:tc>
          <w:tcPr>
            <w:tcW w:w="1425" w:type="dxa"/>
            <w:shd w:val="clear"/>
            <w:vAlign w:val="center"/>
          </w:tcPr>
          <w:p w14:paraId="7D79DC6E">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FF0000"/>
                <w:spacing w:val="0"/>
                <w:kern w:val="2"/>
                <w:sz w:val="21"/>
                <w:szCs w:val="21"/>
                <w:highlight w:val="none"/>
                <w:lang w:val="en-US" w:eastAsia="zh-CN" w:bidi="ar-SA"/>
              </w:rPr>
            </w:pPr>
            <w:r>
              <w:rPr>
                <w:rFonts w:hint="eastAsia" w:cs="Times New Roman"/>
                <w:bCs/>
                <w:color w:val="FF0000"/>
                <w:spacing w:val="0"/>
                <w:sz w:val="21"/>
                <w:szCs w:val="21"/>
                <w:highlight w:val="none"/>
                <w:lang w:val="en-US" w:eastAsia="zh-CN"/>
              </w:rPr>
              <w:t>/</w:t>
            </w:r>
          </w:p>
        </w:tc>
        <w:tc>
          <w:tcPr>
            <w:tcW w:w="1323" w:type="dxa"/>
            <w:shd w:val="clear"/>
            <w:vAlign w:val="center"/>
          </w:tcPr>
          <w:p w14:paraId="43189EE0">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FF0000"/>
                <w:spacing w:val="0"/>
                <w:kern w:val="2"/>
                <w:sz w:val="21"/>
                <w:szCs w:val="21"/>
                <w:highlight w:val="none"/>
                <w:lang w:val="en-US" w:eastAsia="zh-CN" w:bidi="ar-SA"/>
              </w:rPr>
            </w:pPr>
            <w:r>
              <w:rPr>
                <w:rFonts w:hint="eastAsia" w:cs="Times New Roman"/>
                <w:caps w:val="0"/>
                <w:color w:val="FF0000"/>
                <w:spacing w:val="0"/>
                <w:kern w:val="2"/>
                <w:position w:val="0"/>
                <w:sz w:val="21"/>
                <w:szCs w:val="21"/>
                <w:highlight w:val="none"/>
                <w:lang w:val="en-US" w:eastAsia="zh-CN" w:bidi="ar-SA"/>
              </w:rPr>
              <w:t>/</w:t>
            </w:r>
          </w:p>
        </w:tc>
        <w:tc>
          <w:tcPr>
            <w:tcW w:w="1321" w:type="dxa"/>
            <w:shd w:val="clear"/>
            <w:vAlign w:val="center"/>
          </w:tcPr>
          <w:p w14:paraId="51CC6725">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FF0000"/>
                <w:spacing w:val="0"/>
                <w:kern w:val="2"/>
                <w:sz w:val="21"/>
                <w:szCs w:val="21"/>
                <w:highlight w:val="none"/>
                <w:lang w:val="en-US" w:eastAsia="zh-CN" w:bidi="ar-SA"/>
              </w:rPr>
            </w:pPr>
            <w:r>
              <w:rPr>
                <w:rFonts w:hint="eastAsia" w:cs="Times New Roman"/>
                <w:caps w:val="0"/>
                <w:color w:val="FF0000"/>
                <w:spacing w:val="0"/>
                <w:kern w:val="2"/>
                <w:position w:val="0"/>
                <w:sz w:val="21"/>
                <w:szCs w:val="21"/>
                <w:highlight w:val="none"/>
                <w:lang w:val="en-US" w:eastAsia="zh-CN" w:bidi="ar-SA"/>
              </w:rPr>
              <w:t>/</w:t>
            </w:r>
          </w:p>
        </w:tc>
        <w:tc>
          <w:tcPr>
            <w:tcW w:w="1559" w:type="dxa"/>
            <w:shd w:val="clear"/>
            <w:vAlign w:val="center"/>
          </w:tcPr>
          <w:p w14:paraId="6BAD086D">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FF0000"/>
                <w:spacing w:val="0"/>
                <w:kern w:val="2"/>
                <w:sz w:val="21"/>
                <w:szCs w:val="21"/>
                <w:highlight w:val="none"/>
                <w:lang w:val="en-US" w:eastAsia="zh-CN" w:bidi="ar-SA"/>
              </w:rPr>
            </w:pPr>
            <w:r>
              <w:rPr>
                <w:rFonts w:hint="eastAsia" w:cs="Times New Roman"/>
                <w:bCs/>
                <w:color w:val="FF0000"/>
                <w:spacing w:val="0"/>
                <w:sz w:val="21"/>
                <w:szCs w:val="21"/>
                <w:highlight w:val="none"/>
                <w:lang w:val="en-US" w:eastAsia="zh-CN"/>
              </w:rPr>
              <w:t>0.01t/a</w:t>
            </w:r>
          </w:p>
        </w:tc>
        <w:tc>
          <w:tcPr>
            <w:tcW w:w="1535" w:type="dxa"/>
            <w:shd w:val="clear"/>
            <w:vAlign w:val="center"/>
          </w:tcPr>
          <w:p w14:paraId="00FED2A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FF0000"/>
                <w:spacing w:val="0"/>
                <w:kern w:val="2"/>
                <w:sz w:val="21"/>
                <w:szCs w:val="21"/>
                <w:highlight w:val="none"/>
                <w:lang w:val="en-US" w:eastAsia="zh-CN" w:bidi="ar-SA"/>
              </w:rPr>
            </w:pPr>
            <w:r>
              <w:rPr>
                <w:rFonts w:hint="eastAsia" w:cs="Times New Roman"/>
                <w:caps w:val="0"/>
                <w:color w:val="FF0000"/>
                <w:spacing w:val="0"/>
                <w:kern w:val="2"/>
                <w:position w:val="0"/>
                <w:sz w:val="21"/>
                <w:szCs w:val="21"/>
                <w:highlight w:val="none"/>
                <w:lang w:val="en-US" w:eastAsia="zh-CN" w:bidi="ar-SA"/>
              </w:rPr>
              <w:t>/</w:t>
            </w:r>
          </w:p>
        </w:tc>
        <w:tc>
          <w:tcPr>
            <w:tcW w:w="1786" w:type="dxa"/>
            <w:shd w:val="clear"/>
            <w:vAlign w:val="center"/>
          </w:tcPr>
          <w:p w14:paraId="75470EBA">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FF0000"/>
                <w:spacing w:val="0"/>
                <w:kern w:val="2"/>
                <w:sz w:val="21"/>
                <w:szCs w:val="21"/>
                <w:highlight w:val="none"/>
                <w:lang w:val="en-US" w:eastAsia="zh-CN" w:bidi="ar-SA"/>
              </w:rPr>
            </w:pPr>
            <w:r>
              <w:rPr>
                <w:rFonts w:hint="eastAsia" w:cs="Times New Roman"/>
                <w:bCs/>
                <w:color w:val="FF0000"/>
                <w:spacing w:val="0"/>
                <w:sz w:val="21"/>
                <w:szCs w:val="21"/>
                <w:highlight w:val="none"/>
                <w:lang w:val="en-US" w:eastAsia="zh-CN"/>
              </w:rPr>
              <w:t>0.01t/a</w:t>
            </w:r>
          </w:p>
        </w:tc>
        <w:tc>
          <w:tcPr>
            <w:tcW w:w="1225" w:type="dxa"/>
            <w:shd w:val="clear"/>
            <w:vAlign w:val="center"/>
          </w:tcPr>
          <w:p w14:paraId="3634E6B4">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FF0000"/>
                <w:spacing w:val="0"/>
                <w:kern w:val="2"/>
                <w:sz w:val="21"/>
                <w:szCs w:val="21"/>
                <w:highlight w:val="none"/>
                <w:lang w:val="en-US" w:eastAsia="zh-CN" w:bidi="ar-SA"/>
              </w:rPr>
            </w:pPr>
            <w:r>
              <w:rPr>
                <w:rFonts w:hint="eastAsia" w:cs="Times New Roman"/>
                <w:bCs/>
                <w:color w:val="FF0000"/>
                <w:spacing w:val="0"/>
                <w:sz w:val="21"/>
                <w:szCs w:val="21"/>
                <w:highlight w:val="none"/>
                <w:lang w:val="en-US" w:eastAsia="zh-CN"/>
              </w:rPr>
              <w:t>0.01t/a</w:t>
            </w:r>
          </w:p>
        </w:tc>
      </w:tr>
      <w:tr w14:paraId="53BA10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01BC7BAC">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1B55F07F">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12"/>
                <w:sz w:val="21"/>
                <w:szCs w:val="21"/>
                <w:highlight w:val="none"/>
              </w:rPr>
              <w:t>矸石</w:t>
            </w:r>
          </w:p>
        </w:tc>
        <w:tc>
          <w:tcPr>
            <w:tcW w:w="1425" w:type="dxa"/>
            <w:vAlign w:val="center"/>
          </w:tcPr>
          <w:p w14:paraId="0F304F3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pacing w:val="12"/>
                <w:sz w:val="21"/>
                <w:szCs w:val="21"/>
                <w:highlight w:val="none"/>
              </w:rPr>
              <w:t>99.552万</w:t>
            </w:r>
            <w:r>
              <w:rPr>
                <w:rFonts w:hint="default" w:ascii="Times New Roman" w:hAnsi="Times New Roman" w:eastAsia="宋体" w:cs="Times New Roman"/>
                <w:color w:val="auto"/>
                <w:spacing w:val="12"/>
                <w:sz w:val="21"/>
                <w:szCs w:val="21"/>
                <w:highlight w:val="none"/>
                <w:lang w:val="en-US" w:eastAsia="zh-CN"/>
              </w:rPr>
              <w:t>t</w:t>
            </w:r>
            <w:r>
              <w:rPr>
                <w:rFonts w:hint="default" w:ascii="Times New Roman" w:hAnsi="Times New Roman" w:eastAsia="宋体" w:cs="Times New Roman"/>
                <w:color w:val="auto"/>
                <w:spacing w:val="12"/>
                <w:sz w:val="21"/>
                <w:szCs w:val="21"/>
                <w:highlight w:val="none"/>
              </w:rPr>
              <w:t>/</w:t>
            </w:r>
            <w:r>
              <w:rPr>
                <w:rFonts w:hint="default" w:ascii="Times New Roman" w:hAnsi="Times New Roman" w:eastAsia="宋体" w:cs="Times New Roman"/>
                <w:color w:val="auto"/>
                <w:spacing w:val="12"/>
                <w:sz w:val="21"/>
                <w:szCs w:val="21"/>
                <w:highlight w:val="none"/>
                <w:lang w:val="en-US" w:eastAsia="zh-CN"/>
              </w:rPr>
              <w:t>a</w:t>
            </w:r>
          </w:p>
        </w:tc>
        <w:tc>
          <w:tcPr>
            <w:tcW w:w="1323" w:type="dxa"/>
            <w:vAlign w:val="center"/>
          </w:tcPr>
          <w:p w14:paraId="5BDCA3C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321" w:type="dxa"/>
            <w:vAlign w:val="center"/>
          </w:tcPr>
          <w:p w14:paraId="2825287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27D5A735">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35" w:type="dxa"/>
            <w:vAlign w:val="center"/>
          </w:tcPr>
          <w:p w14:paraId="7F3E701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6176833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pacing w:val="12"/>
                <w:sz w:val="21"/>
                <w:szCs w:val="21"/>
                <w:highlight w:val="none"/>
              </w:rPr>
              <w:t>99.552万</w:t>
            </w:r>
            <w:r>
              <w:rPr>
                <w:rFonts w:hint="default" w:ascii="Times New Roman" w:hAnsi="Times New Roman" w:eastAsia="宋体" w:cs="Times New Roman"/>
                <w:color w:val="auto"/>
                <w:spacing w:val="12"/>
                <w:sz w:val="21"/>
                <w:szCs w:val="21"/>
                <w:highlight w:val="none"/>
                <w:lang w:val="en-US" w:eastAsia="zh-CN"/>
              </w:rPr>
              <w:t>t</w:t>
            </w:r>
            <w:r>
              <w:rPr>
                <w:rFonts w:hint="default" w:ascii="Times New Roman" w:hAnsi="Times New Roman" w:eastAsia="宋体" w:cs="Times New Roman"/>
                <w:color w:val="auto"/>
                <w:spacing w:val="12"/>
                <w:sz w:val="21"/>
                <w:szCs w:val="21"/>
                <w:highlight w:val="none"/>
              </w:rPr>
              <w:t>/</w:t>
            </w:r>
            <w:r>
              <w:rPr>
                <w:rFonts w:hint="default" w:ascii="Times New Roman" w:hAnsi="Times New Roman" w:eastAsia="宋体" w:cs="Times New Roman"/>
                <w:color w:val="auto"/>
                <w:spacing w:val="12"/>
                <w:sz w:val="21"/>
                <w:szCs w:val="21"/>
                <w:highlight w:val="none"/>
                <w:lang w:val="en-US" w:eastAsia="zh-CN"/>
              </w:rPr>
              <w:t>a</w:t>
            </w:r>
          </w:p>
        </w:tc>
        <w:tc>
          <w:tcPr>
            <w:tcW w:w="1225" w:type="dxa"/>
            <w:vAlign w:val="center"/>
          </w:tcPr>
          <w:p w14:paraId="0709AD7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r>
      <w:tr w14:paraId="7722D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0E096B19">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78AB56A7">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ind w:left="0" w:leftChars="0" w:right="0" w:rightChars="0"/>
              <w:contextualSpacing/>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12"/>
                <w:sz w:val="21"/>
                <w:szCs w:val="21"/>
                <w:highlight w:val="none"/>
              </w:rPr>
              <w:t>尾煤泥</w:t>
            </w:r>
          </w:p>
        </w:tc>
        <w:tc>
          <w:tcPr>
            <w:tcW w:w="1425" w:type="dxa"/>
            <w:vAlign w:val="center"/>
          </w:tcPr>
          <w:p w14:paraId="66D1A4A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pacing w:val="12"/>
                <w:sz w:val="21"/>
                <w:szCs w:val="21"/>
                <w:highlight w:val="none"/>
              </w:rPr>
              <w:t>3.968万</w:t>
            </w:r>
            <w:r>
              <w:rPr>
                <w:rFonts w:hint="default" w:ascii="Times New Roman" w:hAnsi="Times New Roman" w:eastAsia="宋体" w:cs="Times New Roman"/>
                <w:color w:val="auto"/>
                <w:spacing w:val="12"/>
                <w:sz w:val="21"/>
                <w:szCs w:val="21"/>
                <w:highlight w:val="none"/>
                <w:lang w:val="en-US" w:eastAsia="zh-CN"/>
              </w:rPr>
              <w:t>t</w:t>
            </w:r>
            <w:r>
              <w:rPr>
                <w:rFonts w:hint="default" w:ascii="Times New Roman" w:hAnsi="Times New Roman" w:eastAsia="宋体" w:cs="Times New Roman"/>
                <w:color w:val="auto"/>
                <w:spacing w:val="12"/>
                <w:sz w:val="21"/>
                <w:szCs w:val="21"/>
                <w:highlight w:val="none"/>
              </w:rPr>
              <w:t>/</w:t>
            </w:r>
            <w:r>
              <w:rPr>
                <w:rFonts w:hint="default" w:ascii="Times New Roman" w:hAnsi="Times New Roman" w:eastAsia="宋体" w:cs="Times New Roman"/>
                <w:color w:val="auto"/>
                <w:spacing w:val="12"/>
                <w:sz w:val="21"/>
                <w:szCs w:val="21"/>
                <w:highlight w:val="none"/>
                <w:lang w:val="en-US" w:eastAsia="zh-CN"/>
              </w:rPr>
              <w:t>a</w:t>
            </w:r>
          </w:p>
        </w:tc>
        <w:tc>
          <w:tcPr>
            <w:tcW w:w="1323" w:type="dxa"/>
            <w:vAlign w:val="center"/>
          </w:tcPr>
          <w:p w14:paraId="1C92BAE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321" w:type="dxa"/>
            <w:vAlign w:val="center"/>
          </w:tcPr>
          <w:p w14:paraId="0B83339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626786AF">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35" w:type="dxa"/>
            <w:vAlign w:val="center"/>
          </w:tcPr>
          <w:p w14:paraId="6D8C535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6ACDE59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pacing w:val="12"/>
                <w:sz w:val="21"/>
                <w:szCs w:val="21"/>
                <w:highlight w:val="none"/>
              </w:rPr>
              <w:t>3.968万</w:t>
            </w:r>
            <w:r>
              <w:rPr>
                <w:rFonts w:hint="default" w:ascii="Times New Roman" w:hAnsi="Times New Roman" w:eastAsia="宋体" w:cs="Times New Roman"/>
                <w:color w:val="auto"/>
                <w:spacing w:val="12"/>
                <w:sz w:val="21"/>
                <w:szCs w:val="21"/>
                <w:highlight w:val="none"/>
                <w:lang w:val="en-US" w:eastAsia="zh-CN"/>
              </w:rPr>
              <w:t>t</w:t>
            </w:r>
            <w:r>
              <w:rPr>
                <w:rFonts w:hint="default" w:ascii="Times New Roman" w:hAnsi="Times New Roman" w:eastAsia="宋体" w:cs="Times New Roman"/>
                <w:color w:val="auto"/>
                <w:spacing w:val="12"/>
                <w:sz w:val="21"/>
                <w:szCs w:val="21"/>
                <w:highlight w:val="none"/>
              </w:rPr>
              <w:t>/</w:t>
            </w:r>
            <w:r>
              <w:rPr>
                <w:rFonts w:hint="default" w:ascii="Times New Roman" w:hAnsi="Times New Roman" w:eastAsia="宋体" w:cs="Times New Roman"/>
                <w:color w:val="auto"/>
                <w:spacing w:val="12"/>
                <w:sz w:val="21"/>
                <w:szCs w:val="21"/>
                <w:highlight w:val="none"/>
                <w:lang w:val="en-US" w:eastAsia="zh-CN"/>
              </w:rPr>
              <w:t>a</w:t>
            </w:r>
          </w:p>
        </w:tc>
        <w:tc>
          <w:tcPr>
            <w:tcW w:w="1225" w:type="dxa"/>
            <w:vAlign w:val="center"/>
          </w:tcPr>
          <w:p w14:paraId="1A6EB7D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r>
    </w:tbl>
    <w:p w14:paraId="150719E3">
      <w:pPr>
        <w:pStyle w:val="69"/>
        <w:adjustRightInd/>
        <w:snapToGrid/>
        <w:spacing w:beforeLines="0" w:afterLines="0" w:line="240" w:lineRule="auto"/>
        <w:ind w:firstLine="0"/>
        <w:jc w:val="left"/>
        <w:rPr>
          <w:rFonts w:hint="default" w:ascii="Times New Roman" w:hAnsi="Times New Roman" w:cs="Times New Roman"/>
          <w:snapToGrid w:val="0"/>
          <w:color w:val="auto"/>
          <w:kern w:val="21"/>
          <w:sz w:val="21"/>
          <w:highlight w:val="none"/>
        </w:rPr>
      </w:pPr>
      <w:r>
        <w:rPr>
          <w:rFonts w:hint="default" w:ascii="Times New Roman" w:hAnsi="Times New Roman" w:cs="Times New Roman"/>
          <w:snapToGrid w:val="0"/>
          <w:color w:val="auto"/>
          <w:kern w:val="21"/>
          <w:sz w:val="21"/>
          <w:highlight w:val="none"/>
        </w:rPr>
        <w:t>注：⑥=①+③+④-⑤；⑦=⑥-①</w:t>
      </w:r>
    </w:p>
    <w:p w14:paraId="51BE9355">
      <w:pPr>
        <w:pStyle w:val="31"/>
        <w:spacing w:before="0" w:beforeAutospacing="0" w:after="0" w:afterAutospacing="0"/>
        <w:rPr>
          <w:rFonts w:hint="default" w:ascii="Times New Roman" w:hAnsi="Times New Roman" w:cs="Times New Roman"/>
          <w:snapToGrid w:val="0"/>
          <w:color w:val="auto"/>
          <w:kern w:val="21"/>
          <w:sz w:val="21"/>
          <w:szCs w:val="32"/>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42195BA1">
      <w:pPr>
        <w:pStyle w:val="2"/>
        <w:keepNext w:val="0"/>
        <w:keepLines w:val="0"/>
        <w:pageBreakBefore w:val="0"/>
        <w:widowControl/>
        <w:kinsoku/>
        <w:wordWrap/>
        <w:overflowPunct/>
        <w:topLinePunct w:val="0"/>
        <w:autoSpaceDE/>
        <w:autoSpaceDN/>
        <w:bidi w:val="0"/>
        <w:adjustRightInd/>
        <w:snapToGrid/>
        <w:spacing w:before="0" w:after="0" w:line="360" w:lineRule="auto"/>
        <w:ind w:left="0" w:leftChars="0" w:firstLine="0" w:firstLineChars="0"/>
        <w:textAlignment w:val="auto"/>
        <w:rPr>
          <w:rFonts w:hint="eastAsia" w:eastAsia="宋体" w:cs="Times New Roman"/>
          <w:b/>
          <w:bCs/>
          <w:color w:val="auto"/>
          <w:sz w:val="21"/>
          <w:szCs w:val="21"/>
          <w:highlight w:val="none"/>
          <w:lang w:val="en-US" w:eastAsia="zh-CN"/>
        </w:rPr>
      </w:pPr>
      <w:r>
        <w:rPr>
          <w:rFonts w:hint="eastAsia" w:eastAsia="宋体" w:cs="Times New Roman"/>
          <w:b/>
          <w:bCs/>
          <w:color w:val="auto"/>
          <w:sz w:val="21"/>
          <w:szCs w:val="21"/>
          <w:highlight w:val="none"/>
          <w:lang w:val="en-US" w:eastAsia="zh-CN"/>
        </w:rPr>
        <w:t>附件1</w:t>
      </w:r>
      <w:r>
        <w:rPr>
          <w:rFonts w:hint="eastAsia" w:eastAsia="宋体" w:cs="Times New Roman"/>
          <w:b/>
          <w:bCs/>
          <w:snapToGrid w:val="0"/>
          <w:color w:val="auto"/>
          <w:kern w:val="0"/>
          <w:sz w:val="21"/>
          <w:szCs w:val="21"/>
          <w:highlight w:val="none"/>
          <w:lang w:val="en-US" w:eastAsia="zh-CN"/>
        </w:rPr>
        <w:t>营业执照</w:t>
      </w:r>
    </w:p>
    <w:p w14:paraId="39D7B1E2">
      <w:pPr>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5360670" cy="3512820"/>
            <wp:effectExtent l="0" t="0" r="11430" b="11430"/>
            <wp:docPr id="1" name="图片 1" descr="7cdca1d771ff98df903bf9d6adfd35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cdca1d771ff98df903bf9d6adfd358f"/>
                    <pic:cNvPicPr>
                      <a:picLocks noChangeAspect="1"/>
                    </pic:cNvPicPr>
                  </pic:nvPicPr>
                  <pic:blipFill>
                    <a:blip r:embed="rId27"/>
                    <a:stretch>
                      <a:fillRect/>
                    </a:stretch>
                  </pic:blipFill>
                  <pic:spPr>
                    <a:xfrm>
                      <a:off x="0" y="0"/>
                      <a:ext cx="5360670" cy="3512820"/>
                    </a:xfrm>
                    <a:prstGeom prst="rect">
                      <a:avLst/>
                    </a:prstGeom>
                  </pic:spPr>
                </pic:pic>
              </a:graphicData>
            </a:graphic>
          </wp:inline>
        </w:drawing>
      </w:r>
    </w:p>
    <w:p w14:paraId="2F1FA725">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163F922D">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43884DC8">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42584AE4">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0DFE4CC0">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09459E1A">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4BAE77CF">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089B07B7">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33E2FCE9">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298D01D8">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26E32156">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2F2D12A7">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31A77096">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37997DF4">
      <w:pPr>
        <w:rPr>
          <w:rFonts w:hint="default" w:ascii="Times New Roman" w:hAnsi="Times New Roman" w:eastAsia="宋体" w:cs="Times New Roman"/>
          <w:b/>
          <w:bCs/>
          <w:color w:val="auto"/>
          <w:sz w:val="21"/>
          <w:szCs w:val="21"/>
          <w:highlight w:val="none"/>
          <w:lang w:val="en-US" w:eastAsia="zh-CN"/>
        </w:rPr>
      </w:pPr>
    </w:p>
    <w:p w14:paraId="6B291F02">
      <w:pPr>
        <w:rPr>
          <w:rFonts w:hint="default" w:ascii="Times New Roman" w:hAnsi="Times New Roman" w:eastAsia="宋体" w:cs="Times New Roman"/>
          <w:b/>
          <w:bCs/>
          <w:color w:val="auto"/>
          <w:sz w:val="21"/>
          <w:szCs w:val="21"/>
          <w:highlight w:val="none"/>
          <w:lang w:val="en-US" w:eastAsia="zh-CN"/>
        </w:rPr>
      </w:pPr>
    </w:p>
    <w:p w14:paraId="7533E272">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0009ADD1">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1A562A97">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43F17E75">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5084CED2">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258CFC9C">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2D39702A">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default" w:ascii="Times New Roman" w:hAnsi="Times New Roman" w:eastAsia="宋体" w:cs="Times New Roman"/>
          <w:b/>
          <w:bCs/>
          <w:color w:val="auto"/>
          <w:sz w:val="21"/>
          <w:szCs w:val="21"/>
          <w:highlight w:val="none"/>
          <w:lang w:val="en-US" w:eastAsia="zh-CN"/>
        </w:rPr>
      </w:pPr>
    </w:p>
    <w:p w14:paraId="47AD82DC">
      <w:pPr>
        <w:pStyle w:val="2"/>
        <w:keepNext w:val="0"/>
        <w:keepLines w:val="0"/>
        <w:pageBreakBefore w:val="0"/>
        <w:widowControl/>
        <w:kinsoku/>
        <w:wordWrap/>
        <w:overflowPunct/>
        <w:topLinePunct w:val="0"/>
        <w:autoSpaceDE/>
        <w:autoSpaceDN/>
        <w:bidi w:val="0"/>
        <w:adjustRightInd/>
        <w:snapToGrid/>
        <w:spacing w:before="0" w:after="0" w:line="260" w:lineRule="auto"/>
        <w:ind w:left="0" w:leftChars="0" w:firstLine="0" w:firstLineChars="0"/>
        <w:textAlignment w:val="auto"/>
        <w:rPr>
          <w:rFonts w:hint="eastAsia"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附件</w:t>
      </w:r>
      <w:r>
        <w:rPr>
          <w:rFonts w:hint="eastAsia" w:eastAsia="宋体" w:cs="Times New Roman"/>
          <w:b/>
          <w:bCs/>
          <w:color w:val="auto"/>
          <w:kern w:val="0"/>
          <w:sz w:val="21"/>
          <w:szCs w:val="21"/>
          <w:highlight w:val="none"/>
          <w:lang w:val="en-US" w:eastAsia="zh-CN"/>
        </w:rPr>
        <w:t>2土地手续</w:t>
      </w:r>
    </w:p>
    <w:p w14:paraId="7A7191B0">
      <w:pPr>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5358765" cy="3896360"/>
            <wp:effectExtent l="0" t="0" r="13335" b="8890"/>
            <wp:docPr id="2" name="图片 2" descr="4fd84c88e3f625e66244b790e4b3fb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fd84c88e3f625e66244b790e4b3fbe8"/>
                    <pic:cNvPicPr>
                      <a:picLocks noChangeAspect="1"/>
                    </pic:cNvPicPr>
                  </pic:nvPicPr>
                  <pic:blipFill>
                    <a:blip r:embed="rId28"/>
                    <a:stretch>
                      <a:fillRect/>
                    </a:stretch>
                  </pic:blipFill>
                  <pic:spPr>
                    <a:xfrm>
                      <a:off x="0" y="0"/>
                      <a:ext cx="5358765" cy="3896360"/>
                    </a:xfrm>
                    <a:prstGeom prst="rect">
                      <a:avLst/>
                    </a:prstGeom>
                  </pic:spPr>
                </pic:pic>
              </a:graphicData>
            </a:graphic>
          </wp:inline>
        </w:drawing>
      </w:r>
    </w:p>
    <w:p w14:paraId="22E6237F">
      <w:pPr>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5355590" cy="3893820"/>
            <wp:effectExtent l="0" t="0" r="16510" b="11430"/>
            <wp:docPr id="3" name="图片 3" descr="e57441f971cda9dc22853e94e6e7a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57441f971cda9dc22853e94e6e7a788"/>
                    <pic:cNvPicPr>
                      <a:picLocks noChangeAspect="1"/>
                    </pic:cNvPicPr>
                  </pic:nvPicPr>
                  <pic:blipFill>
                    <a:blip r:embed="rId29"/>
                    <a:stretch>
                      <a:fillRect/>
                    </a:stretch>
                  </pic:blipFill>
                  <pic:spPr>
                    <a:xfrm>
                      <a:off x="0" y="0"/>
                      <a:ext cx="5355590" cy="3893820"/>
                    </a:xfrm>
                    <a:prstGeom prst="rect">
                      <a:avLst/>
                    </a:prstGeom>
                  </pic:spPr>
                </pic:pic>
              </a:graphicData>
            </a:graphic>
          </wp:inline>
        </w:drawing>
      </w:r>
    </w:p>
    <w:p w14:paraId="43CEA9FC">
      <w:pPr>
        <w:rPr>
          <w:rFonts w:hint="default" w:ascii="Times New Roman" w:hAnsi="Times New Roman" w:eastAsia="宋体" w:cs="Times New Roman"/>
          <w:color w:val="auto"/>
          <w:sz w:val="21"/>
          <w:szCs w:val="21"/>
          <w:highlight w:val="none"/>
        </w:rPr>
      </w:pPr>
    </w:p>
    <w:p w14:paraId="397E1CCA">
      <w:pPr>
        <w:rPr>
          <w:rFonts w:hint="default" w:ascii="Times New Roman" w:hAnsi="Times New Roman" w:eastAsia="宋体" w:cs="Times New Roman"/>
          <w:color w:val="auto"/>
          <w:sz w:val="21"/>
          <w:szCs w:val="21"/>
          <w:highlight w:val="none"/>
        </w:rPr>
      </w:pPr>
    </w:p>
    <w:p w14:paraId="1502B20D">
      <w:pPr>
        <w:rPr>
          <w:rFonts w:hint="default"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附件</w:t>
      </w:r>
      <w:r>
        <w:rPr>
          <w:rFonts w:hint="eastAsia" w:cs="Times New Roman"/>
          <w:b/>
          <w:bCs/>
          <w:color w:val="auto"/>
          <w:sz w:val="21"/>
          <w:szCs w:val="21"/>
          <w:highlight w:val="none"/>
          <w:lang w:val="en-US" w:eastAsia="zh-CN"/>
        </w:rPr>
        <w:t>3环评批复</w:t>
      </w:r>
    </w:p>
    <w:p w14:paraId="7B02C1F9">
      <w:pPr>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drawing>
          <wp:inline distT="0" distB="0" distL="114300" distR="114300">
            <wp:extent cx="5360035" cy="7371080"/>
            <wp:effectExtent l="0" t="0" r="12065" b="1270"/>
            <wp:docPr id="63" name="图片 63" descr="50b44ee3e76d664b94c5ca47ae45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50b44ee3e76d664b94c5ca47ae45ada"/>
                    <pic:cNvPicPr>
                      <a:picLocks noChangeAspect="1"/>
                    </pic:cNvPicPr>
                  </pic:nvPicPr>
                  <pic:blipFill>
                    <a:blip r:embed="rId30"/>
                    <a:stretch>
                      <a:fillRect/>
                    </a:stretch>
                  </pic:blipFill>
                  <pic:spPr>
                    <a:xfrm>
                      <a:off x="0" y="0"/>
                      <a:ext cx="5360035" cy="7371080"/>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60035" cy="7371080"/>
            <wp:effectExtent l="0" t="0" r="12065" b="1270"/>
            <wp:docPr id="64" name="图片 64" descr="f5bc34f701d2efd4d5e89061c6873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f5bc34f701d2efd4d5e89061c68737e"/>
                    <pic:cNvPicPr>
                      <a:picLocks noChangeAspect="1"/>
                    </pic:cNvPicPr>
                  </pic:nvPicPr>
                  <pic:blipFill>
                    <a:blip r:embed="rId31"/>
                    <a:stretch>
                      <a:fillRect/>
                    </a:stretch>
                  </pic:blipFill>
                  <pic:spPr>
                    <a:xfrm>
                      <a:off x="0" y="0"/>
                      <a:ext cx="5360035" cy="7371080"/>
                    </a:xfrm>
                    <a:prstGeom prst="rect">
                      <a:avLst/>
                    </a:prstGeom>
                  </pic:spPr>
                </pic:pic>
              </a:graphicData>
            </a:graphic>
          </wp:inline>
        </w:drawing>
      </w:r>
    </w:p>
    <w:p w14:paraId="72EBAE0B">
      <w:pPr>
        <w:pStyle w:val="46"/>
        <w:rPr>
          <w:rFonts w:hint="eastAsia"/>
          <w:color w:val="auto"/>
          <w:highlight w:val="none"/>
          <w:lang w:val="en-US" w:eastAsia="zh-CN"/>
        </w:rPr>
      </w:pPr>
      <w:r>
        <w:rPr>
          <w:rFonts w:hint="eastAsia"/>
          <w:color w:val="auto"/>
          <w:highlight w:val="none"/>
          <w:lang w:val="en-US" w:eastAsia="zh-CN"/>
        </w:rPr>
        <w:drawing>
          <wp:inline distT="0" distB="0" distL="114300" distR="114300">
            <wp:extent cx="5356860" cy="5795010"/>
            <wp:effectExtent l="0" t="0" r="0" b="0"/>
            <wp:docPr id="65" name="图片 65" descr="东山洗煤一厂验收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东山洗煤一厂验收_78"/>
                    <pic:cNvPicPr>
                      <a:picLocks noChangeAspect="1"/>
                    </pic:cNvPicPr>
                  </pic:nvPicPr>
                  <pic:blipFill>
                    <a:blip r:embed="rId32"/>
                    <a:srcRect t="13861" b="9707"/>
                    <a:stretch>
                      <a:fillRect/>
                    </a:stretch>
                  </pic:blipFill>
                  <pic:spPr>
                    <a:xfrm>
                      <a:off x="0" y="0"/>
                      <a:ext cx="5356860" cy="5795010"/>
                    </a:xfrm>
                    <a:prstGeom prst="rect">
                      <a:avLst/>
                    </a:prstGeom>
                  </pic:spPr>
                </pic:pic>
              </a:graphicData>
            </a:graphic>
          </wp:inline>
        </w:drawing>
      </w:r>
      <w:r>
        <w:rPr>
          <w:rFonts w:hint="eastAsia"/>
          <w:color w:val="auto"/>
          <w:highlight w:val="none"/>
          <w:lang w:val="en-US" w:eastAsia="zh-CN"/>
        </w:rPr>
        <w:drawing>
          <wp:inline distT="0" distB="0" distL="114300" distR="114300">
            <wp:extent cx="5356860" cy="6328410"/>
            <wp:effectExtent l="0" t="0" r="0" b="0"/>
            <wp:docPr id="66" name="图片 66" descr="东山洗煤一厂验收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东山洗煤一厂验收_79"/>
                    <pic:cNvPicPr>
                      <a:picLocks noChangeAspect="1"/>
                    </pic:cNvPicPr>
                  </pic:nvPicPr>
                  <pic:blipFill>
                    <a:blip r:embed="rId33"/>
                    <a:srcRect t="10209" b="6323"/>
                    <a:stretch>
                      <a:fillRect/>
                    </a:stretch>
                  </pic:blipFill>
                  <pic:spPr>
                    <a:xfrm>
                      <a:off x="0" y="0"/>
                      <a:ext cx="5356860" cy="6328410"/>
                    </a:xfrm>
                    <a:prstGeom prst="rect">
                      <a:avLst/>
                    </a:prstGeom>
                  </pic:spPr>
                </pic:pic>
              </a:graphicData>
            </a:graphic>
          </wp:inline>
        </w:drawing>
      </w:r>
      <w:r>
        <w:rPr>
          <w:rFonts w:hint="eastAsia"/>
          <w:color w:val="auto"/>
          <w:highlight w:val="none"/>
          <w:lang w:val="en-US" w:eastAsia="zh-CN"/>
        </w:rPr>
        <w:drawing>
          <wp:inline distT="0" distB="0" distL="114300" distR="114300">
            <wp:extent cx="5356860" cy="6162040"/>
            <wp:effectExtent l="0" t="0" r="0" b="0"/>
            <wp:docPr id="67" name="图片 67" descr="东山洗煤一厂验收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东山洗煤一厂验收_80"/>
                    <pic:cNvPicPr>
                      <a:picLocks noChangeAspect="1"/>
                    </pic:cNvPicPr>
                  </pic:nvPicPr>
                  <pic:blipFill>
                    <a:blip r:embed="rId34"/>
                    <a:srcRect t="12655" b="6072"/>
                    <a:stretch>
                      <a:fillRect/>
                    </a:stretch>
                  </pic:blipFill>
                  <pic:spPr>
                    <a:xfrm>
                      <a:off x="0" y="0"/>
                      <a:ext cx="5356860" cy="6162040"/>
                    </a:xfrm>
                    <a:prstGeom prst="rect">
                      <a:avLst/>
                    </a:prstGeom>
                  </pic:spPr>
                </pic:pic>
              </a:graphicData>
            </a:graphic>
          </wp:inline>
        </w:drawing>
      </w:r>
    </w:p>
    <w:p w14:paraId="04BD1E48">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p>
    <w:p w14:paraId="7C496372">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p>
    <w:p w14:paraId="5E2CE478">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p>
    <w:p w14:paraId="0A1D2083">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p>
    <w:p w14:paraId="5B6309AE">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p>
    <w:p w14:paraId="24C68027">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p>
    <w:p w14:paraId="1ADF139C">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p>
    <w:p w14:paraId="2B431B3F">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p>
    <w:p w14:paraId="195D7F82">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附件4应急预案备案表</w:t>
      </w:r>
    </w:p>
    <w:p w14:paraId="1E69A943">
      <w:pPr>
        <w:pStyle w:val="46"/>
        <w:rPr>
          <w:rFonts w:hint="eastAsia"/>
          <w:color w:val="auto"/>
          <w:highlight w:val="none"/>
          <w:lang w:val="en-US" w:eastAsia="zh-CN"/>
        </w:rPr>
      </w:pPr>
      <w:r>
        <w:rPr>
          <w:rFonts w:hint="default"/>
          <w:color w:val="auto"/>
          <w:highlight w:val="none"/>
          <w:lang w:val="en-US" w:eastAsia="zh-CN"/>
        </w:rPr>
        <w:drawing>
          <wp:inline distT="0" distB="0" distL="114300" distR="114300">
            <wp:extent cx="4636135" cy="6461760"/>
            <wp:effectExtent l="0" t="0" r="12065" b="15240"/>
            <wp:docPr id="16" name="图片 16" descr="东山煤矿备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东山煤矿备案表_01"/>
                    <pic:cNvPicPr>
                      <a:picLocks noChangeAspect="1"/>
                    </pic:cNvPicPr>
                  </pic:nvPicPr>
                  <pic:blipFill>
                    <a:blip r:embed="rId35"/>
                    <a:srcRect l="8875" t="8213" r="4610" b="6504"/>
                    <a:stretch>
                      <a:fillRect/>
                    </a:stretch>
                  </pic:blipFill>
                  <pic:spPr>
                    <a:xfrm>
                      <a:off x="0" y="0"/>
                      <a:ext cx="4636135" cy="6461760"/>
                    </a:xfrm>
                    <a:prstGeom prst="rect">
                      <a:avLst/>
                    </a:prstGeom>
                  </pic:spPr>
                </pic:pic>
              </a:graphicData>
            </a:graphic>
          </wp:inline>
        </w:drawing>
      </w:r>
    </w:p>
    <w:p w14:paraId="0EE6EBBF">
      <w:pPr>
        <w:pStyle w:val="46"/>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4752340" cy="6028690"/>
            <wp:effectExtent l="0" t="0" r="0" b="0"/>
            <wp:docPr id="39" name="图片 39" descr="东山煤矿备案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东山煤矿备案表_02"/>
                    <pic:cNvPicPr>
                      <a:picLocks noChangeAspect="1"/>
                    </pic:cNvPicPr>
                  </pic:nvPicPr>
                  <pic:blipFill>
                    <a:blip r:embed="rId36"/>
                    <a:srcRect l="8236" t="9906" r="3081" b="10526"/>
                    <a:stretch>
                      <a:fillRect/>
                    </a:stretch>
                  </pic:blipFill>
                  <pic:spPr>
                    <a:xfrm>
                      <a:off x="0" y="0"/>
                      <a:ext cx="4752340" cy="6028690"/>
                    </a:xfrm>
                    <a:prstGeom prst="rect">
                      <a:avLst/>
                    </a:prstGeom>
                  </pic:spPr>
                </pic:pic>
              </a:graphicData>
            </a:graphic>
          </wp:inline>
        </w:drawing>
      </w:r>
    </w:p>
    <w:p w14:paraId="46C730D2">
      <w:pPr>
        <w:pStyle w:val="46"/>
        <w:jc w:val="center"/>
        <w:rPr>
          <w:rFonts w:hint="default"/>
          <w:color w:val="auto"/>
          <w:highlight w:val="none"/>
          <w:lang w:val="en-US" w:eastAsia="zh-CN"/>
        </w:rPr>
      </w:pPr>
    </w:p>
    <w:p w14:paraId="7FB13AAC">
      <w:pPr>
        <w:rPr>
          <w:rFonts w:hint="eastAsia" w:cs="Times New Roman"/>
          <w:b/>
          <w:bCs/>
          <w:color w:val="auto"/>
          <w:sz w:val="21"/>
          <w:szCs w:val="21"/>
          <w:highlight w:val="none"/>
          <w:lang w:val="en-US" w:eastAsia="zh-CN"/>
        </w:rPr>
      </w:pPr>
    </w:p>
    <w:p w14:paraId="282A1033">
      <w:pPr>
        <w:rPr>
          <w:rFonts w:hint="eastAsia" w:cs="Times New Roman"/>
          <w:b/>
          <w:bCs/>
          <w:color w:val="auto"/>
          <w:sz w:val="21"/>
          <w:szCs w:val="21"/>
          <w:highlight w:val="none"/>
          <w:lang w:val="en-US" w:eastAsia="zh-CN"/>
        </w:rPr>
      </w:pPr>
    </w:p>
    <w:p w14:paraId="78E44401">
      <w:pPr>
        <w:rPr>
          <w:rFonts w:hint="eastAsia" w:cs="Times New Roman"/>
          <w:b/>
          <w:bCs/>
          <w:color w:val="auto"/>
          <w:sz w:val="21"/>
          <w:szCs w:val="21"/>
          <w:highlight w:val="none"/>
          <w:lang w:val="en-US" w:eastAsia="zh-CN"/>
        </w:rPr>
      </w:pPr>
    </w:p>
    <w:p w14:paraId="3BD5945F">
      <w:pPr>
        <w:rPr>
          <w:rFonts w:hint="eastAsia" w:cs="Times New Roman"/>
          <w:b/>
          <w:bCs/>
          <w:color w:val="auto"/>
          <w:sz w:val="21"/>
          <w:szCs w:val="21"/>
          <w:highlight w:val="none"/>
          <w:lang w:val="en-US" w:eastAsia="zh-CN"/>
        </w:rPr>
      </w:pPr>
    </w:p>
    <w:p w14:paraId="667B3269">
      <w:pPr>
        <w:rPr>
          <w:rFonts w:hint="eastAsia" w:cs="Times New Roman"/>
          <w:b/>
          <w:bCs/>
          <w:color w:val="auto"/>
          <w:sz w:val="21"/>
          <w:szCs w:val="21"/>
          <w:highlight w:val="none"/>
          <w:lang w:val="en-US" w:eastAsia="zh-CN"/>
        </w:rPr>
      </w:pPr>
    </w:p>
    <w:p w14:paraId="3E7BA3BC">
      <w:pPr>
        <w:rPr>
          <w:rFonts w:hint="eastAsia" w:cs="Times New Roman"/>
          <w:b/>
          <w:bCs/>
          <w:color w:val="auto"/>
          <w:sz w:val="21"/>
          <w:szCs w:val="21"/>
          <w:highlight w:val="none"/>
          <w:lang w:val="en-US" w:eastAsia="zh-CN"/>
        </w:rPr>
      </w:pPr>
    </w:p>
    <w:p w14:paraId="171395F7">
      <w:pPr>
        <w:rPr>
          <w:rFonts w:hint="eastAsia" w:cs="Times New Roman"/>
          <w:b/>
          <w:bCs/>
          <w:color w:val="auto"/>
          <w:sz w:val="21"/>
          <w:szCs w:val="21"/>
          <w:highlight w:val="none"/>
          <w:lang w:val="en-US" w:eastAsia="zh-CN"/>
        </w:rPr>
      </w:pPr>
    </w:p>
    <w:p w14:paraId="60AA560C">
      <w:pPr>
        <w:rPr>
          <w:rFonts w:hint="eastAsia" w:cs="Times New Roman"/>
          <w:b/>
          <w:bCs/>
          <w:color w:val="auto"/>
          <w:sz w:val="21"/>
          <w:szCs w:val="21"/>
          <w:highlight w:val="none"/>
          <w:lang w:val="en-US" w:eastAsia="zh-CN"/>
        </w:rPr>
      </w:pPr>
    </w:p>
    <w:p w14:paraId="57569270">
      <w:pPr>
        <w:rPr>
          <w:rFonts w:hint="eastAsia" w:cs="Times New Roman"/>
          <w:b/>
          <w:bCs/>
          <w:color w:val="auto"/>
          <w:sz w:val="21"/>
          <w:szCs w:val="21"/>
          <w:highlight w:val="none"/>
          <w:lang w:val="en-US" w:eastAsia="zh-CN"/>
        </w:rPr>
      </w:pPr>
    </w:p>
    <w:p w14:paraId="642B074F">
      <w:pPr>
        <w:rPr>
          <w:rFonts w:hint="eastAsia" w:cs="Times New Roman"/>
          <w:b/>
          <w:bCs/>
          <w:color w:val="auto"/>
          <w:sz w:val="21"/>
          <w:szCs w:val="21"/>
          <w:highlight w:val="none"/>
          <w:lang w:val="en-US" w:eastAsia="zh-CN"/>
        </w:rPr>
      </w:pPr>
    </w:p>
    <w:p w14:paraId="15326397">
      <w:pPr>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附件5执行报告</w:t>
      </w:r>
    </w:p>
    <w:p w14:paraId="09AB74B9">
      <w:pPr>
        <w:pStyle w:val="46"/>
        <w:rPr>
          <w:rFonts w:hint="default"/>
          <w:color w:val="auto"/>
          <w:highlight w:val="none"/>
          <w:lang w:val="en-US" w:eastAsia="zh-CN"/>
        </w:rPr>
      </w:pPr>
      <w:r>
        <w:rPr>
          <w:rFonts w:hint="default"/>
          <w:color w:val="auto"/>
          <w:highlight w:val="none"/>
          <w:lang w:val="en-US" w:eastAsia="zh-CN"/>
        </w:rPr>
        <w:drawing>
          <wp:inline distT="0" distB="0" distL="114300" distR="114300">
            <wp:extent cx="4411345" cy="3121025"/>
            <wp:effectExtent l="0" t="0" r="8255" b="3175"/>
            <wp:docPr id="70" name="图片 70" descr="执行报告-黑龙江龙煤鸡西矿业有限责任公司东山煤矿-2024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执行报告-黑龙江龙煤鸡西矿业有限责任公司东山煤矿-2024年_01"/>
                    <pic:cNvPicPr>
                      <a:picLocks noChangeAspect="1"/>
                    </pic:cNvPicPr>
                  </pic:nvPicPr>
                  <pic:blipFill>
                    <a:blip r:embed="rId37"/>
                    <a:stretch>
                      <a:fillRect/>
                    </a:stretch>
                  </pic:blipFill>
                  <pic:spPr>
                    <a:xfrm>
                      <a:off x="0" y="0"/>
                      <a:ext cx="4411345" cy="3121025"/>
                    </a:xfrm>
                    <a:prstGeom prst="rect">
                      <a:avLst/>
                    </a:prstGeom>
                  </pic:spPr>
                </pic:pic>
              </a:graphicData>
            </a:graphic>
          </wp:inline>
        </w:drawing>
      </w:r>
    </w:p>
    <w:p w14:paraId="49553BE0">
      <w:pPr>
        <w:rPr>
          <w:rFonts w:hint="eastAsia"/>
          <w:color w:val="auto"/>
          <w:highlight w:val="none"/>
          <w:lang w:val="en-US" w:eastAsia="zh-CN"/>
        </w:rPr>
      </w:pPr>
      <w:r>
        <w:rPr>
          <w:rFonts w:hint="default"/>
          <w:color w:val="auto"/>
          <w:highlight w:val="none"/>
          <w:lang w:val="en-US" w:eastAsia="zh-CN"/>
        </w:rPr>
        <w:drawing>
          <wp:inline distT="0" distB="0" distL="114300" distR="114300">
            <wp:extent cx="4353560" cy="3080385"/>
            <wp:effectExtent l="0" t="0" r="8890" b="5715"/>
            <wp:docPr id="71" name="图片 71" descr="执行报告-黑龙江龙煤鸡西矿业有限责任公司东山煤矿-2024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执行报告-黑龙江龙煤鸡西矿业有限责任公司东山煤矿-2024年_02"/>
                    <pic:cNvPicPr>
                      <a:picLocks noChangeAspect="1"/>
                    </pic:cNvPicPr>
                  </pic:nvPicPr>
                  <pic:blipFill>
                    <a:blip r:embed="rId38"/>
                    <a:stretch>
                      <a:fillRect/>
                    </a:stretch>
                  </pic:blipFill>
                  <pic:spPr>
                    <a:xfrm>
                      <a:off x="0" y="0"/>
                      <a:ext cx="4353560" cy="3080385"/>
                    </a:xfrm>
                    <a:prstGeom prst="rect">
                      <a:avLst/>
                    </a:prstGeom>
                  </pic:spPr>
                </pic:pic>
              </a:graphicData>
            </a:graphic>
          </wp:inline>
        </w:drawing>
      </w:r>
    </w:p>
    <w:p w14:paraId="5597081E">
      <w:pPr>
        <w:pStyle w:val="46"/>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5356860" cy="3790315"/>
            <wp:effectExtent l="0" t="0" r="15240" b="635"/>
            <wp:docPr id="72" name="图片 72" descr="执行报告-黑龙江龙煤鸡西矿业有限责任公司东山煤矿-2024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执行报告-黑龙江龙煤鸡西矿业有限责任公司东山煤矿-2024年_03"/>
                    <pic:cNvPicPr>
                      <a:picLocks noChangeAspect="1"/>
                    </pic:cNvPicPr>
                  </pic:nvPicPr>
                  <pic:blipFill>
                    <a:blip r:embed="rId39"/>
                    <a:stretch>
                      <a:fillRect/>
                    </a:stretch>
                  </pic:blipFill>
                  <pic:spPr>
                    <a:xfrm>
                      <a:off x="0" y="0"/>
                      <a:ext cx="5356860" cy="3790315"/>
                    </a:xfrm>
                    <a:prstGeom prst="rect">
                      <a:avLst/>
                    </a:prstGeom>
                  </pic:spPr>
                </pic:pic>
              </a:graphicData>
            </a:graphic>
          </wp:inline>
        </w:drawing>
      </w:r>
    </w:p>
    <w:p w14:paraId="5DB0EBE0">
      <w:pPr>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4626610" cy="3273425"/>
            <wp:effectExtent l="0" t="0" r="2540" b="3175"/>
            <wp:docPr id="73" name="图片 73" descr="执行报告-黑龙江龙煤鸡西矿业有限责任公司东山煤矿-2024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执行报告-黑龙江龙煤鸡西矿业有限责任公司东山煤矿-2024年_04"/>
                    <pic:cNvPicPr>
                      <a:picLocks noChangeAspect="1"/>
                    </pic:cNvPicPr>
                  </pic:nvPicPr>
                  <pic:blipFill>
                    <a:blip r:embed="rId40"/>
                    <a:stretch>
                      <a:fillRect/>
                    </a:stretch>
                  </pic:blipFill>
                  <pic:spPr>
                    <a:xfrm>
                      <a:off x="0" y="0"/>
                      <a:ext cx="4626610" cy="3273425"/>
                    </a:xfrm>
                    <a:prstGeom prst="rect">
                      <a:avLst/>
                    </a:prstGeom>
                  </pic:spPr>
                </pic:pic>
              </a:graphicData>
            </a:graphic>
          </wp:inline>
        </w:drawing>
      </w:r>
    </w:p>
    <w:p w14:paraId="3E786CD3">
      <w:pPr>
        <w:rPr>
          <w:rFonts w:hint="default"/>
          <w:color w:val="auto"/>
          <w:highlight w:val="none"/>
          <w:lang w:val="en-US" w:eastAsia="zh-CN"/>
        </w:rPr>
      </w:pPr>
    </w:p>
    <w:p w14:paraId="1CC35107">
      <w:pPr>
        <w:pStyle w:val="46"/>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5097145" cy="3606800"/>
            <wp:effectExtent l="0" t="0" r="8255" b="12700"/>
            <wp:docPr id="74" name="图片 74" descr="执行报告-黑龙江龙煤鸡西矿业有限责任公司东山煤矿-2024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执行报告-黑龙江龙煤鸡西矿业有限责任公司东山煤矿-2024年_05"/>
                    <pic:cNvPicPr>
                      <a:picLocks noChangeAspect="1"/>
                    </pic:cNvPicPr>
                  </pic:nvPicPr>
                  <pic:blipFill>
                    <a:blip r:embed="rId41"/>
                    <a:stretch>
                      <a:fillRect/>
                    </a:stretch>
                  </pic:blipFill>
                  <pic:spPr>
                    <a:xfrm>
                      <a:off x="0" y="0"/>
                      <a:ext cx="5097145" cy="3606800"/>
                    </a:xfrm>
                    <a:prstGeom prst="rect">
                      <a:avLst/>
                    </a:prstGeom>
                  </pic:spPr>
                </pic:pic>
              </a:graphicData>
            </a:graphic>
          </wp:inline>
        </w:drawing>
      </w:r>
    </w:p>
    <w:p w14:paraId="13A70A0E">
      <w:pPr>
        <w:rPr>
          <w:rFonts w:hint="default"/>
          <w:color w:val="auto"/>
          <w:highlight w:val="none"/>
          <w:lang w:val="en-US" w:eastAsia="zh-CN"/>
        </w:rPr>
      </w:pPr>
      <w:r>
        <w:rPr>
          <w:rFonts w:hint="default"/>
          <w:color w:val="auto"/>
          <w:highlight w:val="none"/>
          <w:lang w:val="en-US" w:eastAsia="zh-CN"/>
        </w:rPr>
        <w:drawing>
          <wp:inline distT="0" distB="0" distL="114300" distR="114300">
            <wp:extent cx="5356860" cy="3790315"/>
            <wp:effectExtent l="0" t="0" r="15240" b="635"/>
            <wp:docPr id="75" name="图片 75" descr="执行报告-黑龙江龙煤鸡西矿业有限责任公司东山煤矿-2024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执行报告-黑龙江龙煤鸡西矿业有限责任公司东山煤矿-2024年_06"/>
                    <pic:cNvPicPr>
                      <a:picLocks noChangeAspect="1"/>
                    </pic:cNvPicPr>
                  </pic:nvPicPr>
                  <pic:blipFill>
                    <a:blip r:embed="rId42"/>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78" name="图片 78" descr="执行报告-黑龙江龙煤鸡西矿业有限责任公司东山煤矿-2024年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执行报告-黑龙江龙煤鸡西矿业有限责任公司东山煤矿-2024年_07"/>
                    <pic:cNvPicPr>
                      <a:picLocks noChangeAspect="1"/>
                    </pic:cNvPicPr>
                  </pic:nvPicPr>
                  <pic:blipFill>
                    <a:blip r:embed="rId43"/>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79" name="图片 79" descr="执行报告-黑龙江龙煤鸡西矿业有限责任公司东山煤矿-2024年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执行报告-黑龙江龙煤鸡西矿业有限责任公司东山煤矿-2024年_08"/>
                    <pic:cNvPicPr>
                      <a:picLocks noChangeAspect="1"/>
                    </pic:cNvPicPr>
                  </pic:nvPicPr>
                  <pic:blipFill>
                    <a:blip r:embed="rId44"/>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0" name="图片 80" descr="执行报告-黑龙江龙煤鸡西矿业有限责任公司东山煤矿-2024年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执行报告-黑龙江龙煤鸡西矿业有限责任公司东山煤矿-2024年_09"/>
                    <pic:cNvPicPr>
                      <a:picLocks noChangeAspect="1"/>
                    </pic:cNvPicPr>
                  </pic:nvPicPr>
                  <pic:blipFill>
                    <a:blip r:embed="rId45"/>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1" name="图片 81" descr="执行报告-黑龙江龙煤鸡西矿业有限责任公司东山煤矿-2024年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执行报告-黑龙江龙煤鸡西矿业有限责任公司东山煤矿-2024年_10"/>
                    <pic:cNvPicPr>
                      <a:picLocks noChangeAspect="1"/>
                    </pic:cNvPicPr>
                  </pic:nvPicPr>
                  <pic:blipFill>
                    <a:blip r:embed="rId46"/>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2" name="图片 82" descr="执行报告-黑龙江龙煤鸡西矿业有限责任公司东山煤矿-2024年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执行报告-黑龙江龙煤鸡西矿业有限责任公司东山煤矿-2024年_11"/>
                    <pic:cNvPicPr>
                      <a:picLocks noChangeAspect="1"/>
                    </pic:cNvPicPr>
                  </pic:nvPicPr>
                  <pic:blipFill>
                    <a:blip r:embed="rId47"/>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3" name="图片 83" descr="执行报告-黑龙江龙煤鸡西矿业有限责任公司东山煤矿-2024年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执行报告-黑龙江龙煤鸡西矿业有限责任公司东山煤矿-2024年_12"/>
                    <pic:cNvPicPr>
                      <a:picLocks noChangeAspect="1"/>
                    </pic:cNvPicPr>
                  </pic:nvPicPr>
                  <pic:blipFill>
                    <a:blip r:embed="rId48"/>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4" name="图片 84" descr="执行报告-黑龙江龙煤鸡西矿业有限责任公司东山煤矿-2024年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执行报告-黑龙江龙煤鸡西矿业有限责任公司东山煤矿-2024年_13"/>
                    <pic:cNvPicPr>
                      <a:picLocks noChangeAspect="1"/>
                    </pic:cNvPicPr>
                  </pic:nvPicPr>
                  <pic:blipFill>
                    <a:blip r:embed="rId49"/>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5" name="图片 85" descr="执行报告-黑龙江龙煤鸡西矿业有限责任公司东山煤矿-2024年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执行报告-黑龙江龙煤鸡西矿业有限责任公司东山煤矿-2024年_14"/>
                    <pic:cNvPicPr>
                      <a:picLocks noChangeAspect="1"/>
                    </pic:cNvPicPr>
                  </pic:nvPicPr>
                  <pic:blipFill>
                    <a:blip r:embed="rId50"/>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6" name="图片 86" descr="执行报告-黑龙江龙煤鸡西矿业有限责任公司东山煤矿-2024年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执行报告-黑龙江龙煤鸡西矿业有限责任公司东山煤矿-2024年_15"/>
                    <pic:cNvPicPr>
                      <a:picLocks noChangeAspect="1"/>
                    </pic:cNvPicPr>
                  </pic:nvPicPr>
                  <pic:blipFill>
                    <a:blip r:embed="rId51"/>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7" name="图片 87" descr="执行报告-黑龙江龙煤鸡西矿业有限责任公司东山煤矿-2024年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执行报告-黑龙江龙煤鸡西矿业有限责任公司东山煤矿-2024年_16"/>
                    <pic:cNvPicPr>
                      <a:picLocks noChangeAspect="1"/>
                    </pic:cNvPicPr>
                  </pic:nvPicPr>
                  <pic:blipFill>
                    <a:blip r:embed="rId52"/>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8" name="图片 88" descr="执行报告-黑龙江龙煤鸡西矿业有限责任公司东山煤矿-2024年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执行报告-黑龙江龙煤鸡西矿业有限责任公司东山煤矿-2024年_17"/>
                    <pic:cNvPicPr>
                      <a:picLocks noChangeAspect="1"/>
                    </pic:cNvPicPr>
                  </pic:nvPicPr>
                  <pic:blipFill>
                    <a:blip r:embed="rId53"/>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89" name="图片 89" descr="执行报告-黑龙江龙煤鸡西矿业有限责任公司东山煤矿-2024年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执行报告-黑龙江龙煤鸡西矿业有限责任公司东山煤矿-2024年_18"/>
                    <pic:cNvPicPr>
                      <a:picLocks noChangeAspect="1"/>
                    </pic:cNvPicPr>
                  </pic:nvPicPr>
                  <pic:blipFill>
                    <a:blip r:embed="rId54"/>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90" name="图片 90" descr="执行报告-黑龙江龙煤鸡西矿业有限责任公司东山煤矿-2024年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执行报告-黑龙江龙煤鸡西矿业有限责任公司东山煤矿-2024年_19"/>
                    <pic:cNvPicPr>
                      <a:picLocks noChangeAspect="1"/>
                    </pic:cNvPicPr>
                  </pic:nvPicPr>
                  <pic:blipFill>
                    <a:blip r:embed="rId55"/>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91" name="图片 91" descr="执行报告-黑龙江龙煤鸡西矿业有限责任公司东山煤矿-2024年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执行报告-黑龙江龙煤鸡西矿业有限责任公司东山煤矿-2024年_20"/>
                    <pic:cNvPicPr>
                      <a:picLocks noChangeAspect="1"/>
                    </pic:cNvPicPr>
                  </pic:nvPicPr>
                  <pic:blipFill>
                    <a:blip r:embed="rId56"/>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92" name="图片 92" descr="执行报告-黑龙江龙煤鸡西矿业有限责任公司东山煤矿-2024年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执行报告-黑龙江龙煤鸡西矿业有限责任公司东山煤矿-2024年_21"/>
                    <pic:cNvPicPr>
                      <a:picLocks noChangeAspect="1"/>
                    </pic:cNvPicPr>
                  </pic:nvPicPr>
                  <pic:blipFill>
                    <a:blip r:embed="rId57"/>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93" name="图片 93" descr="执行报告-黑龙江龙煤鸡西矿业有限责任公司东山煤矿-2024年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执行报告-黑龙江龙煤鸡西矿业有限责任公司东山煤矿-2024年_22"/>
                    <pic:cNvPicPr>
                      <a:picLocks noChangeAspect="1"/>
                    </pic:cNvPicPr>
                  </pic:nvPicPr>
                  <pic:blipFill>
                    <a:blip r:embed="rId58"/>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94" name="图片 94" descr="执行报告-黑龙江龙煤鸡西矿业有限责任公司东山煤矿-2024年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执行报告-黑龙江龙煤鸡西矿业有限责任公司东山煤矿-2024年_24"/>
                    <pic:cNvPicPr>
                      <a:picLocks noChangeAspect="1"/>
                    </pic:cNvPicPr>
                  </pic:nvPicPr>
                  <pic:blipFill>
                    <a:blip r:embed="rId59"/>
                    <a:stretch>
                      <a:fillRect/>
                    </a:stretch>
                  </pic:blipFill>
                  <pic:spPr>
                    <a:xfrm>
                      <a:off x="0" y="0"/>
                      <a:ext cx="5356860" cy="3790315"/>
                    </a:xfrm>
                    <a:prstGeom prst="rect">
                      <a:avLst/>
                    </a:prstGeom>
                  </pic:spPr>
                </pic:pic>
              </a:graphicData>
            </a:graphic>
          </wp:inline>
        </w:drawing>
      </w:r>
      <w:r>
        <w:rPr>
          <w:rFonts w:hint="default"/>
          <w:color w:val="auto"/>
          <w:highlight w:val="none"/>
          <w:lang w:val="en-US" w:eastAsia="zh-CN"/>
        </w:rPr>
        <w:drawing>
          <wp:inline distT="0" distB="0" distL="114300" distR="114300">
            <wp:extent cx="5356860" cy="3790315"/>
            <wp:effectExtent l="0" t="0" r="15240" b="635"/>
            <wp:docPr id="95" name="图片 95" descr="执行报告-黑龙江龙煤鸡西矿业有限责任公司东山煤矿-2024年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执行报告-黑龙江龙煤鸡西矿业有限责任公司东山煤矿-2024年_25"/>
                    <pic:cNvPicPr>
                      <a:picLocks noChangeAspect="1"/>
                    </pic:cNvPicPr>
                  </pic:nvPicPr>
                  <pic:blipFill>
                    <a:blip r:embed="rId60"/>
                    <a:stretch>
                      <a:fillRect/>
                    </a:stretch>
                  </pic:blipFill>
                  <pic:spPr>
                    <a:xfrm>
                      <a:off x="0" y="0"/>
                      <a:ext cx="5356860" cy="3790315"/>
                    </a:xfrm>
                    <a:prstGeom prst="rect">
                      <a:avLst/>
                    </a:prstGeom>
                  </pic:spPr>
                </pic:pic>
              </a:graphicData>
            </a:graphic>
          </wp:inline>
        </w:drawing>
      </w:r>
    </w:p>
    <w:p w14:paraId="11547FB4">
      <w:pPr>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96" name="图片 96" descr="执行报告-黑龙江龙煤鸡西矿业有限责任公司东山煤矿-2024年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执行报告-黑龙江龙煤鸡西矿业有限责任公司东山煤矿-2024年_26"/>
                    <pic:cNvPicPr>
                      <a:picLocks noChangeAspect="1"/>
                    </pic:cNvPicPr>
                  </pic:nvPicPr>
                  <pic:blipFill>
                    <a:blip r:embed="rId61"/>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97" name="图片 97" descr="执行报告-黑龙江龙煤鸡西矿业有限责任公司东山煤矿-2024年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执行报告-黑龙江龙煤鸡西矿业有限责任公司东山煤矿-2024年_27"/>
                    <pic:cNvPicPr>
                      <a:picLocks noChangeAspect="1"/>
                    </pic:cNvPicPr>
                  </pic:nvPicPr>
                  <pic:blipFill>
                    <a:blip r:embed="rId62"/>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98" name="图片 98" descr="执行报告-黑龙江龙煤鸡西矿业有限责任公司东山煤矿-2024年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执行报告-黑龙江龙煤鸡西矿业有限责任公司东山煤矿-2024年_28"/>
                    <pic:cNvPicPr>
                      <a:picLocks noChangeAspect="1"/>
                    </pic:cNvPicPr>
                  </pic:nvPicPr>
                  <pic:blipFill>
                    <a:blip r:embed="rId63"/>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99" name="图片 99" descr="执行报告-黑龙江龙煤鸡西矿业有限责任公司东山煤矿-2024年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执行报告-黑龙江龙煤鸡西矿业有限责任公司东山煤矿-2024年_29"/>
                    <pic:cNvPicPr>
                      <a:picLocks noChangeAspect="1"/>
                    </pic:cNvPicPr>
                  </pic:nvPicPr>
                  <pic:blipFill>
                    <a:blip r:embed="rId64"/>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0" name="图片 100" descr="执行报告-黑龙江龙煤鸡西矿业有限责任公司东山煤矿-2024年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执行报告-黑龙江龙煤鸡西矿业有限责任公司东山煤矿-2024年_30"/>
                    <pic:cNvPicPr>
                      <a:picLocks noChangeAspect="1"/>
                    </pic:cNvPicPr>
                  </pic:nvPicPr>
                  <pic:blipFill>
                    <a:blip r:embed="rId65"/>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1" name="图片 101" descr="执行报告-黑龙江龙煤鸡西矿业有限责任公司东山煤矿-2024年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执行报告-黑龙江龙煤鸡西矿业有限责任公司东山煤矿-2024年_31"/>
                    <pic:cNvPicPr>
                      <a:picLocks noChangeAspect="1"/>
                    </pic:cNvPicPr>
                  </pic:nvPicPr>
                  <pic:blipFill>
                    <a:blip r:embed="rId66"/>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2" name="图片 102" descr="执行报告-黑龙江龙煤鸡西矿业有限责任公司东山煤矿-2024年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执行报告-黑龙江龙煤鸡西矿业有限责任公司东山煤矿-2024年_32"/>
                    <pic:cNvPicPr>
                      <a:picLocks noChangeAspect="1"/>
                    </pic:cNvPicPr>
                  </pic:nvPicPr>
                  <pic:blipFill>
                    <a:blip r:embed="rId67"/>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3" name="图片 103" descr="执行报告-黑龙江龙煤鸡西矿业有限责任公司东山煤矿-2024年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执行报告-黑龙江龙煤鸡西矿业有限责任公司东山煤矿-2024年_33"/>
                    <pic:cNvPicPr>
                      <a:picLocks noChangeAspect="1"/>
                    </pic:cNvPicPr>
                  </pic:nvPicPr>
                  <pic:blipFill>
                    <a:blip r:embed="rId68"/>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4" name="图片 104" descr="执行报告-黑龙江龙煤鸡西矿业有限责任公司东山煤矿-2024年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执行报告-黑龙江龙煤鸡西矿业有限责任公司东山煤矿-2024年_34"/>
                    <pic:cNvPicPr>
                      <a:picLocks noChangeAspect="1"/>
                    </pic:cNvPicPr>
                  </pic:nvPicPr>
                  <pic:blipFill>
                    <a:blip r:embed="rId69"/>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5" name="图片 105" descr="执行报告-黑龙江龙煤鸡西矿业有限责任公司东山煤矿-2024年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执行报告-黑龙江龙煤鸡西矿业有限责任公司东山煤矿-2024年_35"/>
                    <pic:cNvPicPr>
                      <a:picLocks noChangeAspect="1"/>
                    </pic:cNvPicPr>
                  </pic:nvPicPr>
                  <pic:blipFill>
                    <a:blip r:embed="rId70"/>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6" name="图片 106" descr="执行报告-黑龙江龙煤鸡西矿业有限责任公司东山煤矿-2024年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执行报告-黑龙江龙煤鸡西矿业有限责任公司东山煤矿-2024年_36"/>
                    <pic:cNvPicPr>
                      <a:picLocks noChangeAspect="1"/>
                    </pic:cNvPicPr>
                  </pic:nvPicPr>
                  <pic:blipFill>
                    <a:blip r:embed="rId71"/>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7" name="图片 107" descr="执行报告-黑龙江龙煤鸡西矿业有限责任公司东山煤矿-2024年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执行报告-黑龙江龙煤鸡西矿业有限责任公司东山煤矿-2024年_37"/>
                    <pic:cNvPicPr>
                      <a:picLocks noChangeAspect="1"/>
                    </pic:cNvPicPr>
                  </pic:nvPicPr>
                  <pic:blipFill>
                    <a:blip r:embed="rId72"/>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8" name="图片 108" descr="执行报告-黑龙江龙煤鸡西矿业有限责任公司东山煤矿-2024年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执行报告-黑龙江龙煤鸡西矿业有限责任公司东山煤矿-2024年_38"/>
                    <pic:cNvPicPr>
                      <a:picLocks noChangeAspect="1"/>
                    </pic:cNvPicPr>
                  </pic:nvPicPr>
                  <pic:blipFill>
                    <a:blip r:embed="rId73"/>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09" name="图片 109" descr="执行报告-黑龙江龙煤鸡西矿业有限责任公司东山煤矿-2024年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执行报告-黑龙江龙煤鸡西矿业有限责任公司东山煤矿-2024年_39"/>
                    <pic:cNvPicPr>
                      <a:picLocks noChangeAspect="1"/>
                    </pic:cNvPicPr>
                  </pic:nvPicPr>
                  <pic:blipFill>
                    <a:blip r:embed="rId74"/>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10" name="图片 110" descr="执行报告-黑龙江龙煤鸡西矿业有限责任公司东山煤矿-2024年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执行报告-黑龙江龙煤鸡西矿业有限责任公司东山煤矿-2024年_40"/>
                    <pic:cNvPicPr>
                      <a:picLocks noChangeAspect="1"/>
                    </pic:cNvPicPr>
                  </pic:nvPicPr>
                  <pic:blipFill>
                    <a:blip r:embed="rId75"/>
                    <a:stretch>
                      <a:fillRect/>
                    </a:stretch>
                  </pic:blipFill>
                  <pic:spPr>
                    <a:xfrm>
                      <a:off x="0" y="0"/>
                      <a:ext cx="5356860" cy="3790315"/>
                    </a:xfrm>
                    <a:prstGeom prst="rect">
                      <a:avLst/>
                    </a:prstGeom>
                  </pic:spPr>
                </pic:pic>
              </a:graphicData>
            </a:graphic>
          </wp:inline>
        </w:drawing>
      </w:r>
      <w:r>
        <w:rPr>
          <w:rFonts w:hint="eastAsia" w:cs="Times New Roman"/>
          <w:b/>
          <w:bCs/>
          <w:color w:val="auto"/>
          <w:sz w:val="21"/>
          <w:szCs w:val="21"/>
          <w:highlight w:val="none"/>
          <w:lang w:val="en-US" w:eastAsia="zh-CN"/>
        </w:rPr>
        <w:drawing>
          <wp:inline distT="0" distB="0" distL="114300" distR="114300">
            <wp:extent cx="5356860" cy="3790315"/>
            <wp:effectExtent l="0" t="0" r="15240" b="635"/>
            <wp:docPr id="111" name="图片 111" descr="执行报告-黑龙江龙煤鸡西矿业有限责任公司东山煤矿-2024年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执行报告-黑龙江龙煤鸡西矿业有限责任公司东山煤矿-2024年_41"/>
                    <pic:cNvPicPr>
                      <a:picLocks noChangeAspect="1"/>
                    </pic:cNvPicPr>
                  </pic:nvPicPr>
                  <pic:blipFill>
                    <a:blip r:embed="rId76"/>
                    <a:stretch>
                      <a:fillRect/>
                    </a:stretch>
                  </pic:blipFill>
                  <pic:spPr>
                    <a:xfrm>
                      <a:off x="0" y="0"/>
                      <a:ext cx="5356860" cy="3790315"/>
                    </a:xfrm>
                    <a:prstGeom prst="rect">
                      <a:avLst/>
                    </a:prstGeom>
                  </pic:spPr>
                </pic:pic>
              </a:graphicData>
            </a:graphic>
          </wp:inline>
        </w:drawing>
      </w:r>
    </w:p>
    <w:p w14:paraId="410717AF">
      <w:pPr>
        <w:rPr>
          <w:rFonts w:hint="eastAsia" w:eastAsia="宋体" w:cs="Times New Roman"/>
          <w:b/>
          <w:bCs/>
          <w:color w:val="auto"/>
          <w:sz w:val="21"/>
          <w:szCs w:val="21"/>
          <w:highlight w:val="none"/>
          <w:lang w:val="en-US" w:eastAsia="zh-CN"/>
        </w:rPr>
      </w:pPr>
    </w:p>
    <w:p w14:paraId="61A3E0F6">
      <w:pPr>
        <w:pStyle w:val="46"/>
        <w:rPr>
          <w:rFonts w:hint="eastAsia" w:eastAsia="宋体" w:cs="Times New Roman"/>
          <w:b/>
          <w:bCs/>
          <w:color w:val="auto"/>
          <w:sz w:val="21"/>
          <w:szCs w:val="21"/>
          <w:highlight w:val="none"/>
          <w:lang w:val="en-US" w:eastAsia="zh-CN"/>
        </w:rPr>
      </w:pPr>
    </w:p>
    <w:p w14:paraId="5C287D32">
      <w:pPr>
        <w:rPr>
          <w:rFonts w:hint="eastAsia" w:eastAsia="宋体" w:cs="Times New Roman"/>
          <w:b/>
          <w:bCs/>
          <w:color w:val="auto"/>
          <w:sz w:val="21"/>
          <w:szCs w:val="21"/>
          <w:highlight w:val="none"/>
          <w:lang w:val="en-US" w:eastAsia="zh-CN"/>
        </w:rPr>
      </w:pPr>
    </w:p>
    <w:p w14:paraId="609CCD7A">
      <w:pPr>
        <w:pStyle w:val="46"/>
        <w:rPr>
          <w:rFonts w:hint="eastAsia" w:eastAsia="宋体" w:cs="Times New Roman"/>
          <w:b/>
          <w:bCs/>
          <w:color w:val="auto"/>
          <w:sz w:val="21"/>
          <w:szCs w:val="21"/>
          <w:highlight w:val="none"/>
          <w:lang w:val="en-US" w:eastAsia="zh-CN"/>
        </w:rPr>
      </w:pPr>
    </w:p>
    <w:p w14:paraId="4716FF42">
      <w:pPr>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附件6排污许可证</w:t>
      </w:r>
    </w:p>
    <w:p w14:paraId="4AEF1A68">
      <w:pPr>
        <w:pStyle w:val="46"/>
        <w:rPr>
          <w:rFonts w:hint="default"/>
          <w:color w:val="auto"/>
          <w:highlight w:val="none"/>
          <w:lang w:val="en-US" w:eastAsia="zh-CN"/>
        </w:rPr>
      </w:pPr>
      <w:r>
        <w:rPr>
          <w:rFonts w:hint="default"/>
          <w:color w:val="auto"/>
          <w:highlight w:val="none"/>
          <w:lang w:val="en-US" w:eastAsia="zh-CN"/>
        </w:rPr>
        <w:drawing>
          <wp:inline distT="0" distB="0" distL="114300" distR="114300">
            <wp:extent cx="5353050" cy="3785235"/>
            <wp:effectExtent l="0" t="0" r="0" b="5715"/>
            <wp:docPr id="112" name="图片 112" descr="排污许可证正本信息公开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排污许可证正本信息公开_01"/>
                    <pic:cNvPicPr>
                      <a:picLocks noChangeAspect="1"/>
                    </pic:cNvPicPr>
                  </pic:nvPicPr>
                  <pic:blipFill>
                    <a:blip r:embed="rId77"/>
                    <a:stretch>
                      <a:fillRect/>
                    </a:stretch>
                  </pic:blipFill>
                  <pic:spPr>
                    <a:xfrm>
                      <a:off x="0" y="0"/>
                      <a:ext cx="5353050" cy="3785235"/>
                    </a:xfrm>
                    <a:prstGeom prst="rect">
                      <a:avLst/>
                    </a:prstGeom>
                  </pic:spPr>
                </pic:pic>
              </a:graphicData>
            </a:graphic>
          </wp:inline>
        </w:drawing>
      </w:r>
    </w:p>
    <w:p w14:paraId="074F0FEC">
      <w:pPr>
        <w:rPr>
          <w:rFonts w:hint="eastAsia" w:cs="Times New Roman"/>
          <w:b/>
          <w:bCs/>
          <w:color w:val="auto"/>
          <w:sz w:val="21"/>
          <w:szCs w:val="21"/>
          <w:highlight w:val="none"/>
          <w:lang w:val="en-US" w:eastAsia="zh-CN"/>
        </w:rPr>
      </w:pPr>
    </w:p>
    <w:p w14:paraId="0E4A0451">
      <w:pPr>
        <w:rPr>
          <w:rFonts w:hint="eastAsia" w:cs="Times New Roman"/>
          <w:b/>
          <w:bCs/>
          <w:color w:val="auto"/>
          <w:sz w:val="21"/>
          <w:szCs w:val="21"/>
          <w:highlight w:val="none"/>
          <w:lang w:val="en-US" w:eastAsia="zh-CN"/>
        </w:rPr>
      </w:pPr>
    </w:p>
    <w:p w14:paraId="2623BF31">
      <w:pPr>
        <w:rPr>
          <w:rFonts w:hint="eastAsia" w:cs="Times New Roman"/>
          <w:b/>
          <w:bCs/>
          <w:color w:val="auto"/>
          <w:sz w:val="21"/>
          <w:szCs w:val="21"/>
          <w:highlight w:val="none"/>
          <w:lang w:val="en-US" w:eastAsia="zh-CN"/>
        </w:rPr>
      </w:pPr>
    </w:p>
    <w:p w14:paraId="0E8C8B81">
      <w:pPr>
        <w:rPr>
          <w:rFonts w:hint="eastAsia" w:cs="Times New Roman"/>
          <w:b/>
          <w:bCs/>
          <w:color w:val="auto"/>
          <w:sz w:val="21"/>
          <w:szCs w:val="21"/>
          <w:highlight w:val="none"/>
          <w:lang w:val="en-US" w:eastAsia="zh-CN"/>
        </w:rPr>
      </w:pPr>
    </w:p>
    <w:p w14:paraId="0FBC7624">
      <w:pPr>
        <w:rPr>
          <w:rFonts w:hint="eastAsia" w:cs="Times New Roman"/>
          <w:b/>
          <w:bCs/>
          <w:color w:val="auto"/>
          <w:sz w:val="21"/>
          <w:szCs w:val="21"/>
          <w:highlight w:val="none"/>
          <w:lang w:val="en-US" w:eastAsia="zh-CN"/>
        </w:rPr>
      </w:pPr>
    </w:p>
    <w:p w14:paraId="65A51491">
      <w:pPr>
        <w:rPr>
          <w:rFonts w:hint="eastAsia" w:cs="Times New Roman"/>
          <w:b/>
          <w:bCs/>
          <w:color w:val="auto"/>
          <w:sz w:val="21"/>
          <w:szCs w:val="21"/>
          <w:highlight w:val="none"/>
          <w:lang w:val="en-US" w:eastAsia="zh-CN"/>
        </w:rPr>
      </w:pPr>
    </w:p>
    <w:p w14:paraId="517A18D2">
      <w:pPr>
        <w:rPr>
          <w:rFonts w:hint="eastAsia" w:cs="Times New Roman"/>
          <w:b/>
          <w:bCs/>
          <w:color w:val="auto"/>
          <w:sz w:val="21"/>
          <w:szCs w:val="21"/>
          <w:highlight w:val="none"/>
          <w:lang w:val="en-US" w:eastAsia="zh-CN"/>
        </w:rPr>
      </w:pPr>
    </w:p>
    <w:p w14:paraId="5728B9F3">
      <w:pPr>
        <w:rPr>
          <w:rFonts w:hint="eastAsia" w:cs="Times New Roman"/>
          <w:b/>
          <w:bCs/>
          <w:color w:val="auto"/>
          <w:sz w:val="21"/>
          <w:szCs w:val="21"/>
          <w:highlight w:val="none"/>
          <w:lang w:val="en-US" w:eastAsia="zh-CN"/>
        </w:rPr>
      </w:pPr>
    </w:p>
    <w:p w14:paraId="65437C7C">
      <w:pPr>
        <w:rPr>
          <w:rFonts w:hint="eastAsia" w:cs="Times New Roman"/>
          <w:b/>
          <w:bCs/>
          <w:color w:val="auto"/>
          <w:sz w:val="21"/>
          <w:szCs w:val="21"/>
          <w:highlight w:val="none"/>
          <w:lang w:val="en-US" w:eastAsia="zh-CN"/>
        </w:rPr>
      </w:pPr>
    </w:p>
    <w:p w14:paraId="081E1D92">
      <w:pPr>
        <w:rPr>
          <w:rFonts w:hint="eastAsia" w:cs="Times New Roman"/>
          <w:b/>
          <w:bCs/>
          <w:color w:val="auto"/>
          <w:sz w:val="21"/>
          <w:szCs w:val="21"/>
          <w:highlight w:val="none"/>
          <w:lang w:val="en-US" w:eastAsia="zh-CN"/>
        </w:rPr>
      </w:pPr>
    </w:p>
    <w:p w14:paraId="6B551611">
      <w:pPr>
        <w:rPr>
          <w:rFonts w:hint="eastAsia" w:cs="Times New Roman"/>
          <w:b/>
          <w:bCs/>
          <w:color w:val="auto"/>
          <w:sz w:val="21"/>
          <w:szCs w:val="21"/>
          <w:highlight w:val="none"/>
          <w:lang w:val="en-US" w:eastAsia="zh-CN"/>
        </w:rPr>
      </w:pPr>
    </w:p>
    <w:p w14:paraId="1D298E52">
      <w:pPr>
        <w:rPr>
          <w:rFonts w:hint="eastAsia" w:cs="Times New Roman"/>
          <w:b/>
          <w:bCs/>
          <w:color w:val="auto"/>
          <w:sz w:val="21"/>
          <w:szCs w:val="21"/>
          <w:highlight w:val="none"/>
          <w:lang w:val="en-US" w:eastAsia="zh-CN"/>
        </w:rPr>
      </w:pPr>
    </w:p>
    <w:p w14:paraId="0792BF06">
      <w:pPr>
        <w:rPr>
          <w:rFonts w:hint="eastAsia" w:cs="Times New Roman"/>
          <w:b/>
          <w:bCs/>
          <w:color w:val="auto"/>
          <w:sz w:val="21"/>
          <w:szCs w:val="21"/>
          <w:highlight w:val="none"/>
          <w:lang w:val="en-US" w:eastAsia="zh-CN"/>
        </w:rPr>
      </w:pPr>
    </w:p>
    <w:p w14:paraId="58004A88">
      <w:pPr>
        <w:rPr>
          <w:rFonts w:hint="eastAsia" w:cs="Times New Roman"/>
          <w:b/>
          <w:bCs/>
          <w:color w:val="auto"/>
          <w:sz w:val="21"/>
          <w:szCs w:val="21"/>
          <w:highlight w:val="none"/>
          <w:lang w:val="en-US" w:eastAsia="zh-CN"/>
        </w:rPr>
      </w:pPr>
    </w:p>
    <w:p w14:paraId="05D1BBE0">
      <w:pPr>
        <w:rPr>
          <w:rFonts w:hint="eastAsia" w:cs="Times New Roman"/>
          <w:b/>
          <w:bCs/>
          <w:color w:val="auto"/>
          <w:sz w:val="21"/>
          <w:szCs w:val="21"/>
          <w:highlight w:val="none"/>
          <w:lang w:val="en-US" w:eastAsia="zh-CN"/>
        </w:rPr>
      </w:pPr>
    </w:p>
    <w:p w14:paraId="15B1A4DA">
      <w:pPr>
        <w:rPr>
          <w:rFonts w:hint="eastAsia" w:cs="Times New Roman"/>
          <w:b/>
          <w:bCs/>
          <w:color w:val="auto"/>
          <w:sz w:val="21"/>
          <w:szCs w:val="21"/>
          <w:highlight w:val="none"/>
          <w:lang w:val="en-US" w:eastAsia="zh-CN"/>
        </w:rPr>
      </w:pPr>
    </w:p>
    <w:p w14:paraId="1425DBE2">
      <w:pPr>
        <w:rPr>
          <w:rFonts w:hint="eastAsia" w:cs="Times New Roman"/>
          <w:b/>
          <w:bCs/>
          <w:color w:val="auto"/>
          <w:sz w:val="21"/>
          <w:szCs w:val="21"/>
          <w:highlight w:val="none"/>
          <w:lang w:val="en-US" w:eastAsia="zh-CN"/>
        </w:rPr>
      </w:pPr>
    </w:p>
    <w:p w14:paraId="0F7E297D">
      <w:pPr>
        <w:rPr>
          <w:rFonts w:hint="eastAsia" w:cs="Times New Roman"/>
          <w:b/>
          <w:bCs/>
          <w:color w:val="auto"/>
          <w:sz w:val="21"/>
          <w:szCs w:val="21"/>
          <w:highlight w:val="none"/>
          <w:lang w:val="en-US" w:eastAsia="zh-CN"/>
        </w:rPr>
      </w:pPr>
    </w:p>
    <w:p w14:paraId="436B8B07">
      <w:pPr>
        <w:rPr>
          <w:rFonts w:hint="eastAsia" w:cs="Times New Roman"/>
          <w:b/>
          <w:bCs/>
          <w:color w:val="auto"/>
          <w:sz w:val="21"/>
          <w:szCs w:val="21"/>
          <w:highlight w:val="none"/>
          <w:lang w:val="en-US" w:eastAsia="zh-CN"/>
        </w:rPr>
      </w:pPr>
    </w:p>
    <w:p w14:paraId="28992D4C">
      <w:pPr>
        <w:rPr>
          <w:rFonts w:hint="eastAsia" w:cs="Times New Roman"/>
          <w:b/>
          <w:bCs/>
          <w:color w:val="auto"/>
          <w:sz w:val="21"/>
          <w:szCs w:val="21"/>
          <w:highlight w:val="none"/>
          <w:lang w:val="en-US" w:eastAsia="zh-CN"/>
        </w:rPr>
      </w:pPr>
    </w:p>
    <w:p w14:paraId="10BB6E4D">
      <w:pPr>
        <w:rPr>
          <w:rFonts w:hint="eastAsia" w:cs="Times New Roman"/>
          <w:b/>
          <w:bCs/>
          <w:color w:val="auto"/>
          <w:sz w:val="21"/>
          <w:szCs w:val="21"/>
          <w:highlight w:val="none"/>
          <w:lang w:val="en-US" w:eastAsia="zh-CN"/>
        </w:rPr>
      </w:pPr>
    </w:p>
    <w:p w14:paraId="69D60EDB">
      <w:pPr>
        <w:rPr>
          <w:rFonts w:hint="eastAsia" w:cs="Times New Roman"/>
          <w:b/>
          <w:bCs/>
          <w:color w:val="auto"/>
          <w:sz w:val="21"/>
          <w:szCs w:val="21"/>
          <w:highlight w:val="none"/>
          <w:lang w:val="en-US" w:eastAsia="zh-CN"/>
        </w:rPr>
      </w:pPr>
    </w:p>
    <w:p w14:paraId="1F86FB10">
      <w:pPr>
        <w:rPr>
          <w:rFonts w:hint="eastAsia" w:cs="Times New Roman"/>
          <w:b/>
          <w:bCs/>
          <w:color w:val="auto"/>
          <w:sz w:val="21"/>
          <w:szCs w:val="21"/>
          <w:highlight w:val="none"/>
          <w:lang w:val="en-US" w:eastAsia="zh-CN"/>
        </w:rPr>
      </w:pPr>
    </w:p>
    <w:p w14:paraId="77C7800B">
      <w:pPr>
        <w:rPr>
          <w:rFonts w:hint="eastAsia"/>
          <w:color w:val="auto"/>
          <w:highlight w:val="none"/>
          <w:lang w:val="en-US" w:eastAsia="zh-CN"/>
        </w:rPr>
      </w:pPr>
      <w:r>
        <w:rPr>
          <w:rFonts w:hint="eastAsia" w:cs="Times New Roman"/>
          <w:b/>
          <w:bCs/>
          <w:color w:val="auto"/>
          <w:sz w:val="21"/>
          <w:szCs w:val="21"/>
          <w:highlight w:val="none"/>
          <w:lang w:val="en-US" w:eastAsia="zh-CN"/>
        </w:rPr>
        <w:t>附件7大气现状监测引用检测报告</w:t>
      </w:r>
    </w:p>
    <w:p w14:paraId="4809FC14">
      <w:pPr>
        <w:rPr>
          <w:rFonts w:hint="eastAsia" w:eastAsia="宋体" w:cs="Times New Roman"/>
          <w:b/>
          <w:bCs/>
          <w:color w:val="auto"/>
          <w:sz w:val="21"/>
          <w:szCs w:val="21"/>
          <w:highlight w:val="none"/>
          <w:lang w:val="en-US" w:eastAsia="zh-CN"/>
        </w:rPr>
      </w:pPr>
      <w:r>
        <w:rPr>
          <w:rFonts w:hint="eastAsia" w:eastAsia="宋体" w:cs="Times New Roman"/>
          <w:b/>
          <w:bCs/>
          <w:color w:val="auto"/>
          <w:sz w:val="21"/>
          <w:szCs w:val="21"/>
          <w:highlight w:val="none"/>
          <w:lang w:val="en-US" w:eastAsia="zh-CN"/>
        </w:rPr>
        <w:drawing>
          <wp:inline distT="0" distB="0" distL="114300" distR="114300">
            <wp:extent cx="5358765" cy="7578725"/>
            <wp:effectExtent l="0" t="0" r="13335" b="3175"/>
            <wp:docPr id="19" name="图片 19" descr="鸡西蓝天环保服务有限公司（鸡西市茂江煤炭洗选有限公司建设项目）-环境空气-6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鸡西蓝天环保服务有限公司（鸡西市茂江煤炭洗选有限公司建设项目）-环境空气-6月_01"/>
                    <pic:cNvPicPr>
                      <a:picLocks noChangeAspect="1"/>
                    </pic:cNvPicPr>
                  </pic:nvPicPr>
                  <pic:blipFill>
                    <a:blip r:embed="rId78"/>
                    <a:stretch>
                      <a:fillRect/>
                    </a:stretch>
                  </pic:blipFill>
                  <pic:spPr>
                    <a:xfrm>
                      <a:off x="0" y="0"/>
                      <a:ext cx="5358765" cy="7578725"/>
                    </a:xfrm>
                    <a:prstGeom prst="rect">
                      <a:avLst/>
                    </a:prstGeom>
                  </pic:spPr>
                </pic:pic>
              </a:graphicData>
            </a:graphic>
          </wp:inline>
        </w:drawing>
      </w:r>
      <w:r>
        <w:rPr>
          <w:rFonts w:hint="eastAsia" w:eastAsia="宋体" w:cs="Times New Roman"/>
          <w:b/>
          <w:bCs/>
          <w:color w:val="auto"/>
          <w:sz w:val="21"/>
          <w:szCs w:val="21"/>
          <w:highlight w:val="none"/>
          <w:lang w:val="en-US" w:eastAsia="zh-CN"/>
        </w:rPr>
        <w:drawing>
          <wp:inline distT="0" distB="0" distL="114300" distR="114300">
            <wp:extent cx="5358765" cy="7578725"/>
            <wp:effectExtent l="0" t="0" r="13335" b="3175"/>
            <wp:docPr id="20" name="图片 20" descr="鸡西蓝天环保服务有限公司（鸡西市茂江煤炭洗选有限公司建设项目）-环境空气-6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鸡西蓝天环保服务有限公司（鸡西市茂江煤炭洗选有限公司建设项目）-环境空气-6月_02"/>
                    <pic:cNvPicPr>
                      <a:picLocks noChangeAspect="1"/>
                    </pic:cNvPicPr>
                  </pic:nvPicPr>
                  <pic:blipFill>
                    <a:blip r:embed="rId79"/>
                    <a:stretch>
                      <a:fillRect/>
                    </a:stretch>
                  </pic:blipFill>
                  <pic:spPr>
                    <a:xfrm>
                      <a:off x="0" y="0"/>
                      <a:ext cx="5358765" cy="7578725"/>
                    </a:xfrm>
                    <a:prstGeom prst="rect">
                      <a:avLst/>
                    </a:prstGeom>
                  </pic:spPr>
                </pic:pic>
              </a:graphicData>
            </a:graphic>
          </wp:inline>
        </w:drawing>
      </w:r>
    </w:p>
    <w:p w14:paraId="2CB7DF5F">
      <w:pPr>
        <w:pStyle w:val="48"/>
        <w:rPr>
          <w:color w:val="auto"/>
          <w:highlight w:val="none"/>
        </w:rPr>
      </w:pPr>
    </w:p>
    <w:p w14:paraId="33320BF7">
      <w:pPr>
        <w:pStyle w:val="48"/>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358765" cy="7578725"/>
            <wp:effectExtent l="0" t="0" r="13335" b="3175"/>
            <wp:docPr id="21" name="图片 21" descr="鸡西蓝天环保服务有限公司（鸡西市茂江煤炭洗选有限公司建设项目）-环境空气-6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鸡西蓝天环保服务有限公司（鸡西市茂江煤炭洗选有限公司建设项目）-环境空气-6月_03"/>
                    <pic:cNvPicPr>
                      <a:picLocks noChangeAspect="1"/>
                    </pic:cNvPicPr>
                  </pic:nvPicPr>
                  <pic:blipFill>
                    <a:blip r:embed="rId80"/>
                    <a:stretch>
                      <a:fillRect/>
                    </a:stretch>
                  </pic:blipFill>
                  <pic:spPr>
                    <a:xfrm>
                      <a:off x="0" y="0"/>
                      <a:ext cx="5358765" cy="7578725"/>
                    </a:xfrm>
                    <a:prstGeom prst="rect">
                      <a:avLst/>
                    </a:prstGeom>
                  </pic:spPr>
                </pic:pic>
              </a:graphicData>
            </a:graphic>
          </wp:inline>
        </w:drawing>
      </w:r>
      <w:r>
        <w:rPr>
          <w:rFonts w:hint="eastAsia" w:eastAsia="宋体"/>
          <w:color w:val="auto"/>
          <w:highlight w:val="none"/>
          <w:lang w:eastAsia="zh-CN"/>
        </w:rPr>
        <w:drawing>
          <wp:inline distT="0" distB="0" distL="114300" distR="114300">
            <wp:extent cx="5358765" cy="7578725"/>
            <wp:effectExtent l="0" t="0" r="13335" b="3175"/>
            <wp:docPr id="24" name="图片 24" descr="鸡西蓝天环保服务有限公司（鸡西市茂江煤炭洗选有限公司建设项目）-环境空气-6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鸡西蓝天环保服务有限公司（鸡西市茂江煤炭洗选有限公司建设项目）-环境空气-6月_04"/>
                    <pic:cNvPicPr>
                      <a:picLocks noChangeAspect="1"/>
                    </pic:cNvPicPr>
                  </pic:nvPicPr>
                  <pic:blipFill>
                    <a:blip r:embed="rId81"/>
                    <a:stretch>
                      <a:fillRect/>
                    </a:stretch>
                  </pic:blipFill>
                  <pic:spPr>
                    <a:xfrm>
                      <a:off x="0" y="0"/>
                      <a:ext cx="5358765" cy="7578725"/>
                    </a:xfrm>
                    <a:prstGeom prst="rect">
                      <a:avLst/>
                    </a:prstGeom>
                  </pic:spPr>
                </pic:pic>
              </a:graphicData>
            </a:graphic>
          </wp:inline>
        </w:drawing>
      </w:r>
    </w:p>
    <w:p w14:paraId="426CF16C">
      <w:pPr>
        <w:pStyle w:val="50"/>
        <w:rPr>
          <w:color w:val="auto"/>
          <w:highlight w:val="none"/>
        </w:rPr>
      </w:pPr>
    </w:p>
    <w:p w14:paraId="1C71A432">
      <w:pPr>
        <w:pStyle w:val="50"/>
        <w:rPr>
          <w:color w:val="auto"/>
          <w:highlight w:val="none"/>
        </w:rPr>
      </w:pPr>
    </w:p>
    <w:p w14:paraId="03514F2B">
      <w:pPr>
        <w:pStyle w:val="50"/>
        <w:rPr>
          <w:color w:val="auto"/>
          <w:highlight w:val="none"/>
        </w:rPr>
      </w:pPr>
    </w:p>
    <w:p w14:paraId="170B611A">
      <w:pPr>
        <w:pStyle w:val="50"/>
        <w:rPr>
          <w:color w:val="auto"/>
          <w:highlight w:val="none"/>
        </w:rPr>
      </w:pPr>
    </w:p>
    <w:p w14:paraId="374EA471">
      <w:pPr>
        <w:pStyle w:val="50"/>
        <w:rPr>
          <w:color w:val="auto"/>
          <w:highlight w:val="none"/>
        </w:rPr>
      </w:pPr>
    </w:p>
    <w:p w14:paraId="274997EF">
      <w:pPr>
        <w:pStyle w:val="50"/>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附件8噪声监测</w:t>
      </w:r>
    </w:p>
    <w:p w14:paraId="6DA3860D">
      <w:pPr>
        <w:pStyle w:val="5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drawing>
          <wp:inline distT="0" distB="0" distL="114300" distR="114300">
            <wp:extent cx="5358765" cy="7578725"/>
            <wp:effectExtent l="0" t="0" r="13335" b="3175"/>
            <wp:docPr id="42" name="图片 42" descr="黑龙江龙煤鸡西矿业有限责任公司（东山煤矿洗煤一厂锅炉改造项目）-噪声-10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黑龙江龙煤鸡西矿业有限责任公司（东山煤矿洗煤一厂锅炉改造项目）-噪声-10月_01"/>
                    <pic:cNvPicPr>
                      <a:picLocks noChangeAspect="1"/>
                    </pic:cNvPicPr>
                  </pic:nvPicPr>
                  <pic:blipFill>
                    <a:blip r:embed="rId82"/>
                    <a:stretch>
                      <a:fillRect/>
                    </a:stretch>
                  </pic:blipFill>
                  <pic:spPr>
                    <a:xfrm>
                      <a:off x="0" y="0"/>
                      <a:ext cx="5358765" cy="7578725"/>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8725"/>
            <wp:effectExtent l="0" t="0" r="13335" b="3175"/>
            <wp:docPr id="43" name="图片 43" descr="黑龙江龙煤鸡西矿业有限责任公司（东山煤矿洗煤一厂锅炉改造项目）-噪声-10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黑龙江龙煤鸡西矿业有限责任公司（东山煤矿洗煤一厂锅炉改造项目）-噪声-10月_02"/>
                    <pic:cNvPicPr>
                      <a:picLocks noChangeAspect="1"/>
                    </pic:cNvPicPr>
                  </pic:nvPicPr>
                  <pic:blipFill>
                    <a:blip r:embed="rId83"/>
                    <a:stretch>
                      <a:fillRect/>
                    </a:stretch>
                  </pic:blipFill>
                  <pic:spPr>
                    <a:xfrm>
                      <a:off x="0" y="0"/>
                      <a:ext cx="5358765" cy="7578725"/>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8725"/>
            <wp:effectExtent l="0" t="0" r="13335" b="3175"/>
            <wp:docPr id="45" name="图片 45" descr="黑龙江龙煤鸡西矿业有限责任公司（东山煤矿洗煤一厂锅炉改造项目）-噪声-10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黑龙江龙煤鸡西矿业有限责任公司（东山煤矿洗煤一厂锅炉改造项目）-噪声-10月_03"/>
                    <pic:cNvPicPr>
                      <a:picLocks noChangeAspect="1"/>
                    </pic:cNvPicPr>
                  </pic:nvPicPr>
                  <pic:blipFill>
                    <a:blip r:embed="rId84"/>
                    <a:stretch>
                      <a:fillRect/>
                    </a:stretch>
                  </pic:blipFill>
                  <pic:spPr>
                    <a:xfrm>
                      <a:off x="0" y="0"/>
                      <a:ext cx="5358765" cy="7578725"/>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8725"/>
            <wp:effectExtent l="0" t="0" r="13335" b="3175"/>
            <wp:docPr id="46" name="图片 46" descr="黑龙江龙煤鸡西矿业有限责任公司（东山煤矿洗煤一厂锅炉改造项目）-噪声-10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黑龙江龙煤鸡西矿业有限责任公司（东山煤矿洗煤一厂锅炉改造项目）-噪声-10月_04"/>
                    <pic:cNvPicPr>
                      <a:picLocks noChangeAspect="1"/>
                    </pic:cNvPicPr>
                  </pic:nvPicPr>
                  <pic:blipFill>
                    <a:blip r:embed="rId85"/>
                    <a:stretch>
                      <a:fillRect/>
                    </a:stretch>
                  </pic:blipFill>
                  <pic:spPr>
                    <a:xfrm>
                      <a:off x="0" y="0"/>
                      <a:ext cx="5358765" cy="7578725"/>
                    </a:xfrm>
                    <a:prstGeom prst="rect">
                      <a:avLst/>
                    </a:prstGeom>
                  </pic:spPr>
                </pic:pic>
              </a:graphicData>
            </a:graphic>
          </wp:inline>
        </w:drawing>
      </w:r>
    </w:p>
    <w:p w14:paraId="2F63E520">
      <w:pPr>
        <w:pStyle w:val="50"/>
        <w:rPr>
          <w:rFonts w:hint="default" w:ascii="Times New Roman" w:hAnsi="Times New Roman" w:cs="Times New Roman"/>
          <w:b/>
          <w:bCs/>
          <w:color w:val="auto"/>
          <w:highlight w:val="none"/>
          <w:lang w:val="en-US" w:eastAsia="zh-CN"/>
        </w:rPr>
      </w:pPr>
    </w:p>
    <w:p w14:paraId="7E4B2B6A">
      <w:pPr>
        <w:pStyle w:val="50"/>
        <w:rPr>
          <w:rFonts w:hint="default" w:ascii="Times New Roman" w:hAnsi="Times New Roman" w:cs="Times New Roman"/>
          <w:b/>
          <w:bCs/>
          <w:color w:val="auto"/>
          <w:highlight w:val="none"/>
          <w:lang w:val="en-US" w:eastAsia="zh-CN"/>
        </w:rPr>
      </w:pPr>
    </w:p>
    <w:p w14:paraId="1A1B1863">
      <w:pPr>
        <w:pStyle w:val="50"/>
        <w:rPr>
          <w:rFonts w:hint="default" w:ascii="Times New Roman" w:hAnsi="Times New Roman" w:cs="Times New Roman"/>
          <w:b/>
          <w:bCs/>
          <w:color w:val="auto"/>
          <w:highlight w:val="none"/>
          <w:lang w:val="en-US" w:eastAsia="zh-CN"/>
        </w:rPr>
      </w:pPr>
    </w:p>
    <w:p w14:paraId="1978A2F7">
      <w:pPr>
        <w:pStyle w:val="50"/>
        <w:rPr>
          <w:rFonts w:hint="default" w:ascii="Times New Roman" w:hAnsi="Times New Roman" w:cs="Times New Roman"/>
          <w:b/>
          <w:bCs/>
          <w:color w:val="auto"/>
          <w:highlight w:val="none"/>
          <w:lang w:val="en-US" w:eastAsia="zh-CN"/>
        </w:rPr>
      </w:pPr>
    </w:p>
    <w:p w14:paraId="5CED47A2">
      <w:pPr>
        <w:pStyle w:val="50"/>
        <w:rPr>
          <w:rFonts w:hint="default" w:ascii="Times New Roman" w:hAnsi="Times New Roman" w:cs="Times New Roman"/>
          <w:b/>
          <w:bCs/>
          <w:color w:val="auto"/>
          <w:highlight w:val="none"/>
          <w:lang w:val="en-US" w:eastAsia="zh-CN"/>
        </w:rPr>
      </w:pPr>
    </w:p>
    <w:p w14:paraId="0C51371F">
      <w:pPr>
        <w:pStyle w:val="5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附件</w:t>
      </w:r>
      <w:r>
        <w:rPr>
          <w:rFonts w:hint="eastAsia" w:ascii="Times New Roman" w:hAnsi="Times New Roman" w:cs="Times New Roman"/>
          <w:b/>
          <w:bCs/>
          <w:color w:val="auto"/>
          <w:highlight w:val="none"/>
          <w:lang w:val="en-US" w:eastAsia="zh-CN"/>
        </w:rPr>
        <w:t>9现有工程检测报告</w:t>
      </w:r>
    </w:p>
    <w:p w14:paraId="6D3536FA">
      <w:pPr>
        <w:pStyle w:val="5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drawing>
          <wp:inline distT="0" distB="0" distL="114300" distR="114300">
            <wp:extent cx="5358765" cy="7575550"/>
            <wp:effectExtent l="0" t="0" r="13335" b="6350"/>
            <wp:docPr id="4" name="图片 4" descr="黑龙江龙煤鸡西矿业有限责任公司东山煤矿（洗煤一厂）-废气-1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黑龙江龙煤鸡西矿业有限责任公司东山煤矿（洗煤一厂）-废气-1月_01"/>
                    <pic:cNvPicPr>
                      <a:picLocks noChangeAspect="1"/>
                    </pic:cNvPicPr>
                  </pic:nvPicPr>
                  <pic:blipFill>
                    <a:blip r:embed="rId86"/>
                    <a:stretch>
                      <a:fillRect/>
                    </a:stretch>
                  </pic:blipFill>
                  <pic:spPr>
                    <a:xfrm>
                      <a:off x="0" y="0"/>
                      <a:ext cx="5358765" cy="7575550"/>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5550"/>
            <wp:effectExtent l="0" t="0" r="13335" b="6350"/>
            <wp:docPr id="6" name="图片 6" descr="黑龙江龙煤鸡西矿业有限责任公司东山煤矿（洗煤一厂）-废气-1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黑龙江龙煤鸡西矿业有限责任公司东山煤矿（洗煤一厂）-废气-1月_02"/>
                    <pic:cNvPicPr>
                      <a:picLocks noChangeAspect="1"/>
                    </pic:cNvPicPr>
                  </pic:nvPicPr>
                  <pic:blipFill>
                    <a:blip r:embed="rId87"/>
                    <a:stretch>
                      <a:fillRect/>
                    </a:stretch>
                  </pic:blipFill>
                  <pic:spPr>
                    <a:xfrm>
                      <a:off x="0" y="0"/>
                      <a:ext cx="5358765" cy="7575550"/>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5550"/>
            <wp:effectExtent l="0" t="0" r="13335" b="6350"/>
            <wp:docPr id="8" name="图片 8" descr="黑龙江龙煤鸡西矿业有限责任公司东山煤矿（洗煤一厂）-废气-1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黑龙江龙煤鸡西矿业有限责任公司东山煤矿（洗煤一厂）-废气-1月_03"/>
                    <pic:cNvPicPr>
                      <a:picLocks noChangeAspect="1"/>
                    </pic:cNvPicPr>
                  </pic:nvPicPr>
                  <pic:blipFill>
                    <a:blip r:embed="rId88"/>
                    <a:stretch>
                      <a:fillRect/>
                    </a:stretch>
                  </pic:blipFill>
                  <pic:spPr>
                    <a:xfrm>
                      <a:off x="0" y="0"/>
                      <a:ext cx="5358765" cy="7575550"/>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5550"/>
            <wp:effectExtent l="0" t="0" r="13335" b="6350"/>
            <wp:docPr id="11" name="图片 11" descr="黑龙江龙煤鸡西矿业有限责任公司东山煤矿（洗煤一厂）-废气-1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黑龙江龙煤鸡西矿业有限责任公司东山煤矿（洗煤一厂）-废气-1月_04"/>
                    <pic:cNvPicPr>
                      <a:picLocks noChangeAspect="1"/>
                    </pic:cNvPicPr>
                  </pic:nvPicPr>
                  <pic:blipFill>
                    <a:blip r:embed="rId89"/>
                    <a:stretch>
                      <a:fillRect/>
                    </a:stretch>
                  </pic:blipFill>
                  <pic:spPr>
                    <a:xfrm>
                      <a:off x="0" y="0"/>
                      <a:ext cx="5358765" cy="7575550"/>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5550"/>
            <wp:effectExtent l="0" t="0" r="13335" b="6350"/>
            <wp:docPr id="12" name="图片 12" descr="黑龙江龙煤鸡西矿业有限责任公司东山煤矿（洗煤一厂）-废气-1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黑龙江龙煤鸡西矿业有限责任公司东山煤矿（洗煤一厂）-废气-1月_05"/>
                    <pic:cNvPicPr>
                      <a:picLocks noChangeAspect="1"/>
                    </pic:cNvPicPr>
                  </pic:nvPicPr>
                  <pic:blipFill>
                    <a:blip r:embed="rId90"/>
                    <a:stretch>
                      <a:fillRect/>
                    </a:stretch>
                  </pic:blipFill>
                  <pic:spPr>
                    <a:xfrm>
                      <a:off x="0" y="0"/>
                      <a:ext cx="5358765" cy="7575550"/>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5550"/>
            <wp:effectExtent l="0" t="0" r="13335" b="6350"/>
            <wp:docPr id="13" name="图片 13" descr="黑龙江龙煤鸡西矿业有限责任公司东山煤矿（洗煤一厂）-废气-1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黑龙江龙煤鸡西矿业有限责任公司东山煤矿（洗煤一厂）-废气-1月_06"/>
                    <pic:cNvPicPr>
                      <a:picLocks noChangeAspect="1"/>
                    </pic:cNvPicPr>
                  </pic:nvPicPr>
                  <pic:blipFill>
                    <a:blip r:embed="rId91"/>
                    <a:stretch>
                      <a:fillRect/>
                    </a:stretch>
                  </pic:blipFill>
                  <pic:spPr>
                    <a:xfrm>
                      <a:off x="0" y="0"/>
                      <a:ext cx="5358765" cy="7575550"/>
                    </a:xfrm>
                    <a:prstGeom prst="rect">
                      <a:avLst/>
                    </a:prstGeom>
                  </pic:spPr>
                </pic:pic>
              </a:graphicData>
            </a:graphic>
          </wp:inline>
        </w:drawing>
      </w:r>
      <w:r>
        <w:rPr>
          <w:rFonts w:hint="default" w:ascii="Times New Roman" w:hAnsi="Times New Roman" w:cs="Times New Roman"/>
          <w:b/>
          <w:bCs/>
          <w:color w:val="auto"/>
          <w:highlight w:val="none"/>
          <w:lang w:val="en-US" w:eastAsia="zh-CN"/>
        </w:rPr>
        <w:drawing>
          <wp:inline distT="0" distB="0" distL="114300" distR="114300">
            <wp:extent cx="5358765" cy="7575550"/>
            <wp:effectExtent l="0" t="0" r="13335" b="6350"/>
            <wp:docPr id="15" name="图片 15" descr="黑龙江龙煤鸡西矿业有限责任公司东山煤矿（洗煤一厂）-废气-1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黑龙江龙煤鸡西矿业有限责任公司东山煤矿（洗煤一厂）-废气-1月_07"/>
                    <pic:cNvPicPr>
                      <a:picLocks noChangeAspect="1"/>
                    </pic:cNvPicPr>
                  </pic:nvPicPr>
                  <pic:blipFill>
                    <a:blip r:embed="rId92"/>
                    <a:stretch>
                      <a:fillRect/>
                    </a:stretch>
                  </pic:blipFill>
                  <pic:spPr>
                    <a:xfrm>
                      <a:off x="0" y="0"/>
                      <a:ext cx="5358765" cy="7575550"/>
                    </a:xfrm>
                    <a:prstGeom prst="rect">
                      <a:avLst/>
                    </a:prstGeom>
                  </pic:spPr>
                </pic:pic>
              </a:graphicData>
            </a:graphic>
          </wp:inline>
        </w:drawing>
      </w:r>
    </w:p>
    <w:p w14:paraId="555A1BD4">
      <w:pPr>
        <w:pStyle w:val="50"/>
        <w:rPr>
          <w:rFonts w:hint="default" w:ascii="Times New Roman" w:hAnsi="Times New Roman" w:cs="Times New Roman"/>
          <w:b/>
          <w:bCs/>
          <w:color w:val="auto"/>
          <w:highlight w:val="none"/>
          <w:lang w:val="en-US" w:eastAsia="zh-CN"/>
        </w:rPr>
      </w:pPr>
    </w:p>
    <w:p w14:paraId="70497C96">
      <w:pPr>
        <w:pStyle w:val="50"/>
        <w:rPr>
          <w:rFonts w:hint="default" w:ascii="Times New Roman" w:hAnsi="Times New Roman" w:cs="Times New Roman"/>
          <w:b/>
          <w:bCs/>
          <w:color w:val="auto"/>
          <w:highlight w:val="none"/>
          <w:lang w:val="en-US" w:eastAsia="zh-CN"/>
        </w:rPr>
      </w:pPr>
    </w:p>
    <w:p w14:paraId="3DF86B3F">
      <w:pPr>
        <w:pStyle w:val="50"/>
        <w:rPr>
          <w:rFonts w:hint="default" w:ascii="Times New Roman" w:hAnsi="Times New Roman" w:cs="Times New Roman"/>
          <w:b/>
          <w:bCs/>
          <w:color w:val="auto"/>
          <w:highlight w:val="none"/>
          <w:lang w:val="en-US" w:eastAsia="zh-CN"/>
        </w:rPr>
      </w:pPr>
    </w:p>
    <w:p w14:paraId="59EF948A">
      <w:pPr>
        <w:pStyle w:val="50"/>
        <w:rPr>
          <w:rFonts w:hint="default" w:ascii="Times New Roman" w:hAnsi="Times New Roman" w:cs="Times New Roman"/>
          <w:b/>
          <w:bCs/>
          <w:color w:val="auto"/>
          <w:highlight w:val="none"/>
          <w:lang w:val="en-US" w:eastAsia="zh-CN"/>
        </w:rPr>
      </w:pPr>
    </w:p>
    <w:p w14:paraId="6283DF7F">
      <w:pPr>
        <w:pStyle w:val="32"/>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1"/>
          <w:szCs w:val="21"/>
          <w:highlight w:val="none"/>
          <w:lang w:val="en-US" w:eastAsia="zh-CN"/>
        </w:rPr>
      </w:pPr>
    </w:p>
    <w:p w14:paraId="38A88F74">
      <w:pPr>
        <w:pStyle w:val="32"/>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附件</w:t>
      </w:r>
      <w:r>
        <w:rPr>
          <w:rFonts w:hint="eastAsia" w:cs="Times New Roman"/>
          <w:b/>
          <w:bCs/>
          <w:color w:val="auto"/>
          <w:kern w:val="0"/>
          <w:sz w:val="21"/>
          <w:szCs w:val="21"/>
          <w:highlight w:val="none"/>
          <w:lang w:val="en-US" w:eastAsia="zh-CN"/>
        </w:rPr>
        <w:t>10氮氧化物源强计算类比项目验收检测报告</w:t>
      </w:r>
    </w:p>
    <w:p w14:paraId="471D6EC0">
      <w:pPr>
        <w:rPr>
          <w:rFonts w:ascii="Times New Roman" w:hAnsi="Times New Roman"/>
          <w:color w:val="auto"/>
          <w:sz w:val="24"/>
          <w:szCs w:val="24"/>
          <w:highlight w:val="none"/>
        </w:rPr>
      </w:pPr>
      <w:r>
        <w:rPr>
          <w:rFonts w:ascii="Times New Roman" w:hAnsi="Times New Roman"/>
          <w:color w:val="auto"/>
          <w:sz w:val="24"/>
          <w:szCs w:val="24"/>
          <w:highlight w:val="none"/>
        </w:rPr>
        <w:drawing>
          <wp:inline distT="0" distB="0" distL="114300" distR="114300">
            <wp:extent cx="5272405" cy="7388225"/>
            <wp:effectExtent l="0" t="0" r="4445" b="317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93"/>
                    <a:stretch>
                      <a:fillRect/>
                    </a:stretch>
                  </pic:blipFill>
                  <pic:spPr>
                    <a:xfrm>
                      <a:off x="0" y="0"/>
                      <a:ext cx="5272405" cy="7388225"/>
                    </a:xfrm>
                    <a:prstGeom prst="rect">
                      <a:avLst/>
                    </a:prstGeom>
                    <a:noFill/>
                    <a:ln>
                      <a:noFill/>
                    </a:ln>
                  </pic:spPr>
                </pic:pic>
              </a:graphicData>
            </a:graphic>
          </wp:inline>
        </w:drawing>
      </w:r>
      <w:r>
        <w:rPr>
          <w:rFonts w:hint="eastAsia" w:ascii="Times New Roman" w:hAnsi="Times New Roman"/>
          <w:color w:val="auto"/>
          <w:sz w:val="24"/>
          <w:szCs w:val="24"/>
          <w:highlight w:val="none"/>
        </w:rPr>
        <w:drawing>
          <wp:inline distT="0" distB="0" distL="114300" distR="114300">
            <wp:extent cx="5271770" cy="7278370"/>
            <wp:effectExtent l="0" t="0" r="5080" b="17780"/>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94"/>
                    <a:stretch>
                      <a:fillRect/>
                    </a:stretch>
                  </pic:blipFill>
                  <pic:spPr>
                    <a:xfrm>
                      <a:off x="0" y="0"/>
                      <a:ext cx="5271770" cy="7278370"/>
                    </a:xfrm>
                    <a:prstGeom prst="rect">
                      <a:avLst/>
                    </a:prstGeom>
                    <a:noFill/>
                    <a:ln>
                      <a:noFill/>
                    </a:ln>
                  </pic:spPr>
                </pic:pic>
              </a:graphicData>
            </a:graphic>
          </wp:inline>
        </w:drawing>
      </w:r>
      <w:r>
        <w:rPr>
          <w:rFonts w:hint="eastAsia" w:ascii="Times New Roman" w:hAnsi="Times New Roman"/>
          <w:color w:val="auto"/>
          <w:sz w:val="24"/>
          <w:szCs w:val="24"/>
          <w:highlight w:val="none"/>
        </w:rPr>
        <w:drawing>
          <wp:inline distT="0" distB="0" distL="114300" distR="114300">
            <wp:extent cx="5270500" cy="7325995"/>
            <wp:effectExtent l="0" t="0" r="6350" b="8255"/>
            <wp:docPr id="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pic:cNvPicPr>
                      <a:picLocks noChangeAspect="1"/>
                    </pic:cNvPicPr>
                  </pic:nvPicPr>
                  <pic:blipFill>
                    <a:blip r:embed="rId95"/>
                    <a:stretch>
                      <a:fillRect/>
                    </a:stretch>
                  </pic:blipFill>
                  <pic:spPr>
                    <a:xfrm>
                      <a:off x="0" y="0"/>
                      <a:ext cx="5270500" cy="7325995"/>
                    </a:xfrm>
                    <a:prstGeom prst="rect">
                      <a:avLst/>
                    </a:prstGeom>
                    <a:noFill/>
                    <a:ln>
                      <a:noFill/>
                    </a:ln>
                  </pic:spPr>
                </pic:pic>
              </a:graphicData>
            </a:graphic>
          </wp:inline>
        </w:drawing>
      </w:r>
      <w:r>
        <w:rPr>
          <w:rFonts w:hint="eastAsia" w:ascii="Times New Roman" w:hAnsi="Times New Roman"/>
          <w:color w:val="auto"/>
          <w:sz w:val="24"/>
          <w:szCs w:val="24"/>
          <w:highlight w:val="none"/>
        </w:rPr>
        <w:drawing>
          <wp:inline distT="0" distB="0" distL="114300" distR="114300">
            <wp:extent cx="5269230" cy="7499985"/>
            <wp:effectExtent l="0" t="0" r="7620" b="5715"/>
            <wp:docPr id="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5"/>
                    <pic:cNvPicPr>
                      <a:picLocks noChangeAspect="1"/>
                    </pic:cNvPicPr>
                  </pic:nvPicPr>
                  <pic:blipFill>
                    <a:blip r:embed="rId96"/>
                    <a:stretch>
                      <a:fillRect/>
                    </a:stretch>
                  </pic:blipFill>
                  <pic:spPr>
                    <a:xfrm>
                      <a:off x="0" y="0"/>
                      <a:ext cx="5269230" cy="7499985"/>
                    </a:xfrm>
                    <a:prstGeom prst="rect">
                      <a:avLst/>
                    </a:prstGeom>
                    <a:noFill/>
                    <a:ln>
                      <a:noFill/>
                    </a:ln>
                  </pic:spPr>
                </pic:pic>
              </a:graphicData>
            </a:graphic>
          </wp:inline>
        </w:drawing>
      </w:r>
      <w:r>
        <w:rPr>
          <w:rFonts w:hint="eastAsia" w:ascii="Times New Roman" w:hAnsi="Times New Roman"/>
          <w:color w:val="auto"/>
          <w:sz w:val="24"/>
          <w:szCs w:val="24"/>
          <w:highlight w:val="none"/>
        </w:rPr>
        <w:drawing>
          <wp:inline distT="0" distB="0" distL="114300" distR="114300">
            <wp:extent cx="5270500" cy="7600950"/>
            <wp:effectExtent l="0" t="0" r="6350" b="0"/>
            <wp:docPr id="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6"/>
                    <pic:cNvPicPr>
                      <a:picLocks noChangeAspect="1"/>
                    </pic:cNvPicPr>
                  </pic:nvPicPr>
                  <pic:blipFill>
                    <a:blip r:embed="rId97"/>
                    <a:stretch>
                      <a:fillRect/>
                    </a:stretch>
                  </pic:blipFill>
                  <pic:spPr>
                    <a:xfrm>
                      <a:off x="0" y="0"/>
                      <a:ext cx="5270500" cy="7600950"/>
                    </a:xfrm>
                    <a:prstGeom prst="rect">
                      <a:avLst/>
                    </a:prstGeom>
                    <a:noFill/>
                    <a:ln>
                      <a:noFill/>
                    </a:ln>
                  </pic:spPr>
                </pic:pic>
              </a:graphicData>
            </a:graphic>
          </wp:inline>
        </w:drawing>
      </w:r>
      <w:r>
        <w:rPr>
          <w:rFonts w:hint="eastAsia" w:ascii="Times New Roman" w:hAnsi="Times New Roman"/>
          <w:color w:val="auto"/>
          <w:sz w:val="24"/>
          <w:szCs w:val="24"/>
          <w:highlight w:val="none"/>
        </w:rPr>
        <w:drawing>
          <wp:inline distT="0" distB="0" distL="114300" distR="114300">
            <wp:extent cx="5273675" cy="7422515"/>
            <wp:effectExtent l="0" t="0" r="3175" b="6985"/>
            <wp:docPr id="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7"/>
                    <pic:cNvPicPr>
                      <a:picLocks noChangeAspect="1"/>
                    </pic:cNvPicPr>
                  </pic:nvPicPr>
                  <pic:blipFill>
                    <a:blip r:embed="rId98"/>
                    <a:stretch>
                      <a:fillRect/>
                    </a:stretch>
                  </pic:blipFill>
                  <pic:spPr>
                    <a:xfrm>
                      <a:off x="0" y="0"/>
                      <a:ext cx="5273675" cy="7422515"/>
                    </a:xfrm>
                    <a:prstGeom prst="rect">
                      <a:avLst/>
                    </a:prstGeom>
                    <a:noFill/>
                    <a:ln>
                      <a:noFill/>
                    </a:ln>
                  </pic:spPr>
                </pic:pic>
              </a:graphicData>
            </a:graphic>
          </wp:inline>
        </w:drawing>
      </w:r>
      <w:r>
        <w:rPr>
          <w:rFonts w:hint="eastAsia" w:ascii="Times New Roman" w:hAnsi="Times New Roman"/>
          <w:color w:val="auto"/>
          <w:sz w:val="24"/>
          <w:szCs w:val="24"/>
          <w:highlight w:val="none"/>
        </w:rPr>
        <w:drawing>
          <wp:inline distT="0" distB="0" distL="114300" distR="114300">
            <wp:extent cx="5270500" cy="7466330"/>
            <wp:effectExtent l="0" t="0" r="6350" b="1270"/>
            <wp:docPr id="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8"/>
                    <pic:cNvPicPr>
                      <a:picLocks noChangeAspect="1"/>
                    </pic:cNvPicPr>
                  </pic:nvPicPr>
                  <pic:blipFill>
                    <a:blip r:embed="rId99"/>
                    <a:stretch>
                      <a:fillRect/>
                    </a:stretch>
                  </pic:blipFill>
                  <pic:spPr>
                    <a:xfrm>
                      <a:off x="0" y="0"/>
                      <a:ext cx="5270500" cy="7466330"/>
                    </a:xfrm>
                    <a:prstGeom prst="rect">
                      <a:avLst/>
                    </a:prstGeom>
                    <a:noFill/>
                    <a:ln>
                      <a:noFill/>
                    </a:ln>
                  </pic:spPr>
                </pic:pic>
              </a:graphicData>
            </a:graphic>
          </wp:inline>
        </w:drawing>
      </w:r>
      <w:r>
        <w:rPr>
          <w:rFonts w:ascii="Times New Roman" w:hAnsi="Times New Roman"/>
          <w:color w:val="auto"/>
          <w:sz w:val="24"/>
          <w:szCs w:val="24"/>
          <w:highlight w:val="none"/>
        </w:rPr>
        <w:drawing>
          <wp:inline distT="0" distB="0" distL="114300" distR="114300">
            <wp:extent cx="5269230" cy="7355205"/>
            <wp:effectExtent l="0" t="0" r="7620" b="17145"/>
            <wp:docPr id="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
                    <pic:cNvPicPr>
                      <a:picLocks noChangeAspect="1"/>
                    </pic:cNvPicPr>
                  </pic:nvPicPr>
                  <pic:blipFill>
                    <a:blip r:embed="rId100"/>
                    <a:stretch>
                      <a:fillRect/>
                    </a:stretch>
                  </pic:blipFill>
                  <pic:spPr>
                    <a:xfrm>
                      <a:off x="0" y="0"/>
                      <a:ext cx="5269230" cy="7355205"/>
                    </a:xfrm>
                    <a:prstGeom prst="rect">
                      <a:avLst/>
                    </a:prstGeom>
                    <a:noFill/>
                    <a:ln>
                      <a:noFill/>
                    </a:ln>
                  </pic:spPr>
                </pic:pic>
              </a:graphicData>
            </a:graphic>
          </wp:inline>
        </w:drawing>
      </w:r>
      <w:r>
        <w:rPr>
          <w:rFonts w:ascii="Times New Roman" w:hAnsi="Times New Roman"/>
          <w:color w:val="auto"/>
          <w:sz w:val="24"/>
          <w:szCs w:val="24"/>
          <w:highlight w:val="none"/>
        </w:rPr>
        <w:drawing>
          <wp:inline distT="0" distB="0" distL="114300" distR="114300">
            <wp:extent cx="5271135" cy="7668260"/>
            <wp:effectExtent l="0" t="0" r="5715" b="8890"/>
            <wp:docPr id="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pic:cNvPicPr>
                      <a:picLocks noChangeAspect="1"/>
                    </pic:cNvPicPr>
                  </pic:nvPicPr>
                  <pic:blipFill>
                    <a:blip r:embed="rId101"/>
                    <a:stretch>
                      <a:fillRect/>
                    </a:stretch>
                  </pic:blipFill>
                  <pic:spPr>
                    <a:xfrm>
                      <a:off x="0" y="0"/>
                      <a:ext cx="5271135" cy="7668260"/>
                    </a:xfrm>
                    <a:prstGeom prst="rect">
                      <a:avLst/>
                    </a:prstGeom>
                    <a:noFill/>
                    <a:ln>
                      <a:noFill/>
                    </a:ln>
                  </pic:spPr>
                </pic:pic>
              </a:graphicData>
            </a:graphic>
          </wp:inline>
        </w:drawing>
      </w:r>
    </w:p>
    <w:p w14:paraId="43D78F20">
      <w:pPr>
        <w:pStyle w:val="46"/>
        <w:rPr>
          <w:rFonts w:ascii="Times New Roman" w:hAnsi="Times New Roman"/>
          <w:color w:val="auto"/>
          <w:sz w:val="24"/>
          <w:szCs w:val="24"/>
          <w:highlight w:val="none"/>
        </w:rPr>
      </w:pPr>
    </w:p>
    <w:p w14:paraId="52BC5ABA">
      <w:pPr>
        <w:rPr>
          <w:rFonts w:ascii="Times New Roman" w:hAnsi="Times New Roman"/>
          <w:color w:val="auto"/>
          <w:sz w:val="24"/>
          <w:szCs w:val="24"/>
          <w:highlight w:val="none"/>
        </w:rPr>
      </w:pPr>
    </w:p>
    <w:p w14:paraId="48815127">
      <w:pPr>
        <w:pStyle w:val="46"/>
        <w:rPr>
          <w:rFonts w:hint="default"/>
          <w:color w:val="auto"/>
          <w:highlight w:val="none"/>
          <w:lang w:val="en-US" w:eastAsia="zh-CN"/>
        </w:rPr>
      </w:pPr>
    </w:p>
    <w:p w14:paraId="1BDB99A0">
      <w:pPr>
        <w:pStyle w:val="32"/>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1"/>
          <w:szCs w:val="21"/>
          <w:highlight w:val="none"/>
          <w:lang w:val="en-US" w:eastAsia="zh-CN"/>
        </w:rPr>
      </w:pPr>
      <w:r>
        <w:rPr>
          <w:rFonts w:hint="eastAsia" w:cs="Times New Roman"/>
          <w:color w:val="auto"/>
          <w:sz w:val="21"/>
          <w:szCs w:val="21"/>
          <w:highlight w:val="none"/>
          <w:lang w:val="en-US" w:eastAsia="zh-CN"/>
        </w:rPr>
        <w:t>附件11</w:t>
      </w:r>
      <w:r>
        <w:rPr>
          <w:rFonts w:hint="default" w:ascii="Times New Roman" w:hAnsi="Times New Roman" w:eastAsia="宋体" w:cs="Times New Roman"/>
          <w:color w:val="auto"/>
          <w:sz w:val="21"/>
          <w:szCs w:val="21"/>
          <w:highlight w:val="none"/>
        </w:rPr>
        <w:t>生物质成型</w:t>
      </w:r>
      <w:r>
        <w:rPr>
          <w:rFonts w:hint="default" w:ascii="Times New Roman" w:hAnsi="Times New Roman" w:eastAsia="宋体" w:cs="Times New Roman"/>
          <w:color w:val="auto"/>
          <w:sz w:val="21"/>
          <w:szCs w:val="21"/>
          <w:highlight w:val="none"/>
          <w:lang w:val="en-US" w:eastAsia="zh-CN"/>
        </w:rPr>
        <w:t>燃料</w:t>
      </w:r>
      <w:r>
        <w:rPr>
          <w:rFonts w:hint="default" w:ascii="Times New Roman" w:hAnsi="Times New Roman" w:eastAsia="宋体" w:cs="Times New Roman"/>
          <w:color w:val="auto"/>
          <w:sz w:val="21"/>
          <w:szCs w:val="21"/>
          <w:highlight w:val="none"/>
        </w:rPr>
        <w:t>分析报告</w:t>
      </w:r>
    </w:p>
    <w:p w14:paraId="596D46A2">
      <w:pPr>
        <w:pStyle w:val="50"/>
        <w:rPr>
          <w:rFonts w:hint="default" w:ascii="Times New Roman" w:hAnsi="Times New Roman" w:cs="Times New Roman"/>
          <w:b/>
          <w:bCs/>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615305" cy="6878955"/>
            <wp:effectExtent l="0" t="0" r="4445" b="17145"/>
            <wp:docPr id="53" name="图片 20" descr="生物质分析报告6.2 64.65 0.02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 descr="生物质分析报告6.2 64.65 0.02 16.77"/>
                    <pic:cNvPicPr>
                      <a:picLocks noChangeAspect="1"/>
                    </pic:cNvPicPr>
                  </pic:nvPicPr>
                  <pic:blipFill>
                    <a:blip r:embed="rId102"/>
                    <a:stretch>
                      <a:fillRect/>
                    </a:stretch>
                  </pic:blipFill>
                  <pic:spPr>
                    <a:xfrm>
                      <a:off x="0" y="0"/>
                      <a:ext cx="5615305" cy="6878955"/>
                    </a:xfrm>
                    <a:prstGeom prst="rect">
                      <a:avLst/>
                    </a:prstGeom>
                    <a:noFill/>
                    <a:ln>
                      <a:noFill/>
                    </a:ln>
                  </pic:spPr>
                </pic:pic>
              </a:graphicData>
            </a:graphic>
          </wp:inline>
        </w:drawing>
      </w:r>
    </w:p>
    <w:p w14:paraId="30112BE9">
      <w:pPr>
        <w:pStyle w:val="2"/>
        <w:spacing w:line="260" w:lineRule="auto"/>
        <w:ind w:left="0" w:firstLine="0"/>
        <w:rPr>
          <w:rFonts w:hint="default" w:ascii="Times New Roman" w:hAnsi="Times New Roman" w:eastAsia="宋体" w:cs="Times New Roman"/>
          <w:color w:val="auto"/>
          <w:sz w:val="21"/>
          <w:szCs w:val="21"/>
          <w:highlight w:val="none"/>
        </w:rPr>
      </w:pPr>
    </w:p>
    <w:p w14:paraId="1067E472">
      <w:pPr>
        <w:rPr>
          <w:rFonts w:hint="default"/>
          <w:color w:val="auto"/>
          <w:highlight w:val="none"/>
        </w:rPr>
      </w:pPr>
    </w:p>
    <w:p w14:paraId="66784FBF">
      <w:pPr>
        <w:rPr>
          <w:rFonts w:hint="default"/>
          <w:color w:val="auto"/>
          <w:highlight w:val="none"/>
        </w:rPr>
      </w:pPr>
    </w:p>
    <w:p w14:paraId="33CE84E5">
      <w:pPr>
        <w:rPr>
          <w:rFonts w:hint="default"/>
          <w:color w:val="auto"/>
          <w:highlight w:val="none"/>
        </w:rPr>
      </w:pPr>
    </w:p>
    <w:p w14:paraId="4DAE1E2D">
      <w:pPr>
        <w:pStyle w:val="2"/>
        <w:spacing w:line="260" w:lineRule="auto"/>
        <w:ind w:left="0" w:firstLine="0"/>
        <w:rPr>
          <w:rFonts w:hint="default" w:ascii="Times New Roman" w:hAnsi="Times New Roman" w:eastAsia="黑体" w:cs="Times New Roman"/>
          <w:color w:val="auto"/>
          <w:highlight w:val="none"/>
          <w:lang w:val="en-US" w:eastAsia="zh-CN"/>
        </w:rPr>
      </w:pPr>
      <w:r>
        <w:rPr>
          <w:rFonts w:hint="default" w:ascii="Times New Roman" w:hAnsi="Times New Roman" w:eastAsia="宋体" w:cs="Times New Roman"/>
          <w:color w:val="auto"/>
          <w:sz w:val="21"/>
          <w:szCs w:val="21"/>
          <w:highlight w:val="none"/>
        </w:rPr>
        <w:t>附件</w:t>
      </w:r>
      <w:r>
        <w:rPr>
          <w:rFonts w:hint="eastAsia" w:eastAsia="宋体" w:cs="Times New Roman"/>
          <w:color w:val="auto"/>
          <w:sz w:val="21"/>
          <w:szCs w:val="21"/>
          <w:highlight w:val="none"/>
          <w:lang w:val="en-US" w:eastAsia="zh-CN"/>
        </w:rPr>
        <w:t>12核定排放量计算说明</w:t>
      </w:r>
    </w:p>
    <w:p w14:paraId="7CBEEC88">
      <w:pPr>
        <w:numPr>
          <w:ilvl w:val="0"/>
          <w:numId w:val="9"/>
        </w:num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废气排放总量</w:t>
      </w:r>
    </w:p>
    <w:p w14:paraId="4B62F75E">
      <w:pPr>
        <w:widowControl/>
        <w:spacing w:line="360" w:lineRule="auto"/>
        <w:ind w:firstLine="422" w:firstLineChars="200"/>
        <w:rPr>
          <w:rFonts w:hint="default" w:ascii="Times New Roman" w:hAnsi="Times New Roman" w:eastAsia="宋体" w:cs="Times New Roman"/>
          <w:b/>
          <w:bCs/>
          <w:color w:val="auto"/>
          <w:szCs w:val="21"/>
          <w:highlight w:val="none"/>
        </w:rPr>
      </w:pPr>
      <w:bookmarkStart w:id="17" w:name="_Toc219"/>
      <w:r>
        <w:rPr>
          <w:rFonts w:hint="eastAsia" w:ascii="宋体" w:hAnsi="宋体" w:cs="宋体"/>
          <w:b/>
          <w:bCs/>
          <w:color w:val="auto"/>
          <w:sz w:val="21"/>
          <w:szCs w:val="21"/>
          <w:highlight w:val="none"/>
        </w:rPr>
        <w:t>1、</w:t>
      </w:r>
      <w:r>
        <w:rPr>
          <w:rFonts w:hint="default" w:ascii="Times New Roman" w:hAnsi="Times New Roman" w:eastAsia="宋体" w:cs="Times New Roman"/>
          <w:b/>
          <w:bCs/>
          <w:color w:val="auto"/>
          <w:szCs w:val="21"/>
          <w:highlight w:val="none"/>
        </w:rPr>
        <w:t>锅炉烟气</w:t>
      </w:r>
    </w:p>
    <w:p w14:paraId="317E8B33">
      <w:pPr>
        <w:spacing w:line="240" w:lineRule="auto"/>
        <w:jc w:val="center"/>
        <w:rPr>
          <w:b/>
          <w:color w:val="auto"/>
          <w:szCs w:val="21"/>
          <w:highlight w:val="none"/>
        </w:rPr>
      </w:pPr>
      <w:r>
        <w:rPr>
          <w:rFonts w:hint="eastAsia"/>
          <w:b/>
          <w:color w:val="auto"/>
          <w:szCs w:val="21"/>
          <w:highlight w:val="none"/>
        </w:rPr>
        <w:t>表</w:t>
      </w:r>
      <w:r>
        <w:rPr>
          <w:b/>
          <w:color w:val="auto"/>
          <w:szCs w:val="21"/>
          <w:highlight w:val="none"/>
        </w:rPr>
        <w:t xml:space="preserve">1 </w:t>
      </w:r>
      <w:r>
        <w:rPr>
          <w:rFonts w:hint="eastAsia"/>
          <w:b/>
          <w:color w:val="auto"/>
          <w:szCs w:val="21"/>
          <w:highlight w:val="none"/>
        </w:rPr>
        <w:t>基准烟气量取值表</w:t>
      </w:r>
    </w:p>
    <w:tbl>
      <w:tblPr>
        <w:tblStyle w:val="3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2249"/>
        <w:gridCol w:w="1502"/>
        <w:gridCol w:w="2698"/>
        <w:gridCol w:w="1199"/>
      </w:tblGrid>
      <w:tr w14:paraId="5CF003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0" w:type="pct"/>
            <w:gridSpan w:val="3"/>
            <w:tcBorders>
              <w:bottom w:val="single" w:color="auto" w:sz="4" w:space="0"/>
              <w:right w:val="single" w:color="auto" w:sz="4" w:space="0"/>
            </w:tcBorders>
            <w:noWrap w:val="0"/>
            <w:vAlign w:val="center"/>
          </w:tcPr>
          <w:p w14:paraId="17C6F3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锅炉</w:t>
            </w:r>
          </w:p>
        </w:tc>
        <w:tc>
          <w:tcPr>
            <w:tcW w:w="1557" w:type="pct"/>
            <w:tcBorders>
              <w:left w:val="single" w:color="auto" w:sz="4" w:space="0"/>
              <w:bottom w:val="single" w:color="auto" w:sz="4" w:space="0"/>
              <w:right w:val="single" w:color="auto" w:sz="4" w:space="0"/>
            </w:tcBorders>
            <w:noWrap w:val="0"/>
            <w:vAlign w:val="center"/>
          </w:tcPr>
          <w:p w14:paraId="3D2657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基准烟气量</w:t>
            </w:r>
          </w:p>
        </w:tc>
        <w:tc>
          <w:tcPr>
            <w:tcW w:w="692" w:type="pct"/>
            <w:tcBorders>
              <w:left w:val="single" w:color="auto" w:sz="4" w:space="0"/>
              <w:bottom w:val="single" w:color="auto" w:sz="4" w:space="0"/>
            </w:tcBorders>
            <w:noWrap w:val="0"/>
            <w:vAlign w:val="center"/>
          </w:tcPr>
          <w:p w14:paraId="14FBA0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单位</w:t>
            </w:r>
          </w:p>
        </w:tc>
      </w:tr>
      <w:tr w14:paraId="2035F6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restart"/>
            <w:tcBorders>
              <w:top w:val="single" w:color="auto" w:sz="4" w:space="0"/>
              <w:bottom w:val="single" w:color="auto" w:sz="4" w:space="0"/>
              <w:right w:val="single" w:color="auto" w:sz="4" w:space="0"/>
            </w:tcBorders>
            <w:noWrap w:val="0"/>
            <w:vAlign w:val="center"/>
          </w:tcPr>
          <w:p w14:paraId="69E7F7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燃煤锅炉</w:t>
            </w:r>
          </w:p>
        </w:tc>
        <w:tc>
          <w:tcPr>
            <w:tcW w:w="1298" w:type="pct"/>
            <w:vMerge w:val="restart"/>
            <w:tcBorders>
              <w:top w:val="single" w:color="auto" w:sz="4" w:space="0"/>
              <w:left w:val="single" w:color="auto" w:sz="4" w:space="0"/>
              <w:bottom w:val="single" w:color="auto" w:sz="4" w:space="0"/>
              <w:right w:val="single" w:color="auto" w:sz="4" w:space="0"/>
            </w:tcBorders>
            <w:noWrap w:val="0"/>
            <w:vAlign w:val="center"/>
          </w:tcPr>
          <w:p w14:paraId="2093BE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Q</w:t>
            </w:r>
            <w:r>
              <w:rPr>
                <w:rFonts w:hint="default" w:ascii="Times New Roman" w:hAnsi="Times New Roman" w:eastAsia="宋体" w:cs="Times New Roman"/>
                <w:color w:val="auto"/>
                <w:sz w:val="18"/>
                <w:szCs w:val="18"/>
                <w:highlight w:val="none"/>
                <w:vertAlign w:val="subscript"/>
              </w:rPr>
              <w:t>net</w:t>
            </w:r>
            <w:r>
              <w:rPr>
                <w:rFonts w:hint="eastAsia" w:cs="Times New Roman"/>
                <w:color w:val="auto"/>
                <w:sz w:val="18"/>
                <w:szCs w:val="18"/>
                <w:highlight w:val="none"/>
                <w:vertAlign w:val="subscript"/>
                <w:lang w:eastAsia="zh-CN"/>
              </w:rPr>
              <w:t xml:space="preserve">, </w:t>
            </w:r>
            <w:r>
              <w:rPr>
                <w:rFonts w:hint="default" w:ascii="Times New Roman" w:hAnsi="Times New Roman" w:eastAsia="宋体" w:cs="Times New Roman"/>
                <w:color w:val="auto"/>
                <w:sz w:val="18"/>
                <w:szCs w:val="18"/>
                <w:highlight w:val="none"/>
                <w:vertAlign w:val="subscript"/>
              </w:rPr>
              <w:t>ar</w:t>
            </w:r>
            <w:r>
              <w:rPr>
                <w:rFonts w:hint="default" w:ascii="Times New Roman" w:hAnsi="Times New Roman" w:eastAsia="宋体" w:cs="Times New Roman"/>
                <w:color w:val="auto"/>
                <w:sz w:val="18"/>
                <w:szCs w:val="18"/>
                <w:highlight w:val="none"/>
              </w:rPr>
              <w:t>≥12.54MJ/kg</w:t>
            </w:r>
          </w:p>
        </w:tc>
        <w:tc>
          <w:tcPr>
            <w:tcW w:w="866" w:type="pct"/>
            <w:tcBorders>
              <w:top w:val="single" w:color="auto" w:sz="4" w:space="0"/>
              <w:left w:val="single" w:color="auto" w:sz="4" w:space="0"/>
              <w:bottom w:val="single" w:color="auto" w:sz="4" w:space="0"/>
              <w:right w:val="single" w:color="auto" w:sz="4" w:space="0"/>
            </w:tcBorders>
            <w:noWrap w:val="0"/>
            <w:vAlign w:val="center"/>
          </w:tcPr>
          <w:p w14:paraId="502843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daf</w:t>
            </w:r>
            <w:r>
              <w:rPr>
                <w:rFonts w:hint="default" w:ascii="Times New Roman" w:hAnsi="Times New Roman" w:eastAsia="宋体" w:cs="Times New Roman"/>
                <w:color w:val="auto"/>
                <w:sz w:val="18"/>
                <w:szCs w:val="18"/>
                <w:highlight w:val="none"/>
              </w:rPr>
              <w:t>≥15%</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5B65D3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=0.411Q</w:t>
            </w:r>
            <w:r>
              <w:rPr>
                <w:rFonts w:hint="default" w:ascii="Times New Roman" w:hAnsi="Times New Roman" w:eastAsia="宋体" w:cs="Times New Roman"/>
                <w:color w:val="auto"/>
                <w:sz w:val="18"/>
                <w:szCs w:val="18"/>
                <w:highlight w:val="none"/>
                <w:vertAlign w:val="subscript"/>
              </w:rPr>
              <w:t>net，ar</w:t>
            </w:r>
            <w:r>
              <w:rPr>
                <w:rFonts w:hint="default" w:ascii="Times New Roman" w:hAnsi="Times New Roman" w:eastAsia="宋体" w:cs="Times New Roman"/>
                <w:color w:val="auto"/>
                <w:sz w:val="18"/>
                <w:szCs w:val="18"/>
                <w:highlight w:val="none"/>
              </w:rPr>
              <w:t>+0.918</w:t>
            </w:r>
          </w:p>
        </w:tc>
        <w:tc>
          <w:tcPr>
            <w:tcW w:w="692" w:type="pct"/>
            <w:tcBorders>
              <w:top w:val="single" w:color="auto" w:sz="4" w:space="0"/>
              <w:left w:val="single" w:color="auto" w:sz="4" w:space="0"/>
              <w:bottom w:val="single" w:color="auto" w:sz="4" w:space="0"/>
            </w:tcBorders>
            <w:noWrap w:val="0"/>
            <w:vAlign w:val="center"/>
          </w:tcPr>
          <w:p w14:paraId="153BAA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/kg</w:t>
            </w:r>
          </w:p>
        </w:tc>
      </w:tr>
      <w:tr w14:paraId="6E3BB9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continue"/>
            <w:tcBorders>
              <w:top w:val="single" w:color="auto" w:sz="4" w:space="0"/>
              <w:bottom w:val="single" w:color="auto" w:sz="4" w:space="0"/>
              <w:right w:val="single" w:color="auto" w:sz="4" w:space="0"/>
            </w:tcBorders>
            <w:noWrap w:val="0"/>
            <w:vAlign w:val="center"/>
          </w:tcPr>
          <w:p w14:paraId="6695C3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1298" w:type="pct"/>
            <w:vMerge w:val="continue"/>
            <w:tcBorders>
              <w:top w:val="single" w:color="auto" w:sz="4" w:space="0"/>
              <w:left w:val="single" w:color="auto" w:sz="4" w:space="0"/>
              <w:bottom w:val="single" w:color="auto" w:sz="4" w:space="0"/>
              <w:right w:val="single" w:color="auto" w:sz="4" w:space="0"/>
            </w:tcBorders>
            <w:noWrap w:val="0"/>
            <w:vAlign w:val="center"/>
          </w:tcPr>
          <w:p w14:paraId="30AB37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866" w:type="pct"/>
            <w:tcBorders>
              <w:top w:val="single" w:color="auto" w:sz="4" w:space="0"/>
              <w:left w:val="single" w:color="auto" w:sz="4" w:space="0"/>
              <w:bottom w:val="single" w:color="auto" w:sz="4" w:space="0"/>
              <w:right w:val="single" w:color="auto" w:sz="4" w:space="0"/>
            </w:tcBorders>
            <w:noWrap w:val="0"/>
            <w:vAlign w:val="center"/>
          </w:tcPr>
          <w:p w14:paraId="0A6201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daf</w:t>
            </w:r>
            <w:r>
              <w:rPr>
                <w:rFonts w:hint="default" w:ascii="Times New Roman" w:hAnsi="Times New Roman" w:eastAsia="宋体" w:cs="Times New Roman"/>
                <w:color w:val="auto"/>
                <w:sz w:val="18"/>
                <w:szCs w:val="18"/>
                <w:highlight w:val="none"/>
              </w:rPr>
              <w:t>＜15%</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401F54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=0.406Q</w:t>
            </w:r>
            <w:r>
              <w:rPr>
                <w:rFonts w:hint="default" w:ascii="Times New Roman" w:hAnsi="Times New Roman" w:eastAsia="宋体" w:cs="Times New Roman"/>
                <w:color w:val="auto"/>
                <w:sz w:val="18"/>
                <w:szCs w:val="18"/>
                <w:highlight w:val="none"/>
                <w:vertAlign w:val="subscript"/>
              </w:rPr>
              <w:t>net，ar</w:t>
            </w:r>
            <w:r>
              <w:rPr>
                <w:rFonts w:hint="default" w:ascii="Times New Roman" w:hAnsi="Times New Roman" w:eastAsia="宋体" w:cs="Times New Roman"/>
                <w:color w:val="auto"/>
                <w:sz w:val="18"/>
                <w:szCs w:val="18"/>
                <w:highlight w:val="none"/>
              </w:rPr>
              <w:t>+1.157</w:t>
            </w:r>
          </w:p>
        </w:tc>
        <w:tc>
          <w:tcPr>
            <w:tcW w:w="692" w:type="pct"/>
            <w:tcBorders>
              <w:top w:val="single" w:color="auto" w:sz="4" w:space="0"/>
              <w:left w:val="single" w:color="auto" w:sz="4" w:space="0"/>
              <w:bottom w:val="single" w:color="auto" w:sz="4" w:space="0"/>
            </w:tcBorders>
            <w:noWrap w:val="0"/>
            <w:vAlign w:val="center"/>
          </w:tcPr>
          <w:p w14:paraId="569D38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/kg</w:t>
            </w:r>
          </w:p>
        </w:tc>
      </w:tr>
      <w:tr w14:paraId="5411BF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continue"/>
            <w:tcBorders>
              <w:top w:val="single" w:color="auto" w:sz="4" w:space="0"/>
              <w:bottom w:val="single" w:color="auto" w:sz="4" w:space="0"/>
              <w:right w:val="single" w:color="auto" w:sz="4" w:space="0"/>
            </w:tcBorders>
            <w:noWrap w:val="0"/>
            <w:vAlign w:val="center"/>
          </w:tcPr>
          <w:p w14:paraId="4A6C78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2165" w:type="pct"/>
            <w:gridSpan w:val="2"/>
            <w:tcBorders>
              <w:top w:val="single" w:color="auto" w:sz="4" w:space="0"/>
              <w:left w:val="single" w:color="auto" w:sz="4" w:space="0"/>
              <w:bottom w:val="single" w:color="auto" w:sz="4" w:space="0"/>
              <w:right w:val="single" w:color="auto" w:sz="4" w:space="0"/>
            </w:tcBorders>
            <w:noWrap w:val="0"/>
            <w:vAlign w:val="center"/>
          </w:tcPr>
          <w:p w14:paraId="507CF8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Qnet，ar</w:t>
            </w:r>
            <w:r>
              <w:rPr>
                <w:rFonts w:hint="eastAsia" w:cs="Times New Roman"/>
                <w:color w:val="auto"/>
                <w:sz w:val="18"/>
                <w:szCs w:val="18"/>
                <w:highlight w:val="none"/>
                <w:lang w:eastAsia="zh-CN"/>
              </w:rPr>
              <w:t>&lt;</w:t>
            </w:r>
            <w:r>
              <w:rPr>
                <w:rFonts w:hint="default" w:ascii="Times New Roman" w:hAnsi="Times New Roman" w:eastAsia="宋体" w:cs="Times New Roman"/>
                <w:color w:val="auto"/>
                <w:sz w:val="18"/>
                <w:szCs w:val="18"/>
                <w:highlight w:val="none"/>
              </w:rPr>
              <w:t>12.54MJ/kg</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57DDE7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=0.402Q</w:t>
            </w:r>
            <w:r>
              <w:rPr>
                <w:rFonts w:hint="default" w:ascii="Times New Roman" w:hAnsi="Times New Roman" w:eastAsia="宋体" w:cs="Times New Roman"/>
                <w:color w:val="auto"/>
                <w:sz w:val="18"/>
                <w:szCs w:val="18"/>
                <w:highlight w:val="none"/>
                <w:vertAlign w:val="subscript"/>
              </w:rPr>
              <w:t>net，ar</w:t>
            </w:r>
            <w:r>
              <w:rPr>
                <w:rFonts w:hint="default" w:ascii="Times New Roman" w:hAnsi="Times New Roman" w:eastAsia="宋体" w:cs="Times New Roman"/>
                <w:color w:val="auto"/>
                <w:sz w:val="18"/>
                <w:szCs w:val="18"/>
                <w:highlight w:val="none"/>
              </w:rPr>
              <w:t>+0.822</w:t>
            </w:r>
          </w:p>
        </w:tc>
        <w:tc>
          <w:tcPr>
            <w:tcW w:w="692" w:type="pct"/>
            <w:tcBorders>
              <w:top w:val="single" w:color="auto" w:sz="4" w:space="0"/>
              <w:left w:val="single" w:color="auto" w:sz="4" w:space="0"/>
              <w:bottom w:val="single" w:color="auto" w:sz="4" w:space="0"/>
            </w:tcBorders>
            <w:noWrap w:val="0"/>
            <w:vAlign w:val="center"/>
          </w:tcPr>
          <w:p w14:paraId="5EEF1D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/kg</w:t>
            </w:r>
          </w:p>
        </w:tc>
      </w:tr>
      <w:tr w14:paraId="54AEE0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0" w:type="pct"/>
            <w:gridSpan w:val="3"/>
            <w:tcBorders>
              <w:top w:val="single" w:color="auto" w:sz="4" w:space="0"/>
              <w:bottom w:val="single" w:color="auto" w:sz="4" w:space="0"/>
              <w:right w:val="single" w:color="auto" w:sz="4" w:space="0"/>
            </w:tcBorders>
            <w:noWrap w:val="0"/>
            <w:vAlign w:val="center"/>
          </w:tcPr>
          <w:p w14:paraId="78C6D5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燃油锅炉</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14CE53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=0.29Q</w:t>
            </w:r>
            <w:r>
              <w:rPr>
                <w:rFonts w:hint="default" w:ascii="Times New Roman" w:hAnsi="Times New Roman" w:eastAsia="宋体" w:cs="Times New Roman"/>
                <w:color w:val="auto"/>
                <w:sz w:val="18"/>
                <w:szCs w:val="18"/>
                <w:highlight w:val="none"/>
                <w:vertAlign w:val="subscript"/>
              </w:rPr>
              <w:t>net，ar</w:t>
            </w:r>
            <w:r>
              <w:rPr>
                <w:rFonts w:hint="default" w:ascii="Times New Roman" w:hAnsi="Times New Roman" w:eastAsia="宋体" w:cs="Times New Roman"/>
                <w:color w:val="auto"/>
                <w:sz w:val="18"/>
                <w:szCs w:val="18"/>
                <w:highlight w:val="none"/>
              </w:rPr>
              <w:t>+0.379</w:t>
            </w:r>
          </w:p>
        </w:tc>
        <w:tc>
          <w:tcPr>
            <w:tcW w:w="692" w:type="pct"/>
            <w:tcBorders>
              <w:top w:val="single" w:color="auto" w:sz="4" w:space="0"/>
              <w:left w:val="single" w:color="auto" w:sz="4" w:space="0"/>
              <w:bottom w:val="single" w:color="auto" w:sz="4" w:space="0"/>
            </w:tcBorders>
            <w:noWrap w:val="0"/>
            <w:vAlign w:val="center"/>
          </w:tcPr>
          <w:p w14:paraId="09D9A2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/kg</w:t>
            </w:r>
          </w:p>
        </w:tc>
      </w:tr>
      <w:tr w14:paraId="3292F3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restart"/>
            <w:tcBorders>
              <w:top w:val="single" w:color="auto" w:sz="4" w:space="0"/>
              <w:bottom w:val="single" w:color="auto" w:sz="4" w:space="0"/>
              <w:right w:val="single" w:color="auto" w:sz="4" w:space="0"/>
            </w:tcBorders>
            <w:noWrap w:val="0"/>
            <w:vAlign w:val="center"/>
          </w:tcPr>
          <w:p w14:paraId="2E2875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燃气锅炉</w:t>
            </w:r>
          </w:p>
        </w:tc>
        <w:tc>
          <w:tcPr>
            <w:tcW w:w="2165" w:type="pct"/>
            <w:gridSpan w:val="2"/>
            <w:tcBorders>
              <w:top w:val="single" w:color="auto" w:sz="4" w:space="0"/>
              <w:left w:val="single" w:color="auto" w:sz="4" w:space="0"/>
              <w:bottom w:val="single" w:color="auto" w:sz="4" w:space="0"/>
              <w:right w:val="single" w:color="auto" w:sz="4" w:space="0"/>
            </w:tcBorders>
            <w:noWrap w:val="0"/>
            <w:vAlign w:val="center"/>
          </w:tcPr>
          <w:p w14:paraId="7C14CF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天然气</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242A7E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=0.285Q</w:t>
            </w:r>
            <w:r>
              <w:rPr>
                <w:rFonts w:hint="default" w:ascii="Times New Roman" w:hAnsi="Times New Roman" w:eastAsia="宋体" w:cs="Times New Roman"/>
                <w:color w:val="auto"/>
                <w:sz w:val="18"/>
                <w:szCs w:val="18"/>
                <w:highlight w:val="none"/>
                <w:vertAlign w:val="subscript"/>
              </w:rPr>
              <w:t>net</w:t>
            </w:r>
            <w:r>
              <w:rPr>
                <w:rFonts w:hint="default" w:ascii="Times New Roman" w:hAnsi="Times New Roman" w:eastAsia="宋体" w:cs="Times New Roman"/>
                <w:color w:val="auto"/>
                <w:sz w:val="18"/>
                <w:szCs w:val="18"/>
                <w:highlight w:val="none"/>
              </w:rPr>
              <w:t>+0.343</w:t>
            </w:r>
          </w:p>
        </w:tc>
        <w:tc>
          <w:tcPr>
            <w:tcW w:w="692" w:type="pct"/>
            <w:tcBorders>
              <w:top w:val="single" w:color="auto" w:sz="4" w:space="0"/>
              <w:left w:val="single" w:color="auto" w:sz="4" w:space="0"/>
              <w:bottom w:val="single" w:color="auto" w:sz="4" w:space="0"/>
            </w:tcBorders>
            <w:noWrap w:val="0"/>
            <w:vAlign w:val="center"/>
          </w:tcPr>
          <w:p w14:paraId="7A8FBE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p>
        </w:tc>
      </w:tr>
      <w:tr w14:paraId="1196C8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continue"/>
            <w:tcBorders>
              <w:top w:val="single" w:color="auto" w:sz="4" w:space="0"/>
              <w:bottom w:val="single" w:color="auto" w:sz="4" w:space="0"/>
              <w:right w:val="single" w:color="auto" w:sz="4" w:space="0"/>
            </w:tcBorders>
            <w:noWrap w:val="0"/>
            <w:vAlign w:val="center"/>
          </w:tcPr>
          <w:p w14:paraId="6F2885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2165" w:type="pct"/>
            <w:gridSpan w:val="2"/>
            <w:tcBorders>
              <w:top w:val="single" w:color="auto" w:sz="4" w:space="0"/>
              <w:left w:val="single" w:color="auto" w:sz="4" w:space="0"/>
              <w:bottom w:val="single" w:color="auto" w:sz="4" w:space="0"/>
              <w:right w:val="single" w:color="auto" w:sz="4" w:space="0"/>
            </w:tcBorders>
            <w:noWrap w:val="0"/>
            <w:vAlign w:val="center"/>
          </w:tcPr>
          <w:p w14:paraId="453CA2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高炉煤气</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2EC788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=0.194Q</w:t>
            </w:r>
            <w:r>
              <w:rPr>
                <w:rFonts w:hint="default" w:ascii="Times New Roman" w:hAnsi="Times New Roman" w:eastAsia="宋体" w:cs="Times New Roman"/>
                <w:color w:val="auto"/>
                <w:sz w:val="18"/>
                <w:szCs w:val="18"/>
                <w:highlight w:val="none"/>
                <w:vertAlign w:val="subscript"/>
              </w:rPr>
              <w:t>net</w:t>
            </w:r>
            <w:r>
              <w:rPr>
                <w:rFonts w:hint="default" w:ascii="Times New Roman" w:hAnsi="Times New Roman" w:eastAsia="宋体" w:cs="Times New Roman"/>
                <w:color w:val="auto"/>
                <w:sz w:val="18"/>
                <w:szCs w:val="18"/>
                <w:highlight w:val="none"/>
              </w:rPr>
              <w:t>+0.946</w:t>
            </w:r>
          </w:p>
        </w:tc>
        <w:tc>
          <w:tcPr>
            <w:tcW w:w="692" w:type="pct"/>
            <w:tcBorders>
              <w:top w:val="single" w:color="auto" w:sz="4" w:space="0"/>
              <w:left w:val="single" w:color="auto" w:sz="4" w:space="0"/>
              <w:bottom w:val="single" w:color="auto" w:sz="4" w:space="0"/>
            </w:tcBorders>
            <w:noWrap w:val="0"/>
            <w:vAlign w:val="center"/>
          </w:tcPr>
          <w:p w14:paraId="3F01CB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p>
        </w:tc>
      </w:tr>
      <w:tr w14:paraId="08AFE7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continue"/>
            <w:tcBorders>
              <w:top w:val="single" w:color="auto" w:sz="4" w:space="0"/>
              <w:bottom w:val="single" w:color="auto" w:sz="4" w:space="0"/>
              <w:right w:val="single" w:color="auto" w:sz="4" w:space="0"/>
            </w:tcBorders>
            <w:noWrap w:val="0"/>
            <w:vAlign w:val="center"/>
          </w:tcPr>
          <w:p w14:paraId="6F61BB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2165" w:type="pct"/>
            <w:gridSpan w:val="2"/>
            <w:tcBorders>
              <w:top w:val="single" w:color="auto" w:sz="4" w:space="0"/>
              <w:left w:val="single" w:color="auto" w:sz="4" w:space="0"/>
              <w:bottom w:val="single" w:color="auto" w:sz="4" w:space="0"/>
              <w:right w:val="single" w:color="auto" w:sz="4" w:space="0"/>
            </w:tcBorders>
            <w:noWrap w:val="0"/>
            <w:vAlign w:val="center"/>
          </w:tcPr>
          <w:p w14:paraId="4085D0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转炉煤气</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53EF12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=0.19Q</w:t>
            </w:r>
            <w:r>
              <w:rPr>
                <w:rFonts w:hint="default" w:ascii="Times New Roman" w:hAnsi="Times New Roman" w:eastAsia="宋体" w:cs="Times New Roman"/>
                <w:color w:val="auto"/>
                <w:sz w:val="18"/>
                <w:szCs w:val="18"/>
                <w:highlight w:val="none"/>
                <w:vertAlign w:val="subscript"/>
              </w:rPr>
              <w:t>net</w:t>
            </w:r>
            <w:r>
              <w:rPr>
                <w:rFonts w:hint="default" w:ascii="Times New Roman" w:hAnsi="Times New Roman" w:eastAsia="宋体" w:cs="Times New Roman"/>
                <w:color w:val="auto"/>
                <w:sz w:val="18"/>
                <w:szCs w:val="18"/>
                <w:highlight w:val="none"/>
              </w:rPr>
              <w:t>+0.926</w:t>
            </w:r>
          </w:p>
        </w:tc>
        <w:tc>
          <w:tcPr>
            <w:tcW w:w="692" w:type="pct"/>
            <w:tcBorders>
              <w:top w:val="single" w:color="auto" w:sz="4" w:space="0"/>
              <w:left w:val="single" w:color="auto" w:sz="4" w:space="0"/>
              <w:bottom w:val="single" w:color="auto" w:sz="4" w:space="0"/>
            </w:tcBorders>
            <w:noWrap w:val="0"/>
            <w:vAlign w:val="center"/>
          </w:tcPr>
          <w:p w14:paraId="1CE5E4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p>
        </w:tc>
      </w:tr>
      <w:tr w14:paraId="2A5381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continue"/>
            <w:tcBorders>
              <w:top w:val="single" w:color="auto" w:sz="4" w:space="0"/>
              <w:bottom w:val="single" w:color="auto" w:sz="4" w:space="0"/>
              <w:right w:val="single" w:color="auto" w:sz="4" w:space="0"/>
            </w:tcBorders>
            <w:noWrap w:val="0"/>
            <w:vAlign w:val="center"/>
          </w:tcPr>
          <w:p w14:paraId="32C578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2165" w:type="pct"/>
            <w:gridSpan w:val="2"/>
            <w:tcBorders>
              <w:top w:val="single" w:color="auto" w:sz="4" w:space="0"/>
              <w:left w:val="single" w:color="auto" w:sz="4" w:space="0"/>
              <w:bottom w:val="single" w:color="auto" w:sz="4" w:space="0"/>
              <w:right w:val="single" w:color="auto" w:sz="4" w:space="0"/>
            </w:tcBorders>
            <w:noWrap w:val="0"/>
            <w:vAlign w:val="center"/>
          </w:tcPr>
          <w:p w14:paraId="446B06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焦炉煤气</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170590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=0.265Q</w:t>
            </w:r>
            <w:r>
              <w:rPr>
                <w:rFonts w:hint="default" w:ascii="Times New Roman" w:hAnsi="Times New Roman" w:eastAsia="宋体" w:cs="Times New Roman"/>
                <w:color w:val="auto"/>
                <w:sz w:val="18"/>
                <w:szCs w:val="18"/>
                <w:highlight w:val="none"/>
                <w:vertAlign w:val="subscript"/>
              </w:rPr>
              <w:t>net</w:t>
            </w:r>
            <w:r>
              <w:rPr>
                <w:rFonts w:hint="default" w:ascii="Times New Roman" w:hAnsi="Times New Roman" w:eastAsia="宋体" w:cs="Times New Roman"/>
                <w:color w:val="auto"/>
                <w:sz w:val="18"/>
                <w:szCs w:val="18"/>
                <w:highlight w:val="none"/>
              </w:rPr>
              <w:t>+0.114</w:t>
            </w:r>
          </w:p>
        </w:tc>
        <w:tc>
          <w:tcPr>
            <w:tcW w:w="692" w:type="pct"/>
            <w:tcBorders>
              <w:top w:val="single" w:color="auto" w:sz="4" w:space="0"/>
              <w:left w:val="single" w:color="auto" w:sz="4" w:space="0"/>
              <w:bottom w:val="single" w:color="auto" w:sz="4" w:space="0"/>
            </w:tcBorders>
            <w:noWrap w:val="0"/>
            <w:vAlign w:val="center"/>
          </w:tcPr>
          <w:p w14:paraId="35EFB1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p>
        </w:tc>
      </w:tr>
      <w:tr w14:paraId="0EE609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restart"/>
            <w:tcBorders>
              <w:top w:val="single" w:color="auto" w:sz="4" w:space="0"/>
              <w:bottom w:val="single" w:color="auto" w:sz="4" w:space="0"/>
              <w:right w:val="single" w:color="auto" w:sz="4" w:space="0"/>
            </w:tcBorders>
            <w:noWrap w:val="0"/>
            <w:vAlign w:val="center"/>
          </w:tcPr>
          <w:p w14:paraId="0AB252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燃</w:t>
            </w:r>
            <w:r>
              <w:rPr>
                <w:rFonts w:hint="eastAsia" w:cs="Times New Roman"/>
                <w:color w:val="auto"/>
                <w:sz w:val="18"/>
                <w:szCs w:val="18"/>
                <w:highlight w:val="none"/>
                <w:lang w:eastAsia="zh-CN"/>
              </w:rPr>
              <w:t>生物质蒸汽锅炉</w:t>
            </w:r>
          </w:p>
        </w:tc>
        <w:tc>
          <w:tcPr>
            <w:tcW w:w="1298" w:type="pct"/>
            <w:vMerge w:val="restart"/>
            <w:tcBorders>
              <w:top w:val="single" w:color="auto" w:sz="4" w:space="0"/>
              <w:left w:val="single" w:color="auto" w:sz="4" w:space="0"/>
              <w:bottom w:val="single" w:color="auto" w:sz="4" w:space="0"/>
              <w:right w:val="single" w:color="auto" w:sz="4" w:space="0"/>
            </w:tcBorders>
            <w:noWrap w:val="0"/>
            <w:vAlign w:val="center"/>
          </w:tcPr>
          <w:p w14:paraId="174D77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Qnet，ar≥12.54MJ/kg</w:t>
            </w:r>
          </w:p>
        </w:tc>
        <w:tc>
          <w:tcPr>
            <w:tcW w:w="866" w:type="pct"/>
            <w:tcBorders>
              <w:top w:val="single" w:color="auto" w:sz="4" w:space="0"/>
              <w:left w:val="single" w:color="auto" w:sz="4" w:space="0"/>
              <w:bottom w:val="single" w:color="auto" w:sz="4" w:space="0"/>
              <w:right w:val="single" w:color="auto" w:sz="4" w:space="0"/>
            </w:tcBorders>
            <w:noWrap w:val="0"/>
            <w:vAlign w:val="center"/>
          </w:tcPr>
          <w:p w14:paraId="725E3C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Vdaf≥15%</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3EA28E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=0.393Q</w:t>
            </w:r>
            <w:r>
              <w:rPr>
                <w:rFonts w:hint="default" w:ascii="Times New Roman" w:hAnsi="Times New Roman" w:eastAsia="宋体" w:cs="Times New Roman"/>
                <w:color w:val="auto"/>
                <w:sz w:val="18"/>
                <w:szCs w:val="18"/>
                <w:highlight w:val="none"/>
                <w:vertAlign w:val="subscript"/>
              </w:rPr>
              <w:t>net，ar</w:t>
            </w:r>
            <w:r>
              <w:rPr>
                <w:rFonts w:hint="default" w:ascii="Times New Roman" w:hAnsi="Times New Roman" w:eastAsia="宋体" w:cs="Times New Roman"/>
                <w:color w:val="auto"/>
                <w:sz w:val="18"/>
                <w:szCs w:val="18"/>
                <w:highlight w:val="none"/>
              </w:rPr>
              <w:t>+0.876</w:t>
            </w:r>
          </w:p>
        </w:tc>
        <w:tc>
          <w:tcPr>
            <w:tcW w:w="692" w:type="pct"/>
            <w:tcBorders>
              <w:top w:val="single" w:color="auto" w:sz="4" w:space="0"/>
              <w:left w:val="single" w:color="auto" w:sz="4" w:space="0"/>
              <w:bottom w:val="single" w:color="auto" w:sz="4" w:space="0"/>
            </w:tcBorders>
            <w:noWrap w:val="0"/>
            <w:vAlign w:val="center"/>
          </w:tcPr>
          <w:p w14:paraId="4596B4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/kg</w:t>
            </w:r>
          </w:p>
        </w:tc>
      </w:tr>
      <w:tr w14:paraId="18BB5C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continue"/>
            <w:tcBorders>
              <w:top w:val="single" w:color="auto" w:sz="4" w:space="0"/>
              <w:bottom w:val="single" w:color="auto" w:sz="4" w:space="0"/>
              <w:right w:val="single" w:color="auto" w:sz="4" w:space="0"/>
            </w:tcBorders>
            <w:noWrap w:val="0"/>
            <w:vAlign w:val="center"/>
          </w:tcPr>
          <w:p w14:paraId="178A77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1298" w:type="pct"/>
            <w:vMerge w:val="continue"/>
            <w:tcBorders>
              <w:top w:val="single" w:color="auto" w:sz="4" w:space="0"/>
              <w:left w:val="single" w:color="auto" w:sz="4" w:space="0"/>
              <w:bottom w:val="single" w:color="auto" w:sz="4" w:space="0"/>
              <w:right w:val="single" w:color="auto" w:sz="4" w:space="0"/>
            </w:tcBorders>
            <w:noWrap w:val="0"/>
            <w:vAlign w:val="center"/>
          </w:tcPr>
          <w:p w14:paraId="4B7397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866" w:type="pct"/>
            <w:tcBorders>
              <w:top w:val="single" w:color="auto" w:sz="4" w:space="0"/>
              <w:left w:val="single" w:color="auto" w:sz="4" w:space="0"/>
              <w:bottom w:val="single" w:color="auto" w:sz="4" w:space="0"/>
              <w:right w:val="single" w:color="auto" w:sz="4" w:space="0"/>
            </w:tcBorders>
            <w:noWrap w:val="0"/>
            <w:vAlign w:val="center"/>
          </w:tcPr>
          <w:p w14:paraId="3BF543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Vdaf</w:t>
            </w:r>
            <w:r>
              <w:rPr>
                <w:rFonts w:hint="eastAsia" w:cs="Times New Roman"/>
                <w:color w:val="auto"/>
                <w:sz w:val="18"/>
                <w:szCs w:val="18"/>
                <w:highlight w:val="none"/>
                <w:lang w:eastAsia="zh-CN"/>
              </w:rPr>
              <w:t>&lt;</w:t>
            </w:r>
            <w:r>
              <w:rPr>
                <w:rFonts w:hint="default" w:ascii="Times New Roman" w:hAnsi="Times New Roman" w:eastAsia="宋体" w:cs="Times New Roman"/>
                <w:color w:val="auto"/>
                <w:sz w:val="18"/>
                <w:szCs w:val="18"/>
                <w:highlight w:val="none"/>
              </w:rPr>
              <w:t>15%</w:t>
            </w:r>
          </w:p>
        </w:tc>
        <w:tc>
          <w:tcPr>
            <w:tcW w:w="1557" w:type="pct"/>
            <w:tcBorders>
              <w:top w:val="single" w:color="auto" w:sz="4" w:space="0"/>
              <w:left w:val="single" w:color="auto" w:sz="4" w:space="0"/>
              <w:bottom w:val="single" w:color="auto" w:sz="4" w:space="0"/>
              <w:right w:val="single" w:color="auto" w:sz="4" w:space="0"/>
            </w:tcBorders>
            <w:noWrap w:val="0"/>
            <w:vAlign w:val="center"/>
          </w:tcPr>
          <w:p w14:paraId="64E35D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=0.385Q</w:t>
            </w:r>
            <w:r>
              <w:rPr>
                <w:rFonts w:hint="default" w:ascii="Times New Roman" w:hAnsi="Times New Roman" w:eastAsia="宋体" w:cs="Times New Roman"/>
                <w:color w:val="auto"/>
                <w:sz w:val="18"/>
                <w:szCs w:val="18"/>
                <w:highlight w:val="none"/>
                <w:vertAlign w:val="subscript"/>
              </w:rPr>
              <w:t>net，ar</w:t>
            </w:r>
            <w:r>
              <w:rPr>
                <w:rFonts w:hint="default" w:ascii="Times New Roman" w:hAnsi="Times New Roman" w:eastAsia="宋体" w:cs="Times New Roman"/>
                <w:color w:val="auto"/>
                <w:sz w:val="18"/>
                <w:szCs w:val="18"/>
                <w:highlight w:val="none"/>
              </w:rPr>
              <w:t>+1.095</w:t>
            </w:r>
          </w:p>
        </w:tc>
        <w:tc>
          <w:tcPr>
            <w:tcW w:w="692" w:type="pct"/>
            <w:tcBorders>
              <w:top w:val="single" w:color="auto" w:sz="4" w:space="0"/>
              <w:left w:val="single" w:color="auto" w:sz="4" w:space="0"/>
              <w:bottom w:val="single" w:color="auto" w:sz="4" w:space="0"/>
            </w:tcBorders>
            <w:noWrap w:val="0"/>
            <w:vAlign w:val="center"/>
          </w:tcPr>
          <w:p w14:paraId="0F39D4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/kg</w:t>
            </w:r>
          </w:p>
        </w:tc>
      </w:tr>
      <w:tr w14:paraId="514493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5" w:type="pct"/>
            <w:vMerge w:val="continue"/>
            <w:tcBorders>
              <w:top w:val="single" w:color="auto" w:sz="4" w:space="0"/>
              <w:right w:val="single" w:color="auto" w:sz="4" w:space="0"/>
            </w:tcBorders>
            <w:noWrap w:val="0"/>
            <w:vAlign w:val="center"/>
          </w:tcPr>
          <w:p w14:paraId="572B0D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p>
        </w:tc>
        <w:tc>
          <w:tcPr>
            <w:tcW w:w="2165" w:type="pct"/>
            <w:gridSpan w:val="2"/>
            <w:tcBorders>
              <w:top w:val="single" w:color="auto" w:sz="4" w:space="0"/>
              <w:left w:val="single" w:color="auto" w:sz="4" w:space="0"/>
              <w:right w:val="single" w:color="auto" w:sz="4" w:space="0"/>
            </w:tcBorders>
            <w:noWrap w:val="0"/>
            <w:vAlign w:val="center"/>
          </w:tcPr>
          <w:p w14:paraId="2D5E16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Qnet，ar</w:t>
            </w:r>
            <w:r>
              <w:rPr>
                <w:rFonts w:hint="eastAsia" w:cs="Times New Roman"/>
                <w:color w:val="auto"/>
                <w:sz w:val="18"/>
                <w:szCs w:val="18"/>
                <w:highlight w:val="none"/>
                <w:lang w:eastAsia="zh-CN"/>
              </w:rPr>
              <w:t>&lt;</w:t>
            </w:r>
            <w:r>
              <w:rPr>
                <w:rFonts w:hint="default" w:ascii="Times New Roman" w:hAnsi="Times New Roman" w:eastAsia="宋体" w:cs="Times New Roman"/>
                <w:color w:val="auto"/>
                <w:sz w:val="18"/>
                <w:szCs w:val="18"/>
                <w:highlight w:val="none"/>
              </w:rPr>
              <w:t>12.54MJ/kg</w:t>
            </w:r>
          </w:p>
        </w:tc>
        <w:tc>
          <w:tcPr>
            <w:tcW w:w="1557" w:type="pct"/>
            <w:tcBorders>
              <w:top w:val="single" w:color="auto" w:sz="4" w:space="0"/>
              <w:left w:val="single" w:color="auto" w:sz="4" w:space="0"/>
              <w:right w:val="single" w:color="auto" w:sz="4" w:space="0"/>
            </w:tcBorders>
            <w:noWrap w:val="0"/>
            <w:vAlign w:val="center"/>
          </w:tcPr>
          <w:p w14:paraId="49E9DD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V</w:t>
            </w:r>
            <w:r>
              <w:rPr>
                <w:rFonts w:hint="default" w:ascii="Times New Roman" w:hAnsi="Times New Roman" w:eastAsia="宋体" w:cs="Times New Roman"/>
                <w:color w:val="auto"/>
                <w:sz w:val="18"/>
                <w:szCs w:val="18"/>
                <w:highlight w:val="none"/>
                <w:vertAlign w:val="subscript"/>
              </w:rPr>
              <w:t>gy</w:t>
            </w:r>
            <w:r>
              <w:rPr>
                <w:rFonts w:hint="default" w:ascii="Times New Roman" w:hAnsi="Times New Roman" w:eastAsia="宋体" w:cs="Times New Roman"/>
                <w:color w:val="auto"/>
                <w:sz w:val="18"/>
                <w:szCs w:val="18"/>
                <w:highlight w:val="none"/>
              </w:rPr>
              <w:t>=0.385Q</w:t>
            </w:r>
            <w:r>
              <w:rPr>
                <w:rFonts w:hint="default" w:ascii="Times New Roman" w:hAnsi="Times New Roman" w:eastAsia="宋体" w:cs="Times New Roman"/>
                <w:color w:val="auto"/>
                <w:sz w:val="18"/>
                <w:szCs w:val="18"/>
                <w:highlight w:val="none"/>
                <w:vertAlign w:val="subscript"/>
              </w:rPr>
              <w:t>net，ar</w:t>
            </w:r>
            <w:r>
              <w:rPr>
                <w:rFonts w:hint="default" w:ascii="Times New Roman" w:hAnsi="Times New Roman" w:eastAsia="宋体" w:cs="Times New Roman"/>
                <w:color w:val="auto"/>
                <w:sz w:val="18"/>
                <w:szCs w:val="18"/>
                <w:highlight w:val="none"/>
              </w:rPr>
              <w:t>+0.788</w:t>
            </w:r>
          </w:p>
        </w:tc>
        <w:tc>
          <w:tcPr>
            <w:tcW w:w="692" w:type="pct"/>
            <w:tcBorders>
              <w:top w:val="single" w:color="auto" w:sz="4" w:space="0"/>
              <w:left w:val="single" w:color="auto" w:sz="4" w:space="0"/>
            </w:tcBorders>
            <w:noWrap w:val="0"/>
            <w:vAlign w:val="center"/>
          </w:tcPr>
          <w:p w14:paraId="1B25E4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/kg</w:t>
            </w:r>
          </w:p>
        </w:tc>
      </w:tr>
    </w:tbl>
    <w:p w14:paraId="301E579B">
      <w:pPr>
        <w:spacing w:line="36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注：1.V</w:t>
      </w:r>
      <w:r>
        <w:rPr>
          <w:rFonts w:hint="default" w:ascii="Times New Roman" w:hAnsi="Times New Roman" w:cs="Times New Roman"/>
          <w:color w:val="auto"/>
          <w:szCs w:val="21"/>
          <w:highlight w:val="none"/>
          <w:vertAlign w:val="subscript"/>
        </w:rPr>
        <w:t>daf</w:t>
      </w:r>
      <w:r>
        <w:rPr>
          <w:rFonts w:hint="default" w:ascii="Times New Roman" w:hAnsi="Times New Roman" w:cs="Times New Roman"/>
          <w:color w:val="auto"/>
          <w:szCs w:val="21"/>
          <w:highlight w:val="none"/>
        </w:rPr>
        <w:t>，燃料干燥无灰基挥发分（%）；V</w:t>
      </w:r>
      <w:r>
        <w:rPr>
          <w:rFonts w:hint="default" w:ascii="Times New Roman" w:hAnsi="Times New Roman" w:cs="Times New Roman"/>
          <w:color w:val="auto"/>
          <w:szCs w:val="21"/>
          <w:highlight w:val="none"/>
          <w:vertAlign w:val="subscript"/>
        </w:rPr>
        <w:t>gy</w:t>
      </w:r>
      <w:r>
        <w:rPr>
          <w:rFonts w:hint="default" w:ascii="Times New Roman" w:hAnsi="Times New Roman" w:cs="Times New Roman"/>
          <w:color w:val="auto"/>
          <w:szCs w:val="21"/>
          <w:highlight w:val="none"/>
        </w:rPr>
        <w:t>，基准烟气量（Nm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/kg或Nm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p>
    <w:p w14:paraId="7CCFFDED">
      <w:pPr>
        <w:spacing w:line="36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 Q</w:t>
      </w:r>
      <w:r>
        <w:rPr>
          <w:rFonts w:hint="default" w:ascii="Times New Roman" w:hAnsi="Times New Roman" w:cs="Times New Roman"/>
          <w:color w:val="auto"/>
          <w:szCs w:val="21"/>
          <w:highlight w:val="none"/>
          <w:vertAlign w:val="subscript"/>
        </w:rPr>
        <w:t>net，ar</w:t>
      </w:r>
      <w:r>
        <w:rPr>
          <w:rFonts w:hint="default" w:ascii="Times New Roman" w:hAnsi="Times New Roman" w:cs="Times New Roman"/>
          <w:color w:val="auto"/>
          <w:szCs w:val="21"/>
          <w:highlight w:val="none"/>
        </w:rPr>
        <w:t>，固体/液体燃料收到基低位发热量（MJ/kg）；Q</w:t>
      </w:r>
      <w:r>
        <w:rPr>
          <w:rFonts w:hint="default" w:ascii="Times New Roman" w:hAnsi="Times New Roman" w:cs="Times New Roman"/>
          <w:color w:val="auto"/>
          <w:szCs w:val="21"/>
          <w:highlight w:val="none"/>
          <w:vertAlign w:val="subscript"/>
        </w:rPr>
        <w:t>net</w:t>
      </w:r>
      <w:r>
        <w:rPr>
          <w:rFonts w:hint="default" w:ascii="Times New Roman" w:hAnsi="Times New Roman" w:cs="Times New Roman"/>
          <w:color w:val="auto"/>
          <w:szCs w:val="21"/>
          <w:highlight w:val="none"/>
        </w:rPr>
        <w:t>,气体燃料低位发热量（MJ/m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）；按前三年所有批次燃料低位发热量的平均值进行选取，未投运或投运不满一年的锅炉按设计燃料低位发热量进行选取，投运满一年但未满三年的锅炉按运行周期</w:t>
      </w:r>
      <w:r>
        <w:rPr>
          <w:rFonts w:hint="eastAsia" w:cs="Times New Roman"/>
          <w:color w:val="auto"/>
          <w:szCs w:val="21"/>
          <w:highlight w:val="none"/>
          <w:lang w:eastAsia="zh-CN"/>
        </w:rPr>
        <w:t>内</w:t>
      </w:r>
      <w:r>
        <w:rPr>
          <w:rFonts w:hint="default" w:ascii="Times New Roman" w:hAnsi="Times New Roman" w:cs="Times New Roman"/>
          <w:color w:val="auto"/>
          <w:szCs w:val="21"/>
          <w:highlight w:val="none"/>
        </w:rPr>
        <w:t>所有批次燃料低位发热量的平均值选取。</w:t>
      </w:r>
    </w:p>
    <w:p w14:paraId="11591981">
      <w:pPr>
        <w:spacing w:line="36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3.经验公式估算法不适用于使用型煤、水煤浆、煤矸石、石油焦、油页岩、发生炉煤气、沼气、黄磷尾气、生物质气体等燃料的基准烟气量计算。</w:t>
      </w:r>
    </w:p>
    <w:p w14:paraId="01C5C419">
      <w:pPr>
        <w:keepNext w:val="0"/>
        <w:keepLines w:val="0"/>
        <w:pageBreakBefore w:val="0"/>
        <w:kinsoku/>
        <w:wordWrap/>
        <w:overflowPunct/>
        <w:topLinePunct w:val="0"/>
        <w:autoSpaceDE/>
        <w:autoSpaceDN/>
        <w:bidi w:val="0"/>
        <w:spacing w:line="360" w:lineRule="auto"/>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本项目</w:t>
      </w:r>
      <w:r>
        <w:rPr>
          <w:rFonts w:hint="eastAsia" w:cs="Times New Roman"/>
          <w:b/>
          <w:color w:val="auto"/>
          <w:szCs w:val="21"/>
          <w:highlight w:val="none"/>
          <w:lang w:eastAsia="zh-CN"/>
        </w:rPr>
        <w:t>生物质锅炉</w:t>
      </w:r>
      <w:r>
        <w:rPr>
          <w:rFonts w:hint="default" w:ascii="Times New Roman" w:hAnsi="Times New Roman" w:cs="Times New Roman"/>
          <w:b/>
          <w:color w:val="auto"/>
          <w:szCs w:val="21"/>
          <w:highlight w:val="none"/>
        </w:rPr>
        <w:t>污染物核定量</w:t>
      </w:r>
    </w:p>
    <w:p w14:paraId="56E6294B">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3台10t/h生物质蒸汽</w:t>
      </w:r>
      <w:r>
        <w:rPr>
          <w:rFonts w:hint="default" w:ascii="Times New Roman" w:hAnsi="Times New Roman" w:cs="Times New Roman"/>
          <w:color w:val="auto"/>
          <w:sz w:val="21"/>
          <w:szCs w:val="21"/>
          <w:highlight w:val="none"/>
        </w:rPr>
        <w:t>锅炉，</w:t>
      </w:r>
      <w:r>
        <w:rPr>
          <w:rFonts w:hint="eastAsia" w:cs="Times New Roman"/>
          <w:color w:val="auto"/>
          <w:sz w:val="21"/>
          <w:szCs w:val="21"/>
          <w:highlight w:val="none"/>
          <w:lang w:val="en-US" w:eastAsia="zh-CN"/>
        </w:rPr>
        <w:t>均年运行5040h，本项目生物质锅炉年燃料量共为25137.15t</w:t>
      </w:r>
      <w:r>
        <w:rPr>
          <w:rFonts w:hint="default" w:ascii="Times New Roman" w:hAnsi="Times New Roman" w:cs="Times New Roman"/>
          <w:color w:val="auto"/>
          <w:sz w:val="21"/>
          <w:szCs w:val="21"/>
          <w:highlight w:val="none"/>
        </w:rPr>
        <w:t>根据《关于核定总量计算说明》对锅炉排放的污染物计算情况如下：</w:t>
      </w:r>
    </w:p>
    <w:p w14:paraId="66BE2E38">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干烟气排放量计算参照《排污许可证申请与核发技术规范 锅炉》（HJ953-2018），本项目低位发热量（Q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）为</w:t>
      </w:r>
      <w:r>
        <w:rPr>
          <w:rFonts w:hint="eastAsia" w:ascii="Times New Roman" w:hAnsi="Times New Roman" w:cs="Times New Roman"/>
          <w:color w:val="auto"/>
          <w:sz w:val="21"/>
          <w:szCs w:val="21"/>
          <w:highlight w:val="none"/>
          <w:lang w:val="en-US" w:eastAsia="zh-CN"/>
        </w:rPr>
        <w:t>16.77</w:t>
      </w:r>
      <w:r>
        <w:rPr>
          <w:rFonts w:hint="default" w:ascii="Times New Roman" w:hAnsi="Times New Roman" w:cs="Times New Roman"/>
          <w:color w:val="auto"/>
          <w:sz w:val="21"/>
          <w:szCs w:val="21"/>
          <w:highlight w:val="none"/>
        </w:rPr>
        <w:t>MJ/kg，因此本项目的基准烟气量，计算过程如下：</w:t>
      </w:r>
    </w:p>
    <w:p w14:paraId="52A42600">
      <w:pPr>
        <w:pStyle w:val="6"/>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Vgy=0.393Qnet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ar+0.876=0.393×1</w:t>
      </w:r>
      <w:r>
        <w:rPr>
          <w:rFonts w:hint="eastAsia" w:ascii="Times New Roman" w:hAnsi="Times New Roman" w:cs="Times New Roman"/>
          <w:color w:val="auto"/>
          <w:sz w:val="21"/>
          <w:szCs w:val="21"/>
          <w:highlight w:val="none"/>
          <w:lang w:val="en-US" w:eastAsia="zh-CN"/>
        </w:rPr>
        <w:t>6.77</w:t>
      </w:r>
      <w:r>
        <w:rPr>
          <w:rFonts w:hint="default" w:ascii="Times New Roman" w:hAnsi="Times New Roman" w:cs="Times New Roman"/>
          <w:color w:val="auto"/>
          <w:sz w:val="21"/>
          <w:szCs w:val="21"/>
          <w:highlight w:val="none"/>
        </w:rPr>
        <w:t>+0.876=</w:t>
      </w:r>
      <w:r>
        <w:rPr>
          <w:rFonts w:hint="eastAsia" w:ascii="Times New Roman" w:hAnsi="Times New Roman" w:cs="Times New Roman"/>
          <w:color w:val="auto"/>
          <w:sz w:val="21"/>
          <w:szCs w:val="21"/>
          <w:highlight w:val="none"/>
          <w:lang w:val="en-US" w:eastAsia="zh-CN"/>
        </w:rPr>
        <w:t>7.467</w:t>
      </w:r>
      <w:r>
        <w:rPr>
          <w:rFonts w:hint="default" w:ascii="Times New Roman" w:hAnsi="Times New Roman" w:cs="Times New Roman"/>
          <w:color w:val="auto"/>
          <w:sz w:val="21"/>
          <w:szCs w:val="21"/>
          <w:highlight w:val="none"/>
        </w:rPr>
        <w:t>Nm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/kg</w:t>
      </w:r>
    </w:p>
    <w:p w14:paraId="6AF95DE1">
      <w:pPr>
        <w:pStyle w:val="6"/>
        <w:keepNext w:val="0"/>
        <w:keepLines w:val="0"/>
        <w:pageBreakBefore w:val="0"/>
        <w:kinsoku/>
        <w:wordWrap/>
        <w:overflowPunct/>
        <w:topLinePunct w:val="0"/>
        <w:autoSpaceDE/>
        <w:autoSpaceDN/>
        <w:bidi w:val="0"/>
        <w:adjustRightInd w:val="0"/>
        <w:snapToGrid w:val="0"/>
        <w:spacing w:line="360" w:lineRule="auto"/>
        <w:ind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颗粒物排放</w:t>
      </w:r>
      <w:r>
        <w:rPr>
          <w:rFonts w:hint="eastAsia" w:ascii="Times New Roman" w:hAnsi="Times New Roman" w:cs="Times New Roman"/>
          <w:color w:val="auto"/>
          <w:sz w:val="21"/>
          <w:szCs w:val="21"/>
          <w:highlight w:val="none"/>
          <w:lang w:val="en-US" w:eastAsia="zh-CN"/>
        </w:rPr>
        <w:t>总</w:t>
      </w:r>
      <w:r>
        <w:rPr>
          <w:rFonts w:hint="default" w:ascii="Times New Roman" w:hAnsi="Times New Roman" w:cs="Times New Roman"/>
          <w:color w:val="auto"/>
          <w:sz w:val="21"/>
          <w:szCs w:val="21"/>
          <w:highlight w:val="none"/>
        </w:rPr>
        <w:t>量=燃料量×</w:t>
      </w:r>
      <w:r>
        <w:rPr>
          <w:rFonts w:hint="eastAsia" w:ascii="Times New Roman" w:hAnsi="Times New Roman" w:cs="Times New Roman"/>
          <w:color w:val="auto"/>
          <w:sz w:val="21"/>
          <w:szCs w:val="21"/>
          <w:highlight w:val="none"/>
          <w:lang w:val="en-US" w:eastAsia="zh-CN"/>
        </w:rPr>
        <w:t>7.467</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50</w:t>
      </w:r>
      <w:r>
        <w:rPr>
          <w:rFonts w:hint="default" w:ascii="Times New Roman" w:hAnsi="Times New Roman" w:cs="Times New Roman"/>
          <w:color w:val="auto"/>
          <w:sz w:val="21"/>
          <w:szCs w:val="21"/>
          <w:highlight w:val="none"/>
        </w:rPr>
        <w:t>×10</w:t>
      </w:r>
      <w:r>
        <w:rPr>
          <w:rFonts w:hint="default" w:ascii="Times New Roman" w:hAnsi="Times New Roman" w:cs="Times New Roman"/>
          <w:color w:val="auto"/>
          <w:sz w:val="21"/>
          <w:szCs w:val="21"/>
          <w:highlight w:val="none"/>
          <w:vertAlign w:val="superscript"/>
        </w:rPr>
        <w:t>-6</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9.385</w:t>
      </w:r>
      <w:r>
        <w:rPr>
          <w:rFonts w:hint="default" w:ascii="Times New Roman" w:hAnsi="Times New Roman" w:cs="Times New Roman"/>
          <w:color w:val="auto"/>
          <w:sz w:val="21"/>
          <w:szCs w:val="21"/>
          <w:highlight w:val="none"/>
        </w:rPr>
        <w:t>t/a</w:t>
      </w:r>
    </w:p>
    <w:p w14:paraId="1CA0361A">
      <w:pPr>
        <w:pStyle w:val="6"/>
        <w:keepNext w:val="0"/>
        <w:keepLines w:val="0"/>
        <w:pageBreakBefore w:val="0"/>
        <w:kinsoku/>
        <w:wordWrap/>
        <w:overflowPunct/>
        <w:topLinePunct w:val="0"/>
        <w:autoSpaceDE/>
        <w:autoSpaceDN/>
        <w:bidi w:val="0"/>
        <w:adjustRightInd w:val="0"/>
        <w:snapToGrid w:val="0"/>
        <w:spacing w:line="360" w:lineRule="auto"/>
        <w:ind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二氧化硫排放</w:t>
      </w:r>
      <w:r>
        <w:rPr>
          <w:rFonts w:hint="eastAsia" w:ascii="Times New Roman" w:hAnsi="Times New Roman" w:cs="Times New Roman"/>
          <w:color w:val="auto"/>
          <w:sz w:val="21"/>
          <w:szCs w:val="21"/>
          <w:highlight w:val="none"/>
          <w:lang w:val="en-US" w:eastAsia="zh-CN"/>
        </w:rPr>
        <w:t>总</w:t>
      </w:r>
      <w:r>
        <w:rPr>
          <w:rFonts w:hint="default" w:ascii="Times New Roman" w:hAnsi="Times New Roman" w:cs="Times New Roman"/>
          <w:color w:val="auto"/>
          <w:sz w:val="21"/>
          <w:szCs w:val="21"/>
          <w:highlight w:val="none"/>
        </w:rPr>
        <w:t>量=燃料量×</w:t>
      </w:r>
      <w:r>
        <w:rPr>
          <w:rFonts w:hint="eastAsia" w:ascii="Times New Roman" w:hAnsi="Times New Roman" w:cs="Times New Roman"/>
          <w:color w:val="auto"/>
          <w:sz w:val="21"/>
          <w:szCs w:val="21"/>
          <w:highlight w:val="none"/>
          <w:lang w:val="en-US" w:eastAsia="zh-CN"/>
        </w:rPr>
        <w:t>7.467</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00×0.8×10</w:t>
      </w:r>
      <w:r>
        <w:rPr>
          <w:rFonts w:hint="default" w:ascii="Times New Roman" w:hAnsi="Times New Roman" w:cs="Times New Roman"/>
          <w:color w:val="auto"/>
          <w:sz w:val="21"/>
          <w:szCs w:val="21"/>
          <w:highlight w:val="none"/>
          <w:vertAlign w:val="superscript"/>
        </w:rPr>
        <w:t>-6</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45.048</w:t>
      </w:r>
      <w:r>
        <w:rPr>
          <w:rFonts w:hint="default" w:ascii="Times New Roman" w:hAnsi="Times New Roman" w:cs="Times New Roman"/>
          <w:color w:val="auto"/>
          <w:sz w:val="21"/>
          <w:szCs w:val="21"/>
          <w:highlight w:val="none"/>
        </w:rPr>
        <w:t>t/a</w:t>
      </w:r>
    </w:p>
    <w:p w14:paraId="4EF81EC5">
      <w:pPr>
        <w:pStyle w:val="10"/>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氮氧化物排放</w:t>
      </w:r>
      <w:r>
        <w:rPr>
          <w:rFonts w:hint="default" w:ascii="Times New Roman" w:hAnsi="Times New Roman" w:eastAsia="宋体"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量=燃料量×</w:t>
      </w:r>
      <w:r>
        <w:rPr>
          <w:rFonts w:hint="eastAsia" w:ascii="Times New Roman" w:hAnsi="Times New Roman" w:cs="Times New Roman"/>
          <w:color w:val="auto"/>
          <w:sz w:val="21"/>
          <w:szCs w:val="21"/>
          <w:highlight w:val="none"/>
          <w:lang w:val="en-US" w:eastAsia="zh-CN"/>
        </w:rPr>
        <w:t>7.467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00×10</w:t>
      </w:r>
      <w:r>
        <w:rPr>
          <w:rFonts w:hint="default" w:ascii="Times New Roman" w:hAnsi="Times New Roman" w:eastAsia="宋体" w:cs="Times New Roman"/>
          <w:color w:val="auto"/>
          <w:sz w:val="21"/>
          <w:szCs w:val="21"/>
          <w:highlight w:val="none"/>
          <w:vertAlign w:val="superscript"/>
        </w:rPr>
        <w:t>-6</w:t>
      </w:r>
      <w:r>
        <w:rPr>
          <w:rFonts w:hint="default" w:ascii="Times New Roman" w:hAnsi="Times New Roman" w:eastAsia="宋体" w:cs="Times New Roman"/>
          <w:color w:val="auto"/>
          <w:sz w:val="21"/>
          <w:szCs w:val="21"/>
          <w:highlight w:val="none"/>
        </w:rPr>
        <w:t>=</w:t>
      </w:r>
      <w:r>
        <w:rPr>
          <w:rFonts w:hint="eastAsia" w:ascii="Times New Roman" w:cs="Times New Roman"/>
          <w:color w:val="auto"/>
          <w:sz w:val="21"/>
          <w:szCs w:val="21"/>
          <w:highlight w:val="none"/>
          <w:lang w:val="en-US" w:eastAsia="zh-CN"/>
        </w:rPr>
        <w:t>56.31</w:t>
      </w:r>
      <w:r>
        <w:rPr>
          <w:rFonts w:hint="default" w:ascii="Times New Roman" w:hAnsi="Times New Roman" w:eastAsia="宋体" w:cs="Times New Roman"/>
          <w:color w:val="auto"/>
          <w:sz w:val="21"/>
          <w:szCs w:val="21"/>
          <w:highlight w:val="none"/>
        </w:rPr>
        <w:t>t/a。</w:t>
      </w:r>
    </w:p>
    <w:p w14:paraId="62F4B0F6">
      <w:pPr>
        <w:pStyle w:val="6"/>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color w:val="auto"/>
          <w:sz w:val="21"/>
          <w:szCs w:val="21"/>
          <w:highlight w:val="none"/>
        </w:rPr>
        <w:t>二、废水</w:t>
      </w:r>
    </w:p>
    <w:p w14:paraId="0B85DCA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本项目</w:t>
      </w:r>
      <w:r>
        <w:rPr>
          <w:rFonts w:hint="eastAsia"/>
          <w:color w:val="auto"/>
          <w:sz w:val="21"/>
          <w:szCs w:val="21"/>
          <w:highlight w:val="none"/>
          <w:lang w:val="en-US" w:eastAsia="zh-CN"/>
        </w:rPr>
        <w:t>锅炉</w:t>
      </w:r>
      <w:r>
        <w:rPr>
          <w:rFonts w:hint="default" w:ascii="Times New Roman" w:hAnsi="Times New Roman" w:cs="Times New Roman"/>
          <w:bCs/>
          <w:color w:val="auto"/>
          <w:sz w:val="21"/>
          <w:szCs w:val="21"/>
          <w:highlight w:val="none"/>
        </w:rPr>
        <w:t>排污水及软化处理废水总量为</w:t>
      </w:r>
      <w:r>
        <w:rPr>
          <w:rFonts w:hint="eastAsia" w:cs="Times New Roman"/>
          <w:bCs/>
          <w:color w:val="auto"/>
          <w:sz w:val="21"/>
          <w:szCs w:val="21"/>
          <w:highlight w:val="none"/>
          <w:lang w:val="en-US" w:eastAsia="zh-CN"/>
        </w:rPr>
        <w:t>42.61</w:t>
      </w:r>
      <w:r>
        <w:rPr>
          <w:rFonts w:hint="default" w:ascii="Times New Roman" w:hAnsi="Times New Roman" w:eastAsia="宋体" w:cs="Times New Roman"/>
          <w:bCs/>
          <w:color w:val="auto"/>
          <w:sz w:val="21"/>
          <w:szCs w:val="21"/>
          <w:highlight w:val="none"/>
        </w:rPr>
        <w:t>t/d，</w:t>
      </w:r>
      <w:r>
        <w:rPr>
          <w:rFonts w:hint="eastAsia" w:cs="Times New Roman"/>
          <w:bCs/>
          <w:color w:val="auto"/>
          <w:sz w:val="21"/>
          <w:szCs w:val="21"/>
          <w:highlight w:val="none"/>
          <w:lang w:val="en-US" w:eastAsia="zh-CN"/>
        </w:rPr>
        <w:t>8948.83</w:t>
      </w:r>
      <w:r>
        <w:rPr>
          <w:rFonts w:hint="default" w:ascii="Times New Roman" w:hAnsi="Times New Roman" w:eastAsia="宋体" w:cs="Times New Roman"/>
          <w:bCs/>
          <w:color w:val="auto"/>
          <w:sz w:val="21"/>
          <w:szCs w:val="21"/>
          <w:highlight w:val="none"/>
        </w:rPr>
        <w:t>t/a</w:t>
      </w:r>
      <w:r>
        <w:rPr>
          <w:rFonts w:hint="eastAsia" w:ascii="Times New Roman" w:hAnsi="Times New Roman" w:eastAsia="宋体" w:cs="Times New Roman"/>
          <w:bCs/>
          <w:color w:val="auto"/>
          <w:sz w:val="21"/>
          <w:szCs w:val="21"/>
          <w:highlight w:val="none"/>
          <w:lang w:eastAsia="zh-CN"/>
        </w:rPr>
        <w:t>，</w:t>
      </w:r>
      <w:r>
        <w:rPr>
          <w:rFonts w:hint="eastAsia" w:cs="Times New Roman"/>
          <w:color w:val="auto"/>
          <w:kern w:val="0"/>
          <w:sz w:val="21"/>
          <w:szCs w:val="21"/>
          <w:highlight w:val="none"/>
          <w:lang w:val="en-US" w:eastAsia="zh-CN"/>
        </w:rPr>
        <w:t>本项目</w:t>
      </w:r>
      <w:r>
        <w:rPr>
          <w:rFonts w:hint="default" w:ascii="Times New Roman" w:hAnsi="Times New Roman" w:cs="Times New Roman"/>
          <w:color w:val="auto"/>
          <w:kern w:val="0"/>
          <w:sz w:val="21"/>
          <w:szCs w:val="21"/>
          <w:highlight w:val="none"/>
        </w:rPr>
        <w:t>锅炉排污水</w:t>
      </w:r>
      <w:r>
        <w:rPr>
          <w:rFonts w:hint="eastAsia" w:cs="Times New Roman"/>
          <w:color w:val="auto"/>
          <w:kern w:val="0"/>
          <w:sz w:val="21"/>
          <w:szCs w:val="21"/>
          <w:highlight w:val="none"/>
          <w:lang w:val="en-US" w:eastAsia="zh-CN"/>
        </w:rPr>
        <w:t>及软化处理废水</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sz w:val="21"/>
          <w:szCs w:val="21"/>
          <w:highlight w:val="none"/>
        </w:rPr>
        <w:t>暂存厂区</w:t>
      </w:r>
      <w:r>
        <w:rPr>
          <w:rFonts w:hint="eastAsia" w:cs="Times New Roman"/>
          <w:color w:val="auto"/>
          <w:sz w:val="21"/>
          <w:szCs w:val="21"/>
          <w:highlight w:val="none"/>
          <w:lang w:val="en-US" w:eastAsia="zh-CN"/>
        </w:rPr>
        <w:t>70</w:t>
      </w:r>
      <w:r>
        <w:rPr>
          <w:rFonts w:hint="default" w:ascii="Times New Roman" w:hAnsi="Times New Roman" w:cs="Times New Roman"/>
          <w:b w:val="0"/>
          <w:bCs w:val="0"/>
          <w:color w:val="auto"/>
          <w:sz w:val="21"/>
          <w:szCs w:val="21"/>
          <w:highlight w:val="none"/>
        </w:rPr>
        <w:t>m³</w:t>
      </w:r>
      <w:r>
        <w:rPr>
          <w:rFonts w:hint="default" w:ascii="Times New Roman" w:hAnsi="Times New Roman" w:cs="Times New Roman"/>
          <w:color w:val="auto"/>
          <w:sz w:val="21"/>
          <w:szCs w:val="21"/>
          <w:highlight w:val="none"/>
        </w:rPr>
        <w:t>防渗</w:t>
      </w:r>
      <w:r>
        <w:rPr>
          <w:rFonts w:hint="eastAsia" w:cs="Times New Roman"/>
          <w:color w:val="auto"/>
          <w:sz w:val="21"/>
          <w:szCs w:val="21"/>
          <w:highlight w:val="none"/>
          <w:lang w:val="en-US" w:eastAsia="zh-CN"/>
        </w:rPr>
        <w:t>储水罐</w:t>
      </w:r>
      <w:r>
        <w:rPr>
          <w:rFonts w:hint="default" w:ascii="Times New Roman" w:hAnsi="Times New Roman" w:cs="Times New Roman"/>
          <w:color w:val="auto"/>
          <w:sz w:val="21"/>
          <w:szCs w:val="21"/>
          <w:highlight w:val="none"/>
        </w:rPr>
        <w:t>内，</w:t>
      </w:r>
      <w:r>
        <w:rPr>
          <w:rFonts w:hint="eastAsia" w:cs="Times New Roman"/>
          <w:color w:val="auto"/>
          <w:sz w:val="21"/>
          <w:szCs w:val="21"/>
          <w:highlight w:val="none"/>
          <w:lang w:val="en-US" w:eastAsia="zh-CN"/>
        </w:rPr>
        <w:t>定期拉</w:t>
      </w:r>
      <w:r>
        <w:rPr>
          <w:rFonts w:hint="default" w:ascii="Times New Roman" w:hAnsi="Times New Roman" w:cs="Times New Roman"/>
          <w:color w:val="auto"/>
          <w:sz w:val="21"/>
          <w:szCs w:val="21"/>
          <w:highlight w:val="none"/>
        </w:rPr>
        <w:t>运至</w:t>
      </w:r>
      <w:r>
        <w:rPr>
          <w:rFonts w:hint="eastAsia" w:ascii="Times New Roman" w:hAnsi="Times New Roman" w:cs="Times New Roman"/>
          <w:color w:val="auto"/>
          <w:kern w:val="0"/>
          <w:sz w:val="21"/>
          <w:szCs w:val="21"/>
          <w:highlight w:val="none"/>
          <w:lang w:val="en-US" w:eastAsia="zh-CN" w:bidi="ar"/>
        </w:rPr>
        <w:t>恒山区污水处理厂</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rPr>
        <w:t>经</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rPr>
        <w:t>处理达标后</w:t>
      </w:r>
      <w:r>
        <w:rPr>
          <w:rFonts w:hint="default" w:ascii="Times New Roman" w:hAnsi="Times New Roman" w:eastAsia="宋体" w:cs="Times New Roman"/>
          <w:color w:val="auto"/>
          <w:sz w:val="21"/>
          <w:szCs w:val="21"/>
          <w:highlight w:val="none"/>
        </w:rPr>
        <w:t>排入小黄泥河，最终汇入穆棱河</w:t>
      </w:r>
      <w:r>
        <w:rPr>
          <w:rFonts w:hint="eastAsia"/>
          <w:color w:val="auto"/>
          <w:sz w:val="21"/>
          <w:szCs w:val="21"/>
          <w:highlight w:val="none"/>
          <w:lang w:val="en-US" w:eastAsia="zh-CN"/>
        </w:rPr>
        <w:t>。</w:t>
      </w:r>
      <w:r>
        <w:rPr>
          <w:rFonts w:hint="default" w:ascii="Times New Roman" w:hAnsi="Times New Roman" w:eastAsia="宋体" w:cs="Times New Roman"/>
          <w:color w:val="auto"/>
          <w:spacing w:val="0"/>
          <w:kern w:val="0"/>
          <w:sz w:val="21"/>
          <w:szCs w:val="21"/>
          <w:highlight w:val="none"/>
        </w:rPr>
        <w:t>本项目</w:t>
      </w:r>
      <w:r>
        <w:rPr>
          <w:rFonts w:hint="eastAsia" w:ascii="Times New Roman" w:hAnsi="Times New Roman" w:cs="Times New Roman"/>
          <w:color w:val="auto"/>
          <w:spacing w:val="0"/>
          <w:kern w:val="0"/>
          <w:sz w:val="21"/>
          <w:szCs w:val="21"/>
          <w:highlight w:val="none"/>
          <w:lang w:val="en-US" w:eastAsia="zh-CN"/>
        </w:rPr>
        <w:t>锅炉</w:t>
      </w:r>
      <w:r>
        <w:rPr>
          <w:rFonts w:hint="default" w:ascii="Times New Roman" w:hAnsi="Times New Roman" w:eastAsia="宋体" w:cs="Times New Roman"/>
          <w:color w:val="auto"/>
          <w:spacing w:val="0"/>
          <w:kern w:val="0"/>
          <w:sz w:val="21"/>
          <w:szCs w:val="21"/>
          <w:highlight w:val="none"/>
        </w:rPr>
        <w:t>产生的</w:t>
      </w:r>
      <w:r>
        <w:rPr>
          <w:rFonts w:hint="default" w:ascii="Times New Roman" w:hAnsi="Times New Roman" w:eastAsia="宋体" w:cs="Times New Roman"/>
          <w:color w:val="auto"/>
          <w:spacing w:val="0"/>
          <w:kern w:val="24"/>
          <w:sz w:val="21"/>
          <w:szCs w:val="21"/>
          <w:highlight w:val="none"/>
        </w:rPr>
        <w:t>废水</w:t>
      </w:r>
      <w:r>
        <w:rPr>
          <w:rFonts w:hint="eastAsia" w:ascii="Times New Roman" w:hAnsi="Times New Roman" w:cs="Times New Roman"/>
          <w:color w:val="auto"/>
          <w:spacing w:val="0"/>
          <w:kern w:val="24"/>
          <w:sz w:val="21"/>
          <w:szCs w:val="21"/>
          <w:highlight w:val="none"/>
          <w:lang w:val="en-US" w:eastAsia="zh-CN"/>
        </w:rPr>
        <w:t>污染物</w:t>
      </w:r>
      <w:r>
        <w:rPr>
          <w:rFonts w:hint="default" w:ascii="Times New Roman" w:hAnsi="Times New Roman" w:eastAsia="宋体" w:cs="Times New Roman"/>
          <w:bCs/>
          <w:color w:val="auto"/>
          <w:spacing w:val="0"/>
          <w:sz w:val="21"/>
          <w:szCs w:val="21"/>
          <w:highlight w:val="none"/>
        </w:rPr>
        <w:t>排放</w:t>
      </w:r>
      <w:r>
        <w:rPr>
          <w:rFonts w:hint="eastAsia" w:ascii="Times New Roman" w:hAnsi="Times New Roman" w:eastAsia="宋体" w:cs="Times New Roman"/>
          <w:bCs/>
          <w:color w:val="auto"/>
          <w:spacing w:val="0"/>
          <w:sz w:val="21"/>
          <w:szCs w:val="21"/>
          <w:highlight w:val="none"/>
          <w:lang w:val="en-US" w:eastAsia="zh-CN"/>
        </w:rPr>
        <w:t>应</w:t>
      </w:r>
      <w:r>
        <w:rPr>
          <w:rFonts w:hint="default" w:ascii="Times New Roman" w:hAnsi="Times New Roman" w:eastAsia="宋体" w:cs="Times New Roman"/>
          <w:color w:val="auto"/>
          <w:spacing w:val="0"/>
          <w:kern w:val="24"/>
          <w:sz w:val="21"/>
          <w:szCs w:val="21"/>
          <w:highlight w:val="none"/>
        </w:rPr>
        <w:t>满足</w:t>
      </w:r>
      <w:r>
        <w:rPr>
          <w:rFonts w:hint="eastAsia" w:ascii="Times New Roman" w:hAnsi="Times New Roman" w:cs="Times New Roman"/>
          <w:color w:val="auto"/>
          <w:kern w:val="0"/>
          <w:sz w:val="21"/>
          <w:szCs w:val="21"/>
          <w:highlight w:val="none"/>
          <w:lang w:val="en-US" w:eastAsia="zh-CN" w:bidi="ar"/>
        </w:rPr>
        <w:t>恒山区污水处理厂</w:t>
      </w:r>
      <w:r>
        <w:rPr>
          <w:rFonts w:hint="default" w:ascii="Times New Roman" w:hAnsi="Times New Roman" w:cs="Times New Roman"/>
          <w:color w:val="auto"/>
          <w:sz w:val="21"/>
          <w:szCs w:val="21"/>
          <w:highlight w:val="none"/>
          <w:lang w:val="en-US" w:eastAsia="zh-CN"/>
        </w:rPr>
        <w:t>进水水质</w:t>
      </w:r>
      <w:r>
        <w:rPr>
          <w:rFonts w:hint="eastAsia" w:cs="Times New Roman"/>
          <w:color w:val="auto"/>
          <w:sz w:val="21"/>
          <w:szCs w:val="21"/>
          <w:highlight w:val="none"/>
          <w:lang w:val="en-US" w:eastAsia="zh-CN"/>
        </w:rPr>
        <w:t>要求</w:t>
      </w:r>
      <w:r>
        <w:rPr>
          <w:rFonts w:hint="default" w:ascii="Times New Roman" w:hAnsi="Times New Roman" w:eastAsia="宋体" w:cs="Times New Roman"/>
          <w:color w:val="auto"/>
          <w:spacing w:val="0"/>
          <w:sz w:val="21"/>
          <w:szCs w:val="21"/>
          <w:highlight w:val="none"/>
        </w:rPr>
        <w:t>。</w:t>
      </w:r>
    </w:p>
    <w:p w14:paraId="3C6FED02">
      <w:pPr>
        <w:pStyle w:val="11"/>
        <w:keepNext w:val="0"/>
        <w:keepLines w:val="0"/>
        <w:pageBreakBefore w:val="0"/>
        <w:widowControl/>
        <w:kinsoku/>
        <w:wordWrap/>
        <w:overflowPunct/>
        <w:topLinePunct w:val="0"/>
        <w:autoSpaceDE/>
        <w:autoSpaceDN/>
        <w:bidi w:val="0"/>
        <w:adjustRightInd/>
        <w:snapToGrid/>
        <w:spacing w:line="360" w:lineRule="auto"/>
        <w:ind w:left="0" w:leftChars="0" w:firstLine="0" w:firstLineChars="0"/>
        <w:textAlignment w:val="auto"/>
        <w:rPr>
          <w:rFonts w:hint="default"/>
          <w:color w:val="auto"/>
          <w:sz w:val="21"/>
          <w:szCs w:val="21"/>
          <w:highlight w:val="none"/>
        </w:rPr>
      </w:pPr>
      <w:r>
        <w:rPr>
          <w:rFonts w:hint="default" w:ascii="Times New Roman" w:hAnsi="Times New Roman" w:cs="Times New Roman"/>
          <w:bCs/>
          <w:color w:val="auto"/>
          <w:sz w:val="21"/>
          <w:szCs w:val="21"/>
          <w:highlight w:val="none"/>
        </w:rPr>
        <w:t>COD核定排放量=</w:t>
      </w:r>
      <w:r>
        <w:rPr>
          <w:rFonts w:hint="eastAsia" w:cs="Times New Roman"/>
          <w:bCs/>
          <w:color w:val="auto"/>
          <w:sz w:val="21"/>
          <w:szCs w:val="21"/>
          <w:highlight w:val="none"/>
          <w:lang w:val="en-US" w:eastAsia="zh-CN"/>
        </w:rPr>
        <w:t>8948.83</w:t>
      </w:r>
      <w:r>
        <w:rPr>
          <w:rFonts w:hint="default" w:ascii="Times New Roman" w:hAnsi="Times New Roman" w:eastAsia="宋体" w:cs="Times New Roman"/>
          <w:bCs/>
          <w:color w:val="auto"/>
          <w:sz w:val="21"/>
          <w:szCs w:val="21"/>
          <w:highlight w:val="none"/>
        </w:rPr>
        <w:t>t</w:t>
      </w:r>
      <w:r>
        <w:rPr>
          <w:rFonts w:hint="default" w:ascii="Times New Roman" w:hAnsi="Times New Roman" w:cs="Times New Roman"/>
          <w:bCs/>
          <w:color w:val="auto"/>
          <w:sz w:val="21"/>
          <w:szCs w:val="21"/>
          <w:highlight w:val="none"/>
        </w:rPr>
        <w:t>/a</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500</w:t>
      </w:r>
      <w:r>
        <w:rPr>
          <w:rFonts w:hint="default" w:ascii="Times New Roman" w:hAnsi="Times New Roman" w:cs="Times New Roman"/>
          <w:color w:val="auto"/>
          <w:sz w:val="21"/>
          <w:szCs w:val="21"/>
          <w:highlight w:val="none"/>
        </w:rPr>
        <w:t>mg/L×10</w:t>
      </w:r>
      <w:r>
        <w:rPr>
          <w:rFonts w:hint="default" w:ascii="Times New Roman" w:hAnsi="Times New Roman" w:cs="Times New Roman"/>
          <w:color w:val="auto"/>
          <w:sz w:val="21"/>
          <w:szCs w:val="21"/>
          <w:highlight w:val="none"/>
          <w:vertAlign w:val="superscript"/>
        </w:rPr>
        <w:t>-6</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4.474</w:t>
      </w:r>
      <w:r>
        <w:rPr>
          <w:rFonts w:hint="default" w:ascii="Times New Roman" w:hAnsi="Times New Roman" w:cs="Times New Roman"/>
          <w:color w:val="auto"/>
          <w:sz w:val="21"/>
          <w:szCs w:val="21"/>
          <w:highlight w:val="none"/>
        </w:rPr>
        <w:t>t/a；</w:t>
      </w:r>
    </w:p>
    <w:p w14:paraId="5593A96F">
      <w:pPr>
        <w:pStyle w:val="34"/>
        <w:spacing w:after="0"/>
        <w:ind w:firstLine="361" w:firstLineChars="200"/>
        <w:jc w:val="center"/>
        <w:rPr>
          <w:rFonts w:ascii="宋体" w:hAnsi="宋体" w:cs="宋体"/>
          <w:b/>
          <w:color w:val="auto"/>
          <w:highlight w:val="none"/>
        </w:rPr>
      </w:pPr>
      <w:r>
        <w:rPr>
          <w:rFonts w:hint="eastAsia" w:ascii="宋体" w:hAnsi="宋体" w:cs="宋体"/>
          <w:b/>
          <w:color w:val="auto"/>
          <w:highlight w:val="none"/>
        </w:rPr>
        <w:t>表</w:t>
      </w:r>
      <w:r>
        <w:rPr>
          <w:rFonts w:hint="default" w:ascii="Times New Roman" w:hAnsi="Times New Roman" w:cs="Times New Roman"/>
          <w:b/>
          <w:color w:val="auto"/>
          <w:highlight w:val="none"/>
          <w:lang w:val="en-US" w:eastAsia="zh-CN"/>
        </w:rPr>
        <w:t>2</w:t>
      </w:r>
      <w:r>
        <w:rPr>
          <w:rFonts w:hint="default" w:ascii="Times New Roman" w:hAnsi="Times New Roman" w:cs="Times New Roman"/>
          <w:b/>
          <w:color w:val="auto"/>
          <w:highlight w:val="none"/>
        </w:rPr>
        <w:t xml:space="preserve"> </w:t>
      </w:r>
      <w:r>
        <w:rPr>
          <w:rFonts w:hint="eastAsia" w:ascii="宋体" w:hAnsi="宋体" w:cs="宋体"/>
          <w:b/>
          <w:color w:val="auto"/>
          <w:highlight w:val="none"/>
        </w:rPr>
        <w:t xml:space="preserve"> 总量指标  单位：t/a</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31"/>
        <w:gridCol w:w="4332"/>
      </w:tblGrid>
      <w:tr w14:paraId="2A644C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31" w:type="dxa"/>
            <w:tcBorders>
              <w:tl2br w:val="nil"/>
              <w:tr2bl w:val="nil"/>
            </w:tcBorders>
            <w:vAlign w:val="center"/>
          </w:tcPr>
          <w:p w14:paraId="71C8E1BB">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指标</w:t>
            </w:r>
          </w:p>
        </w:tc>
        <w:tc>
          <w:tcPr>
            <w:tcW w:w="4332" w:type="dxa"/>
            <w:tcBorders>
              <w:tl2br w:val="nil"/>
              <w:tr2bl w:val="nil"/>
            </w:tcBorders>
            <w:vAlign w:val="center"/>
          </w:tcPr>
          <w:p w14:paraId="7A643A16">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核定总量</w:t>
            </w:r>
          </w:p>
        </w:tc>
      </w:tr>
      <w:tr w14:paraId="585EC8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31" w:type="dxa"/>
            <w:tcBorders>
              <w:tl2br w:val="nil"/>
              <w:tr2bl w:val="nil"/>
            </w:tcBorders>
            <w:vAlign w:val="center"/>
          </w:tcPr>
          <w:p w14:paraId="361FFC12">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颗粒物</w:t>
            </w:r>
          </w:p>
        </w:tc>
        <w:tc>
          <w:tcPr>
            <w:tcW w:w="4332" w:type="dxa"/>
            <w:tcBorders>
              <w:tl2br w:val="nil"/>
              <w:tr2bl w:val="nil"/>
            </w:tcBorders>
            <w:vAlign w:val="center"/>
          </w:tcPr>
          <w:p w14:paraId="31AC9AA4">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rPr>
            </w:pPr>
            <w:r>
              <w:rPr>
                <w:rFonts w:hint="eastAsia" w:cs="Times New Roman"/>
                <w:color w:val="auto"/>
                <w:sz w:val="18"/>
                <w:szCs w:val="18"/>
                <w:highlight w:val="none"/>
                <w:lang w:val="en-US" w:eastAsia="zh-CN"/>
              </w:rPr>
              <w:t>9.385</w:t>
            </w:r>
          </w:p>
        </w:tc>
      </w:tr>
      <w:tr w14:paraId="078E04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31" w:type="dxa"/>
            <w:tcBorders>
              <w:tl2br w:val="nil"/>
              <w:tr2bl w:val="nil"/>
            </w:tcBorders>
            <w:vAlign w:val="center"/>
          </w:tcPr>
          <w:p w14:paraId="74F00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rPr>
            </w:pPr>
            <w:r>
              <w:rPr>
                <w:rFonts w:hint="default"/>
                <w:color w:val="auto"/>
                <w:sz w:val="18"/>
                <w:szCs w:val="18"/>
                <w:highlight w:val="none"/>
              </w:rPr>
              <w:t>SO</w:t>
            </w:r>
            <w:r>
              <w:rPr>
                <w:rFonts w:hint="default"/>
                <w:color w:val="auto"/>
                <w:sz w:val="18"/>
                <w:szCs w:val="18"/>
                <w:highlight w:val="none"/>
                <w:vertAlign w:val="subscript"/>
              </w:rPr>
              <w:t>2</w:t>
            </w:r>
          </w:p>
        </w:tc>
        <w:tc>
          <w:tcPr>
            <w:tcW w:w="4332" w:type="dxa"/>
            <w:tcBorders>
              <w:tl2br w:val="nil"/>
              <w:tr2bl w:val="nil"/>
            </w:tcBorders>
            <w:vAlign w:val="center"/>
          </w:tcPr>
          <w:p w14:paraId="223B04CF">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s="Times New Roman"/>
                <w:color w:val="auto"/>
                <w:sz w:val="18"/>
                <w:szCs w:val="18"/>
                <w:highlight w:val="none"/>
                <w:lang w:val="en-US" w:eastAsia="zh-CN"/>
              </w:rPr>
              <w:t>45.048</w:t>
            </w:r>
          </w:p>
        </w:tc>
      </w:tr>
      <w:tr w14:paraId="300E00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31" w:type="dxa"/>
            <w:tcBorders>
              <w:tl2br w:val="nil"/>
              <w:tr2bl w:val="nil"/>
            </w:tcBorders>
            <w:vAlign w:val="center"/>
          </w:tcPr>
          <w:p w14:paraId="703B5B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rPr>
            </w:pPr>
            <w:r>
              <w:rPr>
                <w:rFonts w:hint="default"/>
                <w:color w:val="auto"/>
                <w:sz w:val="18"/>
                <w:szCs w:val="18"/>
                <w:highlight w:val="none"/>
              </w:rPr>
              <w:t>NO</w:t>
            </w:r>
            <w:r>
              <w:rPr>
                <w:rFonts w:hint="default"/>
                <w:color w:val="auto"/>
                <w:sz w:val="18"/>
                <w:szCs w:val="18"/>
                <w:highlight w:val="none"/>
                <w:vertAlign w:val="subscript"/>
              </w:rPr>
              <w:t>X</w:t>
            </w:r>
          </w:p>
        </w:tc>
        <w:tc>
          <w:tcPr>
            <w:tcW w:w="4332" w:type="dxa"/>
            <w:tcBorders>
              <w:tl2br w:val="nil"/>
              <w:tr2bl w:val="nil"/>
            </w:tcBorders>
            <w:vAlign w:val="center"/>
          </w:tcPr>
          <w:p w14:paraId="048186D9">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ascii="Times New Roman" w:cs="Times New Roman"/>
                <w:color w:val="auto"/>
                <w:sz w:val="18"/>
                <w:szCs w:val="18"/>
                <w:highlight w:val="none"/>
                <w:lang w:val="en-US" w:eastAsia="zh-CN"/>
              </w:rPr>
              <w:t>56.31</w:t>
            </w:r>
          </w:p>
        </w:tc>
      </w:tr>
      <w:tr w14:paraId="64E3CB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31" w:type="dxa"/>
            <w:tcBorders>
              <w:tl2br w:val="nil"/>
              <w:tr2bl w:val="nil"/>
            </w:tcBorders>
            <w:vAlign w:val="center"/>
          </w:tcPr>
          <w:p w14:paraId="5DB518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COD</w:t>
            </w:r>
          </w:p>
        </w:tc>
        <w:tc>
          <w:tcPr>
            <w:tcW w:w="4332" w:type="dxa"/>
            <w:tcBorders>
              <w:tl2br w:val="nil"/>
              <w:tr2bl w:val="nil"/>
            </w:tcBorders>
            <w:vAlign w:val="center"/>
          </w:tcPr>
          <w:p w14:paraId="0D542730">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4.474</w:t>
            </w:r>
          </w:p>
        </w:tc>
      </w:tr>
    </w:tbl>
    <w:p w14:paraId="7B756F5A">
      <w:pPr>
        <w:rPr>
          <w:rFonts w:hint="default" w:ascii="Times New Roman" w:hAnsi="Times New Roman" w:eastAsia="宋体" w:cs="Times New Roman"/>
          <w:color w:val="auto"/>
          <w:sz w:val="21"/>
          <w:szCs w:val="21"/>
          <w:highlight w:val="none"/>
          <w:lang w:val="en-US" w:eastAsia="zh-CN"/>
        </w:rPr>
      </w:pPr>
    </w:p>
    <w:p w14:paraId="5389EDCE">
      <w:pPr>
        <w:rPr>
          <w:rFonts w:hint="default" w:ascii="Times New Roman" w:hAnsi="Times New Roman" w:eastAsia="宋体" w:cs="Times New Roman"/>
          <w:color w:val="auto"/>
          <w:sz w:val="21"/>
          <w:szCs w:val="21"/>
          <w:highlight w:val="none"/>
          <w:lang w:val="en-US" w:eastAsia="zh-CN"/>
        </w:rPr>
      </w:pPr>
    </w:p>
    <w:p w14:paraId="5D1A4562">
      <w:pPr>
        <w:rPr>
          <w:rFonts w:hint="default" w:ascii="Times New Roman" w:hAnsi="Times New Roman" w:eastAsia="宋体" w:cs="Times New Roman"/>
          <w:color w:val="auto"/>
          <w:sz w:val="21"/>
          <w:szCs w:val="21"/>
          <w:highlight w:val="none"/>
          <w:lang w:val="en-US" w:eastAsia="zh-CN"/>
        </w:rPr>
      </w:pPr>
    </w:p>
    <w:p w14:paraId="35C3124D">
      <w:pPr>
        <w:rPr>
          <w:rFonts w:hint="default" w:ascii="Times New Roman" w:hAnsi="Times New Roman" w:eastAsia="宋体" w:cs="Times New Roman"/>
          <w:color w:val="auto"/>
          <w:sz w:val="21"/>
          <w:szCs w:val="21"/>
          <w:highlight w:val="none"/>
          <w:lang w:val="en-US" w:eastAsia="zh-CN"/>
        </w:rPr>
      </w:pPr>
    </w:p>
    <w:p w14:paraId="7C999BE5">
      <w:pPr>
        <w:rPr>
          <w:rFonts w:hint="default" w:ascii="Times New Roman" w:hAnsi="Times New Roman" w:eastAsia="宋体" w:cs="Times New Roman"/>
          <w:color w:val="auto"/>
          <w:sz w:val="21"/>
          <w:szCs w:val="21"/>
          <w:highlight w:val="none"/>
          <w:lang w:val="en-US" w:eastAsia="zh-CN"/>
        </w:rPr>
      </w:pPr>
    </w:p>
    <w:p w14:paraId="21166287">
      <w:pPr>
        <w:rPr>
          <w:rFonts w:hint="default" w:ascii="Times New Roman" w:hAnsi="Times New Roman" w:eastAsia="宋体" w:cs="Times New Roman"/>
          <w:color w:val="auto"/>
          <w:sz w:val="21"/>
          <w:szCs w:val="21"/>
          <w:highlight w:val="none"/>
          <w:lang w:val="en-US" w:eastAsia="zh-CN"/>
        </w:rPr>
      </w:pPr>
    </w:p>
    <w:p w14:paraId="7F41FA0B">
      <w:pPr>
        <w:rPr>
          <w:rFonts w:hint="default" w:ascii="Times New Roman" w:hAnsi="Times New Roman" w:eastAsia="宋体" w:cs="Times New Roman"/>
          <w:color w:val="auto"/>
          <w:sz w:val="21"/>
          <w:szCs w:val="21"/>
          <w:highlight w:val="none"/>
          <w:lang w:val="en-US" w:eastAsia="zh-CN"/>
        </w:rPr>
      </w:pPr>
    </w:p>
    <w:p w14:paraId="296919B2">
      <w:pPr>
        <w:rPr>
          <w:rFonts w:hint="default" w:ascii="Times New Roman" w:hAnsi="Times New Roman" w:eastAsia="宋体" w:cs="Times New Roman"/>
          <w:color w:val="auto"/>
          <w:sz w:val="21"/>
          <w:szCs w:val="21"/>
          <w:highlight w:val="none"/>
          <w:lang w:val="en-US" w:eastAsia="zh-CN"/>
        </w:rPr>
      </w:pPr>
    </w:p>
    <w:p w14:paraId="7DF6A0F0">
      <w:pPr>
        <w:rPr>
          <w:rFonts w:hint="default" w:ascii="Times New Roman" w:hAnsi="Times New Roman" w:eastAsia="宋体" w:cs="Times New Roman"/>
          <w:color w:val="auto"/>
          <w:sz w:val="21"/>
          <w:szCs w:val="21"/>
          <w:highlight w:val="none"/>
          <w:lang w:val="en-US" w:eastAsia="zh-CN"/>
        </w:rPr>
      </w:pPr>
    </w:p>
    <w:p w14:paraId="4D778024">
      <w:pPr>
        <w:rPr>
          <w:rFonts w:hint="default" w:ascii="Times New Roman" w:hAnsi="Times New Roman" w:eastAsia="宋体" w:cs="Times New Roman"/>
          <w:color w:val="auto"/>
          <w:sz w:val="21"/>
          <w:szCs w:val="21"/>
          <w:highlight w:val="none"/>
          <w:lang w:val="en-US" w:eastAsia="zh-CN"/>
        </w:rPr>
      </w:pPr>
    </w:p>
    <w:p w14:paraId="494678AA">
      <w:pPr>
        <w:rPr>
          <w:rFonts w:hint="default" w:ascii="Times New Roman" w:hAnsi="Times New Roman" w:eastAsia="宋体" w:cs="Times New Roman"/>
          <w:color w:val="auto"/>
          <w:sz w:val="21"/>
          <w:szCs w:val="21"/>
          <w:highlight w:val="none"/>
          <w:lang w:val="en-US" w:eastAsia="zh-CN"/>
        </w:rPr>
      </w:pPr>
    </w:p>
    <w:p w14:paraId="32FB7E81">
      <w:pPr>
        <w:rPr>
          <w:rFonts w:hint="default" w:ascii="Times New Roman" w:hAnsi="Times New Roman" w:eastAsia="宋体" w:cs="Times New Roman"/>
          <w:color w:val="auto"/>
          <w:sz w:val="21"/>
          <w:szCs w:val="21"/>
          <w:highlight w:val="none"/>
          <w:lang w:val="en-US" w:eastAsia="zh-CN"/>
        </w:rPr>
      </w:pPr>
    </w:p>
    <w:p w14:paraId="363B51D0">
      <w:pPr>
        <w:rPr>
          <w:rFonts w:hint="default" w:ascii="Times New Roman" w:hAnsi="Times New Roman" w:eastAsia="宋体" w:cs="Times New Roman"/>
          <w:color w:val="auto"/>
          <w:sz w:val="21"/>
          <w:szCs w:val="21"/>
          <w:highlight w:val="none"/>
          <w:lang w:val="en-US" w:eastAsia="zh-CN"/>
        </w:rPr>
      </w:pPr>
    </w:p>
    <w:p w14:paraId="4D9021F5">
      <w:pPr>
        <w:rPr>
          <w:rFonts w:hint="default" w:ascii="Times New Roman" w:hAnsi="Times New Roman" w:eastAsia="宋体" w:cs="Times New Roman"/>
          <w:color w:val="auto"/>
          <w:sz w:val="21"/>
          <w:szCs w:val="21"/>
          <w:highlight w:val="none"/>
          <w:lang w:val="en-US" w:eastAsia="zh-CN"/>
        </w:rPr>
      </w:pPr>
    </w:p>
    <w:p w14:paraId="1ED6E48A">
      <w:pPr>
        <w:rPr>
          <w:rFonts w:hint="default" w:ascii="Times New Roman" w:hAnsi="Times New Roman" w:eastAsia="宋体" w:cs="Times New Roman"/>
          <w:color w:val="auto"/>
          <w:sz w:val="21"/>
          <w:szCs w:val="21"/>
          <w:highlight w:val="none"/>
          <w:lang w:val="en-US" w:eastAsia="zh-CN"/>
        </w:rPr>
      </w:pPr>
    </w:p>
    <w:p w14:paraId="6DFC6E49">
      <w:pPr>
        <w:rPr>
          <w:rFonts w:hint="default" w:ascii="Times New Roman" w:hAnsi="Times New Roman" w:eastAsia="宋体" w:cs="Times New Roman"/>
          <w:color w:val="auto"/>
          <w:sz w:val="21"/>
          <w:szCs w:val="21"/>
          <w:highlight w:val="none"/>
          <w:lang w:val="en-US" w:eastAsia="zh-CN"/>
        </w:rPr>
      </w:pPr>
    </w:p>
    <w:p w14:paraId="51CCDD73">
      <w:pPr>
        <w:rPr>
          <w:rFonts w:hint="default" w:ascii="Times New Roman" w:hAnsi="Times New Roman" w:eastAsia="宋体" w:cs="Times New Roman"/>
          <w:color w:val="auto"/>
          <w:sz w:val="21"/>
          <w:szCs w:val="21"/>
          <w:highlight w:val="none"/>
          <w:lang w:val="en-US" w:eastAsia="zh-CN"/>
        </w:rPr>
      </w:pPr>
    </w:p>
    <w:p w14:paraId="583B5DBD">
      <w:pPr>
        <w:rPr>
          <w:rFonts w:hint="default" w:ascii="Times New Roman" w:hAnsi="Times New Roman" w:eastAsia="宋体" w:cs="Times New Roman"/>
          <w:color w:val="auto"/>
          <w:sz w:val="21"/>
          <w:szCs w:val="21"/>
          <w:highlight w:val="none"/>
          <w:lang w:val="en-US" w:eastAsia="zh-CN"/>
        </w:rPr>
      </w:pPr>
    </w:p>
    <w:p w14:paraId="362D78A1">
      <w:pPr>
        <w:rPr>
          <w:rFonts w:hint="default" w:ascii="Times New Roman" w:hAnsi="Times New Roman" w:eastAsia="宋体" w:cs="Times New Roman"/>
          <w:color w:val="auto"/>
          <w:sz w:val="21"/>
          <w:szCs w:val="21"/>
          <w:highlight w:val="none"/>
          <w:lang w:val="en-US" w:eastAsia="zh-CN"/>
        </w:rPr>
      </w:pPr>
    </w:p>
    <w:p w14:paraId="54E0900A">
      <w:pPr>
        <w:rPr>
          <w:rFonts w:hint="default" w:ascii="Times New Roman" w:hAnsi="Times New Roman" w:eastAsia="宋体" w:cs="Times New Roman"/>
          <w:color w:val="auto"/>
          <w:sz w:val="21"/>
          <w:szCs w:val="21"/>
          <w:highlight w:val="none"/>
          <w:lang w:val="en-US" w:eastAsia="zh-CN"/>
        </w:rPr>
      </w:pPr>
    </w:p>
    <w:p w14:paraId="05209035">
      <w:pPr>
        <w:rPr>
          <w:rFonts w:hint="default" w:ascii="Times New Roman" w:hAnsi="Times New Roman" w:eastAsia="宋体" w:cs="Times New Roman"/>
          <w:color w:val="auto"/>
          <w:sz w:val="21"/>
          <w:szCs w:val="21"/>
          <w:highlight w:val="none"/>
          <w:lang w:val="en-US" w:eastAsia="zh-CN"/>
        </w:rPr>
      </w:pPr>
    </w:p>
    <w:p w14:paraId="4199293B">
      <w:pPr>
        <w:rPr>
          <w:rFonts w:hint="default" w:ascii="Times New Roman" w:hAnsi="Times New Roman" w:eastAsia="宋体" w:cs="Times New Roman"/>
          <w:color w:val="auto"/>
          <w:sz w:val="21"/>
          <w:szCs w:val="21"/>
          <w:highlight w:val="none"/>
          <w:lang w:val="en-US" w:eastAsia="zh-CN"/>
        </w:rPr>
      </w:pPr>
    </w:p>
    <w:p w14:paraId="7A814B58">
      <w:pPr>
        <w:rPr>
          <w:rFonts w:hint="default" w:ascii="Times New Roman" w:hAnsi="Times New Roman" w:eastAsia="宋体" w:cs="Times New Roman"/>
          <w:color w:val="auto"/>
          <w:sz w:val="21"/>
          <w:szCs w:val="21"/>
          <w:highlight w:val="none"/>
          <w:lang w:val="en-US" w:eastAsia="zh-CN"/>
        </w:rPr>
      </w:pPr>
    </w:p>
    <w:p w14:paraId="0F68FA08">
      <w:pPr>
        <w:rPr>
          <w:rFonts w:hint="default" w:ascii="Times New Roman" w:hAnsi="Times New Roman" w:eastAsia="宋体" w:cs="Times New Roman"/>
          <w:color w:val="auto"/>
          <w:sz w:val="21"/>
          <w:szCs w:val="21"/>
          <w:highlight w:val="none"/>
          <w:lang w:val="en-US" w:eastAsia="zh-CN"/>
        </w:rPr>
      </w:pPr>
    </w:p>
    <w:p w14:paraId="7B0E8959">
      <w:pPr>
        <w:rPr>
          <w:rFonts w:hint="default" w:ascii="Times New Roman" w:hAnsi="Times New Roman" w:eastAsia="宋体" w:cs="Times New Roman"/>
          <w:color w:val="auto"/>
          <w:sz w:val="21"/>
          <w:szCs w:val="21"/>
          <w:highlight w:val="none"/>
          <w:lang w:val="en-US" w:eastAsia="zh-CN"/>
        </w:rPr>
      </w:pPr>
    </w:p>
    <w:p w14:paraId="0A9E9EB1">
      <w:pPr>
        <w:rPr>
          <w:rFonts w:hint="default" w:ascii="Times New Roman" w:hAnsi="Times New Roman" w:eastAsia="宋体" w:cs="Times New Roman"/>
          <w:color w:val="auto"/>
          <w:sz w:val="21"/>
          <w:szCs w:val="21"/>
          <w:highlight w:val="none"/>
          <w:lang w:val="en-US" w:eastAsia="zh-CN"/>
        </w:rPr>
      </w:pPr>
    </w:p>
    <w:p w14:paraId="1234D24E">
      <w:pPr>
        <w:rPr>
          <w:rFonts w:hint="default" w:ascii="Times New Roman" w:hAnsi="Times New Roman" w:eastAsia="宋体" w:cs="Times New Roman"/>
          <w:color w:val="auto"/>
          <w:sz w:val="21"/>
          <w:szCs w:val="21"/>
          <w:highlight w:val="none"/>
          <w:lang w:val="en-US" w:eastAsia="zh-CN"/>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619F1AC1">
      <w:pPr>
        <w:pStyle w:val="2"/>
        <w:spacing w:line="260" w:lineRule="auto"/>
        <w:ind w:left="0" w:firstLine="0"/>
        <w:rPr>
          <w:rFonts w:hint="default" w:ascii="Times New Roman" w:hAnsi="Times New Roman" w:eastAsia="黑体" w:cs="Times New Roman"/>
          <w:color w:val="auto"/>
          <w:highlight w:val="none"/>
          <w:lang w:val="en-US" w:eastAsia="zh-CN"/>
        </w:rPr>
      </w:pPr>
      <w:r>
        <w:rPr>
          <w:rFonts w:hint="default" w:ascii="Times New Roman" w:hAnsi="Times New Roman" w:eastAsia="宋体" w:cs="Times New Roman"/>
          <w:color w:val="auto"/>
          <w:sz w:val="21"/>
          <w:szCs w:val="21"/>
          <w:highlight w:val="none"/>
        </w:rPr>
        <w:t>附件</w:t>
      </w:r>
      <w:r>
        <w:rPr>
          <w:rFonts w:hint="eastAsia" w:eastAsia="宋体" w:cs="Times New Roman"/>
          <w:color w:val="auto"/>
          <w:sz w:val="21"/>
          <w:szCs w:val="21"/>
          <w:highlight w:val="none"/>
          <w:lang w:val="en-US" w:eastAsia="zh-CN"/>
        </w:rPr>
        <w:t>13生态环境分区管控报告</w:t>
      </w:r>
    </w:p>
    <w:p w14:paraId="1A543E74">
      <w:pPr>
        <w:spacing w:line="240" w:lineRule="auto"/>
        <w:jc w:val="center"/>
        <w:outlineLvl w:val="9"/>
        <w:rPr>
          <w:color w:val="auto"/>
          <w:highlight w:val="none"/>
        </w:rPr>
      </w:pPr>
      <w:r>
        <w:rPr>
          <w:color w:val="auto"/>
          <w:highlight w:val="none"/>
        </w:rPr>
        <w:drawing>
          <wp:inline distT="0" distB="0" distL="114300" distR="114300">
            <wp:extent cx="7084060" cy="4818380"/>
            <wp:effectExtent l="0" t="0" r="2540" b="127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103"/>
                    <a:stretch>
                      <a:fillRect/>
                    </a:stretch>
                  </pic:blipFill>
                  <pic:spPr>
                    <a:xfrm>
                      <a:off x="0" y="0"/>
                      <a:ext cx="7084060" cy="4818380"/>
                    </a:xfrm>
                    <a:prstGeom prst="rect">
                      <a:avLst/>
                    </a:prstGeom>
                    <a:noFill/>
                    <a:ln>
                      <a:noFill/>
                    </a:ln>
                  </pic:spPr>
                </pic:pic>
              </a:graphicData>
            </a:graphic>
          </wp:inline>
        </w:drawing>
      </w:r>
      <w:r>
        <w:rPr>
          <w:color w:val="auto"/>
          <w:highlight w:val="none"/>
        </w:rPr>
        <w:drawing>
          <wp:inline distT="0" distB="0" distL="114300" distR="114300">
            <wp:extent cx="8708390" cy="5118100"/>
            <wp:effectExtent l="0" t="0" r="16510" b="635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104"/>
                    <a:stretch>
                      <a:fillRect/>
                    </a:stretch>
                  </pic:blipFill>
                  <pic:spPr>
                    <a:xfrm>
                      <a:off x="0" y="0"/>
                      <a:ext cx="8708390" cy="5118100"/>
                    </a:xfrm>
                    <a:prstGeom prst="rect">
                      <a:avLst/>
                    </a:prstGeom>
                    <a:noFill/>
                    <a:ln>
                      <a:noFill/>
                    </a:ln>
                  </pic:spPr>
                </pic:pic>
              </a:graphicData>
            </a:graphic>
          </wp:inline>
        </w:drawing>
      </w:r>
      <w:r>
        <w:rPr>
          <w:color w:val="auto"/>
          <w:highlight w:val="none"/>
        </w:rPr>
        <w:drawing>
          <wp:inline distT="0" distB="0" distL="114300" distR="114300">
            <wp:extent cx="8299450" cy="5203190"/>
            <wp:effectExtent l="0" t="0" r="6350" b="1651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105"/>
                    <a:stretch>
                      <a:fillRect/>
                    </a:stretch>
                  </pic:blipFill>
                  <pic:spPr>
                    <a:xfrm>
                      <a:off x="0" y="0"/>
                      <a:ext cx="8299450" cy="5203190"/>
                    </a:xfrm>
                    <a:prstGeom prst="rect">
                      <a:avLst/>
                    </a:prstGeom>
                    <a:noFill/>
                    <a:ln>
                      <a:noFill/>
                    </a:ln>
                  </pic:spPr>
                </pic:pic>
              </a:graphicData>
            </a:graphic>
          </wp:inline>
        </w:drawing>
      </w:r>
      <w:r>
        <w:rPr>
          <w:color w:val="auto"/>
          <w:highlight w:val="none"/>
        </w:rPr>
        <w:drawing>
          <wp:inline distT="0" distB="0" distL="114300" distR="114300">
            <wp:extent cx="7941310" cy="5090160"/>
            <wp:effectExtent l="0" t="0" r="2540" b="1524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106"/>
                    <a:stretch>
                      <a:fillRect/>
                    </a:stretch>
                  </pic:blipFill>
                  <pic:spPr>
                    <a:xfrm>
                      <a:off x="0" y="0"/>
                      <a:ext cx="7941310" cy="5090160"/>
                    </a:xfrm>
                    <a:prstGeom prst="rect">
                      <a:avLst/>
                    </a:prstGeom>
                    <a:noFill/>
                    <a:ln>
                      <a:noFill/>
                    </a:ln>
                  </pic:spPr>
                </pic:pic>
              </a:graphicData>
            </a:graphic>
          </wp:inline>
        </w:drawing>
      </w:r>
      <w:r>
        <w:rPr>
          <w:color w:val="auto"/>
          <w:highlight w:val="none"/>
        </w:rPr>
        <w:drawing>
          <wp:inline distT="0" distB="0" distL="114300" distR="114300">
            <wp:extent cx="7759065" cy="5016500"/>
            <wp:effectExtent l="0" t="0" r="13335" b="12700"/>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107"/>
                    <a:stretch>
                      <a:fillRect/>
                    </a:stretch>
                  </pic:blipFill>
                  <pic:spPr>
                    <a:xfrm>
                      <a:off x="0" y="0"/>
                      <a:ext cx="7759065" cy="5016500"/>
                    </a:xfrm>
                    <a:prstGeom prst="rect">
                      <a:avLst/>
                    </a:prstGeom>
                    <a:noFill/>
                    <a:ln>
                      <a:noFill/>
                    </a:ln>
                  </pic:spPr>
                </pic:pic>
              </a:graphicData>
            </a:graphic>
          </wp:inline>
        </w:drawing>
      </w:r>
      <w:r>
        <w:rPr>
          <w:color w:val="auto"/>
          <w:highlight w:val="none"/>
        </w:rPr>
        <w:drawing>
          <wp:inline distT="0" distB="0" distL="114300" distR="114300">
            <wp:extent cx="8164830" cy="5227320"/>
            <wp:effectExtent l="0" t="0" r="7620" b="11430"/>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108"/>
                    <a:stretch>
                      <a:fillRect/>
                    </a:stretch>
                  </pic:blipFill>
                  <pic:spPr>
                    <a:xfrm>
                      <a:off x="0" y="0"/>
                      <a:ext cx="8164830" cy="5227320"/>
                    </a:xfrm>
                    <a:prstGeom prst="rect">
                      <a:avLst/>
                    </a:prstGeom>
                    <a:noFill/>
                    <a:ln>
                      <a:noFill/>
                    </a:ln>
                  </pic:spPr>
                </pic:pic>
              </a:graphicData>
            </a:graphic>
          </wp:inline>
        </w:drawing>
      </w:r>
      <w:r>
        <w:rPr>
          <w:color w:val="auto"/>
          <w:highlight w:val="none"/>
        </w:rPr>
        <w:drawing>
          <wp:inline distT="0" distB="0" distL="114300" distR="114300">
            <wp:extent cx="8017510" cy="5231130"/>
            <wp:effectExtent l="0" t="0" r="2540" b="7620"/>
            <wp:docPr id="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
                    <pic:cNvPicPr>
                      <a:picLocks noChangeAspect="1"/>
                    </pic:cNvPicPr>
                  </pic:nvPicPr>
                  <pic:blipFill>
                    <a:blip r:embed="rId109"/>
                    <a:stretch>
                      <a:fillRect/>
                    </a:stretch>
                  </pic:blipFill>
                  <pic:spPr>
                    <a:xfrm>
                      <a:off x="0" y="0"/>
                      <a:ext cx="8017510" cy="5231130"/>
                    </a:xfrm>
                    <a:prstGeom prst="rect">
                      <a:avLst/>
                    </a:prstGeom>
                    <a:noFill/>
                    <a:ln>
                      <a:noFill/>
                    </a:ln>
                  </pic:spPr>
                </pic:pic>
              </a:graphicData>
            </a:graphic>
          </wp:inline>
        </w:drawing>
      </w:r>
      <w:r>
        <w:rPr>
          <w:color w:val="auto"/>
          <w:highlight w:val="none"/>
        </w:rPr>
        <w:drawing>
          <wp:inline distT="0" distB="0" distL="114300" distR="114300">
            <wp:extent cx="8440420" cy="5124450"/>
            <wp:effectExtent l="0" t="0" r="17780" b="0"/>
            <wp:docPr id="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pic:cNvPicPr>
                      <a:picLocks noChangeAspect="1"/>
                    </pic:cNvPicPr>
                  </pic:nvPicPr>
                  <pic:blipFill>
                    <a:blip r:embed="rId110"/>
                    <a:stretch>
                      <a:fillRect/>
                    </a:stretch>
                  </pic:blipFill>
                  <pic:spPr>
                    <a:xfrm>
                      <a:off x="0" y="0"/>
                      <a:ext cx="8440420" cy="5124450"/>
                    </a:xfrm>
                    <a:prstGeom prst="rect">
                      <a:avLst/>
                    </a:prstGeom>
                    <a:noFill/>
                    <a:ln>
                      <a:noFill/>
                    </a:ln>
                  </pic:spPr>
                </pic:pic>
              </a:graphicData>
            </a:graphic>
          </wp:inline>
        </w:drawing>
      </w:r>
      <w:r>
        <w:rPr>
          <w:color w:val="auto"/>
          <w:highlight w:val="none"/>
        </w:rPr>
        <w:drawing>
          <wp:inline distT="0" distB="0" distL="114300" distR="114300">
            <wp:extent cx="8703945" cy="5108575"/>
            <wp:effectExtent l="0" t="0" r="1905" b="15875"/>
            <wp:docPr id="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
                    <pic:cNvPicPr>
                      <a:picLocks noChangeAspect="1"/>
                    </pic:cNvPicPr>
                  </pic:nvPicPr>
                  <pic:blipFill>
                    <a:blip r:embed="rId111"/>
                    <a:stretch>
                      <a:fillRect/>
                    </a:stretch>
                  </pic:blipFill>
                  <pic:spPr>
                    <a:xfrm>
                      <a:off x="0" y="0"/>
                      <a:ext cx="8703945" cy="5108575"/>
                    </a:xfrm>
                    <a:prstGeom prst="rect">
                      <a:avLst/>
                    </a:prstGeom>
                    <a:noFill/>
                    <a:ln>
                      <a:noFill/>
                    </a:ln>
                  </pic:spPr>
                </pic:pic>
              </a:graphicData>
            </a:graphic>
          </wp:inline>
        </w:drawing>
      </w:r>
      <w:r>
        <w:rPr>
          <w:color w:val="auto"/>
          <w:highlight w:val="none"/>
        </w:rPr>
        <w:drawing>
          <wp:inline distT="0" distB="0" distL="114300" distR="114300">
            <wp:extent cx="8377555" cy="5033010"/>
            <wp:effectExtent l="0" t="0" r="4445" b="15240"/>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112"/>
                    <a:stretch>
                      <a:fillRect/>
                    </a:stretch>
                  </pic:blipFill>
                  <pic:spPr>
                    <a:xfrm>
                      <a:off x="0" y="0"/>
                      <a:ext cx="8377555" cy="5033010"/>
                    </a:xfrm>
                    <a:prstGeom prst="rect">
                      <a:avLst/>
                    </a:prstGeom>
                    <a:noFill/>
                    <a:ln>
                      <a:noFill/>
                    </a:ln>
                  </pic:spPr>
                </pic:pic>
              </a:graphicData>
            </a:graphic>
          </wp:inline>
        </w:drawing>
      </w:r>
    </w:p>
    <w:p w14:paraId="2D360AC1">
      <w:pPr>
        <w:spacing w:line="240" w:lineRule="auto"/>
        <w:jc w:val="center"/>
        <w:outlineLvl w:val="9"/>
        <w:rPr>
          <w:rFonts w:hint="eastAsia" w:eastAsia="宋体"/>
          <w:color w:val="auto"/>
          <w:highlight w:val="none"/>
          <w:lang w:eastAsia="zh-CN"/>
        </w:rPr>
      </w:pPr>
      <w:r>
        <w:rPr>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7817485</wp:posOffset>
                </wp:positionH>
                <wp:positionV relativeFrom="paragraph">
                  <wp:posOffset>3855085</wp:posOffset>
                </wp:positionV>
                <wp:extent cx="864870" cy="707390"/>
                <wp:effectExtent l="4445" t="4445" r="6985" b="12065"/>
                <wp:wrapNone/>
                <wp:docPr id="76" name="文本框 76"/>
                <wp:cNvGraphicFramePr/>
                <a:graphic xmlns:a="http://schemas.openxmlformats.org/drawingml/2006/main">
                  <a:graphicData uri="http://schemas.microsoft.com/office/word/2010/wordprocessingShape">
                    <wps:wsp>
                      <wps:cNvSpPr txBox="1"/>
                      <wps:spPr>
                        <a:xfrm>
                          <a:off x="0" y="0"/>
                          <a:ext cx="864870" cy="7073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1102522">
                            <w:pPr>
                              <w:jc w:val="center"/>
                              <w:rPr>
                                <w:rFonts w:hint="eastAsia"/>
                                <w:lang w:eastAsia="zh-CN"/>
                              </w:rPr>
                            </w:pPr>
                            <w:r>
                              <w:rPr>
                                <w:rFonts w:hint="eastAsia"/>
                                <w:lang w:eastAsia="zh-CN"/>
                              </w:rPr>
                              <w:t>图例</w:t>
                            </w:r>
                          </w:p>
                          <w:p w14:paraId="1ADB19B8">
                            <w:pPr>
                              <w:jc w:val="center"/>
                              <w:rPr>
                                <w:rFonts w:hint="eastAsia"/>
                                <w:lang w:eastAsia="zh-CN"/>
                              </w:rPr>
                            </w:pPr>
                            <w:r>
                              <w:rPr>
                                <w:rFonts w:hint="eastAsia"/>
                                <w:color w:val="FF0000"/>
                                <w:lang w:eastAsia="zh-CN"/>
                              </w:rPr>
                              <w:t>★</w:t>
                            </w:r>
                          </w:p>
                          <w:p w14:paraId="0CC44127">
                            <w:pPr>
                              <w:jc w:val="center"/>
                              <w:rPr>
                                <w:rFonts w:hint="eastAsia" w:eastAsia="宋体"/>
                                <w:lang w:eastAsia="zh-CN"/>
                              </w:rPr>
                            </w:pPr>
                            <w:r>
                              <w:rPr>
                                <w:rFonts w:hint="eastAsia"/>
                                <w:lang w:eastAsia="zh-CN"/>
                              </w:rPr>
                              <w:t>项目位置</w:t>
                            </w:r>
                          </w:p>
                        </w:txbxContent>
                      </wps:txbx>
                      <wps:bodyPr upright="1"/>
                    </wps:wsp>
                  </a:graphicData>
                </a:graphic>
              </wp:anchor>
            </w:drawing>
          </mc:Choice>
          <mc:Fallback>
            <w:pict>
              <v:shape id="_x0000_s1026" o:spid="_x0000_s1026" o:spt="202" type="#_x0000_t202" style="position:absolute;left:0pt;margin-left:615.55pt;margin-top:303.55pt;height:55.7pt;width:68.1pt;z-index:251668480;mso-width-relative:page;mso-height-relative:page;" fillcolor="#FFFFFF" filled="t" stroked="t" coordsize="21600,21600" o:gfxdata="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yLsMu2wAAAA0BAAAPAAAAAAAA&#10;AAEAIAAAACIAAABkcnMvZG93bnJldi54bWxQSwECFAAUAAAACACHTuJAmfIZ4w8CAAA3BAAADgAA&#10;AAAAAAABACAAAAAqAQAAZHJzL2Uyb0RvYy54bWxQSwUGAAAAAAYABgBZAQAAqwUAAAAA&#10;">
                <v:fill on="t" focussize="0,0"/>
                <v:stroke color="#000000" joinstyle="miter"/>
                <v:imagedata o:title=""/>
                <o:lock v:ext="edit" aspectratio="f"/>
                <v:textbox>
                  <w:txbxContent>
                    <w:p w14:paraId="41102522">
                      <w:pPr>
                        <w:jc w:val="center"/>
                        <w:rPr>
                          <w:rFonts w:hint="eastAsia"/>
                          <w:lang w:eastAsia="zh-CN"/>
                        </w:rPr>
                      </w:pPr>
                      <w:r>
                        <w:rPr>
                          <w:rFonts w:hint="eastAsia"/>
                          <w:lang w:eastAsia="zh-CN"/>
                        </w:rPr>
                        <w:t>图例</w:t>
                      </w:r>
                    </w:p>
                    <w:p w14:paraId="1ADB19B8">
                      <w:pPr>
                        <w:jc w:val="center"/>
                        <w:rPr>
                          <w:rFonts w:hint="eastAsia"/>
                          <w:lang w:eastAsia="zh-CN"/>
                        </w:rPr>
                      </w:pPr>
                      <w:r>
                        <w:rPr>
                          <w:rFonts w:hint="eastAsia"/>
                          <w:color w:val="FF0000"/>
                          <w:lang w:eastAsia="zh-CN"/>
                        </w:rPr>
                        <w:t>★</w:t>
                      </w:r>
                    </w:p>
                    <w:p w14:paraId="0CC44127">
                      <w:pPr>
                        <w:jc w:val="center"/>
                        <w:rPr>
                          <w:rFonts w:hint="eastAsia" w:eastAsia="宋体"/>
                          <w:lang w:eastAsia="zh-CN"/>
                        </w:rPr>
                      </w:pPr>
                      <w:r>
                        <w:rPr>
                          <w:rFonts w:hint="eastAsia"/>
                          <w:lang w:eastAsia="zh-CN"/>
                        </w:rPr>
                        <w:t>项目位置</w:t>
                      </w:r>
                    </w:p>
                  </w:txbxContent>
                </v:textbox>
              </v:shape>
            </w:pict>
          </mc:Fallback>
        </mc:AlternateContent>
      </w:r>
      <w:r>
        <w:rPr>
          <w:color w:val="auto"/>
          <w:highlight w:val="none"/>
        </w:rPr>
        <w:drawing>
          <wp:anchor distT="0" distB="0" distL="114300" distR="114300" simplePos="0" relativeHeight="251667456" behindDoc="0" locked="0" layoutInCell="1" allowOverlap="1">
            <wp:simplePos x="0" y="0"/>
            <wp:positionH relativeFrom="column">
              <wp:posOffset>7847330</wp:posOffset>
            </wp:positionH>
            <wp:positionV relativeFrom="paragraph">
              <wp:posOffset>55880</wp:posOffset>
            </wp:positionV>
            <wp:extent cx="830580" cy="883285"/>
            <wp:effectExtent l="0" t="0" r="7620" b="12065"/>
            <wp:wrapNone/>
            <wp:docPr id="14" name="图片 222" descr="C:/Users/admin/Desktop/鸡西风玫瑰.png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2" descr="C:/Users/admin/Desktop/鸡西风玫瑰.png鸡西风玫瑰"/>
                    <pic:cNvPicPr>
                      <a:picLocks noChangeAspect="1"/>
                    </pic:cNvPicPr>
                  </pic:nvPicPr>
                  <pic:blipFill>
                    <a:blip r:embed="rId113"/>
                    <a:srcRect l="4170" r="4170"/>
                    <a:stretch>
                      <a:fillRect/>
                    </a:stretch>
                  </pic:blipFill>
                  <pic:spPr>
                    <a:xfrm>
                      <a:off x="0" y="0"/>
                      <a:ext cx="830580" cy="883285"/>
                    </a:xfrm>
                    <a:prstGeom prst="rect">
                      <a:avLst/>
                    </a:prstGeom>
                    <a:noFill/>
                    <a:ln>
                      <a:noFill/>
                    </a:ln>
                  </pic:spPr>
                </pic:pic>
              </a:graphicData>
            </a:graphic>
          </wp:anchor>
        </w:drawing>
      </w:r>
      <w:r>
        <w:rPr>
          <w:rFonts w:hint="eastAsia" w:eastAsia="宋体"/>
          <w:color w:val="auto"/>
          <w:highlight w:val="none"/>
          <w:lang w:eastAsia="zh-CN"/>
        </w:rPr>
        <w:drawing>
          <wp:inline distT="0" distB="0" distL="114300" distR="114300">
            <wp:extent cx="8699500" cy="4521835"/>
            <wp:effectExtent l="0" t="0" r="6350" b="12065"/>
            <wp:docPr id="17" name="图片 17" descr="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地理位置图"/>
                    <pic:cNvPicPr>
                      <a:picLocks noChangeAspect="1"/>
                    </pic:cNvPicPr>
                  </pic:nvPicPr>
                  <pic:blipFill>
                    <a:blip r:embed="rId114"/>
                    <a:stretch>
                      <a:fillRect/>
                    </a:stretch>
                  </pic:blipFill>
                  <pic:spPr>
                    <a:xfrm>
                      <a:off x="0" y="0"/>
                      <a:ext cx="8699500" cy="4521835"/>
                    </a:xfrm>
                    <a:prstGeom prst="rect">
                      <a:avLst/>
                    </a:prstGeom>
                  </pic:spPr>
                </pic:pic>
              </a:graphicData>
            </a:graphic>
          </wp:inline>
        </w:drawing>
      </w:r>
    </w:p>
    <w:p w14:paraId="6AC30BE9">
      <w:pPr>
        <w:pStyle w:val="2"/>
        <w:jc w:val="center"/>
        <w:rPr>
          <w:rFonts w:hint="default" w:ascii="Times New Roman" w:hAnsi="Times New Roman" w:eastAsia="黑体" w:cs="Times New Roman"/>
          <w:snapToGrid w:val="0"/>
          <w:color w:val="auto"/>
          <w:kern w:val="21"/>
          <w:sz w:val="30"/>
          <w:szCs w:val="30"/>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1 </w:t>
      </w:r>
      <w:r>
        <w:rPr>
          <w:rFonts w:hint="default" w:ascii="Times New Roman" w:hAnsi="Times New Roman" w:eastAsia="宋体" w:cs="Times New Roman"/>
          <w:color w:val="auto"/>
          <w:sz w:val="21"/>
          <w:szCs w:val="21"/>
          <w:highlight w:val="none"/>
        </w:rPr>
        <w:t>项目地理位置图</w:t>
      </w:r>
      <w:r>
        <w:rPr>
          <w:color w:val="auto"/>
          <w:highlight w:val="none"/>
        </w:rPr>
        <mc:AlternateContent>
          <mc:Choice Requires="wps">
            <w:drawing>
              <wp:anchor distT="0" distB="0" distL="114300" distR="114300" simplePos="0" relativeHeight="251669504" behindDoc="0" locked="1" layoutInCell="1" allowOverlap="1">
                <wp:simplePos x="0" y="0"/>
                <wp:positionH relativeFrom="column">
                  <wp:posOffset>4381500</wp:posOffset>
                </wp:positionH>
                <wp:positionV relativeFrom="paragraph">
                  <wp:posOffset>-2102485</wp:posOffset>
                </wp:positionV>
                <wp:extent cx="130810" cy="144145"/>
                <wp:effectExtent l="13335" t="17780" r="27305" b="28575"/>
                <wp:wrapNone/>
                <wp:docPr id="77" name="五角星 77"/>
                <wp:cNvGraphicFramePr/>
                <a:graphic xmlns:a="http://schemas.openxmlformats.org/drawingml/2006/main">
                  <a:graphicData uri="http://schemas.microsoft.com/office/word/2010/wordprocessingShape">
                    <wps:wsp>
                      <wps:cNvSpPr/>
                      <wps:spPr>
                        <a:xfrm>
                          <a:off x="0" y="0"/>
                          <a:ext cx="130810" cy="144145"/>
                        </a:xfrm>
                        <a:prstGeom prst="star5">
                          <a:avLst/>
                        </a:prstGeom>
                        <a:solidFill>
                          <a:srgbClr val="FF0000"/>
                        </a:solidFill>
                        <a:ln w="9525" cap="flat" cmpd="sng">
                          <a:solidFill>
                            <a:srgbClr val="FF0000"/>
                          </a:solidFill>
                          <a:prstDash val="solid"/>
                          <a:miter/>
                          <a:headEnd type="none" w="med" len="med"/>
                          <a:tailEnd type="none" w="med" len="med"/>
                        </a:ln>
                      </wps:spPr>
                      <wps:txbx>
                        <w:txbxContent>
                          <w:p w14:paraId="7DD26F29"/>
                        </w:txbxContent>
                      </wps:txbx>
                      <wps:bodyPr upright="1"/>
                    </wps:wsp>
                  </a:graphicData>
                </a:graphic>
              </wp:anchor>
            </w:drawing>
          </mc:Choice>
          <mc:Fallback>
            <w:pict>
              <v:shape id="_x0000_s1026" o:spid="_x0000_s1026" style="position:absolute;left:0pt;margin-left:345pt;margin-top:-165.55pt;height:11.35pt;width:10.3pt;z-index:251669504;mso-width-relative:page;mso-height-relative:page;" fillcolor="#FF0000" filled="t" stroked="t" coordsize="130810,144145" o:gfxdata="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plb5DaAAAADQEAAA8AAAAAAAAAAQAgAAAAIgAA&#10;AGRycy9kb3ducmV2LnhtbFBLAQIUABQAAAAIAIdO4kCbCxJcBgIAAC4EAAAOAAAAAAAAAAEAIAAA&#10;ACkBAABkcnMvZTJvRG9jLnhtbFBLBQYAAAAABgAGAFkBAAChBQAAAAA=&#10;" path="m0,55058l49965,55058,65405,0,80844,55058,130809,55058,90387,89086,105827,144144,65405,110116,24982,144144,40422,89086xe">
                <v:path textboxrect="0,0,130810,144145" o:connectlocs="65405,0;0,55058;24982,144144;105827,144144;130809,55058" o:connectangles="247,164,82,82,0"/>
                <v:fill on="t" focussize="0,0"/>
                <v:stroke color="#FF0000" joinstyle="miter"/>
                <v:imagedata o:title=""/>
                <o:lock v:ext="edit" aspectratio="f"/>
                <v:textbox>
                  <w:txbxContent>
                    <w:p w14:paraId="7DD26F29"/>
                  </w:txbxContent>
                </v:textbox>
                <w10:anchorlock/>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7084695</wp:posOffset>
                </wp:positionH>
                <wp:positionV relativeFrom="paragraph">
                  <wp:posOffset>4326890</wp:posOffset>
                </wp:positionV>
                <wp:extent cx="777240" cy="662940"/>
                <wp:effectExtent l="4445" t="4445" r="18415" b="18415"/>
                <wp:wrapNone/>
                <wp:docPr id="5" name="文本框 5"/>
                <wp:cNvGraphicFramePr/>
                <a:graphic xmlns:a="http://schemas.openxmlformats.org/drawingml/2006/main">
                  <a:graphicData uri="http://schemas.microsoft.com/office/word/2010/wordprocessingShape">
                    <wps:wsp>
                      <wps:cNvSpPr txBox="1"/>
                      <wps:spPr>
                        <a:xfrm>
                          <a:off x="8248015" y="5607050"/>
                          <a:ext cx="777240" cy="662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9647752">
                            <w:pPr>
                              <w:jc w:val="center"/>
                            </w:pPr>
                            <w:r>
                              <w:rPr>
                                <w:rFonts w:hint="eastAsia"/>
                              </w:rPr>
                              <w:t>图例</w:t>
                            </w:r>
                          </w:p>
                          <w:p w14:paraId="50195A88">
                            <w:pPr>
                              <w:jc w:val="center"/>
                            </w:pPr>
                            <w:r>
                              <w:rPr>
                                <w:rFonts w:hint="eastAsia"/>
                                <w:color w:val="FF0000"/>
                              </w:rPr>
                              <w:t>★</w:t>
                            </w:r>
                          </w:p>
                          <w:p w14:paraId="6F7DAFEC">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85pt;margin-top:340.7pt;height:52.2pt;width:61.2pt;z-index:251662336;mso-width-relative:page;mso-height-relative:page;" fillcolor="#FFFFFF [3201]" filled="t" stroked="t" coordsize="21600,21600" o:gfxdata="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MPnZf2QAAAA0BAAAPAAAAAAAAAAEAIAAAACIAAABkcnMvZG93bnJldi54bWxQSwECFAAUAAAA&#10;CACHTuJAULViO18CAADCBAAADgAAAAAAAAABACAAAAAoAQAAZHJzL2Uyb0RvYy54bWxQSwUGAAAA&#10;AAYABgBZAQAA+QUAAAAA&#10;">
                <v:fill on="t" focussize="0,0"/>
                <v:stroke weight="0.5pt" color="#000000 [3204]" joinstyle="round"/>
                <v:imagedata o:title=""/>
                <o:lock v:ext="edit" aspectratio="f"/>
                <v:textbox>
                  <w:txbxContent>
                    <w:p w14:paraId="39647752">
                      <w:pPr>
                        <w:jc w:val="center"/>
                      </w:pPr>
                      <w:r>
                        <w:rPr>
                          <w:rFonts w:hint="eastAsia"/>
                        </w:rPr>
                        <w:t>图例</w:t>
                      </w:r>
                    </w:p>
                    <w:p w14:paraId="50195A88">
                      <w:pPr>
                        <w:jc w:val="center"/>
                      </w:pPr>
                      <w:r>
                        <w:rPr>
                          <w:rFonts w:hint="eastAsia"/>
                          <w:color w:val="FF0000"/>
                        </w:rPr>
                        <w:t>★</w:t>
                      </w:r>
                    </w:p>
                    <w:p w14:paraId="6F7DAFEC">
                      <w:pPr>
                        <w:jc w:val="center"/>
                      </w:pPr>
                      <w:r>
                        <w:rPr>
                          <w:rFonts w:hint="eastAsia"/>
                        </w:rPr>
                        <w:t>项目位置</w:t>
                      </w:r>
                    </w:p>
                  </w:txbxContent>
                </v:textbox>
              </v:shape>
            </w:pict>
          </mc:Fallback>
        </mc:AlternateContent>
      </w:r>
    </w:p>
    <w:bookmarkEnd w:id="17"/>
    <w:p w14:paraId="03CA8636">
      <w:pPr>
        <w:bidi w:val="0"/>
        <w:jc w:val="center"/>
        <w:rPr>
          <w:rFonts w:hint="eastAsia" w:eastAsia="宋体"/>
          <w:color w:val="auto"/>
          <w:highlight w:val="none"/>
          <w:lang w:eastAsia="zh-CN"/>
        </w:rPr>
      </w:pPr>
      <w:r>
        <w:rPr>
          <w:color w:val="auto"/>
          <w:highlight w:val="none"/>
        </w:rPr>
        <w:drawing>
          <wp:inline distT="0" distB="0" distL="114300" distR="114300">
            <wp:extent cx="8480425" cy="4407535"/>
            <wp:effectExtent l="0" t="0" r="15875" b="12065"/>
            <wp:docPr id="41" name="图片 41" descr="环境保护目标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环境保护目标图修改"/>
                    <pic:cNvPicPr>
                      <a:picLocks noChangeAspect="1"/>
                    </pic:cNvPicPr>
                  </pic:nvPicPr>
                  <pic:blipFill>
                    <a:blip r:embed="rId115"/>
                    <a:stretch>
                      <a:fillRect/>
                    </a:stretch>
                  </pic:blipFill>
                  <pic:spPr>
                    <a:xfrm>
                      <a:off x="0" y="0"/>
                      <a:ext cx="8480425" cy="4407535"/>
                    </a:xfrm>
                    <a:prstGeom prst="rect">
                      <a:avLst/>
                    </a:prstGeom>
                  </pic:spPr>
                </pic:pic>
              </a:graphicData>
            </a:graphic>
          </wp:inline>
        </w:drawing>
      </w:r>
      <w:r>
        <w:rPr>
          <w:color w:val="auto"/>
          <w:highlight w:val="none"/>
        </w:rPr>
        <w:drawing>
          <wp:anchor distT="0" distB="0" distL="114300" distR="114300" simplePos="0" relativeHeight="251665408" behindDoc="0" locked="0" layoutInCell="1" allowOverlap="1">
            <wp:simplePos x="0" y="0"/>
            <wp:positionH relativeFrom="column">
              <wp:posOffset>7632700</wp:posOffset>
            </wp:positionH>
            <wp:positionV relativeFrom="paragraph">
              <wp:posOffset>107950</wp:posOffset>
            </wp:positionV>
            <wp:extent cx="830580" cy="883285"/>
            <wp:effectExtent l="0" t="0" r="7620" b="12065"/>
            <wp:wrapNone/>
            <wp:docPr id="9" name="图片 222" descr="C:/Users/admin/Desktop/鸡西风玫瑰.png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22" descr="C:/Users/admin/Desktop/鸡西风玫瑰.png鸡西风玫瑰"/>
                    <pic:cNvPicPr>
                      <a:picLocks noChangeAspect="1"/>
                    </pic:cNvPicPr>
                  </pic:nvPicPr>
                  <pic:blipFill>
                    <a:blip r:embed="rId113"/>
                    <a:srcRect l="4170" r="4170"/>
                    <a:stretch>
                      <a:fillRect/>
                    </a:stretch>
                  </pic:blipFill>
                  <pic:spPr>
                    <a:xfrm>
                      <a:off x="0" y="0"/>
                      <a:ext cx="830580" cy="883285"/>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7171690</wp:posOffset>
                </wp:positionH>
                <wp:positionV relativeFrom="paragraph">
                  <wp:posOffset>4280535</wp:posOffset>
                </wp:positionV>
                <wp:extent cx="106680" cy="96520"/>
                <wp:effectExtent l="0" t="0" r="7620" b="17780"/>
                <wp:wrapNone/>
                <wp:docPr id="36" name="矩形 36"/>
                <wp:cNvGraphicFramePr/>
                <a:graphic xmlns:a="http://schemas.openxmlformats.org/drawingml/2006/main">
                  <a:graphicData uri="http://schemas.microsoft.com/office/word/2010/wordprocessingShape">
                    <wps:wsp>
                      <wps:cNvSpPr/>
                      <wps:spPr>
                        <a:xfrm>
                          <a:off x="0" y="0"/>
                          <a:ext cx="106680" cy="96520"/>
                        </a:xfrm>
                        <a:prstGeom prst="rect">
                          <a:avLst/>
                        </a:prstGeom>
                        <a:solidFill>
                          <a:srgbClr val="FFFF00"/>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4.7pt;margin-top:337.05pt;height:7.6pt;width:8.4pt;z-index:251666432;v-text-anchor:middle;mso-width-relative:page;mso-height-relative:page;" fillcolor="#FFFF00" filled="t" stroked="f" coordsize="21600,21600" o:gfxdata="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9MCm2tsAAAANAQAADwAAAAAAAAABACAAAAAiAAAAZHJzL2Rvd25yZXYueG1sUEsBAhQAFAAA&#10;AAgAh07iQHri/A5eAgAAtAQAAA4AAAAAAAAAAQAgAAAAKgEAAGRycy9lMm9Eb2MueG1sUEsFBgAA&#10;AAAGAAYAWQEAAPoFAAAAAA==&#10;">
                <v:fill on="t" focussize="0,0"/>
                <v:stroke on="f" weight="1.5pt"/>
                <v:imagedata o:title=""/>
                <o:lock v:ext="edit" aspectratio="f"/>
              </v:rect>
            </w:pict>
          </mc:Fallback>
        </mc:AlternateContent>
      </w:r>
      <w:r>
        <w:rPr>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7163435</wp:posOffset>
                </wp:positionH>
                <wp:positionV relativeFrom="paragraph">
                  <wp:posOffset>4087495</wp:posOffset>
                </wp:positionV>
                <wp:extent cx="106680" cy="96520"/>
                <wp:effectExtent l="9525" t="9525" r="17145" b="27305"/>
                <wp:wrapNone/>
                <wp:docPr id="10" name="矩形 10"/>
                <wp:cNvGraphicFramePr/>
                <a:graphic xmlns:a="http://schemas.openxmlformats.org/drawingml/2006/main">
                  <a:graphicData uri="http://schemas.microsoft.com/office/word/2010/wordprocessingShape">
                    <wps:wsp>
                      <wps:cNvSpPr/>
                      <wps:spPr>
                        <a:xfrm>
                          <a:off x="0" y="0"/>
                          <a:ext cx="106680" cy="96520"/>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4.05pt;margin-top:321.85pt;height:7.6pt;width:8.4pt;z-index:251664384;v-text-anchor:middle;mso-width-relative:page;mso-height-relative:page;" filled="f" stroked="t" coordsize="21600,21600" o:gfxdata="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PM&#10;WUvaAAAADQEAAA8AAAAAAAAAAQAgAAAAIgAAAGRycy9kb3ducmV2LnhtbFBLAQIUABQAAAAIAIdO&#10;4kCvqaLuWgIAALQEAAAOAAAAAAAAAAEAIAAAACkBAABkcnMvZTJvRG9jLnhtbFBLBQYAAAAABgAG&#10;AFkBAAD1BQAAAAA=&#10;">
                <v:fill on="f" focussize="0,0"/>
                <v:stroke weight="1.5pt" color="#92D050 [3204]" joinstyle="round"/>
                <v:imagedata o:title=""/>
                <o:lock v:ext="edit" aspectratio="f"/>
              </v:rect>
            </w:pict>
          </mc:Fallback>
        </mc:AlternateContent>
      </w: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7054215</wp:posOffset>
                </wp:positionH>
                <wp:positionV relativeFrom="paragraph">
                  <wp:posOffset>3392170</wp:posOffset>
                </wp:positionV>
                <wp:extent cx="1422400" cy="1110615"/>
                <wp:effectExtent l="4445" t="4445" r="20955" b="8890"/>
                <wp:wrapNone/>
                <wp:docPr id="7" name="文本框 7"/>
                <wp:cNvGraphicFramePr/>
                <a:graphic xmlns:a="http://schemas.openxmlformats.org/drawingml/2006/main">
                  <a:graphicData uri="http://schemas.microsoft.com/office/word/2010/wordprocessingShape">
                    <wps:wsp>
                      <wps:cNvSpPr txBox="1"/>
                      <wps:spPr>
                        <a:xfrm>
                          <a:off x="0" y="0"/>
                          <a:ext cx="1422400" cy="1110615"/>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1E72CB45">
                            <w:pPr>
                              <w:jc w:val="center"/>
                            </w:pPr>
                            <w:r>
                              <w:rPr>
                                <w:rFonts w:hint="eastAsia"/>
                              </w:rPr>
                              <w:t>图  例</w:t>
                            </w:r>
                          </w:p>
                          <w:p w14:paraId="5A2C857E">
                            <w:pPr>
                              <w:keepNext w:val="0"/>
                              <w:keepLines w:val="0"/>
                              <w:pageBreakBefore w:val="0"/>
                              <w:kinsoku/>
                              <w:wordWrap/>
                              <w:overflowPunct/>
                              <w:topLinePunct w:val="0"/>
                              <w:bidi w:val="0"/>
                              <w:adjustRightInd/>
                              <w:snapToGrid/>
                              <w:spacing w:line="240" w:lineRule="auto"/>
                              <w:ind w:right="0"/>
                              <w:textAlignment w:val="auto"/>
                              <w:rPr>
                                <w:rFonts w:hint="default" w:eastAsia="宋体"/>
                                <w:lang w:val="en-US" w:eastAsia="zh-CN"/>
                              </w:rPr>
                            </w:pPr>
                            <w:r>
                              <w:rPr>
                                <w:rFonts w:hint="eastAsia"/>
                                <w:b/>
                                <w:bCs/>
                                <w:color w:val="FF0000"/>
                              </w:rPr>
                              <w:sym w:font="Wingdings 2" w:char="00A3"/>
                            </w:r>
                            <w:r>
                              <w:rPr>
                                <w:rFonts w:hint="eastAsia"/>
                              </w:rPr>
                              <w:t>项目位置</w:t>
                            </w:r>
                          </w:p>
                          <w:p w14:paraId="5D797ABB">
                            <w:pPr>
                              <w:keepNext w:val="0"/>
                              <w:keepLines w:val="0"/>
                              <w:pageBreakBefore w:val="0"/>
                              <w:kinsoku/>
                              <w:wordWrap/>
                              <w:overflowPunct/>
                              <w:topLinePunct w:val="0"/>
                              <w:bidi w:val="0"/>
                              <w:adjustRightInd/>
                              <w:snapToGrid/>
                              <w:spacing w:line="240" w:lineRule="auto"/>
                              <w:ind w:right="0"/>
                              <w:textAlignment w:val="auto"/>
                            </w:pPr>
                            <w:r>
                              <w:rPr>
                                <w:rFonts w:hint="eastAsia"/>
                                <w:b/>
                                <w:bCs/>
                                <w:color w:val="0070C0"/>
                              </w:rPr>
                              <w:sym w:font="Wingdings 2" w:char="00A3"/>
                            </w:r>
                            <w:r>
                              <w:rPr>
                                <w:rFonts w:hint="eastAsia"/>
                              </w:rPr>
                              <w:t>声环境保护范围</w:t>
                            </w:r>
                          </w:p>
                          <w:p w14:paraId="1C4F4E4C">
                            <w:pPr>
                              <w:keepNext w:val="0"/>
                              <w:keepLines w:val="0"/>
                              <w:pageBreakBefore w:val="0"/>
                              <w:kinsoku/>
                              <w:wordWrap/>
                              <w:overflowPunct/>
                              <w:topLinePunct w:val="0"/>
                              <w:bidi w:val="0"/>
                              <w:adjustRightInd/>
                              <w:snapToGrid/>
                              <w:spacing w:line="240" w:lineRule="auto"/>
                              <w:ind w:right="0" w:firstLine="210" w:firstLineChars="100"/>
                              <w:textAlignment w:val="auto"/>
                              <w:rPr>
                                <w:rFonts w:hint="eastAsia"/>
                              </w:rPr>
                            </w:pPr>
                            <w:r>
                              <w:rPr>
                                <w:rFonts w:hint="eastAsia"/>
                              </w:rPr>
                              <w:t>大气环境保护范围</w:t>
                            </w:r>
                          </w:p>
                          <w:p w14:paraId="653D0EB1">
                            <w:pPr>
                              <w:pStyle w:val="9"/>
                              <w:keepNext w:val="0"/>
                              <w:keepLines w:val="0"/>
                              <w:pageBreakBefore w:val="0"/>
                              <w:kinsoku/>
                              <w:wordWrap/>
                              <w:overflowPunct/>
                              <w:topLinePunct w:val="0"/>
                              <w:bidi w:val="0"/>
                              <w:adjustRightInd/>
                              <w:snapToGrid/>
                              <w:spacing w:before="0" w:after="0" w:line="240" w:lineRule="auto"/>
                              <w:ind w:right="0"/>
                              <w:textAlignment w:val="auto"/>
                              <w:rPr>
                                <w:rFonts w:hint="eastAsia"/>
                                <w:lang w:val="en-US" w:eastAsia="zh-CN"/>
                              </w:rPr>
                            </w:pPr>
                            <w:r>
                              <w:rPr>
                                <w:rFonts w:hint="eastAsia"/>
                                <w:lang w:val="en-US" w:eastAsia="zh-CN"/>
                              </w:rPr>
                              <w:t xml:space="preserve">   </w:t>
                            </w:r>
                            <w:r>
                              <w:rPr>
                                <w:rFonts w:hint="eastAsia"/>
                                <w:sz w:val="21"/>
                                <w:szCs w:val="21"/>
                                <w:lang w:val="en-US" w:eastAsia="zh-CN"/>
                              </w:rPr>
                              <w:t>环境保护目标</w:t>
                            </w:r>
                          </w:p>
                          <w:p w14:paraId="0816E069">
                            <w:pPr>
                              <w:jc w:val="center"/>
                              <w:rPr>
                                <w:rFonts w:hint="default"/>
                                <w:lang w:val="en-US" w:eastAsia="zh-CN"/>
                              </w:rPr>
                            </w:pPr>
                          </w:p>
                        </w:txbxContent>
                      </wps:txbx>
                      <wps:bodyPr upright="1"/>
                    </wps:wsp>
                  </a:graphicData>
                </a:graphic>
              </wp:anchor>
            </w:drawing>
          </mc:Choice>
          <mc:Fallback>
            <w:pict>
              <v:shape id="_x0000_s1026" o:spid="_x0000_s1026" o:spt="202" type="#_x0000_t202" style="position:absolute;left:0pt;margin-left:555.45pt;margin-top:267.1pt;height:87.45pt;width:112pt;z-index:251663360;mso-width-relative:page;mso-height-relative:page;" fillcolor="#FFFFFF" filled="t" stroked="t" coordsize="21600,21600" o:gfxdata="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Ou7d7bAAAADQEAAA8AAAAA&#10;AAAAAQAgAAAAIgAAAGRycy9kb3ducmV2LnhtbFBLAQIUABQAAAAIAIdO4kCNXFAHEQIAADcEAAAO&#10;AAAAAAAAAAEAIAAAACoBAABkcnMvZTJvRG9jLnhtbFBLBQYAAAAABgAGAFkBAACtBQAAAAA=&#10;">
                <v:fill on="t" focussize="0,0"/>
                <v:stroke color="#0070C0" joinstyle="miter"/>
                <v:imagedata o:title=""/>
                <o:lock v:ext="edit" aspectratio="f"/>
                <v:textbox>
                  <w:txbxContent>
                    <w:p w14:paraId="1E72CB45">
                      <w:pPr>
                        <w:jc w:val="center"/>
                      </w:pPr>
                      <w:r>
                        <w:rPr>
                          <w:rFonts w:hint="eastAsia"/>
                        </w:rPr>
                        <w:t>图  例</w:t>
                      </w:r>
                    </w:p>
                    <w:p w14:paraId="5A2C857E">
                      <w:pPr>
                        <w:keepNext w:val="0"/>
                        <w:keepLines w:val="0"/>
                        <w:pageBreakBefore w:val="0"/>
                        <w:kinsoku/>
                        <w:wordWrap/>
                        <w:overflowPunct/>
                        <w:topLinePunct w:val="0"/>
                        <w:bidi w:val="0"/>
                        <w:adjustRightInd/>
                        <w:snapToGrid/>
                        <w:spacing w:line="240" w:lineRule="auto"/>
                        <w:ind w:right="0"/>
                        <w:textAlignment w:val="auto"/>
                        <w:rPr>
                          <w:rFonts w:hint="default" w:eastAsia="宋体"/>
                          <w:lang w:val="en-US" w:eastAsia="zh-CN"/>
                        </w:rPr>
                      </w:pPr>
                      <w:r>
                        <w:rPr>
                          <w:rFonts w:hint="eastAsia"/>
                          <w:b/>
                          <w:bCs/>
                          <w:color w:val="FF0000"/>
                        </w:rPr>
                        <w:sym w:font="Wingdings 2" w:char="00A3"/>
                      </w:r>
                      <w:r>
                        <w:rPr>
                          <w:rFonts w:hint="eastAsia"/>
                        </w:rPr>
                        <w:t>项目位置</w:t>
                      </w:r>
                    </w:p>
                    <w:p w14:paraId="5D797ABB">
                      <w:pPr>
                        <w:keepNext w:val="0"/>
                        <w:keepLines w:val="0"/>
                        <w:pageBreakBefore w:val="0"/>
                        <w:kinsoku/>
                        <w:wordWrap/>
                        <w:overflowPunct/>
                        <w:topLinePunct w:val="0"/>
                        <w:bidi w:val="0"/>
                        <w:adjustRightInd/>
                        <w:snapToGrid/>
                        <w:spacing w:line="240" w:lineRule="auto"/>
                        <w:ind w:right="0"/>
                        <w:textAlignment w:val="auto"/>
                      </w:pPr>
                      <w:r>
                        <w:rPr>
                          <w:rFonts w:hint="eastAsia"/>
                          <w:b/>
                          <w:bCs/>
                          <w:color w:val="0070C0"/>
                        </w:rPr>
                        <w:sym w:font="Wingdings 2" w:char="00A3"/>
                      </w:r>
                      <w:r>
                        <w:rPr>
                          <w:rFonts w:hint="eastAsia"/>
                        </w:rPr>
                        <w:t>声环境保护范围</w:t>
                      </w:r>
                    </w:p>
                    <w:p w14:paraId="1C4F4E4C">
                      <w:pPr>
                        <w:keepNext w:val="0"/>
                        <w:keepLines w:val="0"/>
                        <w:pageBreakBefore w:val="0"/>
                        <w:kinsoku/>
                        <w:wordWrap/>
                        <w:overflowPunct/>
                        <w:topLinePunct w:val="0"/>
                        <w:bidi w:val="0"/>
                        <w:adjustRightInd/>
                        <w:snapToGrid/>
                        <w:spacing w:line="240" w:lineRule="auto"/>
                        <w:ind w:right="0" w:firstLine="210" w:firstLineChars="100"/>
                        <w:textAlignment w:val="auto"/>
                        <w:rPr>
                          <w:rFonts w:hint="eastAsia"/>
                        </w:rPr>
                      </w:pPr>
                      <w:r>
                        <w:rPr>
                          <w:rFonts w:hint="eastAsia"/>
                        </w:rPr>
                        <w:t>大气环境保护范围</w:t>
                      </w:r>
                    </w:p>
                    <w:p w14:paraId="653D0EB1">
                      <w:pPr>
                        <w:pStyle w:val="9"/>
                        <w:keepNext w:val="0"/>
                        <w:keepLines w:val="0"/>
                        <w:pageBreakBefore w:val="0"/>
                        <w:kinsoku/>
                        <w:wordWrap/>
                        <w:overflowPunct/>
                        <w:topLinePunct w:val="0"/>
                        <w:bidi w:val="0"/>
                        <w:adjustRightInd/>
                        <w:snapToGrid/>
                        <w:spacing w:before="0" w:after="0" w:line="240" w:lineRule="auto"/>
                        <w:ind w:right="0"/>
                        <w:textAlignment w:val="auto"/>
                        <w:rPr>
                          <w:rFonts w:hint="eastAsia"/>
                          <w:lang w:val="en-US" w:eastAsia="zh-CN"/>
                        </w:rPr>
                      </w:pPr>
                      <w:r>
                        <w:rPr>
                          <w:rFonts w:hint="eastAsia"/>
                          <w:lang w:val="en-US" w:eastAsia="zh-CN"/>
                        </w:rPr>
                        <w:t xml:space="preserve">   </w:t>
                      </w:r>
                      <w:r>
                        <w:rPr>
                          <w:rFonts w:hint="eastAsia"/>
                          <w:sz w:val="21"/>
                          <w:szCs w:val="21"/>
                          <w:lang w:val="en-US" w:eastAsia="zh-CN"/>
                        </w:rPr>
                        <w:t>环境保护目标</w:t>
                      </w:r>
                    </w:p>
                    <w:p w14:paraId="0816E069">
                      <w:pPr>
                        <w:jc w:val="center"/>
                        <w:rPr>
                          <w:rFonts w:hint="default"/>
                          <w:lang w:val="en-US" w:eastAsia="zh-CN"/>
                        </w:rPr>
                      </w:pPr>
                    </w:p>
                  </w:txbxContent>
                </v:textbox>
              </v:shape>
            </w:pict>
          </mc:Fallback>
        </mc:AlternateContent>
      </w:r>
    </w:p>
    <w:p w14:paraId="3578A7B4">
      <w:pPr>
        <w:pStyle w:val="2"/>
        <w:keepNext/>
        <w:keepLines w:val="0"/>
        <w:pageBreakBefore w:val="0"/>
        <w:widowControl w:val="0"/>
        <w:kinsoku/>
        <w:wordWrap/>
        <w:overflowPunct w:val="0"/>
        <w:topLinePunct w:val="0"/>
        <w:autoSpaceDE/>
        <w:autoSpaceDN/>
        <w:bidi w:val="0"/>
        <w:adjustRightInd/>
        <w:snapToGrid w:val="0"/>
        <w:spacing w:line="260" w:lineRule="auto"/>
        <w:ind w:left="0" w:firstLine="0"/>
        <w:jc w:val="center"/>
        <w:textAlignment w:val="auto"/>
        <w:rPr>
          <w:rFonts w:hint="eastAsia" w:ascii="宋体" w:hAnsi="宋体" w:eastAsia="宋体" w:cs="宋体"/>
          <w:b/>
          <w:bCs/>
          <w:color w:val="auto"/>
          <w:sz w:val="21"/>
          <w:szCs w:val="21"/>
          <w:highlight w:val="none"/>
          <w:lang w:eastAsia="zh-CN"/>
        </w:rPr>
      </w:pPr>
      <w:bookmarkStart w:id="18" w:name="_Toc30150"/>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2 </w:t>
      </w:r>
      <w:r>
        <w:rPr>
          <w:rFonts w:hint="eastAsia" w:ascii="宋体" w:hAnsi="宋体" w:eastAsia="宋体" w:cs="宋体"/>
          <w:b/>
          <w:bCs/>
          <w:color w:val="auto"/>
          <w:sz w:val="21"/>
          <w:szCs w:val="21"/>
          <w:highlight w:val="none"/>
        </w:rPr>
        <w:t>周围环境保护目标分布图</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包络线</w:t>
      </w:r>
      <w:r>
        <w:rPr>
          <w:rFonts w:hint="eastAsia" w:ascii="宋体" w:hAnsi="宋体" w:eastAsia="宋体" w:cs="宋体"/>
          <w:b/>
          <w:bCs/>
          <w:color w:val="auto"/>
          <w:sz w:val="21"/>
          <w:szCs w:val="21"/>
          <w:highlight w:val="none"/>
          <w:lang w:eastAsia="zh-CN"/>
        </w:rPr>
        <w:t>）</w:t>
      </w:r>
    </w:p>
    <w:p w14:paraId="5EF55050">
      <w:pPr>
        <w:pStyle w:val="9"/>
        <w:rPr>
          <w:rFonts w:hint="eastAsia" w:ascii="宋体" w:hAnsi="宋体" w:eastAsia="宋体" w:cs="宋体"/>
          <w:b/>
          <w:bCs/>
          <w:color w:val="auto"/>
          <w:sz w:val="21"/>
          <w:szCs w:val="21"/>
          <w:highlight w:val="none"/>
        </w:rPr>
      </w:pPr>
    </w:p>
    <w:p w14:paraId="6DC8E7D1">
      <w:pPr>
        <w:pStyle w:val="10"/>
        <w:rPr>
          <w:rFonts w:hint="eastAsia"/>
          <w:color w:val="auto"/>
          <w:highlight w:val="none"/>
        </w:rPr>
      </w:pPr>
    </w:p>
    <w:bookmarkEnd w:id="18"/>
    <w:p w14:paraId="2FFB04FF">
      <w:pPr>
        <w:jc w:val="center"/>
        <w:rPr>
          <w:rFonts w:hint="eastAsia" w:eastAsia="宋体"/>
          <w:color w:val="auto"/>
          <w:sz w:val="21"/>
          <w:szCs w:val="21"/>
          <w:highlight w:val="none"/>
          <w:lang w:eastAsia="zh-CN"/>
        </w:rPr>
      </w:pPr>
      <w:r>
        <w:rPr>
          <w:sz w:val="21"/>
        </w:rPr>
        <mc:AlternateContent>
          <mc:Choice Requires="wps">
            <w:drawing>
              <wp:anchor distT="0" distB="0" distL="114300" distR="114300" simplePos="0" relativeHeight="251673600" behindDoc="0" locked="0" layoutInCell="1" allowOverlap="1">
                <wp:simplePos x="0" y="0"/>
                <wp:positionH relativeFrom="column">
                  <wp:posOffset>4077335</wp:posOffset>
                </wp:positionH>
                <wp:positionV relativeFrom="paragraph">
                  <wp:posOffset>986155</wp:posOffset>
                </wp:positionV>
                <wp:extent cx="130810" cy="76200"/>
                <wp:effectExtent l="13335" t="24130" r="27305" b="33020"/>
                <wp:wrapNone/>
                <wp:docPr id="51" name="矩形 51"/>
                <wp:cNvGraphicFramePr/>
                <a:graphic xmlns:a="http://schemas.openxmlformats.org/drawingml/2006/main">
                  <a:graphicData uri="http://schemas.microsoft.com/office/word/2010/wordprocessingShape">
                    <wps:wsp>
                      <wps:cNvSpPr/>
                      <wps:spPr>
                        <a:xfrm rot="20460000">
                          <a:off x="6313805" y="2495550"/>
                          <a:ext cx="130810" cy="76200"/>
                        </a:xfrm>
                        <a:prstGeom prst="rect">
                          <a:avLst/>
                        </a:prstGeom>
                        <a:ln w="9525">
                          <a:solidFill>
                            <a:srgbClr val="415E4A"/>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05pt;margin-top:77.65pt;height:6pt;width:10.3pt;rotation:-1245184f;z-index:251673600;v-text-anchor:middle;mso-width-relative:page;mso-height-relative:page;" filled="f" stroked="t" coordsize="21600,21600" o:gfxdata="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osSe/aAAAACwEAAA8AAAAAAAAAAQAgAAAAIgAAAGRy&#10;cy9kb3ducmV2LnhtbFBLAQIUABQAAAAIAIdO4kBmafk4dQIAAM4EAAAOAAAAAAAAAAEAIAAAACkB&#10;AABkcnMvZTJvRG9jLnhtbFBLBQYAAAAABgAGAFkBAAAQBgAAAAA=&#10;">
                <v:fill on="f" focussize="0,0"/>
                <v:stroke color="#415E4A [3204]" joinstyle="round"/>
                <v:imagedata o:title=""/>
                <o:lock v:ext="edit" aspectratio="f"/>
              </v:rect>
            </w:pict>
          </mc:Fallback>
        </mc:AlternateContent>
      </w:r>
      <w:r>
        <w:rPr>
          <w:rFonts w:hint="eastAsia" w:eastAsia="宋体"/>
          <w:color w:val="auto"/>
          <w:sz w:val="21"/>
          <w:szCs w:val="21"/>
          <w:highlight w:val="none"/>
          <w:lang w:eastAsia="zh-CN"/>
        </w:rPr>
        <w:drawing>
          <wp:inline distT="0" distB="0" distL="114300" distR="114300">
            <wp:extent cx="8471535" cy="4422775"/>
            <wp:effectExtent l="0" t="0" r="5715" b="15875"/>
            <wp:docPr id="68" name="图片 68" descr="ScreenShot_2025-10-23_124504_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ScreenShot_2025-10-23_124504_249"/>
                    <pic:cNvPicPr>
                      <a:picLocks noChangeAspect="1"/>
                    </pic:cNvPicPr>
                  </pic:nvPicPr>
                  <pic:blipFill>
                    <a:blip r:embed="rId116"/>
                    <a:stretch>
                      <a:fillRect/>
                    </a:stretch>
                  </pic:blipFill>
                  <pic:spPr>
                    <a:xfrm>
                      <a:off x="0" y="0"/>
                      <a:ext cx="8471535" cy="4422775"/>
                    </a:xfrm>
                    <a:prstGeom prst="rect">
                      <a:avLst/>
                    </a:prstGeom>
                  </pic:spPr>
                </pic:pic>
              </a:graphicData>
            </a:graphic>
          </wp:inline>
        </w:drawing>
      </w:r>
    </w:p>
    <w:p w14:paraId="49A1234C">
      <w:pPr>
        <w:pStyle w:val="2"/>
        <w:bidi w:val="0"/>
        <w:jc w:val="center"/>
        <w:rPr>
          <w:rFonts w:hint="eastAsia"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附图</w:t>
      </w:r>
      <w:r>
        <w:rPr>
          <w:rFonts w:hint="eastAsia" w:eastAsia="宋体" w:cs="Times New Roman"/>
          <w:color w:val="auto"/>
          <w:sz w:val="21"/>
          <w:szCs w:val="21"/>
          <w:highlight w:val="none"/>
          <w:lang w:val="en-US" w:eastAsia="zh-CN"/>
        </w:rPr>
        <w:t>3东山煤矿洗煤一厂锅炉房平面布置图</w:t>
      </w:r>
    </w:p>
    <w:p w14:paraId="156190F4">
      <w:pPr>
        <w:rPr>
          <w:rFonts w:hint="eastAsia"/>
          <w:color w:val="auto"/>
          <w:highlight w:val="none"/>
          <w:lang w:val="en-US" w:eastAsia="zh-CN"/>
        </w:rPr>
      </w:pPr>
    </w:p>
    <w:p w14:paraId="341776EA">
      <w:pPr>
        <w:jc w:val="center"/>
        <w:rPr>
          <w:rFonts w:hint="eastAsia" w:eastAsia="宋体" w:cs="Times New Roman"/>
          <w:color w:val="auto"/>
          <w:sz w:val="21"/>
          <w:szCs w:val="21"/>
          <w:highlight w:val="none"/>
          <w:lang w:val="en-US" w:eastAsia="zh-CN"/>
        </w:rPr>
      </w:pPr>
      <w:r>
        <w:rPr>
          <w:rFonts w:hint="default"/>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3444240</wp:posOffset>
                </wp:positionH>
                <wp:positionV relativeFrom="paragraph">
                  <wp:posOffset>2967990</wp:posOffset>
                </wp:positionV>
                <wp:extent cx="773430" cy="361315"/>
                <wp:effectExtent l="4445" t="4445" r="269875" b="262890"/>
                <wp:wrapNone/>
                <wp:docPr id="47" name="圆角矩形标注 47"/>
                <wp:cNvGraphicFramePr/>
                <a:graphic xmlns:a="http://schemas.openxmlformats.org/drawingml/2006/main">
                  <a:graphicData uri="http://schemas.microsoft.com/office/word/2010/wordprocessingShape">
                    <wps:wsp>
                      <wps:cNvSpPr/>
                      <wps:spPr>
                        <a:xfrm>
                          <a:off x="0" y="0"/>
                          <a:ext cx="773430" cy="361315"/>
                        </a:xfrm>
                        <a:prstGeom prst="wedgeRoundRectCallout">
                          <a:avLst>
                            <a:gd name="adj1" fmla="val 78243"/>
                            <a:gd name="adj2" fmla="val 117237"/>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14:paraId="5E912CCD">
                            <w:pPr>
                              <w:rPr>
                                <w:rFonts w:ascii="Calibri" w:hAnsi="Calibri"/>
                              </w:rPr>
                            </w:pPr>
                            <w:r>
                              <w:rPr>
                                <w:rFonts w:ascii="Calibri" w:hAnsi="Calibri"/>
                              </w:rPr>
                              <w:t>项目</w:t>
                            </w:r>
                            <w:r>
                              <w:rPr>
                                <w:rFonts w:hint="eastAsia" w:ascii="Calibri" w:hAnsi="Calibri"/>
                              </w:rPr>
                              <w:t>位置</w:t>
                            </w:r>
                          </w:p>
                        </w:txbxContent>
                      </wps:txbx>
                      <wps:bodyPr upright="1"/>
                    </wps:wsp>
                  </a:graphicData>
                </a:graphic>
              </wp:anchor>
            </w:drawing>
          </mc:Choice>
          <mc:Fallback>
            <w:pict>
              <v:shape id="_x0000_s1026" o:spid="_x0000_s1026" o:spt="62" type="#_x0000_t62" style="position:absolute;left:0pt;margin-left:271.2pt;margin-top:233.7pt;height:28.45pt;width:60.9pt;z-index:251671552;mso-width-relative:page;mso-height-relative:page;" fillcolor="#FFFFFF" filled="t" stroked="t" coordsize="21600,21600" o:gfxdata="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xv&#10;1JDZAAAACwEAAA8AAAAAAAAAAQAgAAAAIgAAAGRycy9kb3ducmV2LnhtbFBLAQIUABQAAAAIAIdO&#10;4kA6q2ygWwIAAMsEAAAOAAAAAAAAAAEAIAAAACgBAABkcnMvZTJvRG9jLnhtbFBLBQYAAAAABgAG&#10;AFkBAAD1BQAAAAA=&#10;" adj="27700,36123,14400">
                <v:fill on="t" focussize="0,0"/>
                <v:stroke color="#000000" joinstyle="miter"/>
                <v:imagedata o:title=""/>
                <o:lock v:ext="edit" aspectratio="f"/>
                <v:textbox>
                  <w:txbxContent>
                    <w:p w14:paraId="5E912CCD">
                      <w:pPr>
                        <w:rPr>
                          <w:rFonts w:ascii="Calibri" w:hAnsi="Calibri"/>
                        </w:rPr>
                      </w:pPr>
                      <w:r>
                        <w:rPr>
                          <w:rFonts w:ascii="Calibri" w:hAnsi="Calibri"/>
                        </w:rPr>
                        <w:t>项目</w:t>
                      </w:r>
                      <w:r>
                        <w:rPr>
                          <w:rFonts w:hint="eastAsia" w:ascii="Calibri" w:hAnsi="Calibri"/>
                        </w:rPr>
                        <w:t>位置</w:t>
                      </w:r>
                    </w:p>
                  </w:txbxContent>
                </v:textbox>
              </v:shape>
            </w:pict>
          </mc:Fallback>
        </mc:AlternateContent>
      </w:r>
      <w:r>
        <w:rPr>
          <w:rFonts w:hint="default"/>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4408805</wp:posOffset>
                </wp:positionH>
                <wp:positionV relativeFrom="paragraph">
                  <wp:posOffset>3549650</wp:posOffset>
                </wp:positionV>
                <wp:extent cx="133985" cy="94615"/>
                <wp:effectExtent l="19050" t="12065" r="18415" b="26670"/>
                <wp:wrapNone/>
                <wp:docPr id="49" name="五角星 49"/>
                <wp:cNvGraphicFramePr/>
                <a:graphic xmlns:a="http://schemas.openxmlformats.org/drawingml/2006/main">
                  <a:graphicData uri="http://schemas.microsoft.com/office/word/2010/wordprocessingShape">
                    <wps:wsp>
                      <wps:cNvSpPr/>
                      <wps:spPr>
                        <a:xfrm>
                          <a:off x="0" y="0"/>
                          <a:ext cx="133985" cy="94615"/>
                        </a:xfrm>
                        <a:prstGeom prst="star5">
                          <a:avLst/>
                        </a:prstGeom>
                        <a:solidFill>
                          <a:srgbClr val="FF0000"/>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347.15pt;margin-top:279.5pt;height:7.45pt;width:10.55pt;z-index:251672576;mso-width-relative:page;mso-height-relative:page;" fillcolor="#FF0000" filled="t" stroked="t" coordsize="133985,94615" o:gfxdata="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1PYoDbAAAACwEAAA8AAAAAAAAAAQAgAAAA&#10;IgAAAGRycy9kb3ducmV2LnhtbFBLAQIUABQAAAAIAIdO4kBYlSH9CAIAADAEAAAOAAAAAAAAAAEA&#10;IAAAACoBAABkcnMvZTJvRG9jLnhtbFBLBQYAAAAABgAGAFkBAACkBQAAAAA=&#10;" path="m0,36139l51177,36139,66992,0,82807,36139,133984,36139,92580,58475,108396,94614,66992,72278,25588,94614,41404,58475xe">
                <v:path o:connectlocs="66992,0;0,36139;25588,94614;108396,94614;133984,36139" o:connectangles="247,164,82,82,0"/>
                <v:fill on="t" focussize="0,0"/>
                <v:stroke color="#000000" joinstyle="miter"/>
                <v:imagedata o:title=""/>
                <o:lock v:ext="edit" aspectratio="f"/>
              </v:shape>
            </w:pict>
          </mc:Fallback>
        </mc:AlternateContent>
      </w:r>
      <w:r>
        <w:rPr>
          <w:rFonts w:hint="eastAsia" w:eastAsia="宋体" w:cs="Times New Roman"/>
          <w:color w:val="auto"/>
          <w:sz w:val="21"/>
          <w:szCs w:val="21"/>
          <w:highlight w:val="none"/>
          <w:lang w:val="en-US" w:eastAsia="zh-CN"/>
        </w:rPr>
        <w:drawing>
          <wp:inline distT="0" distB="0" distL="114300" distR="114300">
            <wp:extent cx="6827520" cy="4116705"/>
            <wp:effectExtent l="0" t="0" r="0" b="0"/>
            <wp:docPr id="40" name="图片 40" descr="鸡西市人民政府印发鸡西市中心城区声环境功能区划分方案的通知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鸡西市人民政府印发鸡西市中心城区声环境功能区划分方案的通知_21"/>
                    <pic:cNvPicPr>
                      <a:picLocks noChangeAspect="1"/>
                    </pic:cNvPicPr>
                  </pic:nvPicPr>
                  <pic:blipFill>
                    <a:blip r:embed="rId117"/>
                    <a:srcRect t="25314" b="32053"/>
                    <a:stretch>
                      <a:fillRect/>
                    </a:stretch>
                  </pic:blipFill>
                  <pic:spPr>
                    <a:xfrm>
                      <a:off x="0" y="0"/>
                      <a:ext cx="6827520" cy="4116705"/>
                    </a:xfrm>
                    <a:prstGeom prst="rect">
                      <a:avLst/>
                    </a:prstGeom>
                  </pic:spPr>
                </pic:pic>
              </a:graphicData>
            </a:graphic>
          </wp:inline>
        </w:drawing>
      </w:r>
    </w:p>
    <w:p w14:paraId="5BC72733">
      <w:pPr>
        <w:rPr>
          <w:rFonts w:hint="eastAsia" w:eastAsia="宋体" w:cs="Times New Roman"/>
          <w:color w:val="auto"/>
          <w:sz w:val="21"/>
          <w:szCs w:val="21"/>
          <w:highlight w:val="none"/>
          <w:lang w:val="en-US" w:eastAsia="zh-CN"/>
        </w:rPr>
      </w:pPr>
    </w:p>
    <w:p w14:paraId="47DC9EF3">
      <w:pPr>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附图4鸡西市中心城区声环境功能区划图</w:t>
      </w:r>
    </w:p>
    <w:sectPr>
      <w:footerReference r:id="rId6" w:type="default"/>
      <w:pgSz w:w="16781" w:h="11849" w:orient="landscape"/>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AD586556-A717-42A5-8E11-A05C54D9231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FDB30E93-DA65-404E-8D47-1AF66ACB6DAE}"/>
  </w:font>
  <w:font w:name="华文行楷">
    <w:panose1 w:val="02010800040101010101"/>
    <w:charset w:val="86"/>
    <w:family w:val="auto"/>
    <w:pitch w:val="default"/>
    <w:sig w:usb0="00000001" w:usb1="080F0000" w:usb2="00000000" w:usb3="00000000" w:csb0="00040000" w:csb1="00000000"/>
  </w:font>
  <w:font w:name="Arial Unicode MS">
    <w:altName w:val="宋体"/>
    <w:panose1 w:val="020B0604020202020204"/>
    <w:charset w:val="86"/>
    <w:family w:val="auto"/>
    <w:pitch w:val="default"/>
    <w:sig w:usb0="00000000" w:usb1="00000000"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embedRegular r:id="rId3" w:fontKey="{E70F7160-BC41-4781-AF91-A4ACC636478F}"/>
  </w:font>
  <w:font w:name="仿宋">
    <w:panose1 w:val="02010609060101010101"/>
    <w:charset w:val="86"/>
    <w:family w:val="auto"/>
    <w:pitch w:val="default"/>
    <w:sig w:usb0="800002BF" w:usb1="38CF7CFA" w:usb2="00000016" w:usb3="00000000" w:csb0="00040001" w:csb1="00000000"/>
    <w:embedRegular r:id="rId4" w:fontKey="{1FB67122-EF5A-407E-B4D8-C7A2590EF488}"/>
  </w:font>
  <w:font w:name="new times roma">
    <w:altName w:val="Times New Roman"/>
    <w:panose1 w:val="00000000000000000000"/>
    <w:charset w:val="00"/>
    <w:family w:val="auto"/>
    <w:pitch w:val="default"/>
    <w:sig w:usb0="00000000" w:usb1="00000000" w:usb2="00000000" w:usb3="00000000" w:csb0="00040001" w:csb1="00000000"/>
  </w:font>
  <w:font w:name="方正小标宋_GBK">
    <w:panose1 w:val="02000000000000000000"/>
    <w:charset w:val="86"/>
    <w:family w:val="script"/>
    <w:pitch w:val="default"/>
    <w:sig w:usb0="A00002BF" w:usb1="38CF7CFA" w:usb2="00082016" w:usb3="00000000" w:csb0="00040001" w:csb1="00000000"/>
    <w:embedRegular r:id="rId5" w:fontKey="{2058EAE4-D56C-4A06-B272-DB57385C9D72}"/>
  </w:font>
  <w:font w:name="楷体_GB2312">
    <w:altName w:val="楷体"/>
    <w:panose1 w:val="02010609030101010101"/>
    <w:charset w:val="86"/>
    <w:family w:val="modern"/>
    <w:pitch w:val="default"/>
    <w:sig w:usb0="00000000" w:usb1="00000000" w:usb2="00000000" w:usb3="00000000" w:csb0="00040000" w:csb1="00000000"/>
    <w:embedRegular r:id="rId6" w:fontKey="{8AE54EF2-8F64-4207-A2D0-3E5A3760A41D}"/>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embedRegular r:id="rId7" w:fontKey="{406DD2F6-8DE4-4B89-A9F1-39B0D6ED914E}"/>
  </w:font>
  <w:font w:name="Wingdings 2">
    <w:panose1 w:val="05020102010507070707"/>
    <w:charset w:val="02"/>
    <w:family w:val="roman"/>
    <w:pitch w:val="default"/>
    <w:sig w:usb0="00000000" w:usb1="00000000" w:usb2="00000000" w:usb3="00000000" w:csb0="80000000" w:csb1="00000000"/>
    <w:embedRegular r:id="rId8" w:fontKey="{B9D71EC3-A42A-4504-98BD-4F9AC6547EC7}"/>
  </w:font>
  <w:font w:name="微软雅黑">
    <w:panose1 w:val="020B0503020204020204"/>
    <w:charset w:val="86"/>
    <w:family w:val="swiss"/>
    <w:pitch w:val="default"/>
    <w:sig w:usb0="80000287" w:usb1="2ACF3C50" w:usb2="00000016" w:usb3="00000000" w:csb0="0004001F" w:csb1="00000000"/>
    <w:embedRegular r:id="rId9" w:fontKey="{4328A3B8-D31A-4F91-A961-3C1413375E94}"/>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ED778">
    <w:pPr>
      <w:pStyle w:val="20"/>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FB345">
    <w:pPr>
      <w:pStyle w:val="20"/>
      <w:tabs>
        <w:tab w:val="center" w:pos="4121"/>
        <w:tab w:val="clear" w:pos="4153"/>
      </w:tabs>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471B3">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78A471B3">
                    <w:pPr>
                      <w:pStyle w:val="20"/>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49D399">
    <w:pPr>
      <w:pStyle w:val="20"/>
      <w:tabs>
        <w:tab w:val="center" w:pos="4121"/>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E9EF74">
                          <w:pPr>
                            <w:pStyle w:val="20"/>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4CE9EF74">
                    <w:pPr>
                      <w:pStyle w:val="20"/>
                    </w:pPr>
                    <w:r>
                      <w:fldChar w:fldCharType="begin"/>
                    </w:r>
                    <w:r>
                      <w:instrText xml:space="preserve"> PAGE  \* MERGEFORMAT </w:instrText>
                    </w:r>
                    <w:r>
                      <w:fldChar w:fldCharType="separate"/>
                    </w:r>
                    <w:r>
                      <w:t>28</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CBD5F1">
    <w:pPr>
      <w:pStyle w:val="20"/>
      <w:tabs>
        <w:tab w:val="center" w:pos="4121"/>
        <w:tab w:val="clear" w:pos="4153"/>
        <w:tab w:val="clear" w:pos="8306"/>
      </w:tabs>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7D1B61">
                          <w:pPr>
                            <w:pStyle w:val="20"/>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0D7D1B61">
                    <w:pPr>
                      <w:pStyle w:val="20"/>
                    </w:pPr>
                    <w:r>
                      <w:fldChar w:fldCharType="begin"/>
                    </w:r>
                    <w:r>
                      <w:instrText xml:space="preserve"> PAGE  \* MERGEFORMAT </w:instrText>
                    </w:r>
                    <w:r>
                      <w:fldChar w:fldCharType="separate"/>
                    </w:r>
                    <w:r>
                      <w:t>93</w:t>
                    </w:r>
                    <w:r>
                      <w:fldChar w:fldCharType="end"/>
                    </w:r>
                  </w:p>
                </w:txbxContent>
              </v:textbox>
            </v:shape>
          </w:pict>
        </mc:Fallback>
      </mc:AlternateContent>
    </w:r>
    <w:r>
      <w:rPr>
        <w:rFonts w:hint="eastAsia"/>
      </w:rPr>
      <w:tab/>
    </w: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C3F996"/>
    <w:multiLevelType w:val="singleLevel"/>
    <w:tmpl w:val="8FC3F996"/>
    <w:lvl w:ilvl="0" w:tentative="0">
      <w:start w:val="1"/>
      <w:numFmt w:val="chineseCounting"/>
      <w:suff w:val="nothing"/>
      <w:lvlText w:val="%1、"/>
      <w:lvlJc w:val="left"/>
      <w:pPr>
        <w:ind w:left="0"/>
      </w:pPr>
      <w:rPr>
        <w:rFonts w:hint="eastAsia"/>
      </w:rPr>
    </w:lvl>
  </w:abstractNum>
  <w:abstractNum w:abstractNumId="1">
    <w:nsid w:val="A2F8ED4F"/>
    <w:multiLevelType w:val="singleLevel"/>
    <w:tmpl w:val="A2F8ED4F"/>
    <w:lvl w:ilvl="0" w:tentative="0">
      <w:start w:val="2"/>
      <w:numFmt w:val="decimal"/>
      <w:pStyle w:val="138"/>
      <w:suff w:val="nothing"/>
      <w:lvlText w:val="（%1）"/>
      <w:lvlJc w:val="left"/>
    </w:lvl>
  </w:abstractNum>
  <w:abstractNum w:abstractNumId="2">
    <w:nsid w:val="AB2D2C27"/>
    <w:multiLevelType w:val="singleLevel"/>
    <w:tmpl w:val="AB2D2C27"/>
    <w:lvl w:ilvl="0" w:tentative="0">
      <w:start w:val="1"/>
      <w:numFmt w:val="decimal"/>
      <w:suff w:val="nothing"/>
      <w:lvlText w:val="%1、"/>
      <w:lvlJc w:val="left"/>
    </w:lvl>
  </w:abstractNum>
  <w:abstractNum w:abstractNumId="3">
    <w:nsid w:val="D53E88B3"/>
    <w:multiLevelType w:val="singleLevel"/>
    <w:tmpl w:val="D53E88B3"/>
    <w:lvl w:ilvl="0" w:tentative="0">
      <w:start w:val="1"/>
      <w:numFmt w:val="decimal"/>
      <w:suff w:val="nothing"/>
      <w:lvlText w:val="%1、"/>
      <w:lvlJc w:val="left"/>
    </w:lvl>
  </w:abstractNum>
  <w:abstractNum w:abstractNumId="4">
    <w:nsid w:val="DCFE715B"/>
    <w:multiLevelType w:val="singleLevel"/>
    <w:tmpl w:val="DCFE715B"/>
    <w:lvl w:ilvl="0" w:tentative="0">
      <w:start w:val="3"/>
      <w:numFmt w:val="decimal"/>
      <w:suff w:val="nothing"/>
      <w:lvlText w:val="（%1）"/>
      <w:lvlJc w:val="left"/>
      <w:rPr>
        <w:rFonts w:hint="default" w:ascii="Times New Roman" w:hAnsi="Times New Roman" w:cs="Times New Roman"/>
      </w:rPr>
    </w:lvl>
  </w:abstractNum>
  <w:abstractNum w:abstractNumId="5">
    <w:nsid w:val="E1BAF4AE"/>
    <w:multiLevelType w:val="singleLevel"/>
    <w:tmpl w:val="E1BAF4AE"/>
    <w:lvl w:ilvl="0" w:tentative="0">
      <w:start w:val="1"/>
      <w:numFmt w:val="upperLetter"/>
      <w:suff w:val="nothing"/>
      <w:lvlText w:val="%1、"/>
      <w:lvlJc w:val="left"/>
    </w:lvl>
  </w:abstractNum>
  <w:abstractNum w:abstractNumId="6">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4"/>
      <w:suff w:val="nothing"/>
      <w:lvlText w:val="%1.%2.%3"/>
      <w:lvlJc w:val="left"/>
      <w:pPr>
        <w:ind w:left="3261" w:hanging="851"/>
      </w:pPr>
    </w:lvl>
    <w:lvl w:ilvl="3" w:tentative="0">
      <w:start w:val="1"/>
      <w:numFmt w:val="decimal"/>
      <w:pStyle w:val="5"/>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7">
    <w:nsid w:val="47C032C3"/>
    <w:multiLevelType w:val="singleLevel"/>
    <w:tmpl w:val="47C032C3"/>
    <w:lvl w:ilvl="0" w:tentative="0">
      <w:start w:val="1"/>
      <w:numFmt w:val="decimal"/>
      <w:suff w:val="nothing"/>
      <w:lvlText w:val="%1、"/>
      <w:lvlJc w:val="left"/>
    </w:lvl>
  </w:abstractNum>
  <w:abstractNum w:abstractNumId="8">
    <w:nsid w:val="4FFD0C1F"/>
    <w:multiLevelType w:val="singleLevel"/>
    <w:tmpl w:val="4FFD0C1F"/>
    <w:lvl w:ilvl="0" w:tentative="0">
      <w:start w:val="1"/>
      <w:numFmt w:val="chineseCounting"/>
      <w:suff w:val="nothing"/>
      <w:lvlText w:val="%1、"/>
      <w:lvlJc w:val="left"/>
      <w:rPr>
        <w:rFonts w:hint="eastAsia"/>
      </w:rPr>
    </w:lvl>
  </w:abstractNum>
  <w:num w:numId="1">
    <w:abstractNumId w:val="6"/>
  </w:num>
  <w:num w:numId="2">
    <w:abstractNumId w:val="1"/>
  </w:num>
  <w:num w:numId="3">
    <w:abstractNumId w:val="4"/>
  </w:num>
  <w:num w:numId="4">
    <w:abstractNumId w:val="0"/>
  </w:num>
  <w:num w:numId="5">
    <w:abstractNumId w:val="2"/>
  </w:num>
  <w:num w:numId="6">
    <w:abstractNumId w:val="3"/>
  </w:num>
  <w:num w:numId="7">
    <w:abstractNumId w:val="7"/>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329"/>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JmMGI2YzlhY2JlY2Y3NWVkNGEzMmM2MDhmYTFmYzAifQ=="/>
  </w:docVars>
  <w:rsids>
    <w:rsidRoot w:val="00172A27"/>
    <w:rsid w:val="00001CED"/>
    <w:rsid w:val="00001E67"/>
    <w:rsid w:val="00003CD8"/>
    <w:rsid w:val="00014965"/>
    <w:rsid w:val="0001523A"/>
    <w:rsid w:val="00016ECB"/>
    <w:rsid w:val="000269F6"/>
    <w:rsid w:val="00031939"/>
    <w:rsid w:val="00032D25"/>
    <w:rsid w:val="0005219D"/>
    <w:rsid w:val="00052A18"/>
    <w:rsid w:val="0005568F"/>
    <w:rsid w:val="0006153D"/>
    <w:rsid w:val="00061B1F"/>
    <w:rsid w:val="00062D86"/>
    <w:rsid w:val="000664DB"/>
    <w:rsid w:val="00066EBC"/>
    <w:rsid w:val="000701C4"/>
    <w:rsid w:val="0007127D"/>
    <w:rsid w:val="00071AE5"/>
    <w:rsid w:val="00074783"/>
    <w:rsid w:val="000763E4"/>
    <w:rsid w:val="00076D34"/>
    <w:rsid w:val="000801E0"/>
    <w:rsid w:val="00082A29"/>
    <w:rsid w:val="0008331D"/>
    <w:rsid w:val="00083C18"/>
    <w:rsid w:val="00092899"/>
    <w:rsid w:val="000A002F"/>
    <w:rsid w:val="000A178E"/>
    <w:rsid w:val="000A5502"/>
    <w:rsid w:val="000A557E"/>
    <w:rsid w:val="000B058F"/>
    <w:rsid w:val="000B1001"/>
    <w:rsid w:val="000B6281"/>
    <w:rsid w:val="000B693F"/>
    <w:rsid w:val="000C09AC"/>
    <w:rsid w:val="000C0A63"/>
    <w:rsid w:val="000C1FF9"/>
    <w:rsid w:val="000C437E"/>
    <w:rsid w:val="000C4F74"/>
    <w:rsid w:val="000E5F16"/>
    <w:rsid w:val="000F4452"/>
    <w:rsid w:val="000F6DA1"/>
    <w:rsid w:val="000F6F68"/>
    <w:rsid w:val="000F701B"/>
    <w:rsid w:val="00103897"/>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E78"/>
    <w:rsid w:val="0017504D"/>
    <w:rsid w:val="00177422"/>
    <w:rsid w:val="00184F10"/>
    <w:rsid w:val="00185546"/>
    <w:rsid w:val="0019146B"/>
    <w:rsid w:val="00193414"/>
    <w:rsid w:val="00194398"/>
    <w:rsid w:val="001A4716"/>
    <w:rsid w:val="001A64C4"/>
    <w:rsid w:val="001A7D2A"/>
    <w:rsid w:val="001B574C"/>
    <w:rsid w:val="001C0AF9"/>
    <w:rsid w:val="001C155A"/>
    <w:rsid w:val="001C48C0"/>
    <w:rsid w:val="001D1BE5"/>
    <w:rsid w:val="001D6726"/>
    <w:rsid w:val="001E600B"/>
    <w:rsid w:val="001F18D0"/>
    <w:rsid w:val="001F3347"/>
    <w:rsid w:val="001F4440"/>
    <w:rsid w:val="001F69E4"/>
    <w:rsid w:val="001F7F7E"/>
    <w:rsid w:val="00206A65"/>
    <w:rsid w:val="00210D6B"/>
    <w:rsid w:val="00212D31"/>
    <w:rsid w:val="002130C7"/>
    <w:rsid w:val="00217428"/>
    <w:rsid w:val="002218A8"/>
    <w:rsid w:val="0022306D"/>
    <w:rsid w:val="00226574"/>
    <w:rsid w:val="002278EC"/>
    <w:rsid w:val="002357C7"/>
    <w:rsid w:val="002367C4"/>
    <w:rsid w:val="00244B1B"/>
    <w:rsid w:val="0025679E"/>
    <w:rsid w:val="00260C68"/>
    <w:rsid w:val="002630BB"/>
    <w:rsid w:val="002648B0"/>
    <w:rsid w:val="00275271"/>
    <w:rsid w:val="0027535E"/>
    <w:rsid w:val="0027562F"/>
    <w:rsid w:val="00275AA6"/>
    <w:rsid w:val="00276E33"/>
    <w:rsid w:val="002807D5"/>
    <w:rsid w:val="00282CCD"/>
    <w:rsid w:val="002A168C"/>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E6413"/>
    <w:rsid w:val="002F02A4"/>
    <w:rsid w:val="002F272B"/>
    <w:rsid w:val="002F7C6D"/>
    <w:rsid w:val="003027E4"/>
    <w:rsid w:val="0030332C"/>
    <w:rsid w:val="0030397C"/>
    <w:rsid w:val="00312296"/>
    <w:rsid w:val="0031340E"/>
    <w:rsid w:val="00316464"/>
    <w:rsid w:val="0032073A"/>
    <w:rsid w:val="00321D8E"/>
    <w:rsid w:val="003332A4"/>
    <w:rsid w:val="00334996"/>
    <w:rsid w:val="00335D51"/>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D6656"/>
    <w:rsid w:val="003E7681"/>
    <w:rsid w:val="003F0809"/>
    <w:rsid w:val="003F611C"/>
    <w:rsid w:val="003F6A92"/>
    <w:rsid w:val="003F755C"/>
    <w:rsid w:val="00406F01"/>
    <w:rsid w:val="00411B36"/>
    <w:rsid w:val="004121D7"/>
    <w:rsid w:val="00416146"/>
    <w:rsid w:val="00416D50"/>
    <w:rsid w:val="00417772"/>
    <w:rsid w:val="00420E6A"/>
    <w:rsid w:val="00430200"/>
    <w:rsid w:val="00433CA9"/>
    <w:rsid w:val="0043521D"/>
    <w:rsid w:val="00442024"/>
    <w:rsid w:val="0044254C"/>
    <w:rsid w:val="00443F6A"/>
    <w:rsid w:val="00450A17"/>
    <w:rsid w:val="00451CB6"/>
    <w:rsid w:val="00466321"/>
    <w:rsid w:val="004672AF"/>
    <w:rsid w:val="004727B0"/>
    <w:rsid w:val="00480247"/>
    <w:rsid w:val="0048081D"/>
    <w:rsid w:val="0048117E"/>
    <w:rsid w:val="004855F6"/>
    <w:rsid w:val="00486F0C"/>
    <w:rsid w:val="00494670"/>
    <w:rsid w:val="004A0EB4"/>
    <w:rsid w:val="004A367F"/>
    <w:rsid w:val="004A3823"/>
    <w:rsid w:val="004A59BB"/>
    <w:rsid w:val="004B43A3"/>
    <w:rsid w:val="004B4C49"/>
    <w:rsid w:val="004B58A5"/>
    <w:rsid w:val="004B63D9"/>
    <w:rsid w:val="004C0882"/>
    <w:rsid w:val="004C55BE"/>
    <w:rsid w:val="004E43BF"/>
    <w:rsid w:val="004E5B30"/>
    <w:rsid w:val="004E7D88"/>
    <w:rsid w:val="004F0779"/>
    <w:rsid w:val="004F1230"/>
    <w:rsid w:val="004F173F"/>
    <w:rsid w:val="004F177C"/>
    <w:rsid w:val="004F2DCE"/>
    <w:rsid w:val="004F51E5"/>
    <w:rsid w:val="005039CB"/>
    <w:rsid w:val="0050558F"/>
    <w:rsid w:val="005057E0"/>
    <w:rsid w:val="00506286"/>
    <w:rsid w:val="0050638A"/>
    <w:rsid w:val="00510813"/>
    <w:rsid w:val="00511DE0"/>
    <w:rsid w:val="0051596B"/>
    <w:rsid w:val="00517F02"/>
    <w:rsid w:val="00524547"/>
    <w:rsid w:val="005258A2"/>
    <w:rsid w:val="00530F7C"/>
    <w:rsid w:val="00534567"/>
    <w:rsid w:val="00534F43"/>
    <w:rsid w:val="00535A84"/>
    <w:rsid w:val="00536889"/>
    <w:rsid w:val="00542E07"/>
    <w:rsid w:val="00554A7B"/>
    <w:rsid w:val="0055572C"/>
    <w:rsid w:val="0056064F"/>
    <w:rsid w:val="00561B84"/>
    <w:rsid w:val="00563274"/>
    <w:rsid w:val="00571D98"/>
    <w:rsid w:val="005720AE"/>
    <w:rsid w:val="0058030D"/>
    <w:rsid w:val="00582045"/>
    <w:rsid w:val="00590AE3"/>
    <w:rsid w:val="005918F1"/>
    <w:rsid w:val="00593490"/>
    <w:rsid w:val="005A06B7"/>
    <w:rsid w:val="005A1759"/>
    <w:rsid w:val="005A6014"/>
    <w:rsid w:val="005D0369"/>
    <w:rsid w:val="005D4603"/>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21C19"/>
    <w:rsid w:val="006343AF"/>
    <w:rsid w:val="0063634A"/>
    <w:rsid w:val="0064250D"/>
    <w:rsid w:val="00645991"/>
    <w:rsid w:val="006535EB"/>
    <w:rsid w:val="00663016"/>
    <w:rsid w:val="00674605"/>
    <w:rsid w:val="006748B8"/>
    <w:rsid w:val="0067722F"/>
    <w:rsid w:val="0068535B"/>
    <w:rsid w:val="0068736E"/>
    <w:rsid w:val="0069290A"/>
    <w:rsid w:val="00694990"/>
    <w:rsid w:val="00697032"/>
    <w:rsid w:val="006975AC"/>
    <w:rsid w:val="006A15FB"/>
    <w:rsid w:val="006A72BF"/>
    <w:rsid w:val="006B332A"/>
    <w:rsid w:val="006B33BD"/>
    <w:rsid w:val="006B4F71"/>
    <w:rsid w:val="006C3F75"/>
    <w:rsid w:val="006D170E"/>
    <w:rsid w:val="006E06AF"/>
    <w:rsid w:val="006F1789"/>
    <w:rsid w:val="007007DA"/>
    <w:rsid w:val="00702588"/>
    <w:rsid w:val="00706C5D"/>
    <w:rsid w:val="007118E6"/>
    <w:rsid w:val="007225C9"/>
    <w:rsid w:val="00726300"/>
    <w:rsid w:val="00733E26"/>
    <w:rsid w:val="00735CD7"/>
    <w:rsid w:val="0074788B"/>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3E1B"/>
    <w:rsid w:val="00845F57"/>
    <w:rsid w:val="00847DE1"/>
    <w:rsid w:val="008521E0"/>
    <w:rsid w:val="008525B0"/>
    <w:rsid w:val="00852A28"/>
    <w:rsid w:val="00867CBC"/>
    <w:rsid w:val="00876C30"/>
    <w:rsid w:val="00877017"/>
    <w:rsid w:val="008773C0"/>
    <w:rsid w:val="00880364"/>
    <w:rsid w:val="00886C4C"/>
    <w:rsid w:val="0088711C"/>
    <w:rsid w:val="00892ECF"/>
    <w:rsid w:val="00892F06"/>
    <w:rsid w:val="00894285"/>
    <w:rsid w:val="008953F8"/>
    <w:rsid w:val="008A0E42"/>
    <w:rsid w:val="008A40AE"/>
    <w:rsid w:val="008A4E19"/>
    <w:rsid w:val="008A67C5"/>
    <w:rsid w:val="008B1170"/>
    <w:rsid w:val="008B22E1"/>
    <w:rsid w:val="008B3C78"/>
    <w:rsid w:val="008B4AE9"/>
    <w:rsid w:val="008C30AD"/>
    <w:rsid w:val="008C555B"/>
    <w:rsid w:val="008C6C96"/>
    <w:rsid w:val="008D068E"/>
    <w:rsid w:val="008D0F7A"/>
    <w:rsid w:val="008D313A"/>
    <w:rsid w:val="008D63BE"/>
    <w:rsid w:val="008E0CFF"/>
    <w:rsid w:val="008E5D6B"/>
    <w:rsid w:val="008E689B"/>
    <w:rsid w:val="008E76F0"/>
    <w:rsid w:val="008F15FE"/>
    <w:rsid w:val="008F2A94"/>
    <w:rsid w:val="008F5187"/>
    <w:rsid w:val="008F6EB2"/>
    <w:rsid w:val="008F709C"/>
    <w:rsid w:val="00900FC3"/>
    <w:rsid w:val="00902C2A"/>
    <w:rsid w:val="0090312B"/>
    <w:rsid w:val="00904961"/>
    <w:rsid w:val="0091736D"/>
    <w:rsid w:val="00920750"/>
    <w:rsid w:val="009269A2"/>
    <w:rsid w:val="00931001"/>
    <w:rsid w:val="00931863"/>
    <w:rsid w:val="00933524"/>
    <w:rsid w:val="0094278D"/>
    <w:rsid w:val="00950240"/>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37BE"/>
    <w:rsid w:val="009A72C7"/>
    <w:rsid w:val="009B0897"/>
    <w:rsid w:val="009D0852"/>
    <w:rsid w:val="009D1FBF"/>
    <w:rsid w:val="009D3880"/>
    <w:rsid w:val="009E399C"/>
    <w:rsid w:val="009E43C1"/>
    <w:rsid w:val="009E7E95"/>
    <w:rsid w:val="009F116F"/>
    <w:rsid w:val="009F329E"/>
    <w:rsid w:val="009F5089"/>
    <w:rsid w:val="009F7ED3"/>
    <w:rsid w:val="00A03607"/>
    <w:rsid w:val="00A047FF"/>
    <w:rsid w:val="00A04FEF"/>
    <w:rsid w:val="00A054BF"/>
    <w:rsid w:val="00A122CD"/>
    <w:rsid w:val="00A12A32"/>
    <w:rsid w:val="00A14248"/>
    <w:rsid w:val="00A14947"/>
    <w:rsid w:val="00A1745D"/>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3CEC"/>
    <w:rsid w:val="00AA4172"/>
    <w:rsid w:val="00AB1914"/>
    <w:rsid w:val="00AB328E"/>
    <w:rsid w:val="00AB5330"/>
    <w:rsid w:val="00AB7747"/>
    <w:rsid w:val="00AC2532"/>
    <w:rsid w:val="00AD1507"/>
    <w:rsid w:val="00AD5A70"/>
    <w:rsid w:val="00AD738B"/>
    <w:rsid w:val="00AE1BF4"/>
    <w:rsid w:val="00AE4E5E"/>
    <w:rsid w:val="00AE5D97"/>
    <w:rsid w:val="00AE6794"/>
    <w:rsid w:val="00AE7BBB"/>
    <w:rsid w:val="00B01110"/>
    <w:rsid w:val="00B02262"/>
    <w:rsid w:val="00B03CEC"/>
    <w:rsid w:val="00B1209F"/>
    <w:rsid w:val="00B12AD0"/>
    <w:rsid w:val="00B21118"/>
    <w:rsid w:val="00B24F30"/>
    <w:rsid w:val="00B31ABF"/>
    <w:rsid w:val="00B335AE"/>
    <w:rsid w:val="00B37CE1"/>
    <w:rsid w:val="00B40ACF"/>
    <w:rsid w:val="00B46BAA"/>
    <w:rsid w:val="00B503C6"/>
    <w:rsid w:val="00B50B5F"/>
    <w:rsid w:val="00B54128"/>
    <w:rsid w:val="00B55826"/>
    <w:rsid w:val="00B579B9"/>
    <w:rsid w:val="00B60426"/>
    <w:rsid w:val="00B622DD"/>
    <w:rsid w:val="00B63522"/>
    <w:rsid w:val="00B71F65"/>
    <w:rsid w:val="00B76409"/>
    <w:rsid w:val="00B76F1D"/>
    <w:rsid w:val="00B80488"/>
    <w:rsid w:val="00B92A19"/>
    <w:rsid w:val="00B93F2F"/>
    <w:rsid w:val="00B9544C"/>
    <w:rsid w:val="00BA29E9"/>
    <w:rsid w:val="00BB3618"/>
    <w:rsid w:val="00BC0C9E"/>
    <w:rsid w:val="00BC32DC"/>
    <w:rsid w:val="00BD1B51"/>
    <w:rsid w:val="00BD47F6"/>
    <w:rsid w:val="00BE312D"/>
    <w:rsid w:val="00BE3FCA"/>
    <w:rsid w:val="00BF720C"/>
    <w:rsid w:val="00C01DF3"/>
    <w:rsid w:val="00C05719"/>
    <w:rsid w:val="00C10578"/>
    <w:rsid w:val="00C17D62"/>
    <w:rsid w:val="00C21FDC"/>
    <w:rsid w:val="00C2410B"/>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85F20"/>
    <w:rsid w:val="00C91611"/>
    <w:rsid w:val="00C91EC1"/>
    <w:rsid w:val="00CA3585"/>
    <w:rsid w:val="00CA3D5A"/>
    <w:rsid w:val="00CA4C7C"/>
    <w:rsid w:val="00CB0183"/>
    <w:rsid w:val="00CB1EA3"/>
    <w:rsid w:val="00CB3C62"/>
    <w:rsid w:val="00CB552C"/>
    <w:rsid w:val="00CB6A9E"/>
    <w:rsid w:val="00CC6181"/>
    <w:rsid w:val="00CD2BCD"/>
    <w:rsid w:val="00CD36AA"/>
    <w:rsid w:val="00CD3791"/>
    <w:rsid w:val="00CD65B0"/>
    <w:rsid w:val="00CE02CD"/>
    <w:rsid w:val="00CE10E9"/>
    <w:rsid w:val="00CF535D"/>
    <w:rsid w:val="00D0072E"/>
    <w:rsid w:val="00D12B9C"/>
    <w:rsid w:val="00D15727"/>
    <w:rsid w:val="00D16332"/>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8FF"/>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0770D"/>
    <w:rsid w:val="00E12D45"/>
    <w:rsid w:val="00E2064B"/>
    <w:rsid w:val="00E25239"/>
    <w:rsid w:val="00E265B1"/>
    <w:rsid w:val="00E275B0"/>
    <w:rsid w:val="00E30FAC"/>
    <w:rsid w:val="00E412D0"/>
    <w:rsid w:val="00E47CDB"/>
    <w:rsid w:val="00E54D24"/>
    <w:rsid w:val="00E566BC"/>
    <w:rsid w:val="00E60982"/>
    <w:rsid w:val="00E60C8D"/>
    <w:rsid w:val="00E6162F"/>
    <w:rsid w:val="00E6311B"/>
    <w:rsid w:val="00E64BB7"/>
    <w:rsid w:val="00E65D97"/>
    <w:rsid w:val="00E67EFD"/>
    <w:rsid w:val="00E702DC"/>
    <w:rsid w:val="00E71FFB"/>
    <w:rsid w:val="00E76D1D"/>
    <w:rsid w:val="00E806F8"/>
    <w:rsid w:val="00E865C2"/>
    <w:rsid w:val="00E87752"/>
    <w:rsid w:val="00E8793B"/>
    <w:rsid w:val="00E87B6C"/>
    <w:rsid w:val="00E87D31"/>
    <w:rsid w:val="00E90F81"/>
    <w:rsid w:val="00E91A6D"/>
    <w:rsid w:val="00E9242D"/>
    <w:rsid w:val="00EA6F52"/>
    <w:rsid w:val="00EB041C"/>
    <w:rsid w:val="00EB7E60"/>
    <w:rsid w:val="00EC5874"/>
    <w:rsid w:val="00ED192D"/>
    <w:rsid w:val="00ED30B4"/>
    <w:rsid w:val="00ED31F5"/>
    <w:rsid w:val="00EF2759"/>
    <w:rsid w:val="00EF45EB"/>
    <w:rsid w:val="00EF5099"/>
    <w:rsid w:val="00EF5E33"/>
    <w:rsid w:val="00F00075"/>
    <w:rsid w:val="00F07822"/>
    <w:rsid w:val="00F07A21"/>
    <w:rsid w:val="00F15C95"/>
    <w:rsid w:val="00F22985"/>
    <w:rsid w:val="00F241AB"/>
    <w:rsid w:val="00F31382"/>
    <w:rsid w:val="00F35829"/>
    <w:rsid w:val="00F42868"/>
    <w:rsid w:val="00F431B9"/>
    <w:rsid w:val="00F465A7"/>
    <w:rsid w:val="00F50B7C"/>
    <w:rsid w:val="00F5202D"/>
    <w:rsid w:val="00F52A8D"/>
    <w:rsid w:val="00F52CF6"/>
    <w:rsid w:val="00F54496"/>
    <w:rsid w:val="00F61097"/>
    <w:rsid w:val="00F74345"/>
    <w:rsid w:val="00F74441"/>
    <w:rsid w:val="00F77F30"/>
    <w:rsid w:val="00F82589"/>
    <w:rsid w:val="00F82B19"/>
    <w:rsid w:val="00F83396"/>
    <w:rsid w:val="00F90AA7"/>
    <w:rsid w:val="00F9212D"/>
    <w:rsid w:val="00FA00A3"/>
    <w:rsid w:val="00FA301A"/>
    <w:rsid w:val="00FA406A"/>
    <w:rsid w:val="00FA5CB6"/>
    <w:rsid w:val="00FC66AC"/>
    <w:rsid w:val="00FD18F4"/>
    <w:rsid w:val="00FD74B4"/>
    <w:rsid w:val="00FF14DB"/>
    <w:rsid w:val="00FF6FCE"/>
    <w:rsid w:val="00FF7518"/>
    <w:rsid w:val="00FF7FD8"/>
    <w:rsid w:val="01010593"/>
    <w:rsid w:val="01017684"/>
    <w:rsid w:val="010A6538"/>
    <w:rsid w:val="010F3B4F"/>
    <w:rsid w:val="010F7FF3"/>
    <w:rsid w:val="01115E6A"/>
    <w:rsid w:val="01177506"/>
    <w:rsid w:val="01182BDD"/>
    <w:rsid w:val="01192C1F"/>
    <w:rsid w:val="011967F2"/>
    <w:rsid w:val="011B6997"/>
    <w:rsid w:val="011C62C9"/>
    <w:rsid w:val="01211AD4"/>
    <w:rsid w:val="01254A1C"/>
    <w:rsid w:val="012670EA"/>
    <w:rsid w:val="012D0479"/>
    <w:rsid w:val="012F41F1"/>
    <w:rsid w:val="01323CE1"/>
    <w:rsid w:val="0136557F"/>
    <w:rsid w:val="01374E54"/>
    <w:rsid w:val="013D4B60"/>
    <w:rsid w:val="014063FE"/>
    <w:rsid w:val="01415CD2"/>
    <w:rsid w:val="01484A02"/>
    <w:rsid w:val="014B08FF"/>
    <w:rsid w:val="014B4F11"/>
    <w:rsid w:val="014C4DA3"/>
    <w:rsid w:val="014F03EF"/>
    <w:rsid w:val="014F4893"/>
    <w:rsid w:val="0150775F"/>
    <w:rsid w:val="0151367A"/>
    <w:rsid w:val="01527EDF"/>
    <w:rsid w:val="01537400"/>
    <w:rsid w:val="01547E0D"/>
    <w:rsid w:val="015500B5"/>
    <w:rsid w:val="015643C3"/>
    <w:rsid w:val="01575D64"/>
    <w:rsid w:val="015772A4"/>
    <w:rsid w:val="015E4AC8"/>
    <w:rsid w:val="015E6884"/>
    <w:rsid w:val="01695955"/>
    <w:rsid w:val="01697764"/>
    <w:rsid w:val="016D6AC7"/>
    <w:rsid w:val="016E2F6B"/>
    <w:rsid w:val="01710365"/>
    <w:rsid w:val="01722330"/>
    <w:rsid w:val="01763BCE"/>
    <w:rsid w:val="017B7436"/>
    <w:rsid w:val="017C6910"/>
    <w:rsid w:val="017D31AE"/>
    <w:rsid w:val="017D74B0"/>
    <w:rsid w:val="01804A4C"/>
    <w:rsid w:val="018362EB"/>
    <w:rsid w:val="01853E11"/>
    <w:rsid w:val="018B32D0"/>
    <w:rsid w:val="018C519F"/>
    <w:rsid w:val="01910A08"/>
    <w:rsid w:val="019329D2"/>
    <w:rsid w:val="01934780"/>
    <w:rsid w:val="019422A6"/>
    <w:rsid w:val="0194674A"/>
    <w:rsid w:val="0196601E"/>
    <w:rsid w:val="019D55FE"/>
    <w:rsid w:val="019D759C"/>
    <w:rsid w:val="019F1F35"/>
    <w:rsid w:val="01A16CF9"/>
    <w:rsid w:val="01A3073B"/>
    <w:rsid w:val="01A717A9"/>
    <w:rsid w:val="01AC4730"/>
    <w:rsid w:val="01AD5116"/>
    <w:rsid w:val="01B110AA"/>
    <w:rsid w:val="01B14C06"/>
    <w:rsid w:val="01B17717"/>
    <w:rsid w:val="01B3097E"/>
    <w:rsid w:val="01B42948"/>
    <w:rsid w:val="01B44181"/>
    <w:rsid w:val="01B666C0"/>
    <w:rsid w:val="01B9782F"/>
    <w:rsid w:val="01BA61B0"/>
    <w:rsid w:val="01BB1483"/>
    <w:rsid w:val="01C0309B"/>
    <w:rsid w:val="01C2082B"/>
    <w:rsid w:val="01C40DDD"/>
    <w:rsid w:val="01C44B91"/>
    <w:rsid w:val="01C81F50"/>
    <w:rsid w:val="01C963F3"/>
    <w:rsid w:val="01CA5CC8"/>
    <w:rsid w:val="01CC7C92"/>
    <w:rsid w:val="01CD6C0F"/>
    <w:rsid w:val="01CD7566"/>
    <w:rsid w:val="01D30B9A"/>
    <w:rsid w:val="01D31020"/>
    <w:rsid w:val="01D46B46"/>
    <w:rsid w:val="01D6466C"/>
    <w:rsid w:val="01D83F58"/>
    <w:rsid w:val="01D86637"/>
    <w:rsid w:val="01DD65B7"/>
    <w:rsid w:val="01DF5C17"/>
    <w:rsid w:val="01E1319E"/>
    <w:rsid w:val="01E62463"/>
    <w:rsid w:val="01E726F4"/>
    <w:rsid w:val="01E764AF"/>
    <w:rsid w:val="01E9759B"/>
    <w:rsid w:val="01EA0118"/>
    <w:rsid w:val="01EC0334"/>
    <w:rsid w:val="01ED7C29"/>
    <w:rsid w:val="01EF3980"/>
    <w:rsid w:val="01EF572E"/>
    <w:rsid w:val="01F034CB"/>
    <w:rsid w:val="01F42D45"/>
    <w:rsid w:val="01F65D1B"/>
    <w:rsid w:val="01FE02A2"/>
    <w:rsid w:val="01FF3BC3"/>
    <w:rsid w:val="02013704"/>
    <w:rsid w:val="020355AD"/>
    <w:rsid w:val="02036538"/>
    <w:rsid w:val="02070CCA"/>
    <w:rsid w:val="02077A8A"/>
    <w:rsid w:val="02080F1A"/>
    <w:rsid w:val="020A00DC"/>
    <w:rsid w:val="020C4532"/>
    <w:rsid w:val="020D07B6"/>
    <w:rsid w:val="020D4CA4"/>
    <w:rsid w:val="020E02AA"/>
    <w:rsid w:val="020E2058"/>
    <w:rsid w:val="020F7B7E"/>
    <w:rsid w:val="02117D9A"/>
    <w:rsid w:val="0213766F"/>
    <w:rsid w:val="02145195"/>
    <w:rsid w:val="021740F7"/>
    <w:rsid w:val="02186A33"/>
    <w:rsid w:val="021E7DCE"/>
    <w:rsid w:val="0224187C"/>
    <w:rsid w:val="0225317E"/>
    <w:rsid w:val="02291B07"/>
    <w:rsid w:val="022950E4"/>
    <w:rsid w:val="022A49B8"/>
    <w:rsid w:val="022E26FA"/>
    <w:rsid w:val="023A2E4D"/>
    <w:rsid w:val="023B0973"/>
    <w:rsid w:val="02441F1E"/>
    <w:rsid w:val="024B6E08"/>
    <w:rsid w:val="0253245F"/>
    <w:rsid w:val="025657AD"/>
    <w:rsid w:val="02595DB9"/>
    <w:rsid w:val="02647ECA"/>
    <w:rsid w:val="02664063"/>
    <w:rsid w:val="02693733"/>
    <w:rsid w:val="026C4FD1"/>
    <w:rsid w:val="026D239C"/>
    <w:rsid w:val="026D3223"/>
    <w:rsid w:val="026E2029"/>
    <w:rsid w:val="027125E7"/>
    <w:rsid w:val="027474F0"/>
    <w:rsid w:val="02756840"/>
    <w:rsid w:val="02783976"/>
    <w:rsid w:val="027C5214"/>
    <w:rsid w:val="027F2F56"/>
    <w:rsid w:val="0281282A"/>
    <w:rsid w:val="02816E42"/>
    <w:rsid w:val="02820350"/>
    <w:rsid w:val="02824DFC"/>
    <w:rsid w:val="028B36A9"/>
    <w:rsid w:val="028D5673"/>
    <w:rsid w:val="028E13EB"/>
    <w:rsid w:val="02906F11"/>
    <w:rsid w:val="0295277A"/>
    <w:rsid w:val="029A1B3E"/>
    <w:rsid w:val="029E2280"/>
    <w:rsid w:val="02A14633"/>
    <w:rsid w:val="02A40196"/>
    <w:rsid w:val="02A97FD3"/>
    <w:rsid w:val="02AB3D4B"/>
    <w:rsid w:val="02B12127"/>
    <w:rsid w:val="02B50726"/>
    <w:rsid w:val="02B6369A"/>
    <w:rsid w:val="02B80216"/>
    <w:rsid w:val="02BB4F63"/>
    <w:rsid w:val="02BE582C"/>
    <w:rsid w:val="02BF07A6"/>
    <w:rsid w:val="02C60B85"/>
    <w:rsid w:val="02C848FD"/>
    <w:rsid w:val="02C92423"/>
    <w:rsid w:val="02C941D1"/>
    <w:rsid w:val="02CD5A6F"/>
    <w:rsid w:val="02CE4CF7"/>
    <w:rsid w:val="02D0374C"/>
    <w:rsid w:val="02D212D8"/>
    <w:rsid w:val="02D908B8"/>
    <w:rsid w:val="02DC2156"/>
    <w:rsid w:val="02DD2843"/>
    <w:rsid w:val="02E2723F"/>
    <w:rsid w:val="02E42DB9"/>
    <w:rsid w:val="02E62FD5"/>
    <w:rsid w:val="02ED1C6E"/>
    <w:rsid w:val="02EF1E8A"/>
    <w:rsid w:val="02F43A83"/>
    <w:rsid w:val="02F474A0"/>
    <w:rsid w:val="02F54FC6"/>
    <w:rsid w:val="02F76F90"/>
    <w:rsid w:val="02FA25DD"/>
    <w:rsid w:val="02FA6EC4"/>
    <w:rsid w:val="02FC0103"/>
    <w:rsid w:val="02FD4D40"/>
    <w:rsid w:val="0301396B"/>
    <w:rsid w:val="03027722"/>
    <w:rsid w:val="03031491"/>
    <w:rsid w:val="03065425"/>
    <w:rsid w:val="03065668"/>
    <w:rsid w:val="03095FD4"/>
    <w:rsid w:val="030A0A72"/>
    <w:rsid w:val="030D0562"/>
    <w:rsid w:val="030D1D54"/>
    <w:rsid w:val="031B2C7F"/>
    <w:rsid w:val="031C43BE"/>
    <w:rsid w:val="031C69F7"/>
    <w:rsid w:val="03206072"/>
    <w:rsid w:val="0321587C"/>
    <w:rsid w:val="03253AFD"/>
    <w:rsid w:val="032558AB"/>
    <w:rsid w:val="03265180"/>
    <w:rsid w:val="032B50DA"/>
    <w:rsid w:val="032B7DBE"/>
    <w:rsid w:val="032F5C6D"/>
    <w:rsid w:val="03332F3B"/>
    <w:rsid w:val="03355BD3"/>
    <w:rsid w:val="03367AB9"/>
    <w:rsid w:val="03391357"/>
    <w:rsid w:val="033A0C2B"/>
    <w:rsid w:val="033A5B4F"/>
    <w:rsid w:val="033A62E9"/>
    <w:rsid w:val="033C40A2"/>
    <w:rsid w:val="033E4BBF"/>
    <w:rsid w:val="0341645D"/>
    <w:rsid w:val="034321D6"/>
    <w:rsid w:val="03483348"/>
    <w:rsid w:val="034877EC"/>
    <w:rsid w:val="034A70C0"/>
    <w:rsid w:val="034E72B8"/>
    <w:rsid w:val="035148F2"/>
    <w:rsid w:val="03547F3F"/>
    <w:rsid w:val="035717DD"/>
    <w:rsid w:val="035A307B"/>
    <w:rsid w:val="035B751F"/>
    <w:rsid w:val="035C5045"/>
    <w:rsid w:val="036B6BBE"/>
    <w:rsid w:val="036B7087"/>
    <w:rsid w:val="037212ED"/>
    <w:rsid w:val="0374413D"/>
    <w:rsid w:val="037E2237"/>
    <w:rsid w:val="0385634A"/>
    <w:rsid w:val="038C592B"/>
    <w:rsid w:val="038D51FF"/>
    <w:rsid w:val="038F464C"/>
    <w:rsid w:val="03927D69"/>
    <w:rsid w:val="039B791C"/>
    <w:rsid w:val="039C407F"/>
    <w:rsid w:val="039C5442"/>
    <w:rsid w:val="039E2CB1"/>
    <w:rsid w:val="03A013D6"/>
    <w:rsid w:val="03A04F32"/>
    <w:rsid w:val="03A2514E"/>
    <w:rsid w:val="03A367D0"/>
    <w:rsid w:val="03A72764"/>
    <w:rsid w:val="03AC1B29"/>
    <w:rsid w:val="03B1713F"/>
    <w:rsid w:val="03B7227C"/>
    <w:rsid w:val="03B978B9"/>
    <w:rsid w:val="03BA6178"/>
    <w:rsid w:val="03BD7093"/>
    <w:rsid w:val="03C42CC6"/>
    <w:rsid w:val="03C52BEB"/>
    <w:rsid w:val="03C9309C"/>
    <w:rsid w:val="03CA6453"/>
    <w:rsid w:val="03CC265C"/>
    <w:rsid w:val="03D942D2"/>
    <w:rsid w:val="03DB0660"/>
    <w:rsid w:val="03DD6186"/>
    <w:rsid w:val="03DE5A5A"/>
    <w:rsid w:val="03E017D2"/>
    <w:rsid w:val="03E219EE"/>
    <w:rsid w:val="03E312C3"/>
    <w:rsid w:val="03E54254"/>
    <w:rsid w:val="03E56DE9"/>
    <w:rsid w:val="03E73B92"/>
    <w:rsid w:val="03E77005"/>
    <w:rsid w:val="03E80687"/>
    <w:rsid w:val="03E94B2B"/>
    <w:rsid w:val="03EC63C9"/>
    <w:rsid w:val="03EE3926"/>
    <w:rsid w:val="03F139E0"/>
    <w:rsid w:val="03F37758"/>
    <w:rsid w:val="03F62DA4"/>
    <w:rsid w:val="03F67248"/>
    <w:rsid w:val="03FB03BA"/>
    <w:rsid w:val="04001FDF"/>
    <w:rsid w:val="04082AD7"/>
    <w:rsid w:val="040D5F94"/>
    <w:rsid w:val="040E27E3"/>
    <w:rsid w:val="040E4592"/>
    <w:rsid w:val="041A1188"/>
    <w:rsid w:val="04216DD6"/>
    <w:rsid w:val="04223B99"/>
    <w:rsid w:val="042C4A18"/>
    <w:rsid w:val="042E253E"/>
    <w:rsid w:val="042F62B6"/>
    <w:rsid w:val="04355FEA"/>
    <w:rsid w:val="043770CF"/>
    <w:rsid w:val="043A0A9D"/>
    <w:rsid w:val="043A5387"/>
    <w:rsid w:val="043B510F"/>
    <w:rsid w:val="043D09D3"/>
    <w:rsid w:val="043D29C9"/>
    <w:rsid w:val="0442722F"/>
    <w:rsid w:val="04461F7D"/>
    <w:rsid w:val="044A0592"/>
    <w:rsid w:val="044A30F0"/>
    <w:rsid w:val="04512EF6"/>
    <w:rsid w:val="04522C13"/>
    <w:rsid w:val="04553F6E"/>
    <w:rsid w:val="045B70AB"/>
    <w:rsid w:val="045F2DCA"/>
    <w:rsid w:val="045F6B9B"/>
    <w:rsid w:val="04641FC7"/>
    <w:rsid w:val="04642403"/>
    <w:rsid w:val="046507CE"/>
    <w:rsid w:val="046B3792"/>
    <w:rsid w:val="046B3BE8"/>
    <w:rsid w:val="046E624C"/>
    <w:rsid w:val="047343F5"/>
    <w:rsid w:val="04740E9E"/>
    <w:rsid w:val="047775AF"/>
    <w:rsid w:val="04777A0C"/>
    <w:rsid w:val="047C599F"/>
    <w:rsid w:val="04812FB5"/>
    <w:rsid w:val="048B5BE2"/>
    <w:rsid w:val="048D3235"/>
    <w:rsid w:val="048E122E"/>
    <w:rsid w:val="048E5FAA"/>
    <w:rsid w:val="049031F8"/>
    <w:rsid w:val="04912D27"/>
    <w:rsid w:val="04932CE9"/>
    <w:rsid w:val="04936845"/>
    <w:rsid w:val="04974587"/>
    <w:rsid w:val="049752DD"/>
    <w:rsid w:val="049802FF"/>
    <w:rsid w:val="04983E5B"/>
    <w:rsid w:val="04984EBD"/>
    <w:rsid w:val="0499741D"/>
    <w:rsid w:val="049A0A9D"/>
    <w:rsid w:val="049D23E7"/>
    <w:rsid w:val="049D5915"/>
    <w:rsid w:val="04A9250C"/>
    <w:rsid w:val="04AE18D1"/>
    <w:rsid w:val="04B073F7"/>
    <w:rsid w:val="04B21DC8"/>
    <w:rsid w:val="04B2316F"/>
    <w:rsid w:val="04B327A2"/>
    <w:rsid w:val="04B36EE7"/>
    <w:rsid w:val="04B70785"/>
    <w:rsid w:val="04B7715C"/>
    <w:rsid w:val="04BC0E17"/>
    <w:rsid w:val="04BC5C27"/>
    <w:rsid w:val="04BF1806"/>
    <w:rsid w:val="04BF763A"/>
    <w:rsid w:val="04C07235"/>
    <w:rsid w:val="04C335CE"/>
    <w:rsid w:val="04C62A50"/>
    <w:rsid w:val="04C873E4"/>
    <w:rsid w:val="04D11213"/>
    <w:rsid w:val="04D33F6A"/>
    <w:rsid w:val="04D550AF"/>
    <w:rsid w:val="04D806FC"/>
    <w:rsid w:val="04DA4474"/>
    <w:rsid w:val="04DE1209"/>
    <w:rsid w:val="04DE21B6"/>
    <w:rsid w:val="04DF250D"/>
    <w:rsid w:val="04E40EC1"/>
    <w:rsid w:val="04EB042F"/>
    <w:rsid w:val="04ED41A7"/>
    <w:rsid w:val="04F3443A"/>
    <w:rsid w:val="04F75026"/>
    <w:rsid w:val="04F869A3"/>
    <w:rsid w:val="04FE4606"/>
    <w:rsid w:val="05045994"/>
    <w:rsid w:val="05047743"/>
    <w:rsid w:val="050E236F"/>
    <w:rsid w:val="0517273C"/>
    <w:rsid w:val="051A51B8"/>
    <w:rsid w:val="051C2760"/>
    <w:rsid w:val="051C683A"/>
    <w:rsid w:val="051E7732"/>
    <w:rsid w:val="052027CE"/>
    <w:rsid w:val="05235E1B"/>
    <w:rsid w:val="05243941"/>
    <w:rsid w:val="05257DE5"/>
    <w:rsid w:val="052B4CCF"/>
    <w:rsid w:val="052D1694"/>
    <w:rsid w:val="052E47BF"/>
    <w:rsid w:val="0530678A"/>
    <w:rsid w:val="05322502"/>
    <w:rsid w:val="05337A81"/>
    <w:rsid w:val="05340028"/>
    <w:rsid w:val="053C0C8A"/>
    <w:rsid w:val="054022C8"/>
    <w:rsid w:val="05404C1F"/>
    <w:rsid w:val="05412FEB"/>
    <w:rsid w:val="05453FE3"/>
    <w:rsid w:val="0547556E"/>
    <w:rsid w:val="054F58B7"/>
    <w:rsid w:val="0554034F"/>
    <w:rsid w:val="05557F9E"/>
    <w:rsid w:val="05561E22"/>
    <w:rsid w:val="05575AC4"/>
    <w:rsid w:val="055B215C"/>
    <w:rsid w:val="055E32F7"/>
    <w:rsid w:val="055E6E53"/>
    <w:rsid w:val="055E7FA4"/>
    <w:rsid w:val="05616943"/>
    <w:rsid w:val="0563090D"/>
    <w:rsid w:val="05697D67"/>
    <w:rsid w:val="056A6750"/>
    <w:rsid w:val="056B77C2"/>
    <w:rsid w:val="056C5A14"/>
    <w:rsid w:val="056F72DE"/>
    <w:rsid w:val="05742AC8"/>
    <w:rsid w:val="057C377D"/>
    <w:rsid w:val="057C3D51"/>
    <w:rsid w:val="05816FE5"/>
    <w:rsid w:val="05852BDA"/>
    <w:rsid w:val="058663AA"/>
    <w:rsid w:val="058873D6"/>
    <w:rsid w:val="058979DF"/>
    <w:rsid w:val="05917228"/>
    <w:rsid w:val="05924D4E"/>
    <w:rsid w:val="05942874"/>
    <w:rsid w:val="05972365"/>
    <w:rsid w:val="05986704"/>
    <w:rsid w:val="059E36F3"/>
    <w:rsid w:val="05A33F3B"/>
    <w:rsid w:val="05A50F26"/>
    <w:rsid w:val="05AB5C72"/>
    <w:rsid w:val="05AE45DF"/>
    <w:rsid w:val="05B13426"/>
    <w:rsid w:val="05B178CA"/>
    <w:rsid w:val="05B64EE1"/>
    <w:rsid w:val="05B9052D"/>
    <w:rsid w:val="05BB4F26"/>
    <w:rsid w:val="05BB6053"/>
    <w:rsid w:val="05C0366A"/>
    <w:rsid w:val="05C313AC"/>
    <w:rsid w:val="05C56ED2"/>
    <w:rsid w:val="05C57BB2"/>
    <w:rsid w:val="05C72C4A"/>
    <w:rsid w:val="05C80770"/>
    <w:rsid w:val="05CB200E"/>
    <w:rsid w:val="05CD6C44"/>
    <w:rsid w:val="05CF67D3"/>
    <w:rsid w:val="05CF7D50"/>
    <w:rsid w:val="05D47115"/>
    <w:rsid w:val="05D90BCF"/>
    <w:rsid w:val="05D9472B"/>
    <w:rsid w:val="05E05ABA"/>
    <w:rsid w:val="05E51322"/>
    <w:rsid w:val="05EA4B8A"/>
    <w:rsid w:val="05EE2510"/>
    <w:rsid w:val="05EE467B"/>
    <w:rsid w:val="05EF3F4F"/>
    <w:rsid w:val="05F15805"/>
    <w:rsid w:val="05F20AB5"/>
    <w:rsid w:val="05F52F17"/>
    <w:rsid w:val="05F75F95"/>
    <w:rsid w:val="05F862B3"/>
    <w:rsid w:val="05F902FF"/>
    <w:rsid w:val="05FD48BE"/>
    <w:rsid w:val="05FD666C"/>
    <w:rsid w:val="06026684"/>
    <w:rsid w:val="06055520"/>
    <w:rsid w:val="06057FE3"/>
    <w:rsid w:val="06127C3D"/>
    <w:rsid w:val="061439B5"/>
    <w:rsid w:val="0616597F"/>
    <w:rsid w:val="0616772D"/>
    <w:rsid w:val="0617049F"/>
    <w:rsid w:val="06174FC9"/>
    <w:rsid w:val="061A40F4"/>
    <w:rsid w:val="062736E9"/>
    <w:rsid w:val="06287461"/>
    <w:rsid w:val="062A4F87"/>
    <w:rsid w:val="062C51A3"/>
    <w:rsid w:val="062E0F1B"/>
    <w:rsid w:val="062F6A41"/>
    <w:rsid w:val="06317000"/>
    <w:rsid w:val="063302DF"/>
    <w:rsid w:val="063400E4"/>
    <w:rsid w:val="06352F05"/>
    <w:rsid w:val="06367DD0"/>
    <w:rsid w:val="0637015B"/>
    <w:rsid w:val="063B43C4"/>
    <w:rsid w:val="063E7D85"/>
    <w:rsid w:val="064047AA"/>
    <w:rsid w:val="06416AF5"/>
    <w:rsid w:val="06436C05"/>
    <w:rsid w:val="064424ED"/>
    <w:rsid w:val="06450013"/>
    <w:rsid w:val="06475B39"/>
    <w:rsid w:val="064A387B"/>
    <w:rsid w:val="064A73D7"/>
    <w:rsid w:val="064C13A1"/>
    <w:rsid w:val="06506674"/>
    <w:rsid w:val="06514C09"/>
    <w:rsid w:val="06523C1B"/>
    <w:rsid w:val="0659586C"/>
    <w:rsid w:val="065B7836"/>
    <w:rsid w:val="065D35AE"/>
    <w:rsid w:val="06604169"/>
    <w:rsid w:val="06631324"/>
    <w:rsid w:val="0667442D"/>
    <w:rsid w:val="06692446"/>
    <w:rsid w:val="06693D01"/>
    <w:rsid w:val="066A1827"/>
    <w:rsid w:val="066C559F"/>
    <w:rsid w:val="066D546E"/>
    <w:rsid w:val="066D6573"/>
    <w:rsid w:val="066E17CD"/>
    <w:rsid w:val="066F0A4B"/>
    <w:rsid w:val="06712BB6"/>
    <w:rsid w:val="06715702"/>
    <w:rsid w:val="06736E2A"/>
    <w:rsid w:val="067A7CBC"/>
    <w:rsid w:val="067C44CB"/>
    <w:rsid w:val="06823015"/>
    <w:rsid w:val="06880AF1"/>
    <w:rsid w:val="068B1EC9"/>
    <w:rsid w:val="068D62C8"/>
    <w:rsid w:val="069114AA"/>
    <w:rsid w:val="06930D7E"/>
    <w:rsid w:val="069C0B90"/>
    <w:rsid w:val="069E1EDD"/>
    <w:rsid w:val="06A21E31"/>
    <w:rsid w:val="06A25465"/>
    <w:rsid w:val="06A27213"/>
    <w:rsid w:val="06A42F8B"/>
    <w:rsid w:val="06A50AB1"/>
    <w:rsid w:val="06A92350"/>
    <w:rsid w:val="06AB431A"/>
    <w:rsid w:val="06B07B82"/>
    <w:rsid w:val="06B843C5"/>
    <w:rsid w:val="06BC02D5"/>
    <w:rsid w:val="06BD404D"/>
    <w:rsid w:val="06C07699"/>
    <w:rsid w:val="06C12665"/>
    <w:rsid w:val="06C6670B"/>
    <w:rsid w:val="06C9323D"/>
    <w:rsid w:val="06CB64FF"/>
    <w:rsid w:val="06CB676A"/>
    <w:rsid w:val="06CD24E2"/>
    <w:rsid w:val="06CE1DB6"/>
    <w:rsid w:val="06D179D1"/>
    <w:rsid w:val="06D33870"/>
    <w:rsid w:val="06D976A1"/>
    <w:rsid w:val="06DA4BFF"/>
    <w:rsid w:val="06DC0977"/>
    <w:rsid w:val="06DD46A0"/>
    <w:rsid w:val="06DD649D"/>
    <w:rsid w:val="06DE46EF"/>
    <w:rsid w:val="06E25862"/>
    <w:rsid w:val="06E57385"/>
    <w:rsid w:val="06F21D26"/>
    <w:rsid w:val="06F537E7"/>
    <w:rsid w:val="06F757B1"/>
    <w:rsid w:val="06F832D7"/>
    <w:rsid w:val="06F86E33"/>
    <w:rsid w:val="06FC6923"/>
    <w:rsid w:val="06FE6B3F"/>
    <w:rsid w:val="0708187F"/>
    <w:rsid w:val="070875E0"/>
    <w:rsid w:val="070B300A"/>
    <w:rsid w:val="070C4DB2"/>
    <w:rsid w:val="070D0B30"/>
    <w:rsid w:val="070F2026"/>
    <w:rsid w:val="07100621"/>
    <w:rsid w:val="07124399"/>
    <w:rsid w:val="071355FF"/>
    <w:rsid w:val="07153E89"/>
    <w:rsid w:val="071A3B34"/>
    <w:rsid w:val="071D659A"/>
    <w:rsid w:val="071E2D3E"/>
    <w:rsid w:val="0721282E"/>
    <w:rsid w:val="0721488E"/>
    <w:rsid w:val="07230354"/>
    <w:rsid w:val="07245E7A"/>
    <w:rsid w:val="07261BF2"/>
    <w:rsid w:val="07293586"/>
    <w:rsid w:val="07295285"/>
    <w:rsid w:val="072D2F81"/>
    <w:rsid w:val="072D508B"/>
    <w:rsid w:val="072F22BE"/>
    <w:rsid w:val="072F4F4B"/>
    <w:rsid w:val="07322345"/>
    <w:rsid w:val="073267E9"/>
    <w:rsid w:val="073562D9"/>
    <w:rsid w:val="073836D3"/>
    <w:rsid w:val="07393AE7"/>
    <w:rsid w:val="073A569E"/>
    <w:rsid w:val="073B6467"/>
    <w:rsid w:val="073C1416"/>
    <w:rsid w:val="073C31C4"/>
    <w:rsid w:val="073E518E"/>
    <w:rsid w:val="073F4A62"/>
    <w:rsid w:val="07464042"/>
    <w:rsid w:val="07465DF0"/>
    <w:rsid w:val="07483BF5"/>
    <w:rsid w:val="074958E1"/>
    <w:rsid w:val="074C0E53"/>
    <w:rsid w:val="074D717F"/>
    <w:rsid w:val="074E2EF7"/>
    <w:rsid w:val="074F739B"/>
    <w:rsid w:val="075200E8"/>
    <w:rsid w:val="07526D7F"/>
    <w:rsid w:val="07542E12"/>
    <w:rsid w:val="07585B24"/>
    <w:rsid w:val="07591FC8"/>
    <w:rsid w:val="075A189C"/>
    <w:rsid w:val="075A7AEE"/>
    <w:rsid w:val="075C3866"/>
    <w:rsid w:val="076540F2"/>
    <w:rsid w:val="076562D9"/>
    <w:rsid w:val="07691ADF"/>
    <w:rsid w:val="076B03E7"/>
    <w:rsid w:val="076C737E"/>
    <w:rsid w:val="076E5B8C"/>
    <w:rsid w:val="076F6FBB"/>
    <w:rsid w:val="07753BD7"/>
    <w:rsid w:val="077566D6"/>
    <w:rsid w:val="077639A5"/>
    <w:rsid w:val="07770C56"/>
    <w:rsid w:val="07797F74"/>
    <w:rsid w:val="077A1F3E"/>
    <w:rsid w:val="077C1812"/>
    <w:rsid w:val="077F1302"/>
    <w:rsid w:val="07812C00"/>
    <w:rsid w:val="07854B6B"/>
    <w:rsid w:val="078D3A1F"/>
    <w:rsid w:val="07921036"/>
    <w:rsid w:val="07943F08"/>
    <w:rsid w:val="07944DAE"/>
    <w:rsid w:val="0794648D"/>
    <w:rsid w:val="079833F9"/>
    <w:rsid w:val="079904CC"/>
    <w:rsid w:val="079923C4"/>
    <w:rsid w:val="079B25E0"/>
    <w:rsid w:val="079F3753"/>
    <w:rsid w:val="07A23A55"/>
    <w:rsid w:val="07A31495"/>
    <w:rsid w:val="07A611BD"/>
    <w:rsid w:val="07A64AE1"/>
    <w:rsid w:val="07A66D5A"/>
    <w:rsid w:val="07A73637"/>
    <w:rsid w:val="07A81ADA"/>
    <w:rsid w:val="07A84FDE"/>
    <w:rsid w:val="07A96F3C"/>
    <w:rsid w:val="07AA0EFE"/>
    <w:rsid w:val="07AA637F"/>
    <w:rsid w:val="07AC5A1F"/>
    <w:rsid w:val="07AE0C35"/>
    <w:rsid w:val="07AF4ECA"/>
    <w:rsid w:val="07B0158F"/>
    <w:rsid w:val="07B01DD8"/>
    <w:rsid w:val="07B216D8"/>
    <w:rsid w:val="07B2792A"/>
    <w:rsid w:val="07B54013"/>
    <w:rsid w:val="07B747B2"/>
    <w:rsid w:val="07B86F45"/>
    <w:rsid w:val="07B96BED"/>
    <w:rsid w:val="07BC4304"/>
    <w:rsid w:val="07CD3779"/>
    <w:rsid w:val="07CD6512"/>
    <w:rsid w:val="07CF228A"/>
    <w:rsid w:val="07D26499"/>
    <w:rsid w:val="07D96C64"/>
    <w:rsid w:val="07DD10FF"/>
    <w:rsid w:val="07DF4305"/>
    <w:rsid w:val="07E06245"/>
    <w:rsid w:val="07E55609"/>
    <w:rsid w:val="07E86C40"/>
    <w:rsid w:val="07ED2710"/>
    <w:rsid w:val="07F12B74"/>
    <w:rsid w:val="07F13FAE"/>
    <w:rsid w:val="07F27D26"/>
    <w:rsid w:val="07F576C7"/>
    <w:rsid w:val="07F7533D"/>
    <w:rsid w:val="07F92E63"/>
    <w:rsid w:val="08033CE1"/>
    <w:rsid w:val="0808622A"/>
    <w:rsid w:val="080F08D8"/>
    <w:rsid w:val="08111A6D"/>
    <w:rsid w:val="08114650"/>
    <w:rsid w:val="08122176"/>
    <w:rsid w:val="08123F24"/>
    <w:rsid w:val="08161C67"/>
    <w:rsid w:val="08190795"/>
    <w:rsid w:val="08193505"/>
    <w:rsid w:val="08193855"/>
    <w:rsid w:val="081C4DA3"/>
    <w:rsid w:val="081D4626"/>
    <w:rsid w:val="08226344"/>
    <w:rsid w:val="08255A35"/>
    <w:rsid w:val="08262F95"/>
    <w:rsid w:val="08283748"/>
    <w:rsid w:val="082C023D"/>
    <w:rsid w:val="082F13D5"/>
    <w:rsid w:val="08316AA1"/>
    <w:rsid w:val="083818D9"/>
    <w:rsid w:val="08395955"/>
    <w:rsid w:val="08404F36"/>
    <w:rsid w:val="084163BB"/>
    <w:rsid w:val="08417C1A"/>
    <w:rsid w:val="084661C6"/>
    <w:rsid w:val="08491912"/>
    <w:rsid w:val="0849203C"/>
    <w:rsid w:val="084A5DB4"/>
    <w:rsid w:val="084D609E"/>
    <w:rsid w:val="084F4E8A"/>
    <w:rsid w:val="08517143"/>
    <w:rsid w:val="0854453D"/>
    <w:rsid w:val="08564759"/>
    <w:rsid w:val="0858402D"/>
    <w:rsid w:val="08597DA5"/>
    <w:rsid w:val="08607386"/>
    <w:rsid w:val="08624EAC"/>
    <w:rsid w:val="086329D2"/>
    <w:rsid w:val="086724C2"/>
    <w:rsid w:val="08694136"/>
    <w:rsid w:val="086A19A6"/>
    <w:rsid w:val="086C1DA1"/>
    <w:rsid w:val="086C5D2B"/>
    <w:rsid w:val="086C7AD9"/>
    <w:rsid w:val="086D316B"/>
    <w:rsid w:val="086F380C"/>
    <w:rsid w:val="087109F5"/>
    <w:rsid w:val="08730E67"/>
    <w:rsid w:val="0874698D"/>
    <w:rsid w:val="0878022B"/>
    <w:rsid w:val="087921F6"/>
    <w:rsid w:val="087A4C54"/>
    <w:rsid w:val="088210AA"/>
    <w:rsid w:val="08850A8D"/>
    <w:rsid w:val="08862D93"/>
    <w:rsid w:val="08874912"/>
    <w:rsid w:val="0889068B"/>
    <w:rsid w:val="08894C98"/>
    <w:rsid w:val="08896684"/>
    <w:rsid w:val="088A61B1"/>
    <w:rsid w:val="088C017B"/>
    <w:rsid w:val="08915791"/>
    <w:rsid w:val="089332B7"/>
    <w:rsid w:val="0898267C"/>
    <w:rsid w:val="089F1C5C"/>
    <w:rsid w:val="08A13C26"/>
    <w:rsid w:val="08A454C4"/>
    <w:rsid w:val="08A47272"/>
    <w:rsid w:val="08A76219"/>
    <w:rsid w:val="08AC299F"/>
    <w:rsid w:val="08AE00F1"/>
    <w:rsid w:val="08B03E69"/>
    <w:rsid w:val="08B36F45"/>
    <w:rsid w:val="08B51480"/>
    <w:rsid w:val="08B519F0"/>
    <w:rsid w:val="08B576D2"/>
    <w:rsid w:val="08B651F8"/>
    <w:rsid w:val="08B82D1E"/>
    <w:rsid w:val="08BA3C8C"/>
    <w:rsid w:val="08BD0334"/>
    <w:rsid w:val="08C05347"/>
    <w:rsid w:val="08C43471"/>
    <w:rsid w:val="08C97D36"/>
    <w:rsid w:val="08CE42EF"/>
    <w:rsid w:val="08D35DAA"/>
    <w:rsid w:val="08D538D0"/>
    <w:rsid w:val="08DD1E2E"/>
    <w:rsid w:val="08DE7A85"/>
    <w:rsid w:val="08DF4269"/>
    <w:rsid w:val="08E104C7"/>
    <w:rsid w:val="08E25FED"/>
    <w:rsid w:val="08E92932"/>
    <w:rsid w:val="08ED03E2"/>
    <w:rsid w:val="08EE04EE"/>
    <w:rsid w:val="08F0070A"/>
    <w:rsid w:val="08F53CDB"/>
    <w:rsid w:val="08FA6E92"/>
    <w:rsid w:val="08FB7730"/>
    <w:rsid w:val="08FD6983"/>
    <w:rsid w:val="090221EB"/>
    <w:rsid w:val="09045F63"/>
    <w:rsid w:val="09077801"/>
    <w:rsid w:val="0913264A"/>
    <w:rsid w:val="09153639"/>
    <w:rsid w:val="09153C1F"/>
    <w:rsid w:val="09197523"/>
    <w:rsid w:val="091D60DE"/>
    <w:rsid w:val="092217DD"/>
    <w:rsid w:val="09240154"/>
    <w:rsid w:val="09265BCD"/>
    <w:rsid w:val="09265ED9"/>
    <w:rsid w:val="092B7C9F"/>
    <w:rsid w:val="092C7268"/>
    <w:rsid w:val="092E1232"/>
    <w:rsid w:val="09300B06"/>
    <w:rsid w:val="093700E7"/>
    <w:rsid w:val="09371E95"/>
    <w:rsid w:val="093733C9"/>
    <w:rsid w:val="093A7294"/>
    <w:rsid w:val="09401129"/>
    <w:rsid w:val="094C3466"/>
    <w:rsid w:val="09510A7C"/>
    <w:rsid w:val="095742E5"/>
    <w:rsid w:val="095A3DD5"/>
    <w:rsid w:val="095D7F5D"/>
    <w:rsid w:val="096133B5"/>
    <w:rsid w:val="0962714B"/>
    <w:rsid w:val="096864F2"/>
    <w:rsid w:val="0969226A"/>
    <w:rsid w:val="09694018"/>
    <w:rsid w:val="096D3B08"/>
    <w:rsid w:val="09714C67"/>
    <w:rsid w:val="09722ECD"/>
    <w:rsid w:val="09727371"/>
    <w:rsid w:val="097A6225"/>
    <w:rsid w:val="097A7FD3"/>
    <w:rsid w:val="097B34DD"/>
    <w:rsid w:val="097B41AC"/>
    <w:rsid w:val="097C1F9D"/>
    <w:rsid w:val="097D3DCE"/>
    <w:rsid w:val="098350DA"/>
    <w:rsid w:val="0984611E"/>
    <w:rsid w:val="098470A4"/>
    <w:rsid w:val="09886B94"/>
    <w:rsid w:val="098B0432"/>
    <w:rsid w:val="098C5B93"/>
    <w:rsid w:val="098D5F59"/>
    <w:rsid w:val="098E3A7F"/>
    <w:rsid w:val="098F7F23"/>
    <w:rsid w:val="09926E4D"/>
    <w:rsid w:val="099346C1"/>
    <w:rsid w:val="099472E7"/>
    <w:rsid w:val="09963123"/>
    <w:rsid w:val="099A063A"/>
    <w:rsid w:val="099A2423"/>
    <w:rsid w:val="099E0166"/>
    <w:rsid w:val="099E7FC1"/>
    <w:rsid w:val="099F1469"/>
    <w:rsid w:val="099F7A3A"/>
    <w:rsid w:val="09A137B2"/>
    <w:rsid w:val="09A17C56"/>
    <w:rsid w:val="09A339CE"/>
    <w:rsid w:val="09A35B15"/>
    <w:rsid w:val="09A3752A"/>
    <w:rsid w:val="09A45050"/>
    <w:rsid w:val="09AA1703"/>
    <w:rsid w:val="09AD2157"/>
    <w:rsid w:val="09AD65FB"/>
    <w:rsid w:val="09AF4121"/>
    <w:rsid w:val="09B47989"/>
    <w:rsid w:val="09B8400A"/>
    <w:rsid w:val="09B96D4E"/>
    <w:rsid w:val="09BB6819"/>
    <w:rsid w:val="09BB68FD"/>
    <w:rsid w:val="09BE1A52"/>
    <w:rsid w:val="09C120A6"/>
    <w:rsid w:val="09C13E54"/>
    <w:rsid w:val="09C33728"/>
    <w:rsid w:val="09C53944"/>
    <w:rsid w:val="09C571EB"/>
    <w:rsid w:val="09C676BC"/>
    <w:rsid w:val="09CD0A4B"/>
    <w:rsid w:val="09D121EF"/>
    <w:rsid w:val="09D45B54"/>
    <w:rsid w:val="09DF68E3"/>
    <w:rsid w:val="09E35B78"/>
    <w:rsid w:val="09E60BF4"/>
    <w:rsid w:val="09E75B73"/>
    <w:rsid w:val="09EA64F4"/>
    <w:rsid w:val="09EB0ED1"/>
    <w:rsid w:val="09EB65C7"/>
    <w:rsid w:val="09ED2377"/>
    <w:rsid w:val="09EF09C1"/>
    <w:rsid w:val="09F00295"/>
    <w:rsid w:val="09F45FD8"/>
    <w:rsid w:val="09F47679"/>
    <w:rsid w:val="09F77876"/>
    <w:rsid w:val="09FC4E8C"/>
    <w:rsid w:val="09FF584F"/>
    <w:rsid w:val="0A00497C"/>
    <w:rsid w:val="0A020553"/>
    <w:rsid w:val="0A026946"/>
    <w:rsid w:val="0A042378"/>
    <w:rsid w:val="0A051F93"/>
    <w:rsid w:val="0A075F99"/>
    <w:rsid w:val="0A083831"/>
    <w:rsid w:val="0A0A75A9"/>
    <w:rsid w:val="0A0B50CF"/>
    <w:rsid w:val="0A110938"/>
    <w:rsid w:val="0A136463"/>
    <w:rsid w:val="0A14667A"/>
    <w:rsid w:val="0A173A74"/>
    <w:rsid w:val="0A1755E4"/>
    <w:rsid w:val="0A1977EC"/>
    <w:rsid w:val="0A1C108A"/>
    <w:rsid w:val="0A1E3055"/>
    <w:rsid w:val="0A2334DA"/>
    <w:rsid w:val="0A2A37A7"/>
    <w:rsid w:val="0A3208AE"/>
    <w:rsid w:val="0A342878"/>
    <w:rsid w:val="0A36214C"/>
    <w:rsid w:val="0A392EC5"/>
    <w:rsid w:val="0A3D5178"/>
    <w:rsid w:val="0A430D0D"/>
    <w:rsid w:val="0A4427AD"/>
    <w:rsid w:val="0A4707FD"/>
    <w:rsid w:val="0A4B4C7C"/>
    <w:rsid w:val="0A4D1921"/>
    <w:rsid w:val="0A4F76B2"/>
    <w:rsid w:val="0A51342A"/>
    <w:rsid w:val="0A537F1A"/>
    <w:rsid w:val="0A56459C"/>
    <w:rsid w:val="0A591FE2"/>
    <w:rsid w:val="0A595E3B"/>
    <w:rsid w:val="0A5D722D"/>
    <w:rsid w:val="0A65507B"/>
    <w:rsid w:val="0A6767AA"/>
    <w:rsid w:val="0A682522"/>
    <w:rsid w:val="0A6C2012"/>
    <w:rsid w:val="0A6D18E6"/>
    <w:rsid w:val="0A6D4FCE"/>
    <w:rsid w:val="0A6D7B38"/>
    <w:rsid w:val="0A7113D6"/>
    <w:rsid w:val="0A717B4F"/>
    <w:rsid w:val="0A743C68"/>
    <w:rsid w:val="0A762E91"/>
    <w:rsid w:val="0A786C09"/>
    <w:rsid w:val="0A7B71A7"/>
    <w:rsid w:val="0A7C2668"/>
    <w:rsid w:val="0A7C5911"/>
    <w:rsid w:val="0A7D5FCD"/>
    <w:rsid w:val="0A805D5C"/>
    <w:rsid w:val="0A8530D4"/>
    <w:rsid w:val="0A884A5E"/>
    <w:rsid w:val="0A886CD4"/>
    <w:rsid w:val="0A892BC4"/>
    <w:rsid w:val="0A8A2498"/>
    <w:rsid w:val="0A8F3F52"/>
    <w:rsid w:val="0A8F5D00"/>
    <w:rsid w:val="0A913826"/>
    <w:rsid w:val="0A943317"/>
    <w:rsid w:val="0A96708F"/>
    <w:rsid w:val="0A981059"/>
    <w:rsid w:val="0A9B6453"/>
    <w:rsid w:val="0A9D666F"/>
    <w:rsid w:val="0A9E7CF1"/>
    <w:rsid w:val="0AA413E9"/>
    <w:rsid w:val="0AA51080"/>
    <w:rsid w:val="0AA6225D"/>
    <w:rsid w:val="0AA74DF8"/>
    <w:rsid w:val="0AA97E59"/>
    <w:rsid w:val="0AAB0D8C"/>
    <w:rsid w:val="0AAE6186"/>
    <w:rsid w:val="0ABD286D"/>
    <w:rsid w:val="0AC0232D"/>
    <w:rsid w:val="0AC05EBA"/>
    <w:rsid w:val="0AC110ED"/>
    <w:rsid w:val="0AC27E84"/>
    <w:rsid w:val="0AC37758"/>
    <w:rsid w:val="0ACB4F8A"/>
    <w:rsid w:val="0ACE4A7B"/>
    <w:rsid w:val="0AD054CA"/>
    <w:rsid w:val="0AD33E3F"/>
    <w:rsid w:val="0AD34999"/>
    <w:rsid w:val="0AD630BE"/>
    <w:rsid w:val="0AD76D50"/>
    <w:rsid w:val="0ADE5D3C"/>
    <w:rsid w:val="0AE05E0C"/>
    <w:rsid w:val="0AE12DED"/>
    <w:rsid w:val="0AE20526"/>
    <w:rsid w:val="0AE41BA8"/>
    <w:rsid w:val="0AE53B72"/>
    <w:rsid w:val="0AE60D67"/>
    <w:rsid w:val="0AE71698"/>
    <w:rsid w:val="0AEA1189"/>
    <w:rsid w:val="0AEB5587"/>
    <w:rsid w:val="0AEC6CAF"/>
    <w:rsid w:val="0AEF054D"/>
    <w:rsid w:val="0AF03B7E"/>
    <w:rsid w:val="0AF049F1"/>
    <w:rsid w:val="0AF3468A"/>
    <w:rsid w:val="0AF40E28"/>
    <w:rsid w:val="0AF67B2D"/>
    <w:rsid w:val="0AFA13CC"/>
    <w:rsid w:val="0AFA5B66"/>
    <w:rsid w:val="0AFA761E"/>
    <w:rsid w:val="0AFB5144"/>
    <w:rsid w:val="0AFD710E"/>
    <w:rsid w:val="0AFF2497"/>
    <w:rsid w:val="0B01749D"/>
    <w:rsid w:val="0B04049C"/>
    <w:rsid w:val="0B065FC2"/>
    <w:rsid w:val="0B0B35D9"/>
    <w:rsid w:val="0B0C7351"/>
    <w:rsid w:val="0B13248D"/>
    <w:rsid w:val="0B1D330C"/>
    <w:rsid w:val="0B212DFC"/>
    <w:rsid w:val="0B237943"/>
    <w:rsid w:val="0B24469B"/>
    <w:rsid w:val="0B260413"/>
    <w:rsid w:val="0B270AEA"/>
    <w:rsid w:val="0B282CC4"/>
    <w:rsid w:val="0B305D2D"/>
    <w:rsid w:val="0B332B30"/>
    <w:rsid w:val="0B3348DE"/>
    <w:rsid w:val="0B39714B"/>
    <w:rsid w:val="0B3A3EBE"/>
    <w:rsid w:val="0B3D750A"/>
    <w:rsid w:val="0B424B21"/>
    <w:rsid w:val="0B446AEB"/>
    <w:rsid w:val="0B470389"/>
    <w:rsid w:val="0B492353"/>
    <w:rsid w:val="0B494101"/>
    <w:rsid w:val="0B5331D2"/>
    <w:rsid w:val="0B536D2E"/>
    <w:rsid w:val="0B550251"/>
    <w:rsid w:val="0B5F1B77"/>
    <w:rsid w:val="0B646908"/>
    <w:rsid w:val="0B662015"/>
    <w:rsid w:val="0B674587"/>
    <w:rsid w:val="0B696551"/>
    <w:rsid w:val="0B6E3B68"/>
    <w:rsid w:val="0B705C98"/>
    <w:rsid w:val="0B723658"/>
    <w:rsid w:val="0B7373D0"/>
    <w:rsid w:val="0B745622"/>
    <w:rsid w:val="0B792C38"/>
    <w:rsid w:val="0B7A4555"/>
    <w:rsid w:val="0B7D3DAB"/>
    <w:rsid w:val="0B7E024F"/>
    <w:rsid w:val="0B84410E"/>
    <w:rsid w:val="0B870F82"/>
    <w:rsid w:val="0B8769D7"/>
    <w:rsid w:val="0B8D6901"/>
    <w:rsid w:val="0B927856"/>
    <w:rsid w:val="0B931032"/>
    <w:rsid w:val="0B971310"/>
    <w:rsid w:val="0B9730BE"/>
    <w:rsid w:val="0B974E6D"/>
    <w:rsid w:val="0B9A495D"/>
    <w:rsid w:val="0B9F6417"/>
    <w:rsid w:val="0B9F75D5"/>
    <w:rsid w:val="0BA43585"/>
    <w:rsid w:val="0BA47589"/>
    <w:rsid w:val="0BA74B97"/>
    <w:rsid w:val="0BAB0918"/>
    <w:rsid w:val="0BAD4690"/>
    <w:rsid w:val="0BAF70CA"/>
    <w:rsid w:val="0BB21CA6"/>
    <w:rsid w:val="0BB53545"/>
    <w:rsid w:val="0BB94E6C"/>
    <w:rsid w:val="0BC11EE9"/>
    <w:rsid w:val="0BC55E7E"/>
    <w:rsid w:val="0BC66A92"/>
    <w:rsid w:val="0BCF5714"/>
    <w:rsid w:val="0BD240F7"/>
    <w:rsid w:val="0BD27BF6"/>
    <w:rsid w:val="0BD31C1D"/>
    <w:rsid w:val="0BD3667B"/>
    <w:rsid w:val="0BD575CF"/>
    <w:rsid w:val="0BD7170D"/>
    <w:rsid w:val="0BD7795F"/>
    <w:rsid w:val="0BD845F9"/>
    <w:rsid w:val="0BDA11FD"/>
    <w:rsid w:val="0BDC31C7"/>
    <w:rsid w:val="0BDE00E1"/>
    <w:rsid w:val="0BDE0CED"/>
    <w:rsid w:val="0BE1258C"/>
    <w:rsid w:val="0BE67BA2"/>
    <w:rsid w:val="0BE856C8"/>
    <w:rsid w:val="0BEF5C9E"/>
    <w:rsid w:val="0BF40511"/>
    <w:rsid w:val="0BF422BF"/>
    <w:rsid w:val="0BF978D5"/>
    <w:rsid w:val="0BFA364D"/>
    <w:rsid w:val="0BFD4F19"/>
    <w:rsid w:val="0BFF03D8"/>
    <w:rsid w:val="0C000C64"/>
    <w:rsid w:val="0C0149DC"/>
    <w:rsid w:val="0C083FBC"/>
    <w:rsid w:val="0C106839"/>
    <w:rsid w:val="0C1464BD"/>
    <w:rsid w:val="0C186B5B"/>
    <w:rsid w:val="0C193AD3"/>
    <w:rsid w:val="0C1B3CF0"/>
    <w:rsid w:val="0C1C35C4"/>
    <w:rsid w:val="0C1E0947"/>
    <w:rsid w:val="0C1E558E"/>
    <w:rsid w:val="0C2529C5"/>
    <w:rsid w:val="0C25691C"/>
    <w:rsid w:val="0C260CA9"/>
    <w:rsid w:val="0C264442"/>
    <w:rsid w:val="0C265B75"/>
    <w:rsid w:val="0C2A0A31"/>
    <w:rsid w:val="0C300E1D"/>
    <w:rsid w:val="0C324046"/>
    <w:rsid w:val="0C357A56"/>
    <w:rsid w:val="0C360B29"/>
    <w:rsid w:val="0C3B7EEE"/>
    <w:rsid w:val="0C3C447E"/>
    <w:rsid w:val="0C436DA2"/>
    <w:rsid w:val="0C4A1EDF"/>
    <w:rsid w:val="0C4F3999"/>
    <w:rsid w:val="0C517711"/>
    <w:rsid w:val="0C523489"/>
    <w:rsid w:val="0C590374"/>
    <w:rsid w:val="0C645AF4"/>
    <w:rsid w:val="0C665DD1"/>
    <w:rsid w:val="0C6A07D3"/>
    <w:rsid w:val="0C6A432F"/>
    <w:rsid w:val="0C6D3E1F"/>
    <w:rsid w:val="0C6E02C3"/>
    <w:rsid w:val="0C6F1945"/>
    <w:rsid w:val="0C711B61"/>
    <w:rsid w:val="0C721436"/>
    <w:rsid w:val="0C737416"/>
    <w:rsid w:val="0C743400"/>
    <w:rsid w:val="0C760163"/>
    <w:rsid w:val="0C7B02EA"/>
    <w:rsid w:val="0C7B4653"/>
    <w:rsid w:val="0C7D22B4"/>
    <w:rsid w:val="0C7E65A6"/>
    <w:rsid w:val="0C8320EA"/>
    <w:rsid w:val="0C8A2C23"/>
    <w:rsid w:val="0C8C24F7"/>
    <w:rsid w:val="0C8D626F"/>
    <w:rsid w:val="0C8F3D96"/>
    <w:rsid w:val="0C9615C8"/>
    <w:rsid w:val="0C9910B8"/>
    <w:rsid w:val="0C9E00D7"/>
    <w:rsid w:val="0C9E02D7"/>
    <w:rsid w:val="0C9E66B5"/>
    <w:rsid w:val="0CA05FA3"/>
    <w:rsid w:val="0CA21D12"/>
    <w:rsid w:val="0CA43CE5"/>
    <w:rsid w:val="0CA44632"/>
    <w:rsid w:val="0CAA6E21"/>
    <w:rsid w:val="0CAE2A6C"/>
    <w:rsid w:val="0CB11F59"/>
    <w:rsid w:val="0CB41A4E"/>
    <w:rsid w:val="0CB4672C"/>
    <w:rsid w:val="0CB60C95"/>
    <w:rsid w:val="0CB67574"/>
    <w:rsid w:val="0CBB102F"/>
    <w:rsid w:val="0CBB4B8B"/>
    <w:rsid w:val="0CC31C91"/>
    <w:rsid w:val="0CC95A7C"/>
    <w:rsid w:val="0CCA1272"/>
    <w:rsid w:val="0CCC6D98"/>
    <w:rsid w:val="0CD345CA"/>
    <w:rsid w:val="0CD44389"/>
    <w:rsid w:val="0CD801DA"/>
    <w:rsid w:val="0CD8398F"/>
    <w:rsid w:val="0CD8573D"/>
    <w:rsid w:val="0CD93263"/>
    <w:rsid w:val="0CDA2FAD"/>
    <w:rsid w:val="0CDB1EA2"/>
    <w:rsid w:val="0CDD2D53"/>
    <w:rsid w:val="0CDD48B1"/>
    <w:rsid w:val="0CDE69C5"/>
    <w:rsid w:val="0CDF2F6F"/>
    <w:rsid w:val="0CE03143"/>
    <w:rsid w:val="0CE045F1"/>
    <w:rsid w:val="0CE642FD"/>
    <w:rsid w:val="0CE73BD2"/>
    <w:rsid w:val="0CEA5470"/>
    <w:rsid w:val="0CEB1914"/>
    <w:rsid w:val="0CEC2F96"/>
    <w:rsid w:val="0CEE6D0E"/>
    <w:rsid w:val="0CEF2A86"/>
    <w:rsid w:val="0CFB142B"/>
    <w:rsid w:val="0CFB58CF"/>
    <w:rsid w:val="0CFC11DB"/>
    <w:rsid w:val="0CFF716D"/>
    <w:rsid w:val="0D002EE5"/>
    <w:rsid w:val="0D024355"/>
    <w:rsid w:val="0D026C5D"/>
    <w:rsid w:val="0D0504FC"/>
    <w:rsid w:val="0D081CA7"/>
    <w:rsid w:val="0D091D9A"/>
    <w:rsid w:val="0D0A78C0"/>
    <w:rsid w:val="0D0C188A"/>
    <w:rsid w:val="0D0C2411"/>
    <w:rsid w:val="0D0D0C68"/>
    <w:rsid w:val="0D0E73B0"/>
    <w:rsid w:val="0D0F4ED6"/>
    <w:rsid w:val="0D1349C7"/>
    <w:rsid w:val="0D136775"/>
    <w:rsid w:val="0D1A101C"/>
    <w:rsid w:val="0D1B1ACD"/>
    <w:rsid w:val="0D1C7D1F"/>
    <w:rsid w:val="0D1F336B"/>
    <w:rsid w:val="0D247F3F"/>
    <w:rsid w:val="0D2766C4"/>
    <w:rsid w:val="0D293F6C"/>
    <w:rsid w:val="0D2A3ABE"/>
    <w:rsid w:val="0D307327"/>
    <w:rsid w:val="0D314E4D"/>
    <w:rsid w:val="0D336E17"/>
    <w:rsid w:val="0D34161D"/>
    <w:rsid w:val="0D352B8F"/>
    <w:rsid w:val="0D374B59"/>
    <w:rsid w:val="0D3859A2"/>
    <w:rsid w:val="0D3C254C"/>
    <w:rsid w:val="0D3D1A44"/>
    <w:rsid w:val="0D3D37F2"/>
    <w:rsid w:val="0D3F57BC"/>
    <w:rsid w:val="0D411050"/>
    <w:rsid w:val="0D4252AC"/>
    <w:rsid w:val="0D4903E8"/>
    <w:rsid w:val="0D4A1E5A"/>
    <w:rsid w:val="0D4C1C87"/>
    <w:rsid w:val="0D4F3633"/>
    <w:rsid w:val="0D547E2C"/>
    <w:rsid w:val="0D554FDF"/>
    <w:rsid w:val="0D55637F"/>
    <w:rsid w:val="0D5B011C"/>
    <w:rsid w:val="0D5C636E"/>
    <w:rsid w:val="0D5F4326"/>
    <w:rsid w:val="0D6214AA"/>
    <w:rsid w:val="0D646FD0"/>
    <w:rsid w:val="0D676AC1"/>
    <w:rsid w:val="0D693944"/>
    <w:rsid w:val="0D725B91"/>
    <w:rsid w:val="0D73168E"/>
    <w:rsid w:val="0D7336B7"/>
    <w:rsid w:val="0D735465"/>
    <w:rsid w:val="0D7A5F79"/>
    <w:rsid w:val="0D7C3B01"/>
    <w:rsid w:val="0D7C5F53"/>
    <w:rsid w:val="0D8051D4"/>
    <w:rsid w:val="0D8853B5"/>
    <w:rsid w:val="0D892919"/>
    <w:rsid w:val="0D892EDB"/>
    <w:rsid w:val="0D89433E"/>
    <w:rsid w:val="0D902F11"/>
    <w:rsid w:val="0D927FE1"/>
    <w:rsid w:val="0D93340D"/>
    <w:rsid w:val="0D951880"/>
    <w:rsid w:val="0D9773A6"/>
    <w:rsid w:val="0D9A50E8"/>
    <w:rsid w:val="0D9C49BC"/>
    <w:rsid w:val="0DA05C1B"/>
    <w:rsid w:val="0DA10224"/>
    <w:rsid w:val="0DA12A31"/>
    <w:rsid w:val="0DA6255F"/>
    <w:rsid w:val="0DA8168E"/>
    <w:rsid w:val="0DA979B9"/>
    <w:rsid w:val="0DAD4070"/>
    <w:rsid w:val="0DAE2941"/>
    <w:rsid w:val="0DAE4FDC"/>
    <w:rsid w:val="0DAF383E"/>
    <w:rsid w:val="0DB42355"/>
    <w:rsid w:val="0DB51118"/>
    <w:rsid w:val="0DBA3094"/>
    <w:rsid w:val="0DBF06AB"/>
    <w:rsid w:val="0DC108C7"/>
    <w:rsid w:val="0DC45CC1"/>
    <w:rsid w:val="0DC53105"/>
    <w:rsid w:val="0DC932D7"/>
    <w:rsid w:val="0DC9777B"/>
    <w:rsid w:val="0DCB52A1"/>
    <w:rsid w:val="0DCC3E9F"/>
    <w:rsid w:val="0DCD445C"/>
    <w:rsid w:val="0DD028B8"/>
    <w:rsid w:val="0DD34156"/>
    <w:rsid w:val="0DD35347"/>
    <w:rsid w:val="0DD71E98"/>
    <w:rsid w:val="0DD73C46"/>
    <w:rsid w:val="0DDC057E"/>
    <w:rsid w:val="0DDD273B"/>
    <w:rsid w:val="0DDD6C4D"/>
    <w:rsid w:val="0DDE4FD5"/>
    <w:rsid w:val="0DE22CAF"/>
    <w:rsid w:val="0DEE2D3E"/>
    <w:rsid w:val="0DEF2DBD"/>
    <w:rsid w:val="0DF06AB6"/>
    <w:rsid w:val="0DF465A6"/>
    <w:rsid w:val="0DF50570"/>
    <w:rsid w:val="0DFC18FF"/>
    <w:rsid w:val="0DFC545B"/>
    <w:rsid w:val="0DFC5D03"/>
    <w:rsid w:val="0DFD060A"/>
    <w:rsid w:val="0DFD5C6B"/>
    <w:rsid w:val="0E010CC3"/>
    <w:rsid w:val="0E097B78"/>
    <w:rsid w:val="0E0B5706"/>
    <w:rsid w:val="0E0D7668"/>
    <w:rsid w:val="0E110D06"/>
    <w:rsid w:val="0E122ED0"/>
    <w:rsid w:val="0E1C78AB"/>
    <w:rsid w:val="0E1E1875"/>
    <w:rsid w:val="0E1E7AC7"/>
    <w:rsid w:val="0E214EC1"/>
    <w:rsid w:val="0E2844A2"/>
    <w:rsid w:val="0E2873B4"/>
    <w:rsid w:val="0E2C21E4"/>
    <w:rsid w:val="0E2F7862"/>
    <w:rsid w:val="0E301273"/>
    <w:rsid w:val="0E303356"/>
    <w:rsid w:val="0E320723"/>
    <w:rsid w:val="0E364E11"/>
    <w:rsid w:val="0E3746E5"/>
    <w:rsid w:val="0E3A0F99"/>
    <w:rsid w:val="0E3A5F83"/>
    <w:rsid w:val="0E3A6219"/>
    <w:rsid w:val="0E3F0DAA"/>
    <w:rsid w:val="0E4137B5"/>
    <w:rsid w:val="0E424B5A"/>
    <w:rsid w:val="0E4376A8"/>
    <w:rsid w:val="0E4532A6"/>
    <w:rsid w:val="0E456E02"/>
    <w:rsid w:val="0E460DCC"/>
    <w:rsid w:val="0E464928"/>
    <w:rsid w:val="0E4F1A2E"/>
    <w:rsid w:val="0E527771"/>
    <w:rsid w:val="0E56100F"/>
    <w:rsid w:val="0E564460"/>
    <w:rsid w:val="0E574D87"/>
    <w:rsid w:val="0E5C05EF"/>
    <w:rsid w:val="0E5E67B9"/>
    <w:rsid w:val="0E62126D"/>
    <w:rsid w:val="0E6574A4"/>
    <w:rsid w:val="0E680D42"/>
    <w:rsid w:val="0E6F3E7F"/>
    <w:rsid w:val="0E7019A5"/>
    <w:rsid w:val="0E715E49"/>
    <w:rsid w:val="0E72510F"/>
    <w:rsid w:val="0E72571D"/>
    <w:rsid w:val="0E790B75"/>
    <w:rsid w:val="0E7C659C"/>
    <w:rsid w:val="0E821FED"/>
    <w:rsid w:val="0E8518F4"/>
    <w:rsid w:val="0E897BE7"/>
    <w:rsid w:val="0E8D07A9"/>
    <w:rsid w:val="0E8D6396"/>
    <w:rsid w:val="0E8F4521"/>
    <w:rsid w:val="0E8F45F1"/>
    <w:rsid w:val="0E905A81"/>
    <w:rsid w:val="0E912047"/>
    <w:rsid w:val="0E927B6D"/>
    <w:rsid w:val="0E936E9F"/>
    <w:rsid w:val="0E941B37"/>
    <w:rsid w:val="0E9438E5"/>
    <w:rsid w:val="0E9D17C6"/>
    <w:rsid w:val="0E9E29B6"/>
    <w:rsid w:val="0EA004DC"/>
    <w:rsid w:val="0EA0672E"/>
    <w:rsid w:val="0EA37FCC"/>
    <w:rsid w:val="0EA57F58"/>
    <w:rsid w:val="0EA87391"/>
    <w:rsid w:val="0EAD7B7A"/>
    <w:rsid w:val="0EB775D4"/>
    <w:rsid w:val="0EB9159E"/>
    <w:rsid w:val="0EC37BEB"/>
    <w:rsid w:val="0EC85224"/>
    <w:rsid w:val="0ECB1C73"/>
    <w:rsid w:val="0ECC12D1"/>
    <w:rsid w:val="0ED14B39"/>
    <w:rsid w:val="0ED308B1"/>
    <w:rsid w:val="0ED35FFD"/>
    <w:rsid w:val="0EDB7766"/>
    <w:rsid w:val="0EE303C9"/>
    <w:rsid w:val="0EE526EA"/>
    <w:rsid w:val="0EE7120F"/>
    <w:rsid w:val="0EE851DC"/>
    <w:rsid w:val="0EE859DF"/>
    <w:rsid w:val="0EF40475"/>
    <w:rsid w:val="0EF80318"/>
    <w:rsid w:val="0EF80E8F"/>
    <w:rsid w:val="0EF83E74"/>
    <w:rsid w:val="0EFC21E2"/>
    <w:rsid w:val="0F0008B2"/>
    <w:rsid w:val="0F024CF3"/>
    <w:rsid w:val="0F030974"/>
    <w:rsid w:val="0F03656D"/>
    <w:rsid w:val="0F046CBD"/>
    <w:rsid w:val="0F0547E3"/>
    <w:rsid w:val="0F072309"/>
    <w:rsid w:val="0F096081"/>
    <w:rsid w:val="0F0C3167"/>
    <w:rsid w:val="0F0D1A26"/>
    <w:rsid w:val="0F111837"/>
    <w:rsid w:val="0F13775A"/>
    <w:rsid w:val="0F1637A4"/>
    <w:rsid w:val="0F183254"/>
    <w:rsid w:val="0F1A028E"/>
    <w:rsid w:val="0F1F58A5"/>
    <w:rsid w:val="0F205C7F"/>
    <w:rsid w:val="0F275029"/>
    <w:rsid w:val="0F2904D1"/>
    <w:rsid w:val="0F2E09A0"/>
    <w:rsid w:val="0F304D48"/>
    <w:rsid w:val="0F317386"/>
    <w:rsid w:val="0F346E76"/>
    <w:rsid w:val="0F3B1FB3"/>
    <w:rsid w:val="0F3C025F"/>
    <w:rsid w:val="0F3F1AA3"/>
    <w:rsid w:val="0F3F5FF6"/>
    <w:rsid w:val="0F3F7CF5"/>
    <w:rsid w:val="0F4075C9"/>
    <w:rsid w:val="0F421593"/>
    <w:rsid w:val="0F450727"/>
    <w:rsid w:val="0F450C44"/>
    <w:rsid w:val="0F452E31"/>
    <w:rsid w:val="0F4A2657"/>
    <w:rsid w:val="0F4B669A"/>
    <w:rsid w:val="0F522A6F"/>
    <w:rsid w:val="0F5337A0"/>
    <w:rsid w:val="0F580DB7"/>
    <w:rsid w:val="0F5C08A7"/>
    <w:rsid w:val="0F6360E0"/>
    <w:rsid w:val="0F6634D4"/>
    <w:rsid w:val="0F676B13"/>
    <w:rsid w:val="0F692FC4"/>
    <w:rsid w:val="0F6A2898"/>
    <w:rsid w:val="0F6C03BE"/>
    <w:rsid w:val="0F6C6610"/>
    <w:rsid w:val="0F6F3994"/>
    <w:rsid w:val="0F7200CA"/>
    <w:rsid w:val="0F721827"/>
    <w:rsid w:val="0F766CC6"/>
    <w:rsid w:val="0F786D63"/>
    <w:rsid w:val="0F7D25CB"/>
    <w:rsid w:val="0F81030D"/>
    <w:rsid w:val="0F832FF8"/>
    <w:rsid w:val="0F847DFE"/>
    <w:rsid w:val="0F85062C"/>
    <w:rsid w:val="0F87169C"/>
    <w:rsid w:val="0F8A6A96"/>
    <w:rsid w:val="0F8B4CE8"/>
    <w:rsid w:val="0F932BA2"/>
    <w:rsid w:val="0F957915"/>
    <w:rsid w:val="0F9928EF"/>
    <w:rsid w:val="0F9A050E"/>
    <w:rsid w:val="0F9A112B"/>
    <w:rsid w:val="0F9A317D"/>
    <w:rsid w:val="0F9F2542"/>
    <w:rsid w:val="0FA07BF0"/>
    <w:rsid w:val="0FA1275E"/>
    <w:rsid w:val="0FA45387"/>
    <w:rsid w:val="0FA60454"/>
    <w:rsid w:val="0FA91612"/>
    <w:rsid w:val="0FA933C0"/>
    <w:rsid w:val="0FAD0CF9"/>
    <w:rsid w:val="0FAE09D7"/>
    <w:rsid w:val="0FAF4135"/>
    <w:rsid w:val="0FB01208"/>
    <w:rsid w:val="0FB32491"/>
    <w:rsid w:val="0FB35FED"/>
    <w:rsid w:val="0FB56209"/>
    <w:rsid w:val="0FB57FB7"/>
    <w:rsid w:val="0FBD6E6C"/>
    <w:rsid w:val="0FBE0104"/>
    <w:rsid w:val="0FC54AD9"/>
    <w:rsid w:val="0FC621C4"/>
    <w:rsid w:val="0FC63F72"/>
    <w:rsid w:val="0FD0094D"/>
    <w:rsid w:val="0FD22917"/>
    <w:rsid w:val="0FD52407"/>
    <w:rsid w:val="0FD52CD4"/>
    <w:rsid w:val="0FDA3DE2"/>
    <w:rsid w:val="0FE12B5A"/>
    <w:rsid w:val="0FE268D2"/>
    <w:rsid w:val="0FE67D3D"/>
    <w:rsid w:val="0FE8038D"/>
    <w:rsid w:val="0FEB3608"/>
    <w:rsid w:val="0FED7687"/>
    <w:rsid w:val="0FF00FEF"/>
    <w:rsid w:val="0FF1044E"/>
    <w:rsid w:val="0FF46D31"/>
    <w:rsid w:val="0FF56606"/>
    <w:rsid w:val="0FF7237E"/>
    <w:rsid w:val="0FFE708A"/>
    <w:rsid w:val="10017FB3"/>
    <w:rsid w:val="10042CED"/>
    <w:rsid w:val="10062C91"/>
    <w:rsid w:val="1008458B"/>
    <w:rsid w:val="10086339"/>
    <w:rsid w:val="100910F7"/>
    <w:rsid w:val="100920B1"/>
    <w:rsid w:val="100A06B6"/>
    <w:rsid w:val="100D1BA1"/>
    <w:rsid w:val="100E445D"/>
    <w:rsid w:val="100F3B6B"/>
    <w:rsid w:val="10101691"/>
    <w:rsid w:val="10102A21"/>
    <w:rsid w:val="101051ED"/>
    <w:rsid w:val="101271B8"/>
    <w:rsid w:val="10150A56"/>
    <w:rsid w:val="10172A20"/>
    <w:rsid w:val="10173FAB"/>
    <w:rsid w:val="101747CE"/>
    <w:rsid w:val="101956D8"/>
    <w:rsid w:val="10202516"/>
    <w:rsid w:val="10205FC6"/>
    <w:rsid w:val="10251AC8"/>
    <w:rsid w:val="1025513D"/>
    <w:rsid w:val="10294501"/>
    <w:rsid w:val="102A6910"/>
    <w:rsid w:val="102D5D9F"/>
    <w:rsid w:val="102E38C6"/>
    <w:rsid w:val="102E4A79"/>
    <w:rsid w:val="103274FC"/>
    <w:rsid w:val="103410AA"/>
    <w:rsid w:val="103435D2"/>
    <w:rsid w:val="103449ED"/>
    <w:rsid w:val="1034712E"/>
    <w:rsid w:val="10357B6D"/>
    <w:rsid w:val="10360127"/>
    <w:rsid w:val="1037079D"/>
    <w:rsid w:val="10376C1E"/>
    <w:rsid w:val="10390BE8"/>
    <w:rsid w:val="103A226A"/>
    <w:rsid w:val="103A58B2"/>
    <w:rsid w:val="103C5FE2"/>
    <w:rsid w:val="10430481"/>
    <w:rsid w:val="10432EB6"/>
    <w:rsid w:val="104355C3"/>
    <w:rsid w:val="10462CC3"/>
    <w:rsid w:val="10480E2B"/>
    <w:rsid w:val="10484987"/>
    <w:rsid w:val="104906FF"/>
    <w:rsid w:val="104B17E4"/>
    <w:rsid w:val="10507CE0"/>
    <w:rsid w:val="10525131"/>
    <w:rsid w:val="10532F3B"/>
    <w:rsid w:val="105968CE"/>
    <w:rsid w:val="105A46BB"/>
    <w:rsid w:val="10637A13"/>
    <w:rsid w:val="10645539"/>
    <w:rsid w:val="1066305F"/>
    <w:rsid w:val="106811ED"/>
    <w:rsid w:val="106B68C8"/>
    <w:rsid w:val="106C0B1D"/>
    <w:rsid w:val="106D2F64"/>
    <w:rsid w:val="1070206F"/>
    <w:rsid w:val="10720430"/>
    <w:rsid w:val="1074577C"/>
    <w:rsid w:val="107460DE"/>
    <w:rsid w:val="10790FE5"/>
    <w:rsid w:val="10797237"/>
    <w:rsid w:val="107C6D27"/>
    <w:rsid w:val="107E2A9F"/>
    <w:rsid w:val="10811A50"/>
    <w:rsid w:val="10831E63"/>
    <w:rsid w:val="10856F1B"/>
    <w:rsid w:val="108B0D18"/>
    <w:rsid w:val="108F6861"/>
    <w:rsid w:val="108F6A88"/>
    <w:rsid w:val="10901D27"/>
    <w:rsid w:val="10944070"/>
    <w:rsid w:val="1097590F"/>
    <w:rsid w:val="10991559"/>
    <w:rsid w:val="10991687"/>
    <w:rsid w:val="109C4CD3"/>
    <w:rsid w:val="109C5456"/>
    <w:rsid w:val="109E0A4B"/>
    <w:rsid w:val="10A02A15"/>
    <w:rsid w:val="10A32505"/>
    <w:rsid w:val="10A5002C"/>
    <w:rsid w:val="10A832F4"/>
    <w:rsid w:val="10A83678"/>
    <w:rsid w:val="10AF1D60"/>
    <w:rsid w:val="10B05EDD"/>
    <w:rsid w:val="10B244F7"/>
    <w:rsid w:val="10B4201D"/>
    <w:rsid w:val="10B440D2"/>
    <w:rsid w:val="10B63710"/>
    <w:rsid w:val="10B93AD7"/>
    <w:rsid w:val="10BA1AAE"/>
    <w:rsid w:val="10BB33AB"/>
    <w:rsid w:val="10BC5375"/>
    <w:rsid w:val="10BC7DCD"/>
    <w:rsid w:val="10BD05B2"/>
    <w:rsid w:val="10BD736F"/>
    <w:rsid w:val="10BE733F"/>
    <w:rsid w:val="10C2298C"/>
    <w:rsid w:val="10C77FA2"/>
    <w:rsid w:val="10CA5CE4"/>
    <w:rsid w:val="10CA7A92"/>
    <w:rsid w:val="10CD30DE"/>
    <w:rsid w:val="10CF355A"/>
    <w:rsid w:val="10D66437"/>
    <w:rsid w:val="10D8227B"/>
    <w:rsid w:val="10D95F27"/>
    <w:rsid w:val="10DB3A4D"/>
    <w:rsid w:val="10E01064"/>
    <w:rsid w:val="10E072B6"/>
    <w:rsid w:val="10E36DA6"/>
    <w:rsid w:val="10E548CC"/>
    <w:rsid w:val="10E675D1"/>
    <w:rsid w:val="10E70644"/>
    <w:rsid w:val="10E87F18"/>
    <w:rsid w:val="10E91E0E"/>
    <w:rsid w:val="10EA1EE2"/>
    <w:rsid w:val="10EA5A3E"/>
    <w:rsid w:val="10ED3781"/>
    <w:rsid w:val="10F468BD"/>
    <w:rsid w:val="10F7015B"/>
    <w:rsid w:val="10F863AD"/>
    <w:rsid w:val="10FB33EF"/>
    <w:rsid w:val="10FB5E9E"/>
    <w:rsid w:val="10FC5772"/>
    <w:rsid w:val="10FE598E"/>
    <w:rsid w:val="10FF3C9A"/>
    <w:rsid w:val="10FF6CE8"/>
    <w:rsid w:val="11015C16"/>
    <w:rsid w:val="11054F89"/>
    <w:rsid w:val="11056D1C"/>
    <w:rsid w:val="11143B39"/>
    <w:rsid w:val="111451B1"/>
    <w:rsid w:val="111B209C"/>
    <w:rsid w:val="111C2F7A"/>
    <w:rsid w:val="11205904"/>
    <w:rsid w:val="1122342A"/>
    <w:rsid w:val="1125116C"/>
    <w:rsid w:val="112847B9"/>
    <w:rsid w:val="11297D25"/>
    <w:rsid w:val="112B0DC3"/>
    <w:rsid w:val="112C24FB"/>
    <w:rsid w:val="112C6057"/>
    <w:rsid w:val="112E1DCF"/>
    <w:rsid w:val="112E7589"/>
    <w:rsid w:val="113013DE"/>
    <w:rsid w:val="113118BF"/>
    <w:rsid w:val="11355F72"/>
    <w:rsid w:val="11382C4E"/>
    <w:rsid w:val="113D185A"/>
    <w:rsid w:val="11447845"/>
    <w:rsid w:val="11452008"/>
    <w:rsid w:val="114803D5"/>
    <w:rsid w:val="114B6AAA"/>
    <w:rsid w:val="114C494B"/>
    <w:rsid w:val="114E421F"/>
    <w:rsid w:val="11507CD0"/>
    <w:rsid w:val="11531CE4"/>
    <w:rsid w:val="11535CDA"/>
    <w:rsid w:val="115770D7"/>
    <w:rsid w:val="1157762A"/>
    <w:rsid w:val="115832F0"/>
    <w:rsid w:val="115929AD"/>
    <w:rsid w:val="115E01DA"/>
    <w:rsid w:val="116021A5"/>
    <w:rsid w:val="11636203"/>
    <w:rsid w:val="116577BB"/>
    <w:rsid w:val="11660972"/>
    <w:rsid w:val="116A6B7F"/>
    <w:rsid w:val="116C0ACD"/>
    <w:rsid w:val="11716160"/>
    <w:rsid w:val="11717F0E"/>
    <w:rsid w:val="11717F10"/>
    <w:rsid w:val="117618C6"/>
    <w:rsid w:val="1178129C"/>
    <w:rsid w:val="1178430B"/>
    <w:rsid w:val="11785740"/>
    <w:rsid w:val="117A5014"/>
    <w:rsid w:val="117D68B3"/>
    <w:rsid w:val="117E185E"/>
    <w:rsid w:val="117F6ACF"/>
    <w:rsid w:val="11811732"/>
    <w:rsid w:val="11845E93"/>
    <w:rsid w:val="11874169"/>
    <w:rsid w:val="11877731"/>
    <w:rsid w:val="118C4D48"/>
    <w:rsid w:val="118E0AC0"/>
    <w:rsid w:val="118F0A79"/>
    <w:rsid w:val="11902A8A"/>
    <w:rsid w:val="119360D6"/>
    <w:rsid w:val="119C5AA8"/>
    <w:rsid w:val="11A05CA3"/>
    <w:rsid w:val="11A16A45"/>
    <w:rsid w:val="11A42091"/>
    <w:rsid w:val="11A75C48"/>
    <w:rsid w:val="11A976A8"/>
    <w:rsid w:val="11B04EDA"/>
    <w:rsid w:val="11B12A00"/>
    <w:rsid w:val="11B232FE"/>
    <w:rsid w:val="11BD15AF"/>
    <w:rsid w:val="11C269BB"/>
    <w:rsid w:val="11C42733"/>
    <w:rsid w:val="11C52FC0"/>
    <w:rsid w:val="11C54C7E"/>
    <w:rsid w:val="11C73FD2"/>
    <w:rsid w:val="11C75D80"/>
    <w:rsid w:val="11CC15E8"/>
    <w:rsid w:val="11CE752D"/>
    <w:rsid w:val="11D02E86"/>
    <w:rsid w:val="11D0732A"/>
    <w:rsid w:val="11D16103"/>
    <w:rsid w:val="11D16BFE"/>
    <w:rsid w:val="11DD7458"/>
    <w:rsid w:val="11E42DD6"/>
    <w:rsid w:val="11E64458"/>
    <w:rsid w:val="11E84674"/>
    <w:rsid w:val="11ED1C8A"/>
    <w:rsid w:val="11EE77B0"/>
    <w:rsid w:val="11F0177A"/>
    <w:rsid w:val="11F4424F"/>
    <w:rsid w:val="11F6278B"/>
    <w:rsid w:val="11F72B09"/>
    <w:rsid w:val="11F76665"/>
    <w:rsid w:val="11F83EF7"/>
    <w:rsid w:val="11FC1ECD"/>
    <w:rsid w:val="12011A37"/>
    <w:rsid w:val="12042B30"/>
    <w:rsid w:val="12072620"/>
    <w:rsid w:val="12077AB4"/>
    <w:rsid w:val="120B0362"/>
    <w:rsid w:val="120B2C02"/>
    <w:rsid w:val="12102A91"/>
    <w:rsid w:val="12152F8F"/>
    <w:rsid w:val="121865DB"/>
    <w:rsid w:val="121A67F7"/>
    <w:rsid w:val="121C431D"/>
    <w:rsid w:val="121E62E8"/>
    <w:rsid w:val="121F796A"/>
    <w:rsid w:val="12207CD8"/>
    <w:rsid w:val="122356AC"/>
    <w:rsid w:val="122558D8"/>
    <w:rsid w:val="1226395F"/>
    <w:rsid w:val="122B06C2"/>
    <w:rsid w:val="122D7F4C"/>
    <w:rsid w:val="122E4051"/>
    <w:rsid w:val="122E5DFF"/>
    <w:rsid w:val="12327017"/>
    <w:rsid w:val="1232769D"/>
    <w:rsid w:val="12380A2C"/>
    <w:rsid w:val="12386C7D"/>
    <w:rsid w:val="12394ECF"/>
    <w:rsid w:val="123F1FF0"/>
    <w:rsid w:val="123F264B"/>
    <w:rsid w:val="1240313D"/>
    <w:rsid w:val="12435D4E"/>
    <w:rsid w:val="12445622"/>
    <w:rsid w:val="124838BE"/>
    <w:rsid w:val="124B4C03"/>
    <w:rsid w:val="124D2729"/>
    <w:rsid w:val="12555A81"/>
    <w:rsid w:val="12575478"/>
    <w:rsid w:val="12597320"/>
    <w:rsid w:val="125A7AA6"/>
    <w:rsid w:val="125D0492"/>
    <w:rsid w:val="12633CFA"/>
    <w:rsid w:val="12635AA8"/>
    <w:rsid w:val="126A321F"/>
    <w:rsid w:val="126D2DCB"/>
    <w:rsid w:val="126E269F"/>
    <w:rsid w:val="126F08F1"/>
    <w:rsid w:val="12744159"/>
    <w:rsid w:val="12745F08"/>
    <w:rsid w:val="127503DE"/>
    <w:rsid w:val="12767ED2"/>
    <w:rsid w:val="12771554"/>
    <w:rsid w:val="12791770"/>
    <w:rsid w:val="127B49BD"/>
    <w:rsid w:val="127E3E8A"/>
    <w:rsid w:val="12802AFE"/>
    <w:rsid w:val="12810624"/>
    <w:rsid w:val="12844F29"/>
    <w:rsid w:val="12865C3B"/>
    <w:rsid w:val="128679E9"/>
    <w:rsid w:val="1289734F"/>
    <w:rsid w:val="128B3251"/>
    <w:rsid w:val="128D0D77"/>
    <w:rsid w:val="128F05CC"/>
    <w:rsid w:val="128F2D41"/>
    <w:rsid w:val="12900868"/>
    <w:rsid w:val="12922832"/>
    <w:rsid w:val="12955E7E"/>
    <w:rsid w:val="12957C2C"/>
    <w:rsid w:val="12974ADF"/>
    <w:rsid w:val="129E4D32"/>
    <w:rsid w:val="129F0AAB"/>
    <w:rsid w:val="129F5B09"/>
    <w:rsid w:val="12A143E4"/>
    <w:rsid w:val="12A14823"/>
    <w:rsid w:val="12A604AE"/>
    <w:rsid w:val="12A83E03"/>
    <w:rsid w:val="12AB56A1"/>
    <w:rsid w:val="12AB6E86"/>
    <w:rsid w:val="12AB744F"/>
    <w:rsid w:val="12AD31C8"/>
    <w:rsid w:val="12B140FE"/>
    <w:rsid w:val="12B207DE"/>
    <w:rsid w:val="12B5308E"/>
    <w:rsid w:val="12B67DB7"/>
    <w:rsid w:val="12BA4BDF"/>
    <w:rsid w:val="12BE3627"/>
    <w:rsid w:val="12C05E31"/>
    <w:rsid w:val="12C30C3D"/>
    <w:rsid w:val="12C30D5F"/>
    <w:rsid w:val="12CA3D79"/>
    <w:rsid w:val="12D1335A"/>
    <w:rsid w:val="12D138EB"/>
    <w:rsid w:val="12D143CF"/>
    <w:rsid w:val="12D40754"/>
    <w:rsid w:val="12D44BF8"/>
    <w:rsid w:val="12D6271E"/>
    <w:rsid w:val="12DB7D35"/>
    <w:rsid w:val="12DC179C"/>
    <w:rsid w:val="12DD1CFF"/>
    <w:rsid w:val="12DE519C"/>
    <w:rsid w:val="12E110C3"/>
    <w:rsid w:val="12E267A6"/>
    <w:rsid w:val="12E60488"/>
    <w:rsid w:val="12E666D9"/>
    <w:rsid w:val="12E7492B"/>
    <w:rsid w:val="12EA441C"/>
    <w:rsid w:val="12EA61CA"/>
    <w:rsid w:val="12EB3CF0"/>
    <w:rsid w:val="12EF558E"/>
    <w:rsid w:val="12EF7A31"/>
    <w:rsid w:val="12F17558"/>
    <w:rsid w:val="12F2507E"/>
    <w:rsid w:val="12F36DB2"/>
    <w:rsid w:val="12F63DBA"/>
    <w:rsid w:val="12F6691D"/>
    <w:rsid w:val="130354DD"/>
    <w:rsid w:val="13061470"/>
    <w:rsid w:val="130628D8"/>
    <w:rsid w:val="13071CE4"/>
    <w:rsid w:val="13076D7C"/>
    <w:rsid w:val="130A23C8"/>
    <w:rsid w:val="130C4392"/>
    <w:rsid w:val="130C5FE0"/>
    <w:rsid w:val="130F79DE"/>
    <w:rsid w:val="131119A8"/>
    <w:rsid w:val="13113756"/>
    <w:rsid w:val="13141499"/>
    <w:rsid w:val="13144FF5"/>
    <w:rsid w:val="13171F28"/>
    <w:rsid w:val="13182D37"/>
    <w:rsid w:val="131836D1"/>
    <w:rsid w:val="1319260B"/>
    <w:rsid w:val="13196AAF"/>
    <w:rsid w:val="131C5101"/>
    <w:rsid w:val="131E6CD1"/>
    <w:rsid w:val="13201BEB"/>
    <w:rsid w:val="13207E3D"/>
    <w:rsid w:val="1324792E"/>
    <w:rsid w:val="13272F7A"/>
    <w:rsid w:val="132A4818"/>
    <w:rsid w:val="132E4BFE"/>
    <w:rsid w:val="132F0080"/>
    <w:rsid w:val="132F1E2E"/>
    <w:rsid w:val="13313DF9"/>
    <w:rsid w:val="13373653"/>
    <w:rsid w:val="133B07D3"/>
    <w:rsid w:val="133B09E8"/>
    <w:rsid w:val="133D3E1D"/>
    <w:rsid w:val="133E6515"/>
    <w:rsid w:val="13405DEA"/>
    <w:rsid w:val="13460082"/>
    <w:rsid w:val="13495C7E"/>
    <w:rsid w:val="13505B28"/>
    <w:rsid w:val="135339EB"/>
    <w:rsid w:val="13541895"/>
    <w:rsid w:val="135B0283"/>
    <w:rsid w:val="135F0966"/>
    <w:rsid w:val="13637D2A"/>
    <w:rsid w:val="136D537D"/>
    <w:rsid w:val="136F4921"/>
    <w:rsid w:val="13702B73"/>
    <w:rsid w:val="13710699"/>
    <w:rsid w:val="13722A67"/>
    <w:rsid w:val="137361BF"/>
    <w:rsid w:val="13743CE5"/>
    <w:rsid w:val="13743DC0"/>
    <w:rsid w:val="1377358E"/>
    <w:rsid w:val="137B0136"/>
    <w:rsid w:val="137B32C6"/>
    <w:rsid w:val="137B5074"/>
    <w:rsid w:val="137D34C8"/>
    <w:rsid w:val="138008DC"/>
    <w:rsid w:val="13815469"/>
    <w:rsid w:val="1384217A"/>
    <w:rsid w:val="13854144"/>
    <w:rsid w:val="13871C6A"/>
    <w:rsid w:val="138C102F"/>
    <w:rsid w:val="138C54D3"/>
    <w:rsid w:val="13903D6D"/>
    <w:rsid w:val="139254CE"/>
    <w:rsid w:val="13936861"/>
    <w:rsid w:val="13951726"/>
    <w:rsid w:val="1396715A"/>
    <w:rsid w:val="139B5716"/>
    <w:rsid w:val="139D148E"/>
    <w:rsid w:val="139F5206"/>
    <w:rsid w:val="13A26AA4"/>
    <w:rsid w:val="13A75E69"/>
    <w:rsid w:val="13B14F39"/>
    <w:rsid w:val="13B47437"/>
    <w:rsid w:val="13B660AC"/>
    <w:rsid w:val="13B81E24"/>
    <w:rsid w:val="13BA0895"/>
    <w:rsid w:val="13BB1914"/>
    <w:rsid w:val="13BB7AE9"/>
    <w:rsid w:val="13BD38DE"/>
    <w:rsid w:val="13BD743A"/>
    <w:rsid w:val="13BF7656"/>
    <w:rsid w:val="13C1400A"/>
    <w:rsid w:val="13C277AD"/>
    <w:rsid w:val="13C30AFC"/>
    <w:rsid w:val="13C702B9"/>
    <w:rsid w:val="13C95DDF"/>
    <w:rsid w:val="13CE4568"/>
    <w:rsid w:val="13CE7DBD"/>
    <w:rsid w:val="13D36C5E"/>
    <w:rsid w:val="13DF3855"/>
    <w:rsid w:val="13E72709"/>
    <w:rsid w:val="13E76BAD"/>
    <w:rsid w:val="13ED41C3"/>
    <w:rsid w:val="13F043C5"/>
    <w:rsid w:val="13F05A62"/>
    <w:rsid w:val="13F61A2E"/>
    <w:rsid w:val="13F628F8"/>
    <w:rsid w:val="13FA243C"/>
    <w:rsid w:val="13FA68E0"/>
    <w:rsid w:val="13FF3A35"/>
    <w:rsid w:val="14024910"/>
    <w:rsid w:val="14025795"/>
    <w:rsid w:val="140736A0"/>
    <w:rsid w:val="140C03C2"/>
    <w:rsid w:val="140E413A"/>
    <w:rsid w:val="14101C60"/>
    <w:rsid w:val="141259D8"/>
    <w:rsid w:val="14172FEE"/>
    <w:rsid w:val="14186D67"/>
    <w:rsid w:val="14197487"/>
    <w:rsid w:val="141B0041"/>
    <w:rsid w:val="141E70C5"/>
    <w:rsid w:val="14213FC1"/>
    <w:rsid w:val="14215C1B"/>
    <w:rsid w:val="14221EEF"/>
    <w:rsid w:val="14261483"/>
    <w:rsid w:val="14270D58"/>
    <w:rsid w:val="142B4CEC"/>
    <w:rsid w:val="142D2812"/>
    <w:rsid w:val="142E5135"/>
    <w:rsid w:val="1437543F"/>
    <w:rsid w:val="143771ED"/>
    <w:rsid w:val="14396509"/>
    <w:rsid w:val="14397409"/>
    <w:rsid w:val="143D67CD"/>
    <w:rsid w:val="143E4A1F"/>
    <w:rsid w:val="143F0797"/>
    <w:rsid w:val="143F3336"/>
    <w:rsid w:val="1447165C"/>
    <w:rsid w:val="1448144A"/>
    <w:rsid w:val="14496BB0"/>
    <w:rsid w:val="144C45A6"/>
    <w:rsid w:val="14501579"/>
    <w:rsid w:val="14515DD5"/>
    <w:rsid w:val="145558C5"/>
    <w:rsid w:val="1457181F"/>
    <w:rsid w:val="14575AE1"/>
    <w:rsid w:val="145A6C1B"/>
    <w:rsid w:val="145C4EA5"/>
    <w:rsid w:val="145E6E6F"/>
    <w:rsid w:val="14611454"/>
    <w:rsid w:val="1461426A"/>
    <w:rsid w:val="14623356"/>
    <w:rsid w:val="14627FE2"/>
    <w:rsid w:val="14643D5A"/>
    <w:rsid w:val="146B158C"/>
    <w:rsid w:val="146D0602"/>
    <w:rsid w:val="146D0E60"/>
    <w:rsid w:val="146D2C0E"/>
    <w:rsid w:val="146E5199"/>
    <w:rsid w:val="147026FF"/>
    <w:rsid w:val="14720225"/>
    <w:rsid w:val="147223D9"/>
    <w:rsid w:val="147246C9"/>
    <w:rsid w:val="14733F9D"/>
    <w:rsid w:val="14756348"/>
    <w:rsid w:val="147A6014"/>
    <w:rsid w:val="147C605C"/>
    <w:rsid w:val="147E16A4"/>
    <w:rsid w:val="14860174"/>
    <w:rsid w:val="14885C9A"/>
    <w:rsid w:val="14893AB6"/>
    <w:rsid w:val="148F0807"/>
    <w:rsid w:val="14902DA1"/>
    <w:rsid w:val="149503B7"/>
    <w:rsid w:val="149A54A8"/>
    <w:rsid w:val="149A7437"/>
    <w:rsid w:val="149F2FE4"/>
    <w:rsid w:val="14A01236"/>
    <w:rsid w:val="14A16D5C"/>
    <w:rsid w:val="14A300D8"/>
    <w:rsid w:val="14A405FA"/>
    <w:rsid w:val="14A66120"/>
    <w:rsid w:val="14A74F09"/>
    <w:rsid w:val="14A95C11"/>
    <w:rsid w:val="14A960ED"/>
    <w:rsid w:val="14AD5701"/>
    <w:rsid w:val="14B007DF"/>
    <w:rsid w:val="14B06F9F"/>
    <w:rsid w:val="14B4083D"/>
    <w:rsid w:val="14B91001"/>
    <w:rsid w:val="14BA1BCC"/>
    <w:rsid w:val="14BA7E1E"/>
    <w:rsid w:val="14BF4B09"/>
    <w:rsid w:val="14BF5434"/>
    <w:rsid w:val="14C1721D"/>
    <w:rsid w:val="14C52A4A"/>
    <w:rsid w:val="14C8253B"/>
    <w:rsid w:val="14C842E9"/>
    <w:rsid w:val="14C91E0F"/>
    <w:rsid w:val="14CB202B"/>
    <w:rsid w:val="14D05CA0"/>
    <w:rsid w:val="14D47131"/>
    <w:rsid w:val="14D709D0"/>
    <w:rsid w:val="14D964F6"/>
    <w:rsid w:val="14DC7D94"/>
    <w:rsid w:val="14E05AD6"/>
    <w:rsid w:val="14E12169"/>
    <w:rsid w:val="14E4180F"/>
    <w:rsid w:val="14E804E7"/>
    <w:rsid w:val="14EA2725"/>
    <w:rsid w:val="14EC447B"/>
    <w:rsid w:val="14ED3949"/>
    <w:rsid w:val="14F1476F"/>
    <w:rsid w:val="14F41582"/>
    <w:rsid w:val="15051099"/>
    <w:rsid w:val="15054F9B"/>
    <w:rsid w:val="1505553D"/>
    <w:rsid w:val="150A47FA"/>
    <w:rsid w:val="150B2427"/>
    <w:rsid w:val="150C68CB"/>
    <w:rsid w:val="150D2643"/>
    <w:rsid w:val="150D619F"/>
    <w:rsid w:val="150F1F18"/>
    <w:rsid w:val="15165000"/>
    <w:rsid w:val="151B539B"/>
    <w:rsid w:val="151C63E2"/>
    <w:rsid w:val="151E03AD"/>
    <w:rsid w:val="15202377"/>
    <w:rsid w:val="15205ED3"/>
    <w:rsid w:val="152359C3"/>
    <w:rsid w:val="1525173B"/>
    <w:rsid w:val="1526228F"/>
    <w:rsid w:val="15284D87"/>
    <w:rsid w:val="152D239E"/>
    <w:rsid w:val="15354544"/>
    <w:rsid w:val="15393438"/>
    <w:rsid w:val="153B2D0D"/>
    <w:rsid w:val="153C6A85"/>
    <w:rsid w:val="153D4CD7"/>
    <w:rsid w:val="153D72A5"/>
    <w:rsid w:val="153E45AB"/>
    <w:rsid w:val="153F0E72"/>
    <w:rsid w:val="15405B0D"/>
    <w:rsid w:val="15437E13"/>
    <w:rsid w:val="154422A7"/>
    <w:rsid w:val="15451DDD"/>
    <w:rsid w:val="15455939"/>
    <w:rsid w:val="15477903"/>
    <w:rsid w:val="154871D8"/>
    <w:rsid w:val="154A11A2"/>
    <w:rsid w:val="154C6CC8"/>
    <w:rsid w:val="154F0566"/>
    <w:rsid w:val="154F4D1B"/>
    <w:rsid w:val="1551198D"/>
    <w:rsid w:val="15514605"/>
    <w:rsid w:val="15521101"/>
    <w:rsid w:val="15542020"/>
    <w:rsid w:val="15570834"/>
    <w:rsid w:val="15595889"/>
    <w:rsid w:val="155C4C28"/>
    <w:rsid w:val="155D0ED5"/>
    <w:rsid w:val="15634011"/>
    <w:rsid w:val="156408BB"/>
    <w:rsid w:val="15657D89"/>
    <w:rsid w:val="1568787A"/>
    <w:rsid w:val="15744B16"/>
    <w:rsid w:val="157D4738"/>
    <w:rsid w:val="157D50D3"/>
    <w:rsid w:val="157E709D"/>
    <w:rsid w:val="157F1935"/>
    <w:rsid w:val="15842905"/>
    <w:rsid w:val="158701FA"/>
    <w:rsid w:val="15877D00"/>
    <w:rsid w:val="15883A78"/>
    <w:rsid w:val="1589441B"/>
    <w:rsid w:val="15897F1C"/>
    <w:rsid w:val="158A3C94"/>
    <w:rsid w:val="158C17BA"/>
    <w:rsid w:val="158F4E06"/>
    <w:rsid w:val="159468C1"/>
    <w:rsid w:val="15962639"/>
    <w:rsid w:val="159B37AB"/>
    <w:rsid w:val="15A40BEE"/>
    <w:rsid w:val="15A46B04"/>
    <w:rsid w:val="15A5287C"/>
    <w:rsid w:val="15A932B3"/>
    <w:rsid w:val="15A935B4"/>
    <w:rsid w:val="15AC59B8"/>
    <w:rsid w:val="15AE1481"/>
    <w:rsid w:val="15AE34DE"/>
    <w:rsid w:val="15B605E5"/>
    <w:rsid w:val="15B64A89"/>
    <w:rsid w:val="15B66837"/>
    <w:rsid w:val="15BB209F"/>
    <w:rsid w:val="15C01464"/>
    <w:rsid w:val="15C72C7C"/>
    <w:rsid w:val="15C90318"/>
    <w:rsid w:val="15CA4090"/>
    <w:rsid w:val="15CB0007"/>
    <w:rsid w:val="15CB06E2"/>
    <w:rsid w:val="15CF16A7"/>
    <w:rsid w:val="15D20DFB"/>
    <w:rsid w:val="15D54869"/>
    <w:rsid w:val="15D76017"/>
    <w:rsid w:val="15D8055B"/>
    <w:rsid w:val="15DB629E"/>
    <w:rsid w:val="15E46F00"/>
    <w:rsid w:val="15E72E94"/>
    <w:rsid w:val="15EA64E1"/>
    <w:rsid w:val="15EE7D7F"/>
    <w:rsid w:val="15F1786F"/>
    <w:rsid w:val="15F31B10"/>
    <w:rsid w:val="15F66C34"/>
    <w:rsid w:val="15FA0341"/>
    <w:rsid w:val="15FA2BC8"/>
    <w:rsid w:val="15FB24E1"/>
    <w:rsid w:val="15FC6940"/>
    <w:rsid w:val="15FF1F8C"/>
    <w:rsid w:val="16077A7C"/>
    <w:rsid w:val="16082FC8"/>
    <w:rsid w:val="160B0931"/>
    <w:rsid w:val="160B1CC9"/>
    <w:rsid w:val="160C6457"/>
    <w:rsid w:val="160E696E"/>
    <w:rsid w:val="160F33A3"/>
    <w:rsid w:val="16126189"/>
    <w:rsid w:val="16131283"/>
    <w:rsid w:val="16135A37"/>
    <w:rsid w:val="16145219"/>
    <w:rsid w:val="161B48EC"/>
    <w:rsid w:val="161C0D90"/>
    <w:rsid w:val="161C2A95"/>
    <w:rsid w:val="161C2B3E"/>
    <w:rsid w:val="161F262E"/>
    <w:rsid w:val="162419F3"/>
    <w:rsid w:val="16257519"/>
    <w:rsid w:val="16290DB7"/>
    <w:rsid w:val="16294BEA"/>
    <w:rsid w:val="162C6AF9"/>
    <w:rsid w:val="162D2B22"/>
    <w:rsid w:val="162D4D4B"/>
    <w:rsid w:val="162E2871"/>
    <w:rsid w:val="16302145"/>
    <w:rsid w:val="16380A5A"/>
    <w:rsid w:val="1638549E"/>
    <w:rsid w:val="163B0AEA"/>
    <w:rsid w:val="163B6FFF"/>
    <w:rsid w:val="163F4A7E"/>
    <w:rsid w:val="163F73E6"/>
    <w:rsid w:val="16465E0D"/>
    <w:rsid w:val="164707FC"/>
    <w:rsid w:val="1649352F"/>
    <w:rsid w:val="164D0F49"/>
    <w:rsid w:val="164D28A4"/>
    <w:rsid w:val="16500A3A"/>
    <w:rsid w:val="165266F1"/>
    <w:rsid w:val="16565924"/>
    <w:rsid w:val="16585B40"/>
    <w:rsid w:val="165C118C"/>
    <w:rsid w:val="165C38DB"/>
    <w:rsid w:val="165D2399"/>
    <w:rsid w:val="16617428"/>
    <w:rsid w:val="16646293"/>
    <w:rsid w:val="166B5873"/>
    <w:rsid w:val="166C5148"/>
    <w:rsid w:val="166D55CB"/>
    <w:rsid w:val="166E0EC0"/>
    <w:rsid w:val="166E2C6E"/>
    <w:rsid w:val="16723724"/>
    <w:rsid w:val="16730284"/>
    <w:rsid w:val="16777D74"/>
    <w:rsid w:val="16783AEC"/>
    <w:rsid w:val="167B7C4B"/>
    <w:rsid w:val="167C182F"/>
    <w:rsid w:val="167C44F8"/>
    <w:rsid w:val="1680548D"/>
    <w:rsid w:val="16826719"/>
    <w:rsid w:val="16870D8E"/>
    <w:rsid w:val="16897AA8"/>
    <w:rsid w:val="168B7CC4"/>
    <w:rsid w:val="16921052"/>
    <w:rsid w:val="1694148D"/>
    <w:rsid w:val="1695469E"/>
    <w:rsid w:val="169C5A2D"/>
    <w:rsid w:val="169E17A5"/>
    <w:rsid w:val="169E79F7"/>
    <w:rsid w:val="169F551D"/>
    <w:rsid w:val="169F72CB"/>
    <w:rsid w:val="16A81790"/>
    <w:rsid w:val="16A91EF8"/>
    <w:rsid w:val="16AB2114"/>
    <w:rsid w:val="16AB5C70"/>
    <w:rsid w:val="16AD19E8"/>
    <w:rsid w:val="16B014D8"/>
    <w:rsid w:val="16B207CA"/>
    <w:rsid w:val="16B26FFE"/>
    <w:rsid w:val="16B40FC8"/>
    <w:rsid w:val="16B9038D"/>
    <w:rsid w:val="16BA2357"/>
    <w:rsid w:val="16BB3C28"/>
    <w:rsid w:val="16BC1C2B"/>
    <w:rsid w:val="16BE3BF5"/>
    <w:rsid w:val="16C035CA"/>
    <w:rsid w:val="16C44AD8"/>
    <w:rsid w:val="16C4566D"/>
    <w:rsid w:val="16C874E6"/>
    <w:rsid w:val="16CB1E6E"/>
    <w:rsid w:val="16CB6312"/>
    <w:rsid w:val="16CE28C5"/>
    <w:rsid w:val="16D451C7"/>
    <w:rsid w:val="16D76A65"/>
    <w:rsid w:val="16DC147A"/>
    <w:rsid w:val="16DE4297"/>
    <w:rsid w:val="16DE6045"/>
    <w:rsid w:val="16DF3B6C"/>
    <w:rsid w:val="16E178E4"/>
    <w:rsid w:val="16E3365C"/>
    <w:rsid w:val="16E80C72"/>
    <w:rsid w:val="16F2389F"/>
    <w:rsid w:val="16F45869"/>
    <w:rsid w:val="16F615E1"/>
    <w:rsid w:val="16FB4332"/>
    <w:rsid w:val="16FD3AAB"/>
    <w:rsid w:val="1703785A"/>
    <w:rsid w:val="170535D2"/>
    <w:rsid w:val="1706559C"/>
    <w:rsid w:val="17066928"/>
    <w:rsid w:val="170A5C5C"/>
    <w:rsid w:val="17163A31"/>
    <w:rsid w:val="17171557"/>
    <w:rsid w:val="171F21BA"/>
    <w:rsid w:val="172120C7"/>
    <w:rsid w:val="17215F32"/>
    <w:rsid w:val="17221F62"/>
    <w:rsid w:val="17285513"/>
    <w:rsid w:val="172A128B"/>
    <w:rsid w:val="172B5518"/>
    <w:rsid w:val="172F4478"/>
    <w:rsid w:val="17312D11"/>
    <w:rsid w:val="1732013F"/>
    <w:rsid w:val="17326502"/>
    <w:rsid w:val="17371DE5"/>
    <w:rsid w:val="17375756"/>
    <w:rsid w:val="173C34E8"/>
    <w:rsid w:val="1740285C"/>
    <w:rsid w:val="174560C4"/>
    <w:rsid w:val="17465999"/>
    <w:rsid w:val="174B2FAF"/>
    <w:rsid w:val="174F7CD7"/>
    <w:rsid w:val="1750389F"/>
    <w:rsid w:val="175400B6"/>
    <w:rsid w:val="17577BA6"/>
    <w:rsid w:val="1759391E"/>
    <w:rsid w:val="175A4608"/>
    <w:rsid w:val="176000E3"/>
    <w:rsid w:val="176460A3"/>
    <w:rsid w:val="17666845"/>
    <w:rsid w:val="17680005"/>
    <w:rsid w:val="176A78D9"/>
    <w:rsid w:val="176C7FAF"/>
    <w:rsid w:val="176D1177"/>
    <w:rsid w:val="1770386E"/>
    <w:rsid w:val="177235B3"/>
    <w:rsid w:val="17735226"/>
    <w:rsid w:val="17742506"/>
    <w:rsid w:val="17780248"/>
    <w:rsid w:val="1782031A"/>
    <w:rsid w:val="17821613"/>
    <w:rsid w:val="17842AD0"/>
    <w:rsid w:val="178564C1"/>
    <w:rsid w:val="1787048B"/>
    <w:rsid w:val="178B7795"/>
    <w:rsid w:val="178D1819"/>
    <w:rsid w:val="178E2610"/>
    <w:rsid w:val="17902473"/>
    <w:rsid w:val="179606CE"/>
    <w:rsid w:val="17966F3F"/>
    <w:rsid w:val="179C49C1"/>
    <w:rsid w:val="179E3A27"/>
    <w:rsid w:val="179E7583"/>
    <w:rsid w:val="17A06CE7"/>
    <w:rsid w:val="17A50911"/>
    <w:rsid w:val="17A728DB"/>
    <w:rsid w:val="17A75F91"/>
    <w:rsid w:val="17AA4179"/>
    <w:rsid w:val="17AC7EF2"/>
    <w:rsid w:val="17AD77C6"/>
    <w:rsid w:val="17AF353E"/>
    <w:rsid w:val="17B631A7"/>
    <w:rsid w:val="17B648CC"/>
    <w:rsid w:val="17B80644"/>
    <w:rsid w:val="17B91CC2"/>
    <w:rsid w:val="17B91FA2"/>
    <w:rsid w:val="17BA74F2"/>
    <w:rsid w:val="17BB3400"/>
    <w:rsid w:val="17BD3EAD"/>
    <w:rsid w:val="17C52D61"/>
    <w:rsid w:val="17CF1E32"/>
    <w:rsid w:val="17D17958"/>
    <w:rsid w:val="17D336D0"/>
    <w:rsid w:val="17D43BE0"/>
    <w:rsid w:val="17DA4A5F"/>
    <w:rsid w:val="17DE55A1"/>
    <w:rsid w:val="17E21B65"/>
    <w:rsid w:val="17E56F60"/>
    <w:rsid w:val="17E703FC"/>
    <w:rsid w:val="17EB296E"/>
    <w:rsid w:val="17EF6030"/>
    <w:rsid w:val="17F04282"/>
    <w:rsid w:val="17F12BE8"/>
    <w:rsid w:val="17F17FFA"/>
    <w:rsid w:val="17F43647"/>
    <w:rsid w:val="17FD074D"/>
    <w:rsid w:val="17FD699F"/>
    <w:rsid w:val="18003D99"/>
    <w:rsid w:val="18041ADC"/>
    <w:rsid w:val="18055854"/>
    <w:rsid w:val="18094A7F"/>
    <w:rsid w:val="18095344"/>
    <w:rsid w:val="180A2E6A"/>
    <w:rsid w:val="180D7C95"/>
    <w:rsid w:val="180E4708"/>
    <w:rsid w:val="18100480"/>
    <w:rsid w:val="1812308C"/>
    <w:rsid w:val="18147845"/>
    <w:rsid w:val="181B72DB"/>
    <w:rsid w:val="181D0DEF"/>
    <w:rsid w:val="182201B4"/>
    <w:rsid w:val="182715D6"/>
    <w:rsid w:val="182757CA"/>
    <w:rsid w:val="18277578"/>
    <w:rsid w:val="18295F5F"/>
    <w:rsid w:val="182D744D"/>
    <w:rsid w:val="182E0907"/>
    <w:rsid w:val="18351C95"/>
    <w:rsid w:val="1839783A"/>
    <w:rsid w:val="183A60CC"/>
    <w:rsid w:val="183D0526"/>
    <w:rsid w:val="183D6D9C"/>
    <w:rsid w:val="183E57A4"/>
    <w:rsid w:val="1840063A"/>
    <w:rsid w:val="1853036D"/>
    <w:rsid w:val="18535349"/>
    <w:rsid w:val="18550589"/>
    <w:rsid w:val="185B5474"/>
    <w:rsid w:val="185F4F64"/>
    <w:rsid w:val="18626802"/>
    <w:rsid w:val="18644328"/>
    <w:rsid w:val="1869193F"/>
    <w:rsid w:val="18695DE3"/>
    <w:rsid w:val="186B56B7"/>
    <w:rsid w:val="186B68C6"/>
    <w:rsid w:val="186D0013"/>
    <w:rsid w:val="186D58D3"/>
    <w:rsid w:val="186F23AF"/>
    <w:rsid w:val="18722EE9"/>
    <w:rsid w:val="18730A0F"/>
    <w:rsid w:val="187529D9"/>
    <w:rsid w:val="187A1D9E"/>
    <w:rsid w:val="187F1162"/>
    <w:rsid w:val="18826EA4"/>
    <w:rsid w:val="18831A85"/>
    <w:rsid w:val="18833979"/>
    <w:rsid w:val="18866995"/>
    <w:rsid w:val="18891FE1"/>
    <w:rsid w:val="188B5D59"/>
    <w:rsid w:val="188C2E84"/>
    <w:rsid w:val="189270E7"/>
    <w:rsid w:val="18980476"/>
    <w:rsid w:val="18982224"/>
    <w:rsid w:val="18997195"/>
    <w:rsid w:val="189A2440"/>
    <w:rsid w:val="18A40BC9"/>
    <w:rsid w:val="18A41440"/>
    <w:rsid w:val="18A46E1B"/>
    <w:rsid w:val="18A500BF"/>
    <w:rsid w:val="18A94431"/>
    <w:rsid w:val="18AF5EEB"/>
    <w:rsid w:val="18B118AD"/>
    <w:rsid w:val="18B21538"/>
    <w:rsid w:val="18B43502"/>
    <w:rsid w:val="18B90B18"/>
    <w:rsid w:val="18B93532"/>
    <w:rsid w:val="18BC23B6"/>
    <w:rsid w:val="18BC3B0A"/>
    <w:rsid w:val="18BD040B"/>
    <w:rsid w:val="18BF12FA"/>
    <w:rsid w:val="18C13529"/>
    <w:rsid w:val="18C43019"/>
    <w:rsid w:val="18C474BD"/>
    <w:rsid w:val="18C63235"/>
    <w:rsid w:val="18C64FE3"/>
    <w:rsid w:val="18C84722"/>
    <w:rsid w:val="18C9062F"/>
    <w:rsid w:val="18C96881"/>
    <w:rsid w:val="18CD45C3"/>
    <w:rsid w:val="18CD6371"/>
    <w:rsid w:val="18CE20EA"/>
    <w:rsid w:val="18D07C10"/>
    <w:rsid w:val="18D3325C"/>
    <w:rsid w:val="18D55226"/>
    <w:rsid w:val="18D728CB"/>
    <w:rsid w:val="18D72D4C"/>
    <w:rsid w:val="18DC1ABD"/>
    <w:rsid w:val="18DD40DB"/>
    <w:rsid w:val="18E35B95"/>
    <w:rsid w:val="18E36CB5"/>
    <w:rsid w:val="18E67433"/>
    <w:rsid w:val="18E831AB"/>
    <w:rsid w:val="18EB5A29"/>
    <w:rsid w:val="18EB67F8"/>
    <w:rsid w:val="18F179C4"/>
    <w:rsid w:val="18F2402A"/>
    <w:rsid w:val="18F733EE"/>
    <w:rsid w:val="18FC5D8F"/>
    <w:rsid w:val="18FC6C57"/>
    <w:rsid w:val="18FF22A3"/>
    <w:rsid w:val="190470B1"/>
    <w:rsid w:val="19066A98"/>
    <w:rsid w:val="19094547"/>
    <w:rsid w:val="19103908"/>
    <w:rsid w:val="1910625E"/>
    <w:rsid w:val="19130CA3"/>
    <w:rsid w:val="19145D4E"/>
    <w:rsid w:val="19185113"/>
    <w:rsid w:val="191A0E8B"/>
    <w:rsid w:val="191A3096"/>
    <w:rsid w:val="191F46F3"/>
    <w:rsid w:val="192166BD"/>
    <w:rsid w:val="192341E3"/>
    <w:rsid w:val="192817FA"/>
    <w:rsid w:val="192D150C"/>
    <w:rsid w:val="192D79FD"/>
    <w:rsid w:val="1930072A"/>
    <w:rsid w:val="193208CA"/>
    <w:rsid w:val="19324427"/>
    <w:rsid w:val="19371A3D"/>
    <w:rsid w:val="193B777F"/>
    <w:rsid w:val="193F08F1"/>
    <w:rsid w:val="194128BC"/>
    <w:rsid w:val="19436634"/>
    <w:rsid w:val="19461C80"/>
    <w:rsid w:val="19481E9C"/>
    <w:rsid w:val="19483990"/>
    <w:rsid w:val="194D300E"/>
    <w:rsid w:val="194F7E45"/>
    <w:rsid w:val="19502AFF"/>
    <w:rsid w:val="195048A6"/>
    <w:rsid w:val="19520625"/>
    <w:rsid w:val="195465C3"/>
    <w:rsid w:val="19550115"/>
    <w:rsid w:val="19570331"/>
    <w:rsid w:val="19572D68"/>
    <w:rsid w:val="19575C3B"/>
    <w:rsid w:val="19584C79"/>
    <w:rsid w:val="195C1FE7"/>
    <w:rsid w:val="195C3D9D"/>
    <w:rsid w:val="19614D0C"/>
    <w:rsid w:val="19650358"/>
    <w:rsid w:val="196547FC"/>
    <w:rsid w:val="196565AA"/>
    <w:rsid w:val="1966166D"/>
    <w:rsid w:val="1968609A"/>
    <w:rsid w:val="196A0064"/>
    <w:rsid w:val="197267B0"/>
    <w:rsid w:val="1973708C"/>
    <w:rsid w:val="197762DD"/>
    <w:rsid w:val="19793E03"/>
    <w:rsid w:val="19802244"/>
    <w:rsid w:val="198A6011"/>
    <w:rsid w:val="198B3B37"/>
    <w:rsid w:val="198C7FDB"/>
    <w:rsid w:val="198D5B01"/>
    <w:rsid w:val="198F7643"/>
    <w:rsid w:val="1990114D"/>
    <w:rsid w:val="199109E2"/>
    <w:rsid w:val="19922AAB"/>
    <w:rsid w:val="19923117"/>
    <w:rsid w:val="1995404C"/>
    <w:rsid w:val="1998697F"/>
    <w:rsid w:val="199D3F96"/>
    <w:rsid w:val="199E50E5"/>
    <w:rsid w:val="19A05834"/>
    <w:rsid w:val="19A31463"/>
    <w:rsid w:val="19A52E4A"/>
    <w:rsid w:val="19A55C3A"/>
    <w:rsid w:val="19A74E14"/>
    <w:rsid w:val="19AC5F87"/>
    <w:rsid w:val="19AF3CC9"/>
    <w:rsid w:val="19AF7825"/>
    <w:rsid w:val="19B10D96"/>
    <w:rsid w:val="19B337B9"/>
    <w:rsid w:val="19B65058"/>
    <w:rsid w:val="19BB441C"/>
    <w:rsid w:val="19BD0194"/>
    <w:rsid w:val="19BD63E6"/>
    <w:rsid w:val="19BE3F0C"/>
    <w:rsid w:val="19BE5CBA"/>
    <w:rsid w:val="19BF5BF6"/>
    <w:rsid w:val="19BF78A1"/>
    <w:rsid w:val="19C07C84"/>
    <w:rsid w:val="19C72DC1"/>
    <w:rsid w:val="19CC03D7"/>
    <w:rsid w:val="19D13C3F"/>
    <w:rsid w:val="19D379B8"/>
    <w:rsid w:val="19D90D46"/>
    <w:rsid w:val="19D92807"/>
    <w:rsid w:val="19D96F98"/>
    <w:rsid w:val="19DB2D10"/>
    <w:rsid w:val="19E00326"/>
    <w:rsid w:val="19E03E83"/>
    <w:rsid w:val="19E41BC5"/>
    <w:rsid w:val="19E96351"/>
    <w:rsid w:val="19EE2754"/>
    <w:rsid w:val="19EE3096"/>
    <w:rsid w:val="19F25F57"/>
    <w:rsid w:val="19F263C0"/>
    <w:rsid w:val="19F30585"/>
    <w:rsid w:val="19F32724"/>
    <w:rsid w:val="19F33BB6"/>
    <w:rsid w:val="19F45B80"/>
    <w:rsid w:val="19F85670"/>
    <w:rsid w:val="19FA13E8"/>
    <w:rsid w:val="19FE07AD"/>
    <w:rsid w:val="1A027F67"/>
    <w:rsid w:val="1A057D8D"/>
    <w:rsid w:val="1A09138C"/>
    <w:rsid w:val="1A0A0EFF"/>
    <w:rsid w:val="1A0C2EC9"/>
    <w:rsid w:val="1A0E5042"/>
    <w:rsid w:val="1A0F29BA"/>
    <w:rsid w:val="1A0F6516"/>
    <w:rsid w:val="1A141D7E"/>
    <w:rsid w:val="1A1678A4"/>
    <w:rsid w:val="1A18361C"/>
    <w:rsid w:val="1A192202"/>
    <w:rsid w:val="1A1A55E6"/>
    <w:rsid w:val="1A1C66C0"/>
    <w:rsid w:val="1A1F0E4F"/>
    <w:rsid w:val="1A1F2BFD"/>
    <w:rsid w:val="1A265328"/>
    <w:rsid w:val="1A27385F"/>
    <w:rsid w:val="1A2E4BEE"/>
    <w:rsid w:val="1A345F7C"/>
    <w:rsid w:val="1A35028C"/>
    <w:rsid w:val="1A35780A"/>
    <w:rsid w:val="1A3D3083"/>
    <w:rsid w:val="1A3F5F9B"/>
    <w:rsid w:val="1A42393B"/>
    <w:rsid w:val="1A424DED"/>
    <w:rsid w:val="1A4268EB"/>
    <w:rsid w:val="1A43097D"/>
    <w:rsid w:val="1A4408B5"/>
    <w:rsid w:val="1A450189"/>
    <w:rsid w:val="1A4A57A0"/>
    <w:rsid w:val="1A4B1C44"/>
    <w:rsid w:val="1A4E34E2"/>
    <w:rsid w:val="1A4E4600"/>
    <w:rsid w:val="1A526911"/>
    <w:rsid w:val="1A55661F"/>
    <w:rsid w:val="1A58610F"/>
    <w:rsid w:val="1A592FC2"/>
    <w:rsid w:val="1A5A4033"/>
    <w:rsid w:val="1A5C5053"/>
    <w:rsid w:val="1A5E6E65"/>
    <w:rsid w:val="1A5F3E44"/>
    <w:rsid w:val="1A5F749D"/>
    <w:rsid w:val="1A6745A4"/>
    <w:rsid w:val="1A6751A7"/>
    <w:rsid w:val="1A6776DF"/>
    <w:rsid w:val="1A693E78"/>
    <w:rsid w:val="1A6E2A8C"/>
    <w:rsid w:val="1A6E5932"/>
    <w:rsid w:val="1A703458"/>
    <w:rsid w:val="1A7036F0"/>
    <w:rsid w:val="1A716259"/>
    <w:rsid w:val="1A74631B"/>
    <w:rsid w:val="1A755DB0"/>
    <w:rsid w:val="1A75606A"/>
    <w:rsid w:val="1A766595"/>
    <w:rsid w:val="1A7A7E33"/>
    <w:rsid w:val="1A7D2C10"/>
    <w:rsid w:val="1A7D5B75"/>
    <w:rsid w:val="1A7D7923"/>
    <w:rsid w:val="1A7E53C6"/>
    <w:rsid w:val="1A7F4A0A"/>
    <w:rsid w:val="1A805E8F"/>
    <w:rsid w:val="1A82066E"/>
    <w:rsid w:val="1A824F3A"/>
    <w:rsid w:val="1A8A7F67"/>
    <w:rsid w:val="1A8B0292"/>
    <w:rsid w:val="1A8E7D82"/>
    <w:rsid w:val="1A907657"/>
    <w:rsid w:val="1A924679"/>
    <w:rsid w:val="1A9475CB"/>
    <w:rsid w:val="1A98650B"/>
    <w:rsid w:val="1A9D4337"/>
    <w:rsid w:val="1A9F789A"/>
    <w:rsid w:val="1AA17AB6"/>
    <w:rsid w:val="1AA80E44"/>
    <w:rsid w:val="1AA90718"/>
    <w:rsid w:val="1AAB244B"/>
    <w:rsid w:val="1AAE5D2F"/>
    <w:rsid w:val="1AB05F4B"/>
    <w:rsid w:val="1AB33345"/>
    <w:rsid w:val="1AB62E35"/>
    <w:rsid w:val="1AB833B2"/>
    <w:rsid w:val="1AB86E8B"/>
    <w:rsid w:val="1AB939B6"/>
    <w:rsid w:val="1AB94A4F"/>
    <w:rsid w:val="1ABA0B77"/>
    <w:rsid w:val="1ABD2416"/>
    <w:rsid w:val="1AC1279C"/>
    <w:rsid w:val="1AC60017"/>
    <w:rsid w:val="1AC612CA"/>
    <w:rsid w:val="1AC63078"/>
    <w:rsid w:val="1AC8400A"/>
    <w:rsid w:val="1AC840ED"/>
    <w:rsid w:val="1ACD2659"/>
    <w:rsid w:val="1ACE4623"/>
    <w:rsid w:val="1AD11A1D"/>
    <w:rsid w:val="1AD17DFB"/>
    <w:rsid w:val="1AD31F78"/>
    <w:rsid w:val="1AD339E7"/>
    <w:rsid w:val="1AD6069A"/>
    <w:rsid w:val="1AD66B48"/>
    <w:rsid w:val="1AD9658F"/>
    <w:rsid w:val="1ADA2FC8"/>
    <w:rsid w:val="1ADB5522"/>
    <w:rsid w:val="1AE14356"/>
    <w:rsid w:val="1AE23C2A"/>
    <w:rsid w:val="1AE6196C"/>
    <w:rsid w:val="1AE856E5"/>
    <w:rsid w:val="1AEA1FD5"/>
    <w:rsid w:val="1AEA3D29"/>
    <w:rsid w:val="1AEB35C0"/>
    <w:rsid w:val="1AEC6857"/>
    <w:rsid w:val="1AEE7796"/>
    <w:rsid w:val="1AF000F5"/>
    <w:rsid w:val="1AF220BF"/>
    <w:rsid w:val="1AF51BB0"/>
    <w:rsid w:val="1AF851FC"/>
    <w:rsid w:val="1B040045"/>
    <w:rsid w:val="1B046F80"/>
    <w:rsid w:val="1B063DBD"/>
    <w:rsid w:val="1B0818E3"/>
    <w:rsid w:val="1B0E2C78"/>
    <w:rsid w:val="1B1219A7"/>
    <w:rsid w:val="1B1C1F38"/>
    <w:rsid w:val="1B1C713C"/>
    <w:rsid w:val="1B1E1106"/>
    <w:rsid w:val="1B1F3738"/>
    <w:rsid w:val="1B1F4E7E"/>
    <w:rsid w:val="1B1F6C2C"/>
    <w:rsid w:val="1B213D1F"/>
    <w:rsid w:val="1B2304CB"/>
    <w:rsid w:val="1B2D30F7"/>
    <w:rsid w:val="1B2E0C1E"/>
    <w:rsid w:val="1B2F50C2"/>
    <w:rsid w:val="1B324BB2"/>
    <w:rsid w:val="1B3267B5"/>
    <w:rsid w:val="1B3426D8"/>
    <w:rsid w:val="1B3501FE"/>
    <w:rsid w:val="1B357EF1"/>
    <w:rsid w:val="1B3705F1"/>
    <w:rsid w:val="1B391A9C"/>
    <w:rsid w:val="1B3A3A66"/>
    <w:rsid w:val="1B3B1CB8"/>
    <w:rsid w:val="1B3E3557"/>
    <w:rsid w:val="1B410951"/>
    <w:rsid w:val="1B4346C9"/>
    <w:rsid w:val="1B444488"/>
    <w:rsid w:val="1B484046"/>
    <w:rsid w:val="1B4A1EFB"/>
    <w:rsid w:val="1B4A3CA9"/>
    <w:rsid w:val="1B4B17D0"/>
    <w:rsid w:val="1B4B5C73"/>
    <w:rsid w:val="1B4F12C0"/>
    <w:rsid w:val="1B50704E"/>
    <w:rsid w:val="1B540E52"/>
    <w:rsid w:val="1B551BB4"/>
    <w:rsid w:val="1B55264E"/>
    <w:rsid w:val="1B5763C6"/>
    <w:rsid w:val="1B590390"/>
    <w:rsid w:val="1B5E59A7"/>
    <w:rsid w:val="1B610FF3"/>
    <w:rsid w:val="1B617DDC"/>
    <w:rsid w:val="1B650AE3"/>
    <w:rsid w:val="1B6603B7"/>
    <w:rsid w:val="1B682381"/>
    <w:rsid w:val="1B684130"/>
    <w:rsid w:val="1B6E246A"/>
    <w:rsid w:val="1B75684C"/>
    <w:rsid w:val="1B8371BB"/>
    <w:rsid w:val="1B8A22F8"/>
    <w:rsid w:val="1B8B6AAD"/>
    <w:rsid w:val="1B8D003A"/>
    <w:rsid w:val="1B917546"/>
    <w:rsid w:val="1B974A15"/>
    <w:rsid w:val="1B9B4505"/>
    <w:rsid w:val="1B9C6022"/>
    <w:rsid w:val="1B9C7BA1"/>
    <w:rsid w:val="1B9E2247"/>
    <w:rsid w:val="1B9E3C8A"/>
    <w:rsid w:val="1BA23AE5"/>
    <w:rsid w:val="1BAF1D5E"/>
    <w:rsid w:val="1BB2184F"/>
    <w:rsid w:val="1BB249FC"/>
    <w:rsid w:val="1BB6133F"/>
    <w:rsid w:val="1BBE1FA1"/>
    <w:rsid w:val="1BC022FE"/>
    <w:rsid w:val="1BC25DC8"/>
    <w:rsid w:val="1BC3580A"/>
    <w:rsid w:val="1BC66BE3"/>
    <w:rsid w:val="1BC752FA"/>
    <w:rsid w:val="1BC81072"/>
    <w:rsid w:val="1BCD6688"/>
    <w:rsid w:val="1BCF3EC0"/>
    <w:rsid w:val="1BD05CC3"/>
    <w:rsid w:val="1BD143CB"/>
    <w:rsid w:val="1BD23C9F"/>
    <w:rsid w:val="1BD25A4D"/>
    <w:rsid w:val="1BDD4B1E"/>
    <w:rsid w:val="1BDE43F2"/>
    <w:rsid w:val="1BE67209"/>
    <w:rsid w:val="1BE95EF7"/>
    <w:rsid w:val="1BEA548C"/>
    <w:rsid w:val="1BEC2FB3"/>
    <w:rsid w:val="1BEF65FF"/>
    <w:rsid w:val="1BF9747E"/>
    <w:rsid w:val="1BFE4A94"/>
    <w:rsid w:val="1C062249"/>
    <w:rsid w:val="1C077A18"/>
    <w:rsid w:val="1C086791"/>
    <w:rsid w:val="1C187CE4"/>
    <w:rsid w:val="1C1918CE"/>
    <w:rsid w:val="1C192405"/>
    <w:rsid w:val="1C1F6AB3"/>
    <w:rsid w:val="1C260AF6"/>
    <w:rsid w:val="1C297D63"/>
    <w:rsid w:val="1C2C1601"/>
    <w:rsid w:val="1C2C4884"/>
    <w:rsid w:val="1C3053AC"/>
    <w:rsid w:val="1C362480"/>
    <w:rsid w:val="1C365FDC"/>
    <w:rsid w:val="1C381D54"/>
    <w:rsid w:val="1C395ACC"/>
    <w:rsid w:val="1C3B7A96"/>
    <w:rsid w:val="1C3D380E"/>
    <w:rsid w:val="1C3D43D1"/>
    <w:rsid w:val="1C3D765C"/>
    <w:rsid w:val="1C4032FE"/>
    <w:rsid w:val="1C450915"/>
    <w:rsid w:val="1C495A9D"/>
    <w:rsid w:val="1C4C57FF"/>
    <w:rsid w:val="1C4E0B38"/>
    <w:rsid w:val="1C4E5A1B"/>
    <w:rsid w:val="1C5341C9"/>
    <w:rsid w:val="1C5446B4"/>
    <w:rsid w:val="1C5648D0"/>
    <w:rsid w:val="1C5B5A42"/>
    <w:rsid w:val="1C5C1B50"/>
    <w:rsid w:val="1C5D5C5E"/>
    <w:rsid w:val="1C5D7A0C"/>
    <w:rsid w:val="1C5E4627"/>
    <w:rsid w:val="1C5E7925"/>
    <w:rsid w:val="1C622156"/>
    <w:rsid w:val="1C625023"/>
    <w:rsid w:val="1C671F40"/>
    <w:rsid w:val="1C69221C"/>
    <w:rsid w:val="1C6A2129"/>
    <w:rsid w:val="1C6A3ED7"/>
    <w:rsid w:val="1C6E1C1A"/>
    <w:rsid w:val="1C6E39C8"/>
    <w:rsid w:val="1C7020CB"/>
    <w:rsid w:val="1C704EFA"/>
    <w:rsid w:val="1C712CA5"/>
    <w:rsid w:val="1C735482"/>
    <w:rsid w:val="1C744EE3"/>
    <w:rsid w:val="1C746B04"/>
    <w:rsid w:val="1C780121"/>
    <w:rsid w:val="1C784846"/>
    <w:rsid w:val="1C7A05BE"/>
    <w:rsid w:val="1C7D3C0B"/>
    <w:rsid w:val="1C80194D"/>
    <w:rsid w:val="1C821221"/>
    <w:rsid w:val="1C8256C5"/>
    <w:rsid w:val="1C827473"/>
    <w:rsid w:val="1C827494"/>
    <w:rsid w:val="1C844F99"/>
    <w:rsid w:val="1C8608D3"/>
    <w:rsid w:val="1C8615F4"/>
    <w:rsid w:val="1C876837"/>
    <w:rsid w:val="1C887FC8"/>
    <w:rsid w:val="1C8D6788"/>
    <w:rsid w:val="1C8E5E18"/>
    <w:rsid w:val="1C901B90"/>
    <w:rsid w:val="1C9553F8"/>
    <w:rsid w:val="1C97240B"/>
    <w:rsid w:val="1C9D24FF"/>
    <w:rsid w:val="1C9E4A2E"/>
    <w:rsid w:val="1CA13D9D"/>
    <w:rsid w:val="1CA218C3"/>
    <w:rsid w:val="1CA636C0"/>
    <w:rsid w:val="1CA76006"/>
    <w:rsid w:val="1CA94A00"/>
    <w:rsid w:val="1CAC44F0"/>
    <w:rsid w:val="1CB02232"/>
    <w:rsid w:val="1CB14A11"/>
    <w:rsid w:val="1CB735C0"/>
    <w:rsid w:val="1CBA6C0D"/>
    <w:rsid w:val="1CBD494F"/>
    <w:rsid w:val="1CBE76EF"/>
    <w:rsid w:val="1CBF06C7"/>
    <w:rsid w:val="1CC22144"/>
    <w:rsid w:val="1CC25AC1"/>
    <w:rsid w:val="1CC47DA2"/>
    <w:rsid w:val="1CC614DF"/>
    <w:rsid w:val="1CC63804"/>
    <w:rsid w:val="1CC655B2"/>
    <w:rsid w:val="1CCE090A"/>
    <w:rsid w:val="1CCE26B8"/>
    <w:rsid w:val="1CCE7662"/>
    <w:rsid w:val="1CD06827"/>
    <w:rsid w:val="1CD11779"/>
    <w:rsid w:val="1CD35F20"/>
    <w:rsid w:val="1CD777BF"/>
    <w:rsid w:val="1CD83537"/>
    <w:rsid w:val="1CDC3027"/>
    <w:rsid w:val="1CE1063D"/>
    <w:rsid w:val="1CE27F12"/>
    <w:rsid w:val="1CE41EDC"/>
    <w:rsid w:val="1CE56751"/>
    <w:rsid w:val="1CF074F6"/>
    <w:rsid w:val="1CF163A7"/>
    <w:rsid w:val="1CF245F9"/>
    <w:rsid w:val="1CF7783C"/>
    <w:rsid w:val="1CFD2F9D"/>
    <w:rsid w:val="1D0221D5"/>
    <w:rsid w:val="1D0A6937"/>
    <w:rsid w:val="1D0B1216"/>
    <w:rsid w:val="1D0B5412"/>
    <w:rsid w:val="1D0D1432"/>
    <w:rsid w:val="1D0D31E0"/>
    <w:rsid w:val="1D100F23"/>
    <w:rsid w:val="1D1207F7"/>
    <w:rsid w:val="1D13631D"/>
    <w:rsid w:val="1D1741B0"/>
    <w:rsid w:val="1D1754FC"/>
    <w:rsid w:val="1D175E0D"/>
    <w:rsid w:val="1D181F30"/>
    <w:rsid w:val="1D1C3424"/>
    <w:rsid w:val="1D1E53EE"/>
    <w:rsid w:val="1D1E587E"/>
    <w:rsid w:val="1D1F2F14"/>
    <w:rsid w:val="1D1F3284"/>
    <w:rsid w:val="1D214EDE"/>
    <w:rsid w:val="1D284A9B"/>
    <w:rsid w:val="1D28776C"/>
    <w:rsid w:val="1D2B5F1E"/>
    <w:rsid w:val="1D2C5AC6"/>
    <w:rsid w:val="1D2F75FB"/>
    <w:rsid w:val="1D343C6E"/>
    <w:rsid w:val="1D3502B9"/>
    <w:rsid w:val="1D374356"/>
    <w:rsid w:val="1D3764AF"/>
    <w:rsid w:val="1D3C5874"/>
    <w:rsid w:val="1D3F35B6"/>
    <w:rsid w:val="1D3F5364"/>
    <w:rsid w:val="1D4166B7"/>
    <w:rsid w:val="1D454590"/>
    <w:rsid w:val="1D4571D1"/>
    <w:rsid w:val="1D4604A0"/>
    <w:rsid w:val="1D464944"/>
    <w:rsid w:val="1D484219"/>
    <w:rsid w:val="1D496BFF"/>
    <w:rsid w:val="1D4F1A4B"/>
    <w:rsid w:val="1D50131F"/>
    <w:rsid w:val="1D526E45"/>
    <w:rsid w:val="1D57445C"/>
    <w:rsid w:val="1D5C7CC4"/>
    <w:rsid w:val="1D5D57EA"/>
    <w:rsid w:val="1D5F5A06"/>
    <w:rsid w:val="1D5F6196"/>
    <w:rsid w:val="1D5F7214"/>
    <w:rsid w:val="1D6132A5"/>
    <w:rsid w:val="1D613C6B"/>
    <w:rsid w:val="1D631052"/>
    <w:rsid w:val="1D646B79"/>
    <w:rsid w:val="1D69659B"/>
    <w:rsid w:val="1D701DA4"/>
    <w:rsid w:val="1D707B38"/>
    <w:rsid w:val="1D721295"/>
    <w:rsid w:val="1D756FD8"/>
    <w:rsid w:val="1D757536"/>
    <w:rsid w:val="1D7E40DE"/>
    <w:rsid w:val="1D813BCE"/>
    <w:rsid w:val="1D85546D"/>
    <w:rsid w:val="1D85652A"/>
    <w:rsid w:val="1D8611E5"/>
    <w:rsid w:val="1D8666D1"/>
    <w:rsid w:val="1D8A2A83"/>
    <w:rsid w:val="1D8E56D5"/>
    <w:rsid w:val="1D90796E"/>
    <w:rsid w:val="1D990760"/>
    <w:rsid w:val="1D992E1D"/>
    <w:rsid w:val="1D9E279F"/>
    <w:rsid w:val="1DA02130"/>
    <w:rsid w:val="1DA17DCD"/>
    <w:rsid w:val="1DA457A0"/>
    <w:rsid w:val="1DA90758"/>
    <w:rsid w:val="1DB23D88"/>
    <w:rsid w:val="1DB47B00"/>
    <w:rsid w:val="1DB541DC"/>
    <w:rsid w:val="1DB814F0"/>
    <w:rsid w:val="1DB93368"/>
    <w:rsid w:val="1DBE44DB"/>
    <w:rsid w:val="1DC064A5"/>
    <w:rsid w:val="1DC37D43"/>
    <w:rsid w:val="1DC51D0D"/>
    <w:rsid w:val="1DC6338F"/>
    <w:rsid w:val="1DC835AB"/>
    <w:rsid w:val="1DCA2E80"/>
    <w:rsid w:val="1DCA7323"/>
    <w:rsid w:val="1DCF66E8"/>
    <w:rsid w:val="1DD2442A"/>
    <w:rsid w:val="1DD26DCC"/>
    <w:rsid w:val="1DD43CFE"/>
    <w:rsid w:val="1DD51824"/>
    <w:rsid w:val="1DD526A6"/>
    <w:rsid w:val="1DD72298"/>
    <w:rsid w:val="1DD737EE"/>
    <w:rsid w:val="1DD7559C"/>
    <w:rsid w:val="1DD75E44"/>
    <w:rsid w:val="1DD849C1"/>
    <w:rsid w:val="1DD85D04"/>
    <w:rsid w:val="1DDE2731"/>
    <w:rsid w:val="1DDF4DA5"/>
    <w:rsid w:val="1DE005BB"/>
    <w:rsid w:val="1DE1641B"/>
    <w:rsid w:val="1DE32193"/>
    <w:rsid w:val="1DE76E33"/>
    <w:rsid w:val="1DEA6122"/>
    <w:rsid w:val="1DEB1048"/>
    <w:rsid w:val="1DEC729A"/>
    <w:rsid w:val="1DED3012"/>
    <w:rsid w:val="1DED6B6E"/>
    <w:rsid w:val="1DEE3DF0"/>
    <w:rsid w:val="1DF20628"/>
    <w:rsid w:val="1DF47922"/>
    <w:rsid w:val="1DF61EC7"/>
    <w:rsid w:val="1DF63C75"/>
    <w:rsid w:val="1DF90FE1"/>
    <w:rsid w:val="1DFC3255"/>
    <w:rsid w:val="1DFE001E"/>
    <w:rsid w:val="1DFE3477"/>
    <w:rsid w:val="1DFE521F"/>
    <w:rsid w:val="1E01086B"/>
    <w:rsid w:val="1E022BB7"/>
    <w:rsid w:val="1E0A7E55"/>
    <w:rsid w:val="1E0D0FBE"/>
    <w:rsid w:val="1E0F0A85"/>
    <w:rsid w:val="1E0F2F88"/>
    <w:rsid w:val="1E1503D5"/>
    <w:rsid w:val="1E18340C"/>
    <w:rsid w:val="1E1B192D"/>
    <w:rsid w:val="1E1B36DB"/>
    <w:rsid w:val="1E1E31CB"/>
    <w:rsid w:val="1E214A6A"/>
    <w:rsid w:val="1E215998"/>
    <w:rsid w:val="1E222CBC"/>
    <w:rsid w:val="1E2307E2"/>
    <w:rsid w:val="1E25455A"/>
    <w:rsid w:val="1E256308"/>
    <w:rsid w:val="1E276524"/>
    <w:rsid w:val="1E326C77"/>
    <w:rsid w:val="1E3559BA"/>
    <w:rsid w:val="1E3A3BD5"/>
    <w:rsid w:val="1E3D5D47"/>
    <w:rsid w:val="1E443648"/>
    <w:rsid w:val="1E4A0464"/>
    <w:rsid w:val="1E4A36CA"/>
    <w:rsid w:val="1E51534F"/>
    <w:rsid w:val="1E5310C7"/>
    <w:rsid w:val="1E592455"/>
    <w:rsid w:val="1E5A7901"/>
    <w:rsid w:val="1E62755C"/>
    <w:rsid w:val="1E693DBB"/>
    <w:rsid w:val="1E6A24D3"/>
    <w:rsid w:val="1E6E627A"/>
    <w:rsid w:val="1E763007"/>
    <w:rsid w:val="1E780D78"/>
    <w:rsid w:val="1E7A43DA"/>
    <w:rsid w:val="1E7B23CC"/>
    <w:rsid w:val="1E7B6870"/>
    <w:rsid w:val="1E7D6144"/>
    <w:rsid w:val="1E7D7EF2"/>
    <w:rsid w:val="1E7F5E3E"/>
    <w:rsid w:val="1E803E86"/>
    <w:rsid w:val="1E817A1C"/>
    <w:rsid w:val="1E85003A"/>
    <w:rsid w:val="1E854FF8"/>
    <w:rsid w:val="1E875215"/>
    <w:rsid w:val="1E8A0861"/>
    <w:rsid w:val="1E8E20FF"/>
    <w:rsid w:val="1E91399D"/>
    <w:rsid w:val="1E967206"/>
    <w:rsid w:val="1E9A6CF6"/>
    <w:rsid w:val="1E9E60BA"/>
    <w:rsid w:val="1EA3619F"/>
    <w:rsid w:val="1EA36355"/>
    <w:rsid w:val="1EA47B74"/>
    <w:rsid w:val="1EA9518B"/>
    <w:rsid w:val="1EAE7EC3"/>
    <w:rsid w:val="1EB06519"/>
    <w:rsid w:val="1EB277FE"/>
    <w:rsid w:val="1EB45462"/>
    <w:rsid w:val="1EB63404"/>
    <w:rsid w:val="1EBA2EF4"/>
    <w:rsid w:val="1EC21DA9"/>
    <w:rsid w:val="1EC22CE6"/>
    <w:rsid w:val="1EC5276A"/>
    <w:rsid w:val="1EC91389"/>
    <w:rsid w:val="1ECE699F"/>
    <w:rsid w:val="1ED02718"/>
    <w:rsid w:val="1ED04E2F"/>
    <w:rsid w:val="1ED41ADC"/>
    <w:rsid w:val="1EDD3086"/>
    <w:rsid w:val="1EDF6DFF"/>
    <w:rsid w:val="1EE461C3"/>
    <w:rsid w:val="1EE52A7C"/>
    <w:rsid w:val="1EE9589D"/>
    <w:rsid w:val="1EEB6A69"/>
    <w:rsid w:val="1EED151B"/>
    <w:rsid w:val="1EF108E0"/>
    <w:rsid w:val="1EF26B32"/>
    <w:rsid w:val="1EF36406"/>
    <w:rsid w:val="1EF43843"/>
    <w:rsid w:val="1EF84E65"/>
    <w:rsid w:val="1EFA027C"/>
    <w:rsid w:val="1EFA1543"/>
    <w:rsid w:val="1EFB52BB"/>
    <w:rsid w:val="1EFC175F"/>
    <w:rsid w:val="1EFF124F"/>
    <w:rsid w:val="1EFF4DAB"/>
    <w:rsid w:val="1F007446"/>
    <w:rsid w:val="1F02518A"/>
    <w:rsid w:val="1F074B01"/>
    <w:rsid w:val="1F0B19A2"/>
    <w:rsid w:val="1F0B3750"/>
    <w:rsid w:val="1F0D7EAC"/>
    <w:rsid w:val="1F0E3240"/>
    <w:rsid w:val="1F0F0D13"/>
    <w:rsid w:val="1F122D30"/>
    <w:rsid w:val="1F15637C"/>
    <w:rsid w:val="1F185E6D"/>
    <w:rsid w:val="1F1F544D"/>
    <w:rsid w:val="1F2729AA"/>
    <w:rsid w:val="1F29007A"/>
    <w:rsid w:val="1F291E28"/>
    <w:rsid w:val="1F2E3015"/>
    <w:rsid w:val="1F35643E"/>
    <w:rsid w:val="1F372797"/>
    <w:rsid w:val="1F38206B"/>
    <w:rsid w:val="1F3A2070"/>
    <w:rsid w:val="1F3A2287"/>
    <w:rsid w:val="1F3C5FFF"/>
    <w:rsid w:val="1F3F789D"/>
    <w:rsid w:val="1F4206BA"/>
    <w:rsid w:val="1F477846"/>
    <w:rsid w:val="1F4924CA"/>
    <w:rsid w:val="1F4C3235"/>
    <w:rsid w:val="1F4D1FBA"/>
    <w:rsid w:val="1F4D7B8E"/>
    <w:rsid w:val="1F4E188E"/>
    <w:rsid w:val="1F4E5D32"/>
    <w:rsid w:val="1F501D16"/>
    <w:rsid w:val="1F552C1D"/>
    <w:rsid w:val="1F5B41C0"/>
    <w:rsid w:val="1F642E60"/>
    <w:rsid w:val="1F645556"/>
    <w:rsid w:val="1F647304"/>
    <w:rsid w:val="1F666BD8"/>
    <w:rsid w:val="1F684FAA"/>
    <w:rsid w:val="1F6B0692"/>
    <w:rsid w:val="1F6B1689"/>
    <w:rsid w:val="1F6B1807"/>
    <w:rsid w:val="1F6B2440"/>
    <w:rsid w:val="1F6E6988"/>
    <w:rsid w:val="1F6E69E8"/>
    <w:rsid w:val="1F7363E0"/>
    <w:rsid w:val="1F784B5D"/>
    <w:rsid w:val="1F7861BF"/>
    <w:rsid w:val="1F8710F0"/>
    <w:rsid w:val="1F8A1EBA"/>
    <w:rsid w:val="1F8A2217"/>
    <w:rsid w:val="1F947BE9"/>
    <w:rsid w:val="1F95398F"/>
    <w:rsid w:val="1F971C35"/>
    <w:rsid w:val="1F9D6372"/>
    <w:rsid w:val="1FA0658E"/>
    <w:rsid w:val="1FA2402F"/>
    <w:rsid w:val="1FA3607E"/>
    <w:rsid w:val="1FA47700"/>
    <w:rsid w:val="1FA92F69"/>
    <w:rsid w:val="1FAD2A59"/>
    <w:rsid w:val="1FB42039"/>
    <w:rsid w:val="1FB45B95"/>
    <w:rsid w:val="1FBA6F24"/>
    <w:rsid w:val="1FBD3CFB"/>
    <w:rsid w:val="1FBE6A14"/>
    <w:rsid w:val="1FBF05AB"/>
    <w:rsid w:val="1FC075B8"/>
    <w:rsid w:val="1FC102B2"/>
    <w:rsid w:val="1FC41B50"/>
    <w:rsid w:val="1FC446C3"/>
    <w:rsid w:val="1FC73044"/>
    <w:rsid w:val="1FC85AE5"/>
    <w:rsid w:val="1FCD30FB"/>
    <w:rsid w:val="1FCF0C21"/>
    <w:rsid w:val="1FD0285A"/>
    <w:rsid w:val="1FD04999"/>
    <w:rsid w:val="1FD44489"/>
    <w:rsid w:val="1FD61FB0"/>
    <w:rsid w:val="1FD75D28"/>
    <w:rsid w:val="1FD955FC"/>
    <w:rsid w:val="1FDA015E"/>
    <w:rsid w:val="1FDE70B6"/>
    <w:rsid w:val="1FDF5A2B"/>
    <w:rsid w:val="1FE04BDC"/>
    <w:rsid w:val="1FE10954"/>
    <w:rsid w:val="1FE25C23"/>
    <w:rsid w:val="1FE7539E"/>
    <w:rsid w:val="1FE805BF"/>
    <w:rsid w:val="1FF24910"/>
    <w:rsid w:val="1FF44F03"/>
    <w:rsid w:val="1FF468DA"/>
    <w:rsid w:val="1FF71F26"/>
    <w:rsid w:val="1FF941E7"/>
    <w:rsid w:val="1FFC12EA"/>
    <w:rsid w:val="1FFF1F6B"/>
    <w:rsid w:val="200059F9"/>
    <w:rsid w:val="2005311A"/>
    <w:rsid w:val="2006285F"/>
    <w:rsid w:val="20087C8F"/>
    <w:rsid w:val="200C6AA4"/>
    <w:rsid w:val="20124FB2"/>
    <w:rsid w:val="20142AD8"/>
    <w:rsid w:val="20146634"/>
    <w:rsid w:val="201900EE"/>
    <w:rsid w:val="201A09F2"/>
    <w:rsid w:val="201C198C"/>
    <w:rsid w:val="201E5705"/>
    <w:rsid w:val="20216FA3"/>
    <w:rsid w:val="20230F6D"/>
    <w:rsid w:val="20232742"/>
    <w:rsid w:val="20261FEC"/>
    <w:rsid w:val="202D1DEC"/>
    <w:rsid w:val="202F346E"/>
    <w:rsid w:val="203211B0"/>
    <w:rsid w:val="20344F28"/>
    <w:rsid w:val="20370574"/>
    <w:rsid w:val="203B62B7"/>
    <w:rsid w:val="203E1903"/>
    <w:rsid w:val="204131A1"/>
    <w:rsid w:val="20457135"/>
    <w:rsid w:val="20481C2A"/>
    <w:rsid w:val="204A2ABA"/>
    <w:rsid w:val="204A3E24"/>
    <w:rsid w:val="204A64FA"/>
    <w:rsid w:val="204C1C54"/>
    <w:rsid w:val="204C4020"/>
    <w:rsid w:val="204D3B51"/>
    <w:rsid w:val="204F1D62"/>
    <w:rsid w:val="20515ADA"/>
    <w:rsid w:val="205329BA"/>
    <w:rsid w:val="20541126"/>
    <w:rsid w:val="20560599"/>
    <w:rsid w:val="20566C4C"/>
    <w:rsid w:val="2059673D"/>
    <w:rsid w:val="205C53A4"/>
    <w:rsid w:val="205C7FDB"/>
    <w:rsid w:val="205E3D53"/>
    <w:rsid w:val="206155F1"/>
    <w:rsid w:val="20623843"/>
    <w:rsid w:val="20631369"/>
    <w:rsid w:val="20642787"/>
    <w:rsid w:val="20672C08"/>
    <w:rsid w:val="206A26F8"/>
    <w:rsid w:val="206F41B2"/>
    <w:rsid w:val="20745325"/>
    <w:rsid w:val="20782F99"/>
    <w:rsid w:val="20790B8D"/>
    <w:rsid w:val="20796DDF"/>
    <w:rsid w:val="207B1DBD"/>
    <w:rsid w:val="207B2B57"/>
    <w:rsid w:val="207D46DD"/>
    <w:rsid w:val="207D4F96"/>
    <w:rsid w:val="2080016D"/>
    <w:rsid w:val="208211C5"/>
    <w:rsid w:val="20841603"/>
    <w:rsid w:val="208512E0"/>
    <w:rsid w:val="20860302"/>
    <w:rsid w:val="208D2370"/>
    <w:rsid w:val="208D2BA8"/>
    <w:rsid w:val="208E40C7"/>
    <w:rsid w:val="208E4638"/>
    <w:rsid w:val="20913FE3"/>
    <w:rsid w:val="2094622D"/>
    <w:rsid w:val="20963CB8"/>
    <w:rsid w:val="20967991"/>
    <w:rsid w:val="209727B1"/>
    <w:rsid w:val="209A56C0"/>
    <w:rsid w:val="209C74F4"/>
    <w:rsid w:val="20A16773"/>
    <w:rsid w:val="20A560BF"/>
    <w:rsid w:val="20A7400A"/>
    <w:rsid w:val="20A92DD4"/>
    <w:rsid w:val="20AD0837"/>
    <w:rsid w:val="20B07FB6"/>
    <w:rsid w:val="20B10327"/>
    <w:rsid w:val="20B15C43"/>
    <w:rsid w:val="20B240CD"/>
    <w:rsid w:val="20B61A5F"/>
    <w:rsid w:val="20B971DB"/>
    <w:rsid w:val="20C0056A"/>
    <w:rsid w:val="20C04A0E"/>
    <w:rsid w:val="20C22534"/>
    <w:rsid w:val="20C33369"/>
    <w:rsid w:val="20C41A43"/>
    <w:rsid w:val="20C95670"/>
    <w:rsid w:val="20CA1394"/>
    <w:rsid w:val="20CA5D3E"/>
    <w:rsid w:val="20CA763A"/>
    <w:rsid w:val="20D52267"/>
    <w:rsid w:val="20D67D8D"/>
    <w:rsid w:val="20DA7812"/>
    <w:rsid w:val="20DB53A4"/>
    <w:rsid w:val="20DD111C"/>
    <w:rsid w:val="20DD55C0"/>
    <w:rsid w:val="20E00C0C"/>
    <w:rsid w:val="20E029BA"/>
    <w:rsid w:val="20E30D41"/>
    <w:rsid w:val="20EA55E7"/>
    <w:rsid w:val="20EB2392"/>
    <w:rsid w:val="20EE50D7"/>
    <w:rsid w:val="20EF0E4F"/>
    <w:rsid w:val="20EF2BFD"/>
    <w:rsid w:val="20F3403C"/>
    <w:rsid w:val="20F36B91"/>
    <w:rsid w:val="20F44810"/>
    <w:rsid w:val="20FA198E"/>
    <w:rsid w:val="20FD17BE"/>
    <w:rsid w:val="20FD531A"/>
    <w:rsid w:val="210067DE"/>
    <w:rsid w:val="21010555"/>
    <w:rsid w:val="21022930"/>
    <w:rsid w:val="210A310C"/>
    <w:rsid w:val="210A7A37"/>
    <w:rsid w:val="210E5779"/>
    <w:rsid w:val="210F504D"/>
    <w:rsid w:val="211014F1"/>
    <w:rsid w:val="21105108"/>
    <w:rsid w:val="21132D8F"/>
    <w:rsid w:val="211508B6"/>
    <w:rsid w:val="21197C6C"/>
    <w:rsid w:val="211B1C44"/>
    <w:rsid w:val="211B57FD"/>
    <w:rsid w:val="212141F6"/>
    <w:rsid w:val="212154AC"/>
    <w:rsid w:val="21224D81"/>
    <w:rsid w:val="21246D4B"/>
    <w:rsid w:val="21294361"/>
    <w:rsid w:val="212C3E51"/>
    <w:rsid w:val="21350F58"/>
    <w:rsid w:val="21354AB4"/>
    <w:rsid w:val="213905FB"/>
    <w:rsid w:val="213A544A"/>
    <w:rsid w:val="213B74B1"/>
    <w:rsid w:val="213C22E6"/>
    <w:rsid w:val="21424F2C"/>
    <w:rsid w:val="2144119B"/>
    <w:rsid w:val="21442F49"/>
    <w:rsid w:val="21455F13"/>
    <w:rsid w:val="21464F13"/>
    <w:rsid w:val="21472A39"/>
    <w:rsid w:val="214E5B76"/>
    <w:rsid w:val="215018EE"/>
    <w:rsid w:val="21507B40"/>
    <w:rsid w:val="21535882"/>
    <w:rsid w:val="21537DD8"/>
    <w:rsid w:val="215869F4"/>
    <w:rsid w:val="215A2310"/>
    <w:rsid w:val="215C2F2C"/>
    <w:rsid w:val="215C64E4"/>
    <w:rsid w:val="215D225D"/>
    <w:rsid w:val="215D400B"/>
    <w:rsid w:val="215E4996"/>
    <w:rsid w:val="215F5FD5"/>
    <w:rsid w:val="21603FAD"/>
    <w:rsid w:val="21611D4D"/>
    <w:rsid w:val="21646607"/>
    <w:rsid w:val="216474C2"/>
    <w:rsid w:val="21667F87"/>
    <w:rsid w:val="216830DB"/>
    <w:rsid w:val="21696E53"/>
    <w:rsid w:val="216B6728"/>
    <w:rsid w:val="216C4D8D"/>
    <w:rsid w:val="21712816"/>
    <w:rsid w:val="21725D08"/>
    <w:rsid w:val="2174620A"/>
    <w:rsid w:val="21752768"/>
    <w:rsid w:val="217750CC"/>
    <w:rsid w:val="2186530F"/>
    <w:rsid w:val="21867A05"/>
    <w:rsid w:val="218B0B78"/>
    <w:rsid w:val="218B5160"/>
    <w:rsid w:val="218E0668"/>
    <w:rsid w:val="218E2416"/>
    <w:rsid w:val="219263AA"/>
    <w:rsid w:val="219306F9"/>
    <w:rsid w:val="219536BB"/>
    <w:rsid w:val="219571ED"/>
    <w:rsid w:val="21957C48"/>
    <w:rsid w:val="219A3A21"/>
    <w:rsid w:val="219C0FD7"/>
    <w:rsid w:val="21A105E5"/>
    <w:rsid w:val="21A34113"/>
    <w:rsid w:val="21A460DD"/>
    <w:rsid w:val="21AD0AEE"/>
    <w:rsid w:val="21AE2AB8"/>
    <w:rsid w:val="21B04A82"/>
    <w:rsid w:val="21B10818"/>
    <w:rsid w:val="21B14C75"/>
    <w:rsid w:val="21B225A8"/>
    <w:rsid w:val="21B77BBF"/>
    <w:rsid w:val="21B856E5"/>
    <w:rsid w:val="21C34E99"/>
    <w:rsid w:val="21C661A1"/>
    <w:rsid w:val="21C67E02"/>
    <w:rsid w:val="21CD75BD"/>
    <w:rsid w:val="21CE7AA5"/>
    <w:rsid w:val="21CF1302"/>
    <w:rsid w:val="21CF3DA1"/>
    <w:rsid w:val="21D175BF"/>
    <w:rsid w:val="21D3043D"/>
    <w:rsid w:val="21D70E0B"/>
    <w:rsid w:val="21DC74DE"/>
    <w:rsid w:val="21DD6EFA"/>
    <w:rsid w:val="21DE15EF"/>
    <w:rsid w:val="21DE318A"/>
    <w:rsid w:val="21DE339D"/>
    <w:rsid w:val="21E03C1E"/>
    <w:rsid w:val="21E13187"/>
    <w:rsid w:val="21E15242"/>
    <w:rsid w:val="21E40288"/>
    <w:rsid w:val="21E42F3F"/>
    <w:rsid w:val="21E46399"/>
    <w:rsid w:val="21E800D1"/>
    <w:rsid w:val="21E85FCA"/>
    <w:rsid w:val="21EB1616"/>
    <w:rsid w:val="21EB7868"/>
    <w:rsid w:val="21ED0E6A"/>
    <w:rsid w:val="21EE1107"/>
    <w:rsid w:val="21EF5B80"/>
    <w:rsid w:val="21EF7079"/>
    <w:rsid w:val="21F037F0"/>
    <w:rsid w:val="21F4496F"/>
    <w:rsid w:val="21F506E7"/>
    <w:rsid w:val="21F7445F"/>
    <w:rsid w:val="21FA58CD"/>
    <w:rsid w:val="21FA6D5D"/>
    <w:rsid w:val="2201708C"/>
    <w:rsid w:val="220646A2"/>
    <w:rsid w:val="22105521"/>
    <w:rsid w:val="22124DF5"/>
    <w:rsid w:val="221376EB"/>
    <w:rsid w:val="22192627"/>
    <w:rsid w:val="221B56B0"/>
    <w:rsid w:val="221D1128"/>
    <w:rsid w:val="222608A0"/>
    <w:rsid w:val="22266AF2"/>
    <w:rsid w:val="22280ABD"/>
    <w:rsid w:val="222A213F"/>
    <w:rsid w:val="222B37C4"/>
    <w:rsid w:val="222C235B"/>
    <w:rsid w:val="222D26E1"/>
    <w:rsid w:val="222D60D3"/>
    <w:rsid w:val="222D7082"/>
    <w:rsid w:val="223631D9"/>
    <w:rsid w:val="22374636"/>
    <w:rsid w:val="22394A78"/>
    <w:rsid w:val="22396826"/>
    <w:rsid w:val="223F04E2"/>
    <w:rsid w:val="22405E06"/>
    <w:rsid w:val="22407BB4"/>
    <w:rsid w:val="22456F79"/>
    <w:rsid w:val="22460F43"/>
    <w:rsid w:val="224A458F"/>
    <w:rsid w:val="224D0523"/>
    <w:rsid w:val="224E3F10"/>
    <w:rsid w:val="224F1189"/>
    <w:rsid w:val="224F1BA5"/>
    <w:rsid w:val="22511138"/>
    <w:rsid w:val="22511DC1"/>
    <w:rsid w:val="22576990"/>
    <w:rsid w:val="22577584"/>
    <w:rsid w:val="22590C76"/>
    <w:rsid w:val="225A0088"/>
    <w:rsid w:val="225A426B"/>
    <w:rsid w:val="225B2C40"/>
    <w:rsid w:val="225B7477"/>
    <w:rsid w:val="225D0766"/>
    <w:rsid w:val="225E628C"/>
    <w:rsid w:val="225F35EB"/>
    <w:rsid w:val="22632A99"/>
    <w:rsid w:val="2265761B"/>
    <w:rsid w:val="22680EB9"/>
    <w:rsid w:val="226E2973"/>
    <w:rsid w:val="22753050"/>
    <w:rsid w:val="227A7FF4"/>
    <w:rsid w:val="227B6E3E"/>
    <w:rsid w:val="22806203"/>
    <w:rsid w:val="22845903"/>
    <w:rsid w:val="22851A6B"/>
    <w:rsid w:val="228610D7"/>
    <w:rsid w:val="228B0859"/>
    <w:rsid w:val="228C5D81"/>
    <w:rsid w:val="22910CB0"/>
    <w:rsid w:val="22925F36"/>
    <w:rsid w:val="22926784"/>
    <w:rsid w:val="22943A5C"/>
    <w:rsid w:val="22993768"/>
    <w:rsid w:val="229C4EAB"/>
    <w:rsid w:val="229F4604"/>
    <w:rsid w:val="22AC2B5D"/>
    <w:rsid w:val="22AF0896"/>
    <w:rsid w:val="22B674CB"/>
    <w:rsid w:val="22B70195"/>
    <w:rsid w:val="22BB36DF"/>
    <w:rsid w:val="22BB723B"/>
    <w:rsid w:val="22BF62A8"/>
    <w:rsid w:val="22C02AA3"/>
    <w:rsid w:val="22C2681B"/>
    <w:rsid w:val="22C2713B"/>
    <w:rsid w:val="22C335E1"/>
    <w:rsid w:val="22C5455D"/>
    <w:rsid w:val="22C55A01"/>
    <w:rsid w:val="22C73E32"/>
    <w:rsid w:val="22C95DFC"/>
    <w:rsid w:val="22CB1664"/>
    <w:rsid w:val="22CB70E1"/>
    <w:rsid w:val="22CC58EC"/>
    <w:rsid w:val="22CE51C0"/>
    <w:rsid w:val="22D50B4C"/>
    <w:rsid w:val="22D87DED"/>
    <w:rsid w:val="22DB168B"/>
    <w:rsid w:val="22DF12E8"/>
    <w:rsid w:val="22E20C6B"/>
    <w:rsid w:val="22E26EBD"/>
    <w:rsid w:val="22E370DD"/>
    <w:rsid w:val="22E42C35"/>
    <w:rsid w:val="22E5075C"/>
    <w:rsid w:val="22E744D4"/>
    <w:rsid w:val="22E76282"/>
    <w:rsid w:val="22E9024C"/>
    <w:rsid w:val="22EC0514"/>
    <w:rsid w:val="22EC1AEA"/>
    <w:rsid w:val="22EF1F13"/>
    <w:rsid w:val="22EF3388"/>
    <w:rsid w:val="22EF5136"/>
    <w:rsid w:val="22F10325"/>
    <w:rsid w:val="22F32E79"/>
    <w:rsid w:val="22F36224"/>
    <w:rsid w:val="22F626D9"/>
    <w:rsid w:val="22F95FB5"/>
    <w:rsid w:val="22F97D63"/>
    <w:rsid w:val="22FA5320"/>
    <w:rsid w:val="22FB7F7F"/>
    <w:rsid w:val="22FD7853"/>
    <w:rsid w:val="23005752"/>
    <w:rsid w:val="230307BE"/>
    <w:rsid w:val="23052BAC"/>
    <w:rsid w:val="230706D2"/>
    <w:rsid w:val="23072F6E"/>
    <w:rsid w:val="230B3A9D"/>
    <w:rsid w:val="230D7DB3"/>
    <w:rsid w:val="231057D9"/>
    <w:rsid w:val="23124597"/>
    <w:rsid w:val="23140F63"/>
    <w:rsid w:val="23150953"/>
    <w:rsid w:val="23164DB9"/>
    <w:rsid w:val="23181CF2"/>
    <w:rsid w:val="231828DF"/>
    <w:rsid w:val="23183EF8"/>
    <w:rsid w:val="23187C1A"/>
    <w:rsid w:val="231A09C1"/>
    <w:rsid w:val="231B23CF"/>
    <w:rsid w:val="231D7EF5"/>
    <w:rsid w:val="23250B58"/>
    <w:rsid w:val="23256DAA"/>
    <w:rsid w:val="23264FFC"/>
    <w:rsid w:val="23270D74"/>
    <w:rsid w:val="232946DA"/>
    <w:rsid w:val="232A43C0"/>
    <w:rsid w:val="232C1EE7"/>
    <w:rsid w:val="232E2103"/>
    <w:rsid w:val="23343401"/>
    <w:rsid w:val="23347478"/>
    <w:rsid w:val="23362D65"/>
    <w:rsid w:val="2342795C"/>
    <w:rsid w:val="23427BCD"/>
    <w:rsid w:val="2346744C"/>
    <w:rsid w:val="234A05BF"/>
    <w:rsid w:val="234B6811"/>
    <w:rsid w:val="234F7600"/>
    <w:rsid w:val="235002CB"/>
    <w:rsid w:val="23502079"/>
    <w:rsid w:val="23517B9F"/>
    <w:rsid w:val="2355768F"/>
    <w:rsid w:val="235A0D1F"/>
    <w:rsid w:val="23607DE2"/>
    <w:rsid w:val="23614286"/>
    <w:rsid w:val="23621DAC"/>
    <w:rsid w:val="23623B5A"/>
    <w:rsid w:val="23625212"/>
    <w:rsid w:val="23627FFE"/>
    <w:rsid w:val="23635644"/>
    <w:rsid w:val="2369138D"/>
    <w:rsid w:val="236E0751"/>
    <w:rsid w:val="236E6522"/>
    <w:rsid w:val="23720241"/>
    <w:rsid w:val="23735D67"/>
    <w:rsid w:val="23765646"/>
    <w:rsid w:val="2378512C"/>
    <w:rsid w:val="237A70F6"/>
    <w:rsid w:val="237C2E6E"/>
    <w:rsid w:val="237F470C"/>
    <w:rsid w:val="2383034F"/>
    <w:rsid w:val="23873114"/>
    <w:rsid w:val="238B3B63"/>
    <w:rsid w:val="238D507B"/>
    <w:rsid w:val="238E494F"/>
    <w:rsid w:val="239051F6"/>
    <w:rsid w:val="23922691"/>
    <w:rsid w:val="2392443F"/>
    <w:rsid w:val="239301B8"/>
    <w:rsid w:val="2393640A"/>
    <w:rsid w:val="23975438"/>
    <w:rsid w:val="23983A20"/>
    <w:rsid w:val="239A32F4"/>
    <w:rsid w:val="239D2DE4"/>
    <w:rsid w:val="23A67EEB"/>
    <w:rsid w:val="23A83C63"/>
    <w:rsid w:val="23A91789"/>
    <w:rsid w:val="23A979DB"/>
    <w:rsid w:val="23AD1279"/>
    <w:rsid w:val="23AF2AFD"/>
    <w:rsid w:val="23B00D6A"/>
    <w:rsid w:val="23B4085A"/>
    <w:rsid w:val="23B51EDC"/>
    <w:rsid w:val="23BA5744"/>
    <w:rsid w:val="23BE146B"/>
    <w:rsid w:val="23BE2382"/>
    <w:rsid w:val="23C05D79"/>
    <w:rsid w:val="23C10881"/>
    <w:rsid w:val="23C14D25"/>
    <w:rsid w:val="23C16AD3"/>
    <w:rsid w:val="23C71C0F"/>
    <w:rsid w:val="23C94B75"/>
    <w:rsid w:val="23C95987"/>
    <w:rsid w:val="23CC3B52"/>
    <w:rsid w:val="23CD191B"/>
    <w:rsid w:val="23CD5478"/>
    <w:rsid w:val="23CE0B11"/>
    <w:rsid w:val="23CE11F0"/>
    <w:rsid w:val="23CE7442"/>
    <w:rsid w:val="23D033B6"/>
    <w:rsid w:val="23DA4A93"/>
    <w:rsid w:val="23DC3528"/>
    <w:rsid w:val="23DC390D"/>
    <w:rsid w:val="23DD3EED"/>
    <w:rsid w:val="23DE15D6"/>
    <w:rsid w:val="23DE7685"/>
    <w:rsid w:val="23E2215F"/>
    <w:rsid w:val="23E32EED"/>
    <w:rsid w:val="23E70CF0"/>
    <w:rsid w:val="23E9602A"/>
    <w:rsid w:val="23EA1930"/>
    <w:rsid w:val="23EB3172"/>
    <w:rsid w:val="23ED78C8"/>
    <w:rsid w:val="23EF6DDD"/>
    <w:rsid w:val="23F21382"/>
    <w:rsid w:val="23F24EDE"/>
    <w:rsid w:val="23F724F4"/>
    <w:rsid w:val="23FA1FE5"/>
    <w:rsid w:val="23FC4938"/>
    <w:rsid w:val="23FD7124"/>
    <w:rsid w:val="24030E99"/>
    <w:rsid w:val="2405635C"/>
    <w:rsid w:val="24062738"/>
    <w:rsid w:val="240864B0"/>
    <w:rsid w:val="240D3AC6"/>
    <w:rsid w:val="24101808"/>
    <w:rsid w:val="24125580"/>
    <w:rsid w:val="241412F8"/>
    <w:rsid w:val="24174945"/>
    <w:rsid w:val="242332EA"/>
    <w:rsid w:val="24253506"/>
    <w:rsid w:val="242846A7"/>
    <w:rsid w:val="242D23BA"/>
    <w:rsid w:val="243472A5"/>
    <w:rsid w:val="24373239"/>
    <w:rsid w:val="24383F19"/>
    <w:rsid w:val="24413208"/>
    <w:rsid w:val="24446896"/>
    <w:rsid w:val="24460185"/>
    <w:rsid w:val="244A2F6C"/>
    <w:rsid w:val="244E3A9F"/>
    <w:rsid w:val="244F2331"/>
    <w:rsid w:val="244F40DF"/>
    <w:rsid w:val="24535D9D"/>
    <w:rsid w:val="24547947"/>
    <w:rsid w:val="245566EB"/>
    <w:rsid w:val="245C4A4D"/>
    <w:rsid w:val="245E1034"/>
    <w:rsid w:val="245E2574"/>
    <w:rsid w:val="24661642"/>
    <w:rsid w:val="246B4E01"/>
    <w:rsid w:val="246C3C2F"/>
    <w:rsid w:val="246F4781"/>
    <w:rsid w:val="247052DC"/>
    <w:rsid w:val="2472601F"/>
    <w:rsid w:val="247274B4"/>
    <w:rsid w:val="24735AD4"/>
    <w:rsid w:val="247509BC"/>
    <w:rsid w:val="247578BD"/>
    <w:rsid w:val="24765F0B"/>
    <w:rsid w:val="247973AD"/>
    <w:rsid w:val="247E7AD8"/>
    <w:rsid w:val="24863878"/>
    <w:rsid w:val="24882976"/>
    <w:rsid w:val="248F6BD1"/>
    <w:rsid w:val="249E1B16"/>
    <w:rsid w:val="24A0493A"/>
    <w:rsid w:val="24A23DB7"/>
    <w:rsid w:val="24AA57B9"/>
    <w:rsid w:val="24AA68E6"/>
    <w:rsid w:val="24AB32DF"/>
    <w:rsid w:val="24AF3970"/>
    <w:rsid w:val="24B31DC2"/>
    <w:rsid w:val="24B634E8"/>
    <w:rsid w:val="24BB1774"/>
    <w:rsid w:val="24BB2C9E"/>
    <w:rsid w:val="24BB4180"/>
    <w:rsid w:val="24BC729A"/>
    <w:rsid w:val="24C148B0"/>
    <w:rsid w:val="24C20D54"/>
    <w:rsid w:val="24C21763"/>
    <w:rsid w:val="24CA19B7"/>
    <w:rsid w:val="24CD76F9"/>
    <w:rsid w:val="24CE594B"/>
    <w:rsid w:val="24D40A88"/>
    <w:rsid w:val="24D50412"/>
    <w:rsid w:val="24D75903"/>
    <w:rsid w:val="24DF6C29"/>
    <w:rsid w:val="24E579C1"/>
    <w:rsid w:val="24E61397"/>
    <w:rsid w:val="24EA11A8"/>
    <w:rsid w:val="24ED56A6"/>
    <w:rsid w:val="24EE1B49"/>
    <w:rsid w:val="24F222CB"/>
    <w:rsid w:val="24F25D15"/>
    <w:rsid w:val="24F469CF"/>
    <w:rsid w:val="24F46A34"/>
    <w:rsid w:val="24F66C50"/>
    <w:rsid w:val="24F84776"/>
    <w:rsid w:val="24FB4266"/>
    <w:rsid w:val="2503311B"/>
    <w:rsid w:val="25045019"/>
    <w:rsid w:val="25050C41"/>
    <w:rsid w:val="25095345"/>
    <w:rsid w:val="250C1FD0"/>
    <w:rsid w:val="25115838"/>
    <w:rsid w:val="25123AD4"/>
    <w:rsid w:val="25132A7F"/>
    <w:rsid w:val="25151B33"/>
    <w:rsid w:val="25186BC6"/>
    <w:rsid w:val="251B0465"/>
    <w:rsid w:val="25203CCD"/>
    <w:rsid w:val="25292B82"/>
    <w:rsid w:val="252B1ECD"/>
    <w:rsid w:val="252D0008"/>
    <w:rsid w:val="252D53FE"/>
    <w:rsid w:val="25382DC5"/>
    <w:rsid w:val="25387269"/>
    <w:rsid w:val="253B28B5"/>
    <w:rsid w:val="253F0438"/>
    <w:rsid w:val="2540611D"/>
    <w:rsid w:val="2541605E"/>
    <w:rsid w:val="25423C43"/>
    <w:rsid w:val="25453733"/>
    <w:rsid w:val="254A2AF8"/>
    <w:rsid w:val="254C6870"/>
    <w:rsid w:val="254D39A1"/>
    <w:rsid w:val="254E083A"/>
    <w:rsid w:val="254F0607"/>
    <w:rsid w:val="2551032A"/>
    <w:rsid w:val="255319AC"/>
    <w:rsid w:val="25552D38"/>
    <w:rsid w:val="2557798A"/>
    <w:rsid w:val="255D0A7D"/>
    <w:rsid w:val="255D3533"/>
    <w:rsid w:val="255F65A3"/>
    <w:rsid w:val="256516E0"/>
    <w:rsid w:val="256736AA"/>
    <w:rsid w:val="25777D91"/>
    <w:rsid w:val="25783B09"/>
    <w:rsid w:val="25787583"/>
    <w:rsid w:val="257A6826"/>
    <w:rsid w:val="257E0B6C"/>
    <w:rsid w:val="258129BE"/>
    <w:rsid w:val="25820CEA"/>
    <w:rsid w:val="25822292"/>
    <w:rsid w:val="25826736"/>
    <w:rsid w:val="25854EB2"/>
    <w:rsid w:val="25890A73"/>
    <w:rsid w:val="258C1362"/>
    <w:rsid w:val="258C4EBE"/>
    <w:rsid w:val="258D2BFC"/>
    <w:rsid w:val="258F5749"/>
    <w:rsid w:val="25916979"/>
    <w:rsid w:val="2593624D"/>
    <w:rsid w:val="259721E1"/>
    <w:rsid w:val="259874E2"/>
    <w:rsid w:val="259A3A7F"/>
    <w:rsid w:val="259B0619"/>
    <w:rsid w:val="259C77F7"/>
    <w:rsid w:val="259D531E"/>
    <w:rsid w:val="259F4BF2"/>
    <w:rsid w:val="25A06641"/>
    <w:rsid w:val="25A16BBC"/>
    <w:rsid w:val="25A20B86"/>
    <w:rsid w:val="25A246E2"/>
    <w:rsid w:val="25A4045A"/>
    <w:rsid w:val="25AC730F"/>
    <w:rsid w:val="25AE0DB5"/>
    <w:rsid w:val="25AF5400"/>
    <w:rsid w:val="25B2102B"/>
    <w:rsid w:val="25B432C7"/>
    <w:rsid w:val="25B6018D"/>
    <w:rsid w:val="25B74631"/>
    <w:rsid w:val="25B85CB3"/>
    <w:rsid w:val="25B95E84"/>
    <w:rsid w:val="25BD776E"/>
    <w:rsid w:val="25C428AA"/>
    <w:rsid w:val="25CB59E7"/>
    <w:rsid w:val="25CE197B"/>
    <w:rsid w:val="25D02FFD"/>
    <w:rsid w:val="25D074A1"/>
    <w:rsid w:val="25D16D75"/>
    <w:rsid w:val="25D52D09"/>
    <w:rsid w:val="25D725DE"/>
    <w:rsid w:val="25D9362E"/>
    <w:rsid w:val="25D961D0"/>
    <w:rsid w:val="25DE1BBE"/>
    <w:rsid w:val="25DF1492"/>
    <w:rsid w:val="25DF76E4"/>
    <w:rsid w:val="25E60A73"/>
    <w:rsid w:val="25EB42DB"/>
    <w:rsid w:val="25EC2454"/>
    <w:rsid w:val="25EC2D81"/>
    <w:rsid w:val="25F106D6"/>
    <w:rsid w:val="25F3318F"/>
    <w:rsid w:val="25F52A64"/>
    <w:rsid w:val="25F74973"/>
    <w:rsid w:val="25FC0296"/>
    <w:rsid w:val="25FC13BE"/>
    <w:rsid w:val="25FD5DBC"/>
    <w:rsid w:val="26022290"/>
    <w:rsid w:val="260458EE"/>
    <w:rsid w:val="260809E9"/>
    <w:rsid w:val="26086C3B"/>
    <w:rsid w:val="260D24A3"/>
    <w:rsid w:val="260D4251"/>
    <w:rsid w:val="260E3B25"/>
    <w:rsid w:val="26110E6F"/>
    <w:rsid w:val="26121868"/>
    <w:rsid w:val="26153106"/>
    <w:rsid w:val="26170C2C"/>
    <w:rsid w:val="261730FD"/>
    <w:rsid w:val="26192BF6"/>
    <w:rsid w:val="261C6242"/>
    <w:rsid w:val="262072FB"/>
    <w:rsid w:val="26215F4F"/>
    <w:rsid w:val="2624159B"/>
    <w:rsid w:val="262477ED"/>
    <w:rsid w:val="262B2929"/>
    <w:rsid w:val="262C1DCB"/>
    <w:rsid w:val="262D48F3"/>
    <w:rsid w:val="262D66A1"/>
    <w:rsid w:val="262E5F76"/>
    <w:rsid w:val="26323CB8"/>
    <w:rsid w:val="26345C82"/>
    <w:rsid w:val="263632E4"/>
    <w:rsid w:val="26377839"/>
    <w:rsid w:val="2641214D"/>
    <w:rsid w:val="26413EFB"/>
    <w:rsid w:val="264439EB"/>
    <w:rsid w:val="2644502B"/>
    <w:rsid w:val="26446FFE"/>
    <w:rsid w:val="264528BD"/>
    <w:rsid w:val="26467763"/>
    <w:rsid w:val="26490BC0"/>
    <w:rsid w:val="264D024B"/>
    <w:rsid w:val="264F486A"/>
    <w:rsid w:val="26515721"/>
    <w:rsid w:val="26526108"/>
    <w:rsid w:val="26591245"/>
    <w:rsid w:val="265C0D35"/>
    <w:rsid w:val="265D41A0"/>
    <w:rsid w:val="265E007F"/>
    <w:rsid w:val="26606A77"/>
    <w:rsid w:val="26645926"/>
    <w:rsid w:val="26681488"/>
    <w:rsid w:val="266B541C"/>
    <w:rsid w:val="266B5D96"/>
    <w:rsid w:val="266F6CBA"/>
    <w:rsid w:val="2674607E"/>
    <w:rsid w:val="26747E2C"/>
    <w:rsid w:val="26760048"/>
    <w:rsid w:val="26771E8D"/>
    <w:rsid w:val="2678331D"/>
    <w:rsid w:val="2681079B"/>
    <w:rsid w:val="268465AB"/>
    <w:rsid w:val="268828FF"/>
    <w:rsid w:val="268A7650"/>
    <w:rsid w:val="268B4F3A"/>
    <w:rsid w:val="268E3B27"/>
    <w:rsid w:val="268F6768"/>
    <w:rsid w:val="268F71A9"/>
    <w:rsid w:val="26923BC9"/>
    <w:rsid w:val="26936D10"/>
    <w:rsid w:val="26962499"/>
    <w:rsid w:val="2696358E"/>
    <w:rsid w:val="269811C6"/>
    <w:rsid w:val="269823AA"/>
    <w:rsid w:val="269A3E6D"/>
    <w:rsid w:val="269A4809"/>
    <w:rsid w:val="269C3827"/>
    <w:rsid w:val="269E30FB"/>
    <w:rsid w:val="26A36964"/>
    <w:rsid w:val="26AA5F44"/>
    <w:rsid w:val="26AB5818"/>
    <w:rsid w:val="26AD1F5C"/>
    <w:rsid w:val="26AF5308"/>
    <w:rsid w:val="26B20955"/>
    <w:rsid w:val="26B26BA7"/>
    <w:rsid w:val="26B7240F"/>
    <w:rsid w:val="26B97F35"/>
    <w:rsid w:val="26BA4783"/>
    <w:rsid w:val="26BB59F0"/>
    <w:rsid w:val="26BE72FA"/>
    <w:rsid w:val="26C07516"/>
    <w:rsid w:val="26C354F6"/>
    <w:rsid w:val="26C37006"/>
    <w:rsid w:val="26C80178"/>
    <w:rsid w:val="26CB1A16"/>
    <w:rsid w:val="26CB3A94"/>
    <w:rsid w:val="26D0702D"/>
    <w:rsid w:val="26D66D39"/>
    <w:rsid w:val="26D92385"/>
    <w:rsid w:val="26D94133"/>
    <w:rsid w:val="26DC6C91"/>
    <w:rsid w:val="26DE174A"/>
    <w:rsid w:val="26E10197"/>
    <w:rsid w:val="26E14D5A"/>
    <w:rsid w:val="26E33204"/>
    <w:rsid w:val="26E36D60"/>
    <w:rsid w:val="26E47D34"/>
    <w:rsid w:val="26E52AD8"/>
    <w:rsid w:val="26E66850"/>
    <w:rsid w:val="26E74AA2"/>
    <w:rsid w:val="26E80EE7"/>
    <w:rsid w:val="26EC030B"/>
    <w:rsid w:val="26ED223B"/>
    <w:rsid w:val="26EF7DFB"/>
    <w:rsid w:val="26F15921"/>
    <w:rsid w:val="26F40F6D"/>
    <w:rsid w:val="26F60CAF"/>
    <w:rsid w:val="26F61189"/>
    <w:rsid w:val="26F71615"/>
    <w:rsid w:val="2700492A"/>
    <w:rsid w:val="2702368A"/>
    <w:rsid w:val="270A0791"/>
    <w:rsid w:val="27160EE4"/>
    <w:rsid w:val="271967C0"/>
    <w:rsid w:val="271B0BF0"/>
    <w:rsid w:val="27233601"/>
    <w:rsid w:val="272445CF"/>
    <w:rsid w:val="27247AA4"/>
    <w:rsid w:val="272C0707"/>
    <w:rsid w:val="272E5D11"/>
    <w:rsid w:val="273121C1"/>
    <w:rsid w:val="273262A3"/>
    <w:rsid w:val="273306F3"/>
    <w:rsid w:val="27377A67"/>
    <w:rsid w:val="27383550"/>
    <w:rsid w:val="27391076"/>
    <w:rsid w:val="273B094A"/>
    <w:rsid w:val="273E668C"/>
    <w:rsid w:val="27433CA3"/>
    <w:rsid w:val="274C0DA9"/>
    <w:rsid w:val="274C2B57"/>
    <w:rsid w:val="274E2D73"/>
    <w:rsid w:val="274E4B21"/>
    <w:rsid w:val="274F616C"/>
    <w:rsid w:val="2750262D"/>
    <w:rsid w:val="27524CC1"/>
    <w:rsid w:val="2753038A"/>
    <w:rsid w:val="27565C8D"/>
    <w:rsid w:val="27585A15"/>
    <w:rsid w:val="2758774E"/>
    <w:rsid w:val="27592132"/>
    <w:rsid w:val="275B2D9A"/>
    <w:rsid w:val="2762237B"/>
    <w:rsid w:val="27637EA1"/>
    <w:rsid w:val="276500BD"/>
    <w:rsid w:val="276A7481"/>
    <w:rsid w:val="276E0D20"/>
    <w:rsid w:val="27752E1B"/>
    <w:rsid w:val="27786E27"/>
    <w:rsid w:val="27787DF0"/>
    <w:rsid w:val="277976C4"/>
    <w:rsid w:val="277A3B68"/>
    <w:rsid w:val="277B0D7F"/>
    <w:rsid w:val="277B343D"/>
    <w:rsid w:val="277B51EB"/>
    <w:rsid w:val="277D0F63"/>
    <w:rsid w:val="277F01A3"/>
    <w:rsid w:val="277F117F"/>
    <w:rsid w:val="27806CA5"/>
    <w:rsid w:val="27826579"/>
    <w:rsid w:val="27871DE1"/>
    <w:rsid w:val="27873B8F"/>
    <w:rsid w:val="27895B59"/>
    <w:rsid w:val="27897907"/>
    <w:rsid w:val="278E278E"/>
    <w:rsid w:val="2790513A"/>
    <w:rsid w:val="27905EE6"/>
    <w:rsid w:val="279369D8"/>
    <w:rsid w:val="27985E53"/>
    <w:rsid w:val="279B6677"/>
    <w:rsid w:val="279D1605"/>
    <w:rsid w:val="279D7857"/>
    <w:rsid w:val="279F193A"/>
    <w:rsid w:val="279F537D"/>
    <w:rsid w:val="27A60C72"/>
    <w:rsid w:val="27A874CA"/>
    <w:rsid w:val="27A94505"/>
    <w:rsid w:val="27AB5D28"/>
    <w:rsid w:val="27AD6260"/>
    <w:rsid w:val="27AD638E"/>
    <w:rsid w:val="27AD71A7"/>
    <w:rsid w:val="27B01338"/>
    <w:rsid w:val="27B0758A"/>
    <w:rsid w:val="27B23302"/>
    <w:rsid w:val="27B30E28"/>
    <w:rsid w:val="27B32BD6"/>
    <w:rsid w:val="27B40E77"/>
    <w:rsid w:val="27BA21B7"/>
    <w:rsid w:val="27BA5D13"/>
    <w:rsid w:val="27BF3329"/>
    <w:rsid w:val="27BF77CD"/>
    <w:rsid w:val="27C1173F"/>
    <w:rsid w:val="27C2106B"/>
    <w:rsid w:val="27C22E19"/>
    <w:rsid w:val="27C76682"/>
    <w:rsid w:val="27C85CF5"/>
    <w:rsid w:val="27CE17BE"/>
    <w:rsid w:val="27CF118A"/>
    <w:rsid w:val="27D15DD1"/>
    <w:rsid w:val="27D50D9F"/>
    <w:rsid w:val="27DA63B5"/>
    <w:rsid w:val="27DD7C53"/>
    <w:rsid w:val="27E40FE2"/>
    <w:rsid w:val="27E56B08"/>
    <w:rsid w:val="27E72880"/>
    <w:rsid w:val="27E75C83"/>
    <w:rsid w:val="27E86D24"/>
    <w:rsid w:val="27EE09E2"/>
    <w:rsid w:val="27F03E2A"/>
    <w:rsid w:val="27F473D8"/>
    <w:rsid w:val="27F82CDF"/>
    <w:rsid w:val="27FA6426"/>
    <w:rsid w:val="27FF0BDB"/>
    <w:rsid w:val="27FF7BCA"/>
    <w:rsid w:val="28011B94"/>
    <w:rsid w:val="28017DE6"/>
    <w:rsid w:val="280478D6"/>
    <w:rsid w:val="280653FC"/>
    <w:rsid w:val="28096C9A"/>
    <w:rsid w:val="280B656E"/>
    <w:rsid w:val="280B7BC3"/>
    <w:rsid w:val="280E42B1"/>
    <w:rsid w:val="28123DA1"/>
    <w:rsid w:val="28164F13"/>
    <w:rsid w:val="28173165"/>
    <w:rsid w:val="28177609"/>
    <w:rsid w:val="281A2C55"/>
    <w:rsid w:val="281F201A"/>
    <w:rsid w:val="28212236"/>
    <w:rsid w:val="28213FE4"/>
    <w:rsid w:val="28277120"/>
    <w:rsid w:val="28285372"/>
    <w:rsid w:val="282E55B7"/>
    <w:rsid w:val="28304227"/>
    <w:rsid w:val="28304CAC"/>
    <w:rsid w:val="28327F9F"/>
    <w:rsid w:val="283334DF"/>
    <w:rsid w:val="2833567F"/>
    <w:rsid w:val="28335AC5"/>
    <w:rsid w:val="28337E41"/>
    <w:rsid w:val="2835183D"/>
    <w:rsid w:val="283830DC"/>
    <w:rsid w:val="28396011"/>
    <w:rsid w:val="283C4E53"/>
    <w:rsid w:val="283D06F2"/>
    <w:rsid w:val="283F26BC"/>
    <w:rsid w:val="284C02A7"/>
    <w:rsid w:val="284D6B87"/>
    <w:rsid w:val="284E28FF"/>
    <w:rsid w:val="28500425"/>
    <w:rsid w:val="28501239"/>
    <w:rsid w:val="28551EE0"/>
    <w:rsid w:val="285C14C0"/>
    <w:rsid w:val="285C501C"/>
    <w:rsid w:val="285D2B42"/>
    <w:rsid w:val="285F2D5E"/>
    <w:rsid w:val="285F7943"/>
    <w:rsid w:val="28602527"/>
    <w:rsid w:val="28616AD6"/>
    <w:rsid w:val="28620159"/>
    <w:rsid w:val="28650375"/>
    <w:rsid w:val="28652321"/>
    <w:rsid w:val="2869172C"/>
    <w:rsid w:val="28695417"/>
    <w:rsid w:val="286B34B1"/>
    <w:rsid w:val="286C33DB"/>
    <w:rsid w:val="28702875"/>
    <w:rsid w:val="28724840"/>
    <w:rsid w:val="28731691"/>
    <w:rsid w:val="287560DE"/>
    <w:rsid w:val="28760635"/>
    <w:rsid w:val="2876639C"/>
    <w:rsid w:val="287F0D0A"/>
    <w:rsid w:val="28813F71"/>
    <w:rsid w:val="28814A83"/>
    <w:rsid w:val="288602EB"/>
    <w:rsid w:val="288A1B89"/>
    <w:rsid w:val="289008AE"/>
    <w:rsid w:val="2891635B"/>
    <w:rsid w:val="28924EE2"/>
    <w:rsid w:val="28926C90"/>
    <w:rsid w:val="289447B6"/>
    <w:rsid w:val="2895052E"/>
    <w:rsid w:val="289651BD"/>
    <w:rsid w:val="28987FC0"/>
    <w:rsid w:val="289933AC"/>
    <w:rsid w:val="289E5635"/>
    <w:rsid w:val="289E73E3"/>
    <w:rsid w:val="289F4A11"/>
    <w:rsid w:val="28A1297A"/>
    <w:rsid w:val="28A76295"/>
    <w:rsid w:val="28A864B3"/>
    <w:rsid w:val="28AB7D51"/>
    <w:rsid w:val="28AD3ACA"/>
    <w:rsid w:val="28B07116"/>
    <w:rsid w:val="28B135BA"/>
    <w:rsid w:val="28B210E0"/>
    <w:rsid w:val="28B46C06"/>
    <w:rsid w:val="28B766F6"/>
    <w:rsid w:val="28B8366A"/>
    <w:rsid w:val="28BA1D43"/>
    <w:rsid w:val="28BC7129"/>
    <w:rsid w:val="28BE7A85"/>
    <w:rsid w:val="28C36E49"/>
    <w:rsid w:val="28C606E7"/>
    <w:rsid w:val="28C66939"/>
    <w:rsid w:val="28C978B9"/>
    <w:rsid w:val="28CA01D8"/>
    <w:rsid w:val="28CC21F1"/>
    <w:rsid w:val="28CD2D6E"/>
    <w:rsid w:val="28D252DE"/>
    <w:rsid w:val="28D56B7C"/>
    <w:rsid w:val="28D6244E"/>
    <w:rsid w:val="28D64DCE"/>
    <w:rsid w:val="28D728F5"/>
    <w:rsid w:val="28DA4193"/>
    <w:rsid w:val="28DB23E5"/>
    <w:rsid w:val="28DB32AB"/>
    <w:rsid w:val="28DC0C29"/>
    <w:rsid w:val="28DE142D"/>
    <w:rsid w:val="28DE1ED5"/>
    <w:rsid w:val="28DF3C8D"/>
    <w:rsid w:val="28E079FB"/>
    <w:rsid w:val="28E514B5"/>
    <w:rsid w:val="28E54BC4"/>
    <w:rsid w:val="28E60D8A"/>
    <w:rsid w:val="28EA087A"/>
    <w:rsid w:val="28EA3771"/>
    <w:rsid w:val="28EE2D47"/>
    <w:rsid w:val="28EF7C3E"/>
    <w:rsid w:val="28F33BD2"/>
    <w:rsid w:val="28F40A86"/>
    <w:rsid w:val="28F45255"/>
    <w:rsid w:val="28F46F15"/>
    <w:rsid w:val="28F74D45"/>
    <w:rsid w:val="28F9286B"/>
    <w:rsid w:val="28FF2501"/>
    <w:rsid w:val="29001E4B"/>
    <w:rsid w:val="29017971"/>
    <w:rsid w:val="29023E15"/>
    <w:rsid w:val="29080D00"/>
    <w:rsid w:val="29086F52"/>
    <w:rsid w:val="290D27BA"/>
    <w:rsid w:val="290D74DC"/>
    <w:rsid w:val="291D0C4F"/>
    <w:rsid w:val="29206EB8"/>
    <w:rsid w:val="29211DC2"/>
    <w:rsid w:val="292136CE"/>
    <w:rsid w:val="292518B2"/>
    <w:rsid w:val="292813A2"/>
    <w:rsid w:val="29284B96"/>
    <w:rsid w:val="292875F4"/>
    <w:rsid w:val="29291B2B"/>
    <w:rsid w:val="292A511A"/>
    <w:rsid w:val="292D4147"/>
    <w:rsid w:val="292E034E"/>
    <w:rsid w:val="292F2731"/>
    <w:rsid w:val="292F67EE"/>
    <w:rsid w:val="29324F91"/>
    <w:rsid w:val="29341AF5"/>
    <w:rsid w:val="29345F99"/>
    <w:rsid w:val="29373393"/>
    <w:rsid w:val="2939710B"/>
    <w:rsid w:val="29420FD2"/>
    <w:rsid w:val="29422464"/>
    <w:rsid w:val="2945385E"/>
    <w:rsid w:val="29471828"/>
    <w:rsid w:val="294A1318"/>
    <w:rsid w:val="294A3CD7"/>
    <w:rsid w:val="294C22A1"/>
    <w:rsid w:val="294C5091"/>
    <w:rsid w:val="295876D6"/>
    <w:rsid w:val="295E3016"/>
    <w:rsid w:val="29606D8E"/>
    <w:rsid w:val="296244C7"/>
    <w:rsid w:val="29634F5F"/>
    <w:rsid w:val="2964062C"/>
    <w:rsid w:val="29657F00"/>
    <w:rsid w:val="296B6BF6"/>
    <w:rsid w:val="296C128F"/>
    <w:rsid w:val="296C4BAC"/>
    <w:rsid w:val="296C74E1"/>
    <w:rsid w:val="2973261D"/>
    <w:rsid w:val="29752839"/>
    <w:rsid w:val="297665B1"/>
    <w:rsid w:val="29785E86"/>
    <w:rsid w:val="29797B7D"/>
    <w:rsid w:val="297C5914"/>
    <w:rsid w:val="297E7214"/>
    <w:rsid w:val="297F5466"/>
    <w:rsid w:val="298505A2"/>
    <w:rsid w:val="29852351"/>
    <w:rsid w:val="29890093"/>
    <w:rsid w:val="298E38FB"/>
    <w:rsid w:val="298E6F2D"/>
    <w:rsid w:val="29916F47"/>
    <w:rsid w:val="2996177C"/>
    <w:rsid w:val="2996455E"/>
    <w:rsid w:val="2996630C"/>
    <w:rsid w:val="29966FCF"/>
    <w:rsid w:val="29967E2D"/>
    <w:rsid w:val="29982084"/>
    <w:rsid w:val="299A404E"/>
    <w:rsid w:val="299B6018"/>
    <w:rsid w:val="29A47340"/>
    <w:rsid w:val="29A5470F"/>
    <w:rsid w:val="29A9551B"/>
    <w:rsid w:val="29A97E6C"/>
    <w:rsid w:val="29AA0009"/>
    <w:rsid w:val="29AA1DB7"/>
    <w:rsid w:val="29AE18A7"/>
    <w:rsid w:val="29AE5D4B"/>
    <w:rsid w:val="29B175E9"/>
    <w:rsid w:val="29B806DA"/>
    <w:rsid w:val="29B82726"/>
    <w:rsid w:val="29BA2426"/>
    <w:rsid w:val="29BB3FC4"/>
    <w:rsid w:val="29BD08F2"/>
    <w:rsid w:val="29BE1908"/>
    <w:rsid w:val="29BF1D06"/>
    <w:rsid w:val="29C410CB"/>
    <w:rsid w:val="29C643E5"/>
    <w:rsid w:val="29C70AA4"/>
    <w:rsid w:val="29CC7F7F"/>
    <w:rsid w:val="29CE1F49"/>
    <w:rsid w:val="29CE2A62"/>
    <w:rsid w:val="29D63102"/>
    <w:rsid w:val="29D82DC8"/>
    <w:rsid w:val="29DB7AA9"/>
    <w:rsid w:val="29DD4321"/>
    <w:rsid w:val="29DD62F8"/>
    <w:rsid w:val="29E325E0"/>
    <w:rsid w:val="29EB2AFB"/>
    <w:rsid w:val="29EB48A9"/>
    <w:rsid w:val="29EB7E9F"/>
    <w:rsid w:val="29EC23D0"/>
    <w:rsid w:val="29EF43E8"/>
    <w:rsid w:val="29F00112"/>
    <w:rsid w:val="29F251A1"/>
    <w:rsid w:val="29F5538C"/>
    <w:rsid w:val="29FB2071"/>
    <w:rsid w:val="29FC17E1"/>
    <w:rsid w:val="29FC6AB7"/>
    <w:rsid w:val="29FF2103"/>
    <w:rsid w:val="2A021BF3"/>
    <w:rsid w:val="2A0911D4"/>
    <w:rsid w:val="2A094D30"/>
    <w:rsid w:val="2A0A5FF9"/>
    <w:rsid w:val="2A0B6CFA"/>
    <w:rsid w:val="2A0C6676"/>
    <w:rsid w:val="2A110088"/>
    <w:rsid w:val="2A142478"/>
    <w:rsid w:val="2A163DA4"/>
    <w:rsid w:val="2A1738F0"/>
    <w:rsid w:val="2A175AF9"/>
    <w:rsid w:val="2A1831C5"/>
    <w:rsid w:val="2A1C25CC"/>
    <w:rsid w:val="2A2102CB"/>
    <w:rsid w:val="2A2169C4"/>
    <w:rsid w:val="2A263B34"/>
    <w:rsid w:val="2A2658E2"/>
    <w:rsid w:val="2A27165A"/>
    <w:rsid w:val="2A2A2060"/>
    <w:rsid w:val="2A2C6C70"/>
    <w:rsid w:val="2A2C7A58"/>
    <w:rsid w:val="2A2D05FF"/>
    <w:rsid w:val="2A303E85"/>
    <w:rsid w:val="2A353D77"/>
    <w:rsid w:val="2A360FB4"/>
    <w:rsid w:val="2A385615"/>
    <w:rsid w:val="2A3F1C36"/>
    <w:rsid w:val="2A4346E5"/>
    <w:rsid w:val="2A44045E"/>
    <w:rsid w:val="2A452503"/>
    <w:rsid w:val="2A465F84"/>
    <w:rsid w:val="2A467D32"/>
    <w:rsid w:val="2A4B17EC"/>
    <w:rsid w:val="2A524929"/>
    <w:rsid w:val="2A5561C7"/>
    <w:rsid w:val="2A581813"/>
    <w:rsid w:val="2A585CB7"/>
    <w:rsid w:val="2A5D6D30"/>
    <w:rsid w:val="2A5F7045"/>
    <w:rsid w:val="2A61691A"/>
    <w:rsid w:val="2A6428AE"/>
    <w:rsid w:val="2A643B57"/>
    <w:rsid w:val="2A64465C"/>
    <w:rsid w:val="2A697EC4"/>
    <w:rsid w:val="2A6B1334"/>
    <w:rsid w:val="2A6D3510"/>
    <w:rsid w:val="2A6F54DA"/>
    <w:rsid w:val="2A73489F"/>
    <w:rsid w:val="2A742AF1"/>
    <w:rsid w:val="2A756869"/>
    <w:rsid w:val="2A78062B"/>
    <w:rsid w:val="2A791292"/>
    <w:rsid w:val="2A7A5D12"/>
    <w:rsid w:val="2A7B6309"/>
    <w:rsid w:val="2A7C519C"/>
    <w:rsid w:val="2A801755"/>
    <w:rsid w:val="2A842E0D"/>
    <w:rsid w:val="2A88034A"/>
    <w:rsid w:val="2A9211C9"/>
    <w:rsid w:val="2A924D25"/>
    <w:rsid w:val="2A924FCC"/>
    <w:rsid w:val="2A97058D"/>
    <w:rsid w:val="2A9C2048"/>
    <w:rsid w:val="2A9D15F2"/>
    <w:rsid w:val="2A9E4D57"/>
    <w:rsid w:val="2AA1140C"/>
    <w:rsid w:val="2AA2188F"/>
    <w:rsid w:val="2AA2529F"/>
    <w:rsid w:val="2AA35184"/>
    <w:rsid w:val="2AA36F92"/>
    <w:rsid w:val="2AA50EFC"/>
    <w:rsid w:val="2AA84549"/>
    <w:rsid w:val="2AAB5DE7"/>
    <w:rsid w:val="2AAD433F"/>
    <w:rsid w:val="2AAE58D7"/>
    <w:rsid w:val="2AB00919"/>
    <w:rsid w:val="2AB23619"/>
    <w:rsid w:val="2AB24AC6"/>
    <w:rsid w:val="2AB412AE"/>
    <w:rsid w:val="2AB56C65"/>
    <w:rsid w:val="2AB96756"/>
    <w:rsid w:val="2ABA24CE"/>
    <w:rsid w:val="2ABB2506"/>
    <w:rsid w:val="2ABC7FF4"/>
    <w:rsid w:val="2ABE3D6C"/>
    <w:rsid w:val="2ABE4C3D"/>
    <w:rsid w:val="2ABF7AE4"/>
    <w:rsid w:val="2AC01F46"/>
    <w:rsid w:val="2AC1385C"/>
    <w:rsid w:val="2AC24A4E"/>
    <w:rsid w:val="2AC450FA"/>
    <w:rsid w:val="2AC507FE"/>
    <w:rsid w:val="2AC66B4F"/>
    <w:rsid w:val="2AC84BEB"/>
    <w:rsid w:val="2AC944BF"/>
    <w:rsid w:val="2ACB0237"/>
    <w:rsid w:val="2ACB46DB"/>
    <w:rsid w:val="2ACB6489"/>
    <w:rsid w:val="2ACD2201"/>
    <w:rsid w:val="2ACE4132"/>
    <w:rsid w:val="2AD0584D"/>
    <w:rsid w:val="2AD26CEA"/>
    <w:rsid w:val="2AD57308"/>
    <w:rsid w:val="2AD757E4"/>
    <w:rsid w:val="2AD76BDC"/>
    <w:rsid w:val="2AD825D9"/>
    <w:rsid w:val="2AD905D3"/>
    <w:rsid w:val="2ADB2A24"/>
    <w:rsid w:val="2ADE440E"/>
    <w:rsid w:val="2AEA21EB"/>
    <w:rsid w:val="2AEB6D9B"/>
    <w:rsid w:val="2AEF03C9"/>
    <w:rsid w:val="2AF23A16"/>
    <w:rsid w:val="2AF43C32"/>
    <w:rsid w:val="2AF459E0"/>
    <w:rsid w:val="2AF7102C"/>
    <w:rsid w:val="2AF84B1D"/>
    <w:rsid w:val="2AF91930"/>
    <w:rsid w:val="2AFC2AE6"/>
    <w:rsid w:val="2AFE6FEE"/>
    <w:rsid w:val="2B022A53"/>
    <w:rsid w:val="2B033E75"/>
    <w:rsid w:val="2B0A5203"/>
    <w:rsid w:val="2B0B5E2F"/>
    <w:rsid w:val="2B0C0FDF"/>
    <w:rsid w:val="2B0E3784"/>
    <w:rsid w:val="2B1240B8"/>
    <w:rsid w:val="2B163BA8"/>
    <w:rsid w:val="2B1716CE"/>
    <w:rsid w:val="2B193698"/>
    <w:rsid w:val="2B1C6FCA"/>
    <w:rsid w:val="2B2360C9"/>
    <w:rsid w:val="2B277B63"/>
    <w:rsid w:val="2B2838DB"/>
    <w:rsid w:val="2B2C517A"/>
    <w:rsid w:val="2B361B54"/>
    <w:rsid w:val="2B3B11AE"/>
    <w:rsid w:val="2B3D7387"/>
    <w:rsid w:val="2B3E6C5B"/>
    <w:rsid w:val="2B4048A5"/>
    <w:rsid w:val="2B435C33"/>
    <w:rsid w:val="2B45623B"/>
    <w:rsid w:val="2B457FE9"/>
    <w:rsid w:val="2B492D8D"/>
    <w:rsid w:val="2B4A3852"/>
    <w:rsid w:val="2B4C7BA5"/>
    <w:rsid w:val="2B4F0E68"/>
    <w:rsid w:val="2B51391E"/>
    <w:rsid w:val="2B54022C"/>
    <w:rsid w:val="2B5841C1"/>
    <w:rsid w:val="2B5B780D"/>
    <w:rsid w:val="2B5D60D4"/>
    <w:rsid w:val="2B604E23"/>
    <w:rsid w:val="2B620B9B"/>
    <w:rsid w:val="2B634913"/>
    <w:rsid w:val="2B6366C1"/>
    <w:rsid w:val="2B65243A"/>
    <w:rsid w:val="2B682CC3"/>
    <w:rsid w:val="2B69017C"/>
    <w:rsid w:val="2B6C5576"/>
    <w:rsid w:val="2B6C62CF"/>
    <w:rsid w:val="2B6C7C6C"/>
    <w:rsid w:val="2B6D775F"/>
    <w:rsid w:val="2B6F2DD8"/>
    <w:rsid w:val="2B74267D"/>
    <w:rsid w:val="2B764647"/>
    <w:rsid w:val="2B786611"/>
    <w:rsid w:val="2B787889"/>
    <w:rsid w:val="2B7B7EAF"/>
    <w:rsid w:val="2B7D7783"/>
    <w:rsid w:val="2B7E058C"/>
    <w:rsid w:val="2B7E34FB"/>
    <w:rsid w:val="2B822FEC"/>
    <w:rsid w:val="2B85118D"/>
    <w:rsid w:val="2B856638"/>
    <w:rsid w:val="2B8723B0"/>
    <w:rsid w:val="2B8C3E6A"/>
    <w:rsid w:val="2B8F5708"/>
    <w:rsid w:val="2B8F74B6"/>
    <w:rsid w:val="2B911481"/>
    <w:rsid w:val="2B9B0113"/>
    <w:rsid w:val="2B9B22FF"/>
    <w:rsid w:val="2BA61030"/>
    <w:rsid w:val="2BA936A8"/>
    <w:rsid w:val="2BA94A1C"/>
    <w:rsid w:val="2BAE2033"/>
    <w:rsid w:val="2BAE3DE1"/>
    <w:rsid w:val="2BAE6156"/>
    <w:rsid w:val="2BB16143"/>
    <w:rsid w:val="2BB45CC1"/>
    <w:rsid w:val="2BB533C1"/>
    <w:rsid w:val="2BB83445"/>
    <w:rsid w:val="2BB84C5F"/>
    <w:rsid w:val="2BB86A0D"/>
    <w:rsid w:val="2BBA09D7"/>
    <w:rsid w:val="2BBA5CF7"/>
    <w:rsid w:val="2BBD13CD"/>
    <w:rsid w:val="2BBD4A6B"/>
    <w:rsid w:val="2BBE64C7"/>
    <w:rsid w:val="2BC01D66"/>
    <w:rsid w:val="2BC264BA"/>
    <w:rsid w:val="2BC2788C"/>
    <w:rsid w:val="2BC30558"/>
    <w:rsid w:val="2BC442AE"/>
    <w:rsid w:val="2BC52ED8"/>
    <w:rsid w:val="2BC929C8"/>
    <w:rsid w:val="2BCD4118"/>
    <w:rsid w:val="2BCF5BB2"/>
    <w:rsid w:val="2BD001FB"/>
    <w:rsid w:val="2BD1187D"/>
    <w:rsid w:val="2BD355F5"/>
    <w:rsid w:val="2BD61589"/>
    <w:rsid w:val="2BDB6BA0"/>
    <w:rsid w:val="2BDC2840"/>
    <w:rsid w:val="2BDD6474"/>
    <w:rsid w:val="2BE55328"/>
    <w:rsid w:val="2BE733F6"/>
    <w:rsid w:val="2BE83051"/>
    <w:rsid w:val="2BEA71D2"/>
    <w:rsid w:val="2BEE68D3"/>
    <w:rsid w:val="2BF06C2B"/>
    <w:rsid w:val="2BF437BD"/>
    <w:rsid w:val="2BFB2D9E"/>
    <w:rsid w:val="2BFD2672"/>
    <w:rsid w:val="2BFF4499"/>
    <w:rsid w:val="2BFF63EA"/>
    <w:rsid w:val="2BFF77EC"/>
    <w:rsid w:val="2C0003B4"/>
    <w:rsid w:val="2C013D44"/>
    <w:rsid w:val="2C02237E"/>
    <w:rsid w:val="2C022E1A"/>
    <w:rsid w:val="2C025EDA"/>
    <w:rsid w:val="2C047EA4"/>
    <w:rsid w:val="2C0504DF"/>
    <w:rsid w:val="2C063C1D"/>
    <w:rsid w:val="2C0C6D59"/>
    <w:rsid w:val="2C11436F"/>
    <w:rsid w:val="2C1300E8"/>
    <w:rsid w:val="2C175C27"/>
    <w:rsid w:val="2C1874AC"/>
    <w:rsid w:val="2C1A1476"/>
    <w:rsid w:val="2C1B6F9C"/>
    <w:rsid w:val="2C251BC9"/>
    <w:rsid w:val="2C2736A5"/>
    <w:rsid w:val="2C296E55"/>
    <w:rsid w:val="2C2C3DE8"/>
    <w:rsid w:val="2C2C7879"/>
    <w:rsid w:val="2C300C99"/>
    <w:rsid w:val="2C302A48"/>
    <w:rsid w:val="2C3042A6"/>
    <w:rsid w:val="2C31218A"/>
    <w:rsid w:val="2C315A5A"/>
    <w:rsid w:val="2C3167C0"/>
    <w:rsid w:val="2C327883"/>
    <w:rsid w:val="2C363DD6"/>
    <w:rsid w:val="2C3C763E"/>
    <w:rsid w:val="2C446EDF"/>
    <w:rsid w:val="2C4500ED"/>
    <w:rsid w:val="2C46226B"/>
    <w:rsid w:val="2C477D91"/>
    <w:rsid w:val="2C484235"/>
    <w:rsid w:val="2C487FD5"/>
    <w:rsid w:val="2C4C53A8"/>
    <w:rsid w:val="2C50426F"/>
    <w:rsid w:val="2C532BDA"/>
    <w:rsid w:val="2C5330FB"/>
    <w:rsid w:val="2C534988"/>
    <w:rsid w:val="2C5524AE"/>
    <w:rsid w:val="2C571A8D"/>
    <w:rsid w:val="2C587B0C"/>
    <w:rsid w:val="2C5D1363"/>
    <w:rsid w:val="2C610E53"/>
    <w:rsid w:val="2C626979"/>
    <w:rsid w:val="2C6426F1"/>
    <w:rsid w:val="2C644CC2"/>
    <w:rsid w:val="2C652EE7"/>
    <w:rsid w:val="2C6754A3"/>
    <w:rsid w:val="2C693389"/>
    <w:rsid w:val="2C70553A"/>
    <w:rsid w:val="2C723060"/>
    <w:rsid w:val="2C732934"/>
    <w:rsid w:val="2C7D62A3"/>
    <w:rsid w:val="2C7F39CF"/>
    <w:rsid w:val="2C7F752B"/>
    <w:rsid w:val="2C815051"/>
    <w:rsid w:val="2C840FE5"/>
    <w:rsid w:val="2C8608B9"/>
    <w:rsid w:val="2C8F6CA4"/>
    <w:rsid w:val="2C9034E6"/>
    <w:rsid w:val="2C923702"/>
    <w:rsid w:val="2C954FA0"/>
    <w:rsid w:val="2C9805ED"/>
    <w:rsid w:val="2C985B8A"/>
    <w:rsid w:val="2CA376BD"/>
    <w:rsid w:val="2CA82752"/>
    <w:rsid w:val="2CA86A82"/>
    <w:rsid w:val="2CA9478B"/>
    <w:rsid w:val="2CAE4A0E"/>
    <w:rsid w:val="2CB01DDA"/>
    <w:rsid w:val="2CB34EDA"/>
    <w:rsid w:val="2CB90C8F"/>
    <w:rsid w:val="2CBC252D"/>
    <w:rsid w:val="2CC213E0"/>
    <w:rsid w:val="2CC31B0E"/>
    <w:rsid w:val="2CC413E2"/>
    <w:rsid w:val="2CC633AC"/>
    <w:rsid w:val="2CC66F08"/>
    <w:rsid w:val="2CCE400E"/>
    <w:rsid w:val="2CD0422B"/>
    <w:rsid w:val="2CD17CC7"/>
    <w:rsid w:val="2CD45AC9"/>
    <w:rsid w:val="2CD629A7"/>
    <w:rsid w:val="2CD77367"/>
    <w:rsid w:val="2CD979CA"/>
    <w:rsid w:val="2CDD51B6"/>
    <w:rsid w:val="2CDF446E"/>
    <w:rsid w:val="2CDF621C"/>
    <w:rsid w:val="2CE101E6"/>
    <w:rsid w:val="2CE11F94"/>
    <w:rsid w:val="2CE455E0"/>
    <w:rsid w:val="2CE51A84"/>
    <w:rsid w:val="2CED52F7"/>
    <w:rsid w:val="2CF00429"/>
    <w:rsid w:val="2CF33A75"/>
    <w:rsid w:val="2CF4294C"/>
    <w:rsid w:val="2CF5641F"/>
    <w:rsid w:val="2CFC0B7C"/>
    <w:rsid w:val="2CFE48F4"/>
    <w:rsid w:val="2CFF066C"/>
    <w:rsid w:val="2D0143E4"/>
    <w:rsid w:val="2D0363AE"/>
    <w:rsid w:val="2D0A773C"/>
    <w:rsid w:val="2D0C4CA8"/>
    <w:rsid w:val="2D0D4B37"/>
    <w:rsid w:val="2D0D74BB"/>
    <w:rsid w:val="2D122D03"/>
    <w:rsid w:val="2D142369"/>
    <w:rsid w:val="2D151C3D"/>
    <w:rsid w:val="2D1934DC"/>
    <w:rsid w:val="2D197980"/>
    <w:rsid w:val="2D2325AC"/>
    <w:rsid w:val="2D232822"/>
    <w:rsid w:val="2D241E80"/>
    <w:rsid w:val="2D2A1671"/>
    <w:rsid w:val="2D2A393B"/>
    <w:rsid w:val="2D2A56E9"/>
    <w:rsid w:val="2D2D51D9"/>
    <w:rsid w:val="2D2E3032"/>
    <w:rsid w:val="2D306A77"/>
    <w:rsid w:val="2D360531"/>
    <w:rsid w:val="2D3622E0"/>
    <w:rsid w:val="2D3C366E"/>
    <w:rsid w:val="2D40315E"/>
    <w:rsid w:val="2D44064B"/>
    <w:rsid w:val="2D46184A"/>
    <w:rsid w:val="2D4B1056"/>
    <w:rsid w:val="2D4D405D"/>
    <w:rsid w:val="2D5B3AF4"/>
    <w:rsid w:val="2D616C31"/>
    <w:rsid w:val="2D6329A9"/>
    <w:rsid w:val="2D6741DC"/>
    <w:rsid w:val="2D675E34"/>
    <w:rsid w:val="2D687AB5"/>
    <w:rsid w:val="2D6C1150"/>
    <w:rsid w:val="2D6E3085"/>
    <w:rsid w:val="2D6F5C56"/>
    <w:rsid w:val="2D71156A"/>
    <w:rsid w:val="2D720E3E"/>
    <w:rsid w:val="2D76092E"/>
    <w:rsid w:val="2D766B80"/>
    <w:rsid w:val="2D793729"/>
    <w:rsid w:val="2D796670"/>
    <w:rsid w:val="2D7B7EC6"/>
    <w:rsid w:val="2D7C1CBC"/>
    <w:rsid w:val="2D7F400A"/>
    <w:rsid w:val="2D8377D6"/>
    <w:rsid w:val="2D8A43D9"/>
    <w:rsid w:val="2D8C0151"/>
    <w:rsid w:val="2D8D5C78"/>
    <w:rsid w:val="2D9139BA"/>
    <w:rsid w:val="2D940DB4"/>
    <w:rsid w:val="2D945258"/>
    <w:rsid w:val="2D956126"/>
    <w:rsid w:val="2D960FD0"/>
    <w:rsid w:val="2D9B6B06"/>
    <w:rsid w:val="2D9E56F5"/>
    <w:rsid w:val="2D9E60D7"/>
    <w:rsid w:val="2DA03BFD"/>
    <w:rsid w:val="2DA15F14"/>
    <w:rsid w:val="2DA3549B"/>
    <w:rsid w:val="2DA37249"/>
    <w:rsid w:val="2DAA4A7C"/>
    <w:rsid w:val="2DAC07F4"/>
    <w:rsid w:val="2DAC392E"/>
    <w:rsid w:val="2DAF3E40"/>
    <w:rsid w:val="2DB43204"/>
    <w:rsid w:val="2DB444AD"/>
    <w:rsid w:val="2DB50944"/>
    <w:rsid w:val="2DB80F46"/>
    <w:rsid w:val="2DBD655D"/>
    <w:rsid w:val="2DBF4B12"/>
    <w:rsid w:val="2DC0604D"/>
    <w:rsid w:val="2DC23B73"/>
    <w:rsid w:val="2DC41EB4"/>
    <w:rsid w:val="2DCC288B"/>
    <w:rsid w:val="2DCD775F"/>
    <w:rsid w:val="2DCE2518"/>
    <w:rsid w:val="2DCF003E"/>
    <w:rsid w:val="2DD11160"/>
    <w:rsid w:val="2DD37B2E"/>
    <w:rsid w:val="2DD65871"/>
    <w:rsid w:val="2DE27D71"/>
    <w:rsid w:val="2DE57862"/>
    <w:rsid w:val="2DE7182C"/>
    <w:rsid w:val="2DE735DA"/>
    <w:rsid w:val="2DE75388"/>
    <w:rsid w:val="2DEA30CA"/>
    <w:rsid w:val="2DED7260"/>
    <w:rsid w:val="2DF06932"/>
    <w:rsid w:val="2DF45CF7"/>
    <w:rsid w:val="2DF6381D"/>
    <w:rsid w:val="2DF8162E"/>
    <w:rsid w:val="2DF91E34"/>
    <w:rsid w:val="2DFA1A5F"/>
    <w:rsid w:val="2DFA44A9"/>
    <w:rsid w:val="2DFB52D7"/>
    <w:rsid w:val="2DFC7FAF"/>
    <w:rsid w:val="2DFE26D1"/>
    <w:rsid w:val="2E00644A"/>
    <w:rsid w:val="2E075A2A"/>
    <w:rsid w:val="2E087164"/>
    <w:rsid w:val="2E0A551A"/>
    <w:rsid w:val="2E0E0B66"/>
    <w:rsid w:val="2E0E23C4"/>
    <w:rsid w:val="2E0E6A8A"/>
    <w:rsid w:val="2E0F48DF"/>
    <w:rsid w:val="2E114AFB"/>
    <w:rsid w:val="2E126FD1"/>
    <w:rsid w:val="2E150147"/>
    <w:rsid w:val="2E162111"/>
    <w:rsid w:val="2E187C37"/>
    <w:rsid w:val="2E1B14D5"/>
    <w:rsid w:val="2E1B2739"/>
    <w:rsid w:val="2E1D6FFC"/>
    <w:rsid w:val="2E2110EE"/>
    <w:rsid w:val="2E233B01"/>
    <w:rsid w:val="2E262354"/>
    <w:rsid w:val="2E291E44"/>
    <w:rsid w:val="2E2959A0"/>
    <w:rsid w:val="2E3432FA"/>
    <w:rsid w:val="2E382087"/>
    <w:rsid w:val="2E385BE3"/>
    <w:rsid w:val="2E41718E"/>
    <w:rsid w:val="2E456552"/>
    <w:rsid w:val="2E467D94"/>
    <w:rsid w:val="2E47051C"/>
    <w:rsid w:val="2E4918A3"/>
    <w:rsid w:val="2E491A3F"/>
    <w:rsid w:val="2E495111"/>
    <w:rsid w:val="2E496043"/>
    <w:rsid w:val="2E4C5B33"/>
    <w:rsid w:val="2E4E18AB"/>
    <w:rsid w:val="2E552C39"/>
    <w:rsid w:val="2E564E78"/>
    <w:rsid w:val="2E575575"/>
    <w:rsid w:val="2E586286"/>
    <w:rsid w:val="2E5C29D6"/>
    <w:rsid w:val="2E6030FC"/>
    <w:rsid w:val="2E615AD6"/>
    <w:rsid w:val="2E6305ED"/>
    <w:rsid w:val="2E632643"/>
    <w:rsid w:val="2E6469D8"/>
    <w:rsid w:val="2E652751"/>
    <w:rsid w:val="2E6609A2"/>
    <w:rsid w:val="2E667F96"/>
    <w:rsid w:val="2E6A29EF"/>
    <w:rsid w:val="2E6B53DA"/>
    <w:rsid w:val="2E7009A8"/>
    <w:rsid w:val="2E734E6D"/>
    <w:rsid w:val="2E744143"/>
    <w:rsid w:val="2E772BB0"/>
    <w:rsid w:val="2E7806D6"/>
    <w:rsid w:val="2E7A26A0"/>
    <w:rsid w:val="2E7A444E"/>
    <w:rsid w:val="2E7D3F3E"/>
    <w:rsid w:val="2E8226AB"/>
    <w:rsid w:val="2E8227CF"/>
    <w:rsid w:val="2E8250B1"/>
    <w:rsid w:val="2E840E29"/>
    <w:rsid w:val="2E857DAE"/>
    <w:rsid w:val="2E860B9A"/>
    <w:rsid w:val="2E864BA1"/>
    <w:rsid w:val="2E8D2118"/>
    <w:rsid w:val="2E8E1840"/>
    <w:rsid w:val="2E8E6402"/>
    <w:rsid w:val="2E923CDF"/>
    <w:rsid w:val="2E933762"/>
    <w:rsid w:val="2E953036"/>
    <w:rsid w:val="2E975000"/>
    <w:rsid w:val="2E9848D4"/>
    <w:rsid w:val="2E9A064C"/>
    <w:rsid w:val="2E9A689E"/>
    <w:rsid w:val="2EA119DB"/>
    <w:rsid w:val="2EA27501"/>
    <w:rsid w:val="2EA414CB"/>
    <w:rsid w:val="2EA65243"/>
    <w:rsid w:val="2EA66889"/>
    <w:rsid w:val="2EAC6529"/>
    <w:rsid w:val="2EAD1279"/>
    <w:rsid w:val="2EB0560C"/>
    <w:rsid w:val="2EB711FE"/>
    <w:rsid w:val="2EB86D24"/>
    <w:rsid w:val="2EBC05C2"/>
    <w:rsid w:val="2EBE7D5C"/>
    <w:rsid w:val="2EBF6305"/>
    <w:rsid w:val="2EC42C7A"/>
    <w:rsid w:val="2EC4391B"/>
    <w:rsid w:val="2EC61441"/>
    <w:rsid w:val="2EC9206D"/>
    <w:rsid w:val="2EC9779A"/>
    <w:rsid w:val="2ECB2EFB"/>
    <w:rsid w:val="2ECB4CA9"/>
    <w:rsid w:val="2ECB6A58"/>
    <w:rsid w:val="2ED075DC"/>
    <w:rsid w:val="2ED1017B"/>
    <w:rsid w:val="2ED173BC"/>
    <w:rsid w:val="2ED27B43"/>
    <w:rsid w:val="2ED33B5E"/>
    <w:rsid w:val="2ED74EEA"/>
    <w:rsid w:val="2EDB31E4"/>
    <w:rsid w:val="2EE31FF3"/>
    <w:rsid w:val="2EE443DB"/>
    <w:rsid w:val="2EE52969"/>
    <w:rsid w:val="2EE63891"/>
    <w:rsid w:val="2EEB0EA8"/>
    <w:rsid w:val="2EED2E72"/>
    <w:rsid w:val="2EED3A57"/>
    <w:rsid w:val="2EEE4F05"/>
    <w:rsid w:val="2EF00A95"/>
    <w:rsid w:val="2EF02962"/>
    <w:rsid w:val="2EF04710"/>
    <w:rsid w:val="2EF0571D"/>
    <w:rsid w:val="2EF139C1"/>
    <w:rsid w:val="2EF17594"/>
    <w:rsid w:val="2EF35FAE"/>
    <w:rsid w:val="2EF835C5"/>
    <w:rsid w:val="2EF96879"/>
    <w:rsid w:val="2EFF2BA5"/>
    <w:rsid w:val="2F0361F1"/>
    <w:rsid w:val="2F0B142F"/>
    <w:rsid w:val="2F0B154A"/>
    <w:rsid w:val="2F0C08F6"/>
    <w:rsid w:val="2F10029A"/>
    <w:rsid w:val="2F1D6BCC"/>
    <w:rsid w:val="2F21465F"/>
    <w:rsid w:val="2F236894"/>
    <w:rsid w:val="2F2801E8"/>
    <w:rsid w:val="2F2F5238"/>
    <w:rsid w:val="2F300FB0"/>
    <w:rsid w:val="2F37233F"/>
    <w:rsid w:val="2F391C13"/>
    <w:rsid w:val="2F3A598B"/>
    <w:rsid w:val="2F3D0CEE"/>
    <w:rsid w:val="2F3E191F"/>
    <w:rsid w:val="2F3E7D67"/>
    <w:rsid w:val="2F407445"/>
    <w:rsid w:val="2F45680A"/>
    <w:rsid w:val="2F464330"/>
    <w:rsid w:val="2F4777A0"/>
    <w:rsid w:val="2F48454C"/>
    <w:rsid w:val="2F4862FA"/>
    <w:rsid w:val="2F4B6883"/>
    <w:rsid w:val="2F4F461B"/>
    <w:rsid w:val="2F5051AF"/>
    <w:rsid w:val="2F511653"/>
    <w:rsid w:val="2F57027C"/>
    <w:rsid w:val="2F575600"/>
    <w:rsid w:val="2F57653D"/>
    <w:rsid w:val="2F594063"/>
    <w:rsid w:val="2F5C7FF7"/>
    <w:rsid w:val="2F5E78CC"/>
    <w:rsid w:val="2F64740E"/>
    <w:rsid w:val="2F697244"/>
    <w:rsid w:val="2F6A001E"/>
    <w:rsid w:val="2F6A44C2"/>
    <w:rsid w:val="2F6B12EF"/>
    <w:rsid w:val="2F6D7B0F"/>
    <w:rsid w:val="2F723377"/>
    <w:rsid w:val="2F792957"/>
    <w:rsid w:val="2F7B742E"/>
    <w:rsid w:val="2F7C41F6"/>
    <w:rsid w:val="2F7D4F4A"/>
    <w:rsid w:val="2F832C79"/>
    <w:rsid w:val="2F863070"/>
    <w:rsid w:val="2F866E22"/>
    <w:rsid w:val="2F882B9B"/>
    <w:rsid w:val="2F8C268B"/>
    <w:rsid w:val="2F8F4328"/>
    <w:rsid w:val="2F9627A7"/>
    <w:rsid w:val="2F9652B7"/>
    <w:rsid w:val="2F967EFE"/>
    <w:rsid w:val="2F9D4288"/>
    <w:rsid w:val="2F9E416C"/>
    <w:rsid w:val="2FA15A0A"/>
    <w:rsid w:val="2FA554FB"/>
    <w:rsid w:val="2FA76FD1"/>
    <w:rsid w:val="2FAA0D63"/>
    <w:rsid w:val="2FAD5FC1"/>
    <w:rsid w:val="2FAF1ED5"/>
    <w:rsid w:val="2FB43990"/>
    <w:rsid w:val="2FB4573E"/>
    <w:rsid w:val="2FB67708"/>
    <w:rsid w:val="2FBC2844"/>
    <w:rsid w:val="2FBC62A5"/>
    <w:rsid w:val="2FC00586"/>
    <w:rsid w:val="2FC02334"/>
    <w:rsid w:val="2FC30453"/>
    <w:rsid w:val="2FC35981"/>
    <w:rsid w:val="2FC75471"/>
    <w:rsid w:val="2FC82F97"/>
    <w:rsid w:val="2FCC2A87"/>
    <w:rsid w:val="2FD333E4"/>
    <w:rsid w:val="2FD45DE0"/>
    <w:rsid w:val="2FD64419"/>
    <w:rsid w:val="2FD7142C"/>
    <w:rsid w:val="2FD8767E"/>
    <w:rsid w:val="2FDD2EE6"/>
    <w:rsid w:val="2FDD4C94"/>
    <w:rsid w:val="2FDE33B6"/>
    <w:rsid w:val="2FDE58A3"/>
    <w:rsid w:val="2FDF1D04"/>
    <w:rsid w:val="2FE06533"/>
    <w:rsid w:val="2FE14059"/>
    <w:rsid w:val="2FE20407"/>
    <w:rsid w:val="2FE57FED"/>
    <w:rsid w:val="2FE74788"/>
    <w:rsid w:val="2FEC70E6"/>
    <w:rsid w:val="2FED29FE"/>
    <w:rsid w:val="2FEE50F3"/>
    <w:rsid w:val="2FEF2D58"/>
    <w:rsid w:val="2FEF6776"/>
    <w:rsid w:val="2FF2263C"/>
    <w:rsid w:val="2FF344B8"/>
    <w:rsid w:val="2FF36512"/>
    <w:rsid w:val="2FF507E6"/>
    <w:rsid w:val="2FF74010"/>
    <w:rsid w:val="2FFB15BE"/>
    <w:rsid w:val="2FFD0DFC"/>
    <w:rsid w:val="3002033D"/>
    <w:rsid w:val="30030473"/>
    <w:rsid w:val="300541EB"/>
    <w:rsid w:val="30077F63"/>
    <w:rsid w:val="300F0BC6"/>
    <w:rsid w:val="300F506A"/>
    <w:rsid w:val="3014442E"/>
    <w:rsid w:val="30182170"/>
    <w:rsid w:val="30194826"/>
    <w:rsid w:val="301B5877"/>
    <w:rsid w:val="301F52AD"/>
    <w:rsid w:val="302503E9"/>
    <w:rsid w:val="302723B3"/>
    <w:rsid w:val="30297EDA"/>
    <w:rsid w:val="302A5A00"/>
    <w:rsid w:val="302C79CA"/>
    <w:rsid w:val="3031256B"/>
    <w:rsid w:val="30354AD0"/>
    <w:rsid w:val="303648CF"/>
    <w:rsid w:val="303C4D07"/>
    <w:rsid w:val="303D7627"/>
    <w:rsid w:val="30416A1A"/>
    <w:rsid w:val="30422D49"/>
    <w:rsid w:val="3042552E"/>
    <w:rsid w:val="30426B0F"/>
    <w:rsid w:val="30443C64"/>
    <w:rsid w:val="30444D13"/>
    <w:rsid w:val="304A7E50"/>
    <w:rsid w:val="304E0CC8"/>
    <w:rsid w:val="305331A8"/>
    <w:rsid w:val="30542A7D"/>
    <w:rsid w:val="305558AE"/>
    <w:rsid w:val="3056544F"/>
    <w:rsid w:val="305667F5"/>
    <w:rsid w:val="30580BC9"/>
    <w:rsid w:val="30590093"/>
    <w:rsid w:val="305F1B4D"/>
    <w:rsid w:val="30657FDD"/>
    <w:rsid w:val="30676C54"/>
    <w:rsid w:val="3069477A"/>
    <w:rsid w:val="306B688E"/>
    <w:rsid w:val="306C6018"/>
    <w:rsid w:val="306E3B3E"/>
    <w:rsid w:val="30711881"/>
    <w:rsid w:val="3071362F"/>
    <w:rsid w:val="30731155"/>
    <w:rsid w:val="30734518"/>
    <w:rsid w:val="307373A7"/>
    <w:rsid w:val="3075311F"/>
    <w:rsid w:val="307750E9"/>
    <w:rsid w:val="30785D29"/>
    <w:rsid w:val="307D6477"/>
    <w:rsid w:val="307E5655"/>
    <w:rsid w:val="30845298"/>
    <w:rsid w:val="30845E67"/>
    <w:rsid w:val="30872E52"/>
    <w:rsid w:val="308B2942"/>
    <w:rsid w:val="308C311F"/>
    <w:rsid w:val="308D68F9"/>
    <w:rsid w:val="308E41E1"/>
    <w:rsid w:val="30915A7F"/>
    <w:rsid w:val="309335A5"/>
    <w:rsid w:val="3095731D"/>
    <w:rsid w:val="30963095"/>
    <w:rsid w:val="309655D5"/>
    <w:rsid w:val="309A0DD7"/>
    <w:rsid w:val="309A2B85"/>
    <w:rsid w:val="309B1AA0"/>
    <w:rsid w:val="309D5228"/>
    <w:rsid w:val="309D7A75"/>
    <w:rsid w:val="309F4922"/>
    <w:rsid w:val="30A003C2"/>
    <w:rsid w:val="30A457B2"/>
    <w:rsid w:val="30A71AE3"/>
    <w:rsid w:val="30A9726C"/>
    <w:rsid w:val="30AA3AD7"/>
    <w:rsid w:val="30AC4667"/>
    <w:rsid w:val="30B33C47"/>
    <w:rsid w:val="30BC6FA0"/>
    <w:rsid w:val="30BF083E"/>
    <w:rsid w:val="30BF25EC"/>
    <w:rsid w:val="30C11F27"/>
    <w:rsid w:val="30C20CB2"/>
    <w:rsid w:val="30C220DC"/>
    <w:rsid w:val="30C419B0"/>
    <w:rsid w:val="30C41C15"/>
    <w:rsid w:val="30C81950"/>
    <w:rsid w:val="30C9346B"/>
    <w:rsid w:val="30CE0A81"/>
    <w:rsid w:val="30D065A7"/>
    <w:rsid w:val="30D75B88"/>
    <w:rsid w:val="30D81136"/>
    <w:rsid w:val="30D81900"/>
    <w:rsid w:val="30DA5678"/>
    <w:rsid w:val="30DA6B89"/>
    <w:rsid w:val="30DB70E1"/>
    <w:rsid w:val="30DC4672"/>
    <w:rsid w:val="30E16A06"/>
    <w:rsid w:val="30E327D8"/>
    <w:rsid w:val="30E3452C"/>
    <w:rsid w:val="30E66E9D"/>
    <w:rsid w:val="30EB4A3B"/>
    <w:rsid w:val="30F54260"/>
    <w:rsid w:val="30F77FD8"/>
    <w:rsid w:val="30F87556"/>
    <w:rsid w:val="3102072B"/>
    <w:rsid w:val="31032463"/>
    <w:rsid w:val="310426F5"/>
    <w:rsid w:val="310D15A9"/>
    <w:rsid w:val="310E0E7D"/>
    <w:rsid w:val="31181346"/>
    <w:rsid w:val="31181417"/>
    <w:rsid w:val="31184CE2"/>
    <w:rsid w:val="311A7304"/>
    <w:rsid w:val="311B250B"/>
    <w:rsid w:val="311E2ED7"/>
    <w:rsid w:val="31216E03"/>
    <w:rsid w:val="3126266B"/>
    <w:rsid w:val="31280191"/>
    <w:rsid w:val="313158C4"/>
    <w:rsid w:val="313759B1"/>
    <w:rsid w:val="313775D5"/>
    <w:rsid w:val="313C3C3D"/>
    <w:rsid w:val="313E5C55"/>
    <w:rsid w:val="31410A42"/>
    <w:rsid w:val="31411253"/>
    <w:rsid w:val="314A1279"/>
    <w:rsid w:val="314B0324"/>
    <w:rsid w:val="315076E8"/>
    <w:rsid w:val="315216B2"/>
    <w:rsid w:val="31570A76"/>
    <w:rsid w:val="315A40C3"/>
    <w:rsid w:val="315C42DF"/>
    <w:rsid w:val="315C449C"/>
    <w:rsid w:val="315E0057"/>
    <w:rsid w:val="31623C66"/>
    <w:rsid w:val="316373A4"/>
    <w:rsid w:val="31644F41"/>
    <w:rsid w:val="31660CB9"/>
    <w:rsid w:val="31677457"/>
    <w:rsid w:val="316867E0"/>
    <w:rsid w:val="316D33DC"/>
    <w:rsid w:val="316E7B6E"/>
    <w:rsid w:val="31750EFD"/>
    <w:rsid w:val="317A4765"/>
    <w:rsid w:val="317C484D"/>
    <w:rsid w:val="317E6003"/>
    <w:rsid w:val="317F1D7B"/>
    <w:rsid w:val="317F1F89"/>
    <w:rsid w:val="31813D45"/>
    <w:rsid w:val="31864EB8"/>
    <w:rsid w:val="318B0720"/>
    <w:rsid w:val="318B0BE0"/>
    <w:rsid w:val="318D6246"/>
    <w:rsid w:val="31943A79"/>
    <w:rsid w:val="31945827"/>
    <w:rsid w:val="319475D5"/>
    <w:rsid w:val="3195334D"/>
    <w:rsid w:val="3196684B"/>
    <w:rsid w:val="319677F1"/>
    <w:rsid w:val="31973569"/>
    <w:rsid w:val="31994BEB"/>
    <w:rsid w:val="319C292D"/>
    <w:rsid w:val="319E0453"/>
    <w:rsid w:val="31A31F0E"/>
    <w:rsid w:val="31A677D0"/>
    <w:rsid w:val="31AA07B4"/>
    <w:rsid w:val="31AB2B70"/>
    <w:rsid w:val="31AD0696"/>
    <w:rsid w:val="31AF2660"/>
    <w:rsid w:val="31AF440F"/>
    <w:rsid w:val="31B15DF8"/>
    <w:rsid w:val="31B4289A"/>
    <w:rsid w:val="31B45209"/>
    <w:rsid w:val="31B82709"/>
    <w:rsid w:val="31BF1AB8"/>
    <w:rsid w:val="31BF293A"/>
    <w:rsid w:val="31C12394"/>
    <w:rsid w:val="31C14A09"/>
    <w:rsid w:val="31C2792F"/>
    <w:rsid w:val="31C9085B"/>
    <w:rsid w:val="31CB55CE"/>
    <w:rsid w:val="31CD0D39"/>
    <w:rsid w:val="31CF4AB1"/>
    <w:rsid w:val="31CF7994"/>
    <w:rsid w:val="31D16A7B"/>
    <w:rsid w:val="31D47C7D"/>
    <w:rsid w:val="31D67BED"/>
    <w:rsid w:val="31DA35B5"/>
    <w:rsid w:val="31DB3455"/>
    <w:rsid w:val="31DE6AA2"/>
    <w:rsid w:val="31E06CBE"/>
    <w:rsid w:val="31E27672"/>
    <w:rsid w:val="31E3055C"/>
    <w:rsid w:val="31E7004C"/>
    <w:rsid w:val="31E76BD8"/>
    <w:rsid w:val="31E83DC4"/>
    <w:rsid w:val="31E92154"/>
    <w:rsid w:val="31EC0C04"/>
    <w:rsid w:val="31EE33F5"/>
    <w:rsid w:val="31F11DA6"/>
    <w:rsid w:val="31F14A27"/>
    <w:rsid w:val="31F2254D"/>
    <w:rsid w:val="31F43832"/>
    <w:rsid w:val="31FB7654"/>
    <w:rsid w:val="31FD161E"/>
    <w:rsid w:val="3200110E"/>
    <w:rsid w:val="32036508"/>
    <w:rsid w:val="32087FC3"/>
    <w:rsid w:val="3209282E"/>
    <w:rsid w:val="32132BEF"/>
    <w:rsid w:val="321626E0"/>
    <w:rsid w:val="32193F7E"/>
    <w:rsid w:val="321D0063"/>
    <w:rsid w:val="32211625"/>
    <w:rsid w:val="32235006"/>
    <w:rsid w:val="32244DFC"/>
    <w:rsid w:val="32252923"/>
    <w:rsid w:val="3227669B"/>
    <w:rsid w:val="322841C1"/>
    <w:rsid w:val="322975E7"/>
    <w:rsid w:val="322C3CB1"/>
    <w:rsid w:val="322C5A5F"/>
    <w:rsid w:val="322F72FD"/>
    <w:rsid w:val="32320699"/>
    <w:rsid w:val="32342B66"/>
    <w:rsid w:val="32354694"/>
    <w:rsid w:val="3236068C"/>
    <w:rsid w:val="323D69CE"/>
    <w:rsid w:val="32400B34"/>
    <w:rsid w:val="32405B2A"/>
    <w:rsid w:val="324234D5"/>
    <w:rsid w:val="3244480E"/>
    <w:rsid w:val="32452FC5"/>
    <w:rsid w:val="32454D73"/>
    <w:rsid w:val="324616E0"/>
    <w:rsid w:val="324F5BF1"/>
    <w:rsid w:val="3251196A"/>
    <w:rsid w:val="3257626D"/>
    <w:rsid w:val="32586854"/>
    <w:rsid w:val="32591540"/>
    <w:rsid w:val="325A081E"/>
    <w:rsid w:val="325B78A5"/>
    <w:rsid w:val="326206E5"/>
    <w:rsid w:val="32621481"/>
    <w:rsid w:val="326275EE"/>
    <w:rsid w:val="326351F9"/>
    <w:rsid w:val="32650F71"/>
    <w:rsid w:val="3268280F"/>
    <w:rsid w:val="326A2A2B"/>
    <w:rsid w:val="326E26B3"/>
    <w:rsid w:val="32700042"/>
    <w:rsid w:val="32736FBC"/>
    <w:rsid w:val="32737B32"/>
    <w:rsid w:val="32747406"/>
    <w:rsid w:val="32763C07"/>
    <w:rsid w:val="32764F2C"/>
    <w:rsid w:val="327D450D"/>
    <w:rsid w:val="327D776A"/>
    <w:rsid w:val="32891103"/>
    <w:rsid w:val="328C0BF4"/>
    <w:rsid w:val="328D12A4"/>
    <w:rsid w:val="329516A0"/>
    <w:rsid w:val="32957AA8"/>
    <w:rsid w:val="32987598"/>
    <w:rsid w:val="32991471"/>
    <w:rsid w:val="329B2BE5"/>
    <w:rsid w:val="329C0D99"/>
    <w:rsid w:val="329E6876"/>
    <w:rsid w:val="32A2203A"/>
    <w:rsid w:val="32A25D21"/>
    <w:rsid w:val="32A32356"/>
    <w:rsid w:val="32A36D88"/>
    <w:rsid w:val="32A41A99"/>
    <w:rsid w:val="32A95302"/>
    <w:rsid w:val="32AA2E28"/>
    <w:rsid w:val="32AB72CC"/>
    <w:rsid w:val="32AD7A74"/>
    <w:rsid w:val="32AE46C6"/>
    <w:rsid w:val="32B36180"/>
    <w:rsid w:val="32B37F2E"/>
    <w:rsid w:val="32B53CA7"/>
    <w:rsid w:val="32B82A64"/>
    <w:rsid w:val="32B83797"/>
    <w:rsid w:val="32BF4133"/>
    <w:rsid w:val="32BF490D"/>
    <w:rsid w:val="32BF68D3"/>
    <w:rsid w:val="32C263C3"/>
    <w:rsid w:val="32C57C62"/>
    <w:rsid w:val="32C959A4"/>
    <w:rsid w:val="32CC1EED"/>
    <w:rsid w:val="32CE61B4"/>
    <w:rsid w:val="32D00AE0"/>
    <w:rsid w:val="32D0288E"/>
    <w:rsid w:val="32D560F7"/>
    <w:rsid w:val="32DA022E"/>
    <w:rsid w:val="32DA370D"/>
    <w:rsid w:val="32E26A66"/>
    <w:rsid w:val="32E4633A"/>
    <w:rsid w:val="32E75E2A"/>
    <w:rsid w:val="32E91BA2"/>
    <w:rsid w:val="32EB76C8"/>
    <w:rsid w:val="32F03BA4"/>
    <w:rsid w:val="32F04CDF"/>
    <w:rsid w:val="32F21E9F"/>
    <w:rsid w:val="32F26CA9"/>
    <w:rsid w:val="32F56799"/>
    <w:rsid w:val="32FB3683"/>
    <w:rsid w:val="32FD73FC"/>
    <w:rsid w:val="3301513E"/>
    <w:rsid w:val="33030EB6"/>
    <w:rsid w:val="33072028"/>
    <w:rsid w:val="330B7D6A"/>
    <w:rsid w:val="330C763F"/>
    <w:rsid w:val="330D3AE3"/>
    <w:rsid w:val="33114C55"/>
    <w:rsid w:val="33122EA7"/>
    <w:rsid w:val="33134E71"/>
    <w:rsid w:val="331574A2"/>
    <w:rsid w:val="331704BD"/>
    <w:rsid w:val="33184235"/>
    <w:rsid w:val="331A61FF"/>
    <w:rsid w:val="331C1F78"/>
    <w:rsid w:val="331D7A9E"/>
    <w:rsid w:val="332215E4"/>
    <w:rsid w:val="3326188F"/>
    <w:rsid w:val="33274D31"/>
    <w:rsid w:val="3328091C"/>
    <w:rsid w:val="332930F1"/>
    <w:rsid w:val="332D1A72"/>
    <w:rsid w:val="332D7CE1"/>
    <w:rsid w:val="332E4F6B"/>
    <w:rsid w:val="333029D5"/>
    <w:rsid w:val="33323549"/>
    <w:rsid w:val="333252F7"/>
    <w:rsid w:val="333463AB"/>
    <w:rsid w:val="33370B5F"/>
    <w:rsid w:val="33386686"/>
    <w:rsid w:val="33395BB8"/>
    <w:rsid w:val="333A258D"/>
    <w:rsid w:val="333C2951"/>
    <w:rsid w:val="333E1EEE"/>
    <w:rsid w:val="333E57F9"/>
    <w:rsid w:val="334119DE"/>
    <w:rsid w:val="33411B8F"/>
    <w:rsid w:val="33436869"/>
    <w:rsid w:val="33471F51"/>
    <w:rsid w:val="33475B4B"/>
    <w:rsid w:val="334943EF"/>
    <w:rsid w:val="33496E63"/>
    <w:rsid w:val="334B50BE"/>
    <w:rsid w:val="334D791B"/>
    <w:rsid w:val="335039CF"/>
    <w:rsid w:val="335214F5"/>
    <w:rsid w:val="335250DB"/>
    <w:rsid w:val="33541FD5"/>
    <w:rsid w:val="3358616F"/>
    <w:rsid w:val="33590AD6"/>
    <w:rsid w:val="335B4AF0"/>
    <w:rsid w:val="335B5AF2"/>
    <w:rsid w:val="335F1E64"/>
    <w:rsid w:val="3364747B"/>
    <w:rsid w:val="336B25B7"/>
    <w:rsid w:val="336E0927"/>
    <w:rsid w:val="33791178"/>
    <w:rsid w:val="33811DDB"/>
    <w:rsid w:val="33813B89"/>
    <w:rsid w:val="3381627F"/>
    <w:rsid w:val="3386325D"/>
    <w:rsid w:val="33866BEF"/>
    <w:rsid w:val="33882539"/>
    <w:rsid w:val="33896EE1"/>
    <w:rsid w:val="338B0EAB"/>
    <w:rsid w:val="338D4C23"/>
    <w:rsid w:val="338F274A"/>
    <w:rsid w:val="339128A9"/>
    <w:rsid w:val="3392223A"/>
    <w:rsid w:val="33953AD8"/>
    <w:rsid w:val="339E0BDF"/>
    <w:rsid w:val="33A1247D"/>
    <w:rsid w:val="33A7639F"/>
    <w:rsid w:val="33B201E6"/>
    <w:rsid w:val="33B2468A"/>
    <w:rsid w:val="33B91574"/>
    <w:rsid w:val="33BC0BBD"/>
    <w:rsid w:val="33C06DA7"/>
    <w:rsid w:val="33C10429"/>
    <w:rsid w:val="33C1710F"/>
    <w:rsid w:val="33C22CE8"/>
    <w:rsid w:val="33C30645"/>
    <w:rsid w:val="33C5571B"/>
    <w:rsid w:val="33C56012"/>
    <w:rsid w:val="33C5616B"/>
    <w:rsid w:val="33C63297"/>
    <w:rsid w:val="33CA587A"/>
    <w:rsid w:val="33CD6DCE"/>
    <w:rsid w:val="33CF2B46"/>
    <w:rsid w:val="33CF6FEA"/>
    <w:rsid w:val="33D771D0"/>
    <w:rsid w:val="33D934D4"/>
    <w:rsid w:val="33DC1707"/>
    <w:rsid w:val="33DF6B01"/>
    <w:rsid w:val="33E365F1"/>
    <w:rsid w:val="33E660E2"/>
    <w:rsid w:val="33ED121E"/>
    <w:rsid w:val="33F829BD"/>
    <w:rsid w:val="33F86541"/>
    <w:rsid w:val="33F9642F"/>
    <w:rsid w:val="33F97BC3"/>
    <w:rsid w:val="33FB1B8D"/>
    <w:rsid w:val="33FD7BDF"/>
    <w:rsid w:val="33FE2F6A"/>
    <w:rsid w:val="33FF738F"/>
    <w:rsid w:val="34013646"/>
    <w:rsid w:val="34056568"/>
    <w:rsid w:val="340824FC"/>
    <w:rsid w:val="340A0022"/>
    <w:rsid w:val="340F5638"/>
    <w:rsid w:val="3411315F"/>
    <w:rsid w:val="3414192E"/>
    <w:rsid w:val="34183525"/>
    <w:rsid w:val="34190265"/>
    <w:rsid w:val="341E24BB"/>
    <w:rsid w:val="341E7629"/>
    <w:rsid w:val="34207846"/>
    <w:rsid w:val="34232E92"/>
    <w:rsid w:val="34242FB6"/>
    <w:rsid w:val="34255B84"/>
    <w:rsid w:val="342563FC"/>
    <w:rsid w:val="342653A7"/>
    <w:rsid w:val="342866FA"/>
    <w:rsid w:val="342A4220"/>
    <w:rsid w:val="342C7F98"/>
    <w:rsid w:val="342E04CB"/>
    <w:rsid w:val="34313C5A"/>
    <w:rsid w:val="343155AF"/>
    <w:rsid w:val="3434509F"/>
    <w:rsid w:val="343614B1"/>
    <w:rsid w:val="34362BC5"/>
    <w:rsid w:val="343A5A3C"/>
    <w:rsid w:val="343B2D13"/>
    <w:rsid w:val="343E47B7"/>
    <w:rsid w:val="344057F2"/>
    <w:rsid w:val="34425A0E"/>
    <w:rsid w:val="34433534"/>
    <w:rsid w:val="34496D9C"/>
    <w:rsid w:val="3451678A"/>
    <w:rsid w:val="34563267"/>
    <w:rsid w:val="34565015"/>
    <w:rsid w:val="34574764"/>
    <w:rsid w:val="3457548F"/>
    <w:rsid w:val="345918E6"/>
    <w:rsid w:val="34592D57"/>
    <w:rsid w:val="345B087E"/>
    <w:rsid w:val="34627928"/>
    <w:rsid w:val="346534AA"/>
    <w:rsid w:val="34675474"/>
    <w:rsid w:val="34684D49"/>
    <w:rsid w:val="346911EC"/>
    <w:rsid w:val="34697195"/>
    <w:rsid w:val="346A286F"/>
    <w:rsid w:val="346A6D13"/>
    <w:rsid w:val="346E05B1"/>
    <w:rsid w:val="346E6803"/>
    <w:rsid w:val="346F60D7"/>
    <w:rsid w:val="34703677"/>
    <w:rsid w:val="34713BFD"/>
    <w:rsid w:val="347150DC"/>
    <w:rsid w:val="34727975"/>
    <w:rsid w:val="34761214"/>
    <w:rsid w:val="34796F56"/>
    <w:rsid w:val="347C1C67"/>
    <w:rsid w:val="347C3FD8"/>
    <w:rsid w:val="347D6A46"/>
    <w:rsid w:val="347E7F4E"/>
    <w:rsid w:val="347F27BE"/>
    <w:rsid w:val="34806536"/>
    <w:rsid w:val="34807019"/>
    <w:rsid w:val="3482325D"/>
    <w:rsid w:val="34825E0A"/>
    <w:rsid w:val="34872286"/>
    <w:rsid w:val="34880F47"/>
    <w:rsid w:val="34885C3B"/>
    <w:rsid w:val="3489363D"/>
    <w:rsid w:val="348A2F11"/>
    <w:rsid w:val="348E67B1"/>
    <w:rsid w:val="348F6779"/>
    <w:rsid w:val="34983880"/>
    <w:rsid w:val="349A13A6"/>
    <w:rsid w:val="349B2A17"/>
    <w:rsid w:val="349D49F2"/>
    <w:rsid w:val="349E6AC4"/>
    <w:rsid w:val="34A12BC5"/>
    <w:rsid w:val="34A31424"/>
    <w:rsid w:val="34AB35B3"/>
    <w:rsid w:val="34AC10D9"/>
    <w:rsid w:val="34AC732B"/>
    <w:rsid w:val="34AE07E1"/>
    <w:rsid w:val="34AE6BFF"/>
    <w:rsid w:val="34B042AD"/>
    <w:rsid w:val="34B34216"/>
    <w:rsid w:val="34B42CD7"/>
    <w:rsid w:val="34B47F8E"/>
    <w:rsid w:val="34B65AB4"/>
    <w:rsid w:val="34B85CD0"/>
    <w:rsid w:val="34BB30CA"/>
    <w:rsid w:val="34C208FD"/>
    <w:rsid w:val="34C401D1"/>
    <w:rsid w:val="34C75F13"/>
    <w:rsid w:val="34C943A5"/>
    <w:rsid w:val="34C957E7"/>
    <w:rsid w:val="34CB72FD"/>
    <w:rsid w:val="34CD748C"/>
    <w:rsid w:val="34CE091E"/>
    <w:rsid w:val="34CE72A2"/>
    <w:rsid w:val="34CE7CA8"/>
    <w:rsid w:val="34CF6B76"/>
    <w:rsid w:val="34D10B40"/>
    <w:rsid w:val="34DB0549"/>
    <w:rsid w:val="34DF500B"/>
    <w:rsid w:val="34E0563C"/>
    <w:rsid w:val="34E61774"/>
    <w:rsid w:val="34F43D78"/>
    <w:rsid w:val="34F5482E"/>
    <w:rsid w:val="34F565DC"/>
    <w:rsid w:val="34F82570"/>
    <w:rsid w:val="34F95023"/>
    <w:rsid w:val="34FA3BF3"/>
    <w:rsid w:val="34FB5395"/>
    <w:rsid w:val="34FD4E2A"/>
    <w:rsid w:val="35081F3D"/>
    <w:rsid w:val="350B5E00"/>
    <w:rsid w:val="350C3926"/>
    <w:rsid w:val="351006CF"/>
    <w:rsid w:val="35101668"/>
    <w:rsid w:val="35123632"/>
    <w:rsid w:val="35131158"/>
    <w:rsid w:val="351331F9"/>
    <w:rsid w:val="35145978"/>
    <w:rsid w:val="35147CD4"/>
    <w:rsid w:val="35161C05"/>
    <w:rsid w:val="351647A5"/>
    <w:rsid w:val="3518051D"/>
    <w:rsid w:val="351B4977"/>
    <w:rsid w:val="351B7162"/>
    <w:rsid w:val="35243365"/>
    <w:rsid w:val="352B31F5"/>
    <w:rsid w:val="352B532A"/>
    <w:rsid w:val="35344874"/>
    <w:rsid w:val="35352E7D"/>
    <w:rsid w:val="353A0493"/>
    <w:rsid w:val="353C420B"/>
    <w:rsid w:val="353F1F4D"/>
    <w:rsid w:val="35415CC5"/>
    <w:rsid w:val="35417A73"/>
    <w:rsid w:val="354237EC"/>
    <w:rsid w:val="35443D18"/>
    <w:rsid w:val="35447564"/>
    <w:rsid w:val="354F3EEC"/>
    <w:rsid w:val="35521C81"/>
    <w:rsid w:val="35523A2F"/>
    <w:rsid w:val="35527ED3"/>
    <w:rsid w:val="355341EC"/>
    <w:rsid w:val="355754E9"/>
    <w:rsid w:val="35586B6B"/>
    <w:rsid w:val="355A28E3"/>
    <w:rsid w:val="355C2A85"/>
    <w:rsid w:val="355C48AD"/>
    <w:rsid w:val="3560331F"/>
    <w:rsid w:val="35631901"/>
    <w:rsid w:val="35635719"/>
    <w:rsid w:val="35673502"/>
    <w:rsid w:val="356F59EC"/>
    <w:rsid w:val="35720A81"/>
    <w:rsid w:val="357339A5"/>
    <w:rsid w:val="357716E7"/>
    <w:rsid w:val="35777939"/>
    <w:rsid w:val="357A2F85"/>
    <w:rsid w:val="357A3B1C"/>
    <w:rsid w:val="357C0AAC"/>
    <w:rsid w:val="357F234A"/>
    <w:rsid w:val="3583008C"/>
    <w:rsid w:val="358856A2"/>
    <w:rsid w:val="358931C8"/>
    <w:rsid w:val="358C6024"/>
    <w:rsid w:val="359009FB"/>
    <w:rsid w:val="3591319B"/>
    <w:rsid w:val="35915BC6"/>
    <w:rsid w:val="35942299"/>
    <w:rsid w:val="35944047"/>
    <w:rsid w:val="35957DBF"/>
    <w:rsid w:val="359A53D6"/>
    <w:rsid w:val="359A63C0"/>
    <w:rsid w:val="359F64F2"/>
    <w:rsid w:val="35A239BC"/>
    <w:rsid w:val="35A46254"/>
    <w:rsid w:val="35A5691A"/>
    <w:rsid w:val="35A746CB"/>
    <w:rsid w:val="35AD6EB7"/>
    <w:rsid w:val="35AF70D3"/>
    <w:rsid w:val="35B069A7"/>
    <w:rsid w:val="35B21612"/>
    <w:rsid w:val="35B42802"/>
    <w:rsid w:val="35B93AAE"/>
    <w:rsid w:val="35BA15D4"/>
    <w:rsid w:val="35BC17F0"/>
    <w:rsid w:val="35BC70FA"/>
    <w:rsid w:val="35C0308E"/>
    <w:rsid w:val="35C04B91"/>
    <w:rsid w:val="35C366DA"/>
    <w:rsid w:val="35C83CF1"/>
    <w:rsid w:val="35C9101D"/>
    <w:rsid w:val="35C91817"/>
    <w:rsid w:val="35C97A69"/>
    <w:rsid w:val="35CB26F4"/>
    <w:rsid w:val="35CB558F"/>
    <w:rsid w:val="35CD1307"/>
    <w:rsid w:val="35CD2C98"/>
    <w:rsid w:val="35CE1DFE"/>
    <w:rsid w:val="35CF6816"/>
    <w:rsid w:val="35D501BC"/>
    <w:rsid w:val="35D7578A"/>
    <w:rsid w:val="35DB1D98"/>
    <w:rsid w:val="35DB7EC8"/>
    <w:rsid w:val="35DE52C2"/>
    <w:rsid w:val="35DF2C43"/>
    <w:rsid w:val="35DF2FB2"/>
    <w:rsid w:val="35E04660"/>
    <w:rsid w:val="35E328D9"/>
    <w:rsid w:val="35E34BD6"/>
    <w:rsid w:val="35E84393"/>
    <w:rsid w:val="35EA7D42"/>
    <w:rsid w:val="35EB5CD8"/>
    <w:rsid w:val="35EF127D"/>
    <w:rsid w:val="35EF4301"/>
    <w:rsid w:val="35EF74CF"/>
    <w:rsid w:val="35F24F62"/>
    <w:rsid w:val="35FB40C6"/>
    <w:rsid w:val="35FF348B"/>
    <w:rsid w:val="36015455"/>
    <w:rsid w:val="36037DA4"/>
    <w:rsid w:val="36074A7F"/>
    <w:rsid w:val="36080591"/>
    <w:rsid w:val="3608381A"/>
    <w:rsid w:val="360A2CA2"/>
    <w:rsid w:val="360F36CE"/>
    <w:rsid w:val="36115B96"/>
    <w:rsid w:val="36145188"/>
    <w:rsid w:val="36162CAE"/>
    <w:rsid w:val="36174C78"/>
    <w:rsid w:val="361909F0"/>
    <w:rsid w:val="361F444A"/>
    <w:rsid w:val="36251143"/>
    <w:rsid w:val="36251D24"/>
    <w:rsid w:val="362A0508"/>
    <w:rsid w:val="362A49AB"/>
    <w:rsid w:val="362C0724"/>
    <w:rsid w:val="362C2EF1"/>
    <w:rsid w:val="362F1FC2"/>
    <w:rsid w:val="36334DAD"/>
    <w:rsid w:val="36355F3E"/>
    <w:rsid w:val="36356EAC"/>
    <w:rsid w:val="36374158"/>
    <w:rsid w:val="36391D81"/>
    <w:rsid w:val="363B2715"/>
    <w:rsid w:val="363C023B"/>
    <w:rsid w:val="363D46DF"/>
    <w:rsid w:val="3643115A"/>
    <w:rsid w:val="36432478"/>
    <w:rsid w:val="364A2958"/>
    <w:rsid w:val="364F61C0"/>
    <w:rsid w:val="36530255"/>
    <w:rsid w:val="365437D6"/>
    <w:rsid w:val="36545584"/>
    <w:rsid w:val="365612FD"/>
    <w:rsid w:val="365732C7"/>
    <w:rsid w:val="365B4B65"/>
    <w:rsid w:val="365D6B2F"/>
    <w:rsid w:val="365E28A7"/>
    <w:rsid w:val="36614900"/>
    <w:rsid w:val="36617CA1"/>
    <w:rsid w:val="36653C36"/>
    <w:rsid w:val="36681030"/>
    <w:rsid w:val="366F76E7"/>
    <w:rsid w:val="367141CE"/>
    <w:rsid w:val="36723C5D"/>
    <w:rsid w:val="36745C27"/>
    <w:rsid w:val="367B6FB5"/>
    <w:rsid w:val="368045CB"/>
    <w:rsid w:val="368220F2"/>
    <w:rsid w:val="368340BC"/>
    <w:rsid w:val="36871691"/>
    <w:rsid w:val="3687277C"/>
    <w:rsid w:val="36891FCF"/>
    <w:rsid w:val="368D6CE8"/>
    <w:rsid w:val="369129F7"/>
    <w:rsid w:val="36917A59"/>
    <w:rsid w:val="36923549"/>
    <w:rsid w:val="36964EAD"/>
    <w:rsid w:val="36966D52"/>
    <w:rsid w:val="369736C3"/>
    <w:rsid w:val="3699743B"/>
    <w:rsid w:val="369C79BF"/>
    <w:rsid w:val="369D33CF"/>
    <w:rsid w:val="369E2CA4"/>
    <w:rsid w:val="36A21135"/>
    <w:rsid w:val="36A22794"/>
    <w:rsid w:val="36A71B58"/>
    <w:rsid w:val="36A858D0"/>
    <w:rsid w:val="36A91D74"/>
    <w:rsid w:val="36AC3C67"/>
    <w:rsid w:val="36B012BB"/>
    <w:rsid w:val="36B10C29"/>
    <w:rsid w:val="36B240C8"/>
    <w:rsid w:val="36B31729"/>
    <w:rsid w:val="36B60F67"/>
    <w:rsid w:val="36B727F9"/>
    <w:rsid w:val="36B75FBF"/>
    <w:rsid w:val="36BD312A"/>
    <w:rsid w:val="36C02C1A"/>
    <w:rsid w:val="36C47148"/>
    <w:rsid w:val="36C827C2"/>
    <w:rsid w:val="36C92B6B"/>
    <w:rsid w:val="36C97D20"/>
    <w:rsid w:val="36CA3A99"/>
    <w:rsid w:val="36CD6D52"/>
    <w:rsid w:val="36D42D35"/>
    <w:rsid w:val="36D466C5"/>
    <w:rsid w:val="36D93D4C"/>
    <w:rsid w:val="36DF5796"/>
    <w:rsid w:val="36E56B24"/>
    <w:rsid w:val="36E7464B"/>
    <w:rsid w:val="36E763F9"/>
    <w:rsid w:val="36E903C3"/>
    <w:rsid w:val="36E94D26"/>
    <w:rsid w:val="36EA57B9"/>
    <w:rsid w:val="36EE7787"/>
    <w:rsid w:val="36F01751"/>
    <w:rsid w:val="36F6488E"/>
    <w:rsid w:val="36F80606"/>
    <w:rsid w:val="36F8396F"/>
    <w:rsid w:val="36F96F40"/>
    <w:rsid w:val="36FB4891"/>
    <w:rsid w:val="37022B95"/>
    <w:rsid w:val="37076A9B"/>
    <w:rsid w:val="370C2D55"/>
    <w:rsid w:val="370C40B1"/>
    <w:rsid w:val="37103BA1"/>
    <w:rsid w:val="37107F95"/>
    <w:rsid w:val="37113475"/>
    <w:rsid w:val="37117919"/>
    <w:rsid w:val="37152F66"/>
    <w:rsid w:val="37160A8C"/>
    <w:rsid w:val="371A057C"/>
    <w:rsid w:val="371C0798"/>
    <w:rsid w:val="371F3DE4"/>
    <w:rsid w:val="37206361"/>
    <w:rsid w:val="37213AEB"/>
    <w:rsid w:val="37215DAE"/>
    <w:rsid w:val="37217B5C"/>
    <w:rsid w:val="372223AA"/>
    <w:rsid w:val="37226B12"/>
    <w:rsid w:val="37256F21"/>
    <w:rsid w:val="37257503"/>
    <w:rsid w:val="372633C5"/>
    <w:rsid w:val="372C4753"/>
    <w:rsid w:val="372E04CB"/>
    <w:rsid w:val="372E4C5F"/>
    <w:rsid w:val="372F1B4E"/>
    <w:rsid w:val="37305FF2"/>
    <w:rsid w:val="3733163E"/>
    <w:rsid w:val="373553B6"/>
    <w:rsid w:val="37355F41"/>
    <w:rsid w:val="37362EDC"/>
    <w:rsid w:val="373A4D44"/>
    <w:rsid w:val="373E2203"/>
    <w:rsid w:val="3744384B"/>
    <w:rsid w:val="374455F9"/>
    <w:rsid w:val="37461371"/>
    <w:rsid w:val="37465815"/>
    <w:rsid w:val="37465A08"/>
    <w:rsid w:val="3748158D"/>
    <w:rsid w:val="374A567A"/>
    <w:rsid w:val="374B2E2B"/>
    <w:rsid w:val="374B6987"/>
    <w:rsid w:val="37500442"/>
    <w:rsid w:val="37503F9E"/>
    <w:rsid w:val="375241BA"/>
    <w:rsid w:val="37544FE6"/>
    <w:rsid w:val="375515B4"/>
    <w:rsid w:val="37557806"/>
    <w:rsid w:val="375C3AD3"/>
    <w:rsid w:val="375F0685"/>
    <w:rsid w:val="37643EED"/>
    <w:rsid w:val="37667C65"/>
    <w:rsid w:val="376B6D2F"/>
    <w:rsid w:val="376E6B1A"/>
    <w:rsid w:val="376E73A5"/>
    <w:rsid w:val="37725830"/>
    <w:rsid w:val="37744822"/>
    <w:rsid w:val="37753A04"/>
    <w:rsid w:val="37760883"/>
    <w:rsid w:val="37773C20"/>
    <w:rsid w:val="377B23EA"/>
    <w:rsid w:val="377C1237"/>
    <w:rsid w:val="378123A9"/>
    <w:rsid w:val="378325C5"/>
    <w:rsid w:val="378679C0"/>
    <w:rsid w:val="378835C5"/>
    <w:rsid w:val="378B2B2A"/>
    <w:rsid w:val="378B3228"/>
    <w:rsid w:val="378E0F6A"/>
    <w:rsid w:val="378E4AC6"/>
    <w:rsid w:val="37904CE2"/>
    <w:rsid w:val="37920FAE"/>
    <w:rsid w:val="37932BB0"/>
    <w:rsid w:val="379775C4"/>
    <w:rsid w:val="37977BBC"/>
    <w:rsid w:val="37983B97"/>
    <w:rsid w:val="379929F5"/>
    <w:rsid w:val="379A346B"/>
    <w:rsid w:val="379B23DD"/>
    <w:rsid w:val="379E11AD"/>
    <w:rsid w:val="379E2D75"/>
    <w:rsid w:val="37A12A4B"/>
    <w:rsid w:val="37A442EA"/>
    <w:rsid w:val="37A662B4"/>
    <w:rsid w:val="37AB5678"/>
    <w:rsid w:val="37AE6F16"/>
    <w:rsid w:val="37B10249"/>
    <w:rsid w:val="37B54749"/>
    <w:rsid w:val="37B7226F"/>
    <w:rsid w:val="37B81B43"/>
    <w:rsid w:val="37B90489"/>
    <w:rsid w:val="37B95FE7"/>
    <w:rsid w:val="37BC1633"/>
    <w:rsid w:val="37BC5AD7"/>
    <w:rsid w:val="37C35B89"/>
    <w:rsid w:val="37C52C3A"/>
    <w:rsid w:val="37C64260"/>
    <w:rsid w:val="37C8622A"/>
    <w:rsid w:val="37C93D50"/>
    <w:rsid w:val="37CA21FC"/>
    <w:rsid w:val="37CD5B9C"/>
    <w:rsid w:val="37CE75B8"/>
    <w:rsid w:val="37D3697D"/>
    <w:rsid w:val="37D62295"/>
    <w:rsid w:val="37DA41AF"/>
    <w:rsid w:val="37DB0E61"/>
    <w:rsid w:val="37DE77FC"/>
    <w:rsid w:val="37E128C2"/>
    <w:rsid w:val="37EA43F2"/>
    <w:rsid w:val="37EB7526"/>
    <w:rsid w:val="37ED7A3F"/>
    <w:rsid w:val="37F012DD"/>
    <w:rsid w:val="37F4701F"/>
    <w:rsid w:val="37F54B45"/>
    <w:rsid w:val="37F76B0F"/>
    <w:rsid w:val="37FD02CD"/>
    <w:rsid w:val="37FE3BFC"/>
    <w:rsid w:val="37FE7E9E"/>
    <w:rsid w:val="38016B7B"/>
    <w:rsid w:val="38033706"/>
    <w:rsid w:val="380A4A95"/>
    <w:rsid w:val="380B6117"/>
    <w:rsid w:val="380D1E8F"/>
    <w:rsid w:val="38142250"/>
    <w:rsid w:val="38170F5F"/>
    <w:rsid w:val="38172D0E"/>
    <w:rsid w:val="38203594"/>
    <w:rsid w:val="38224237"/>
    <w:rsid w:val="3825542A"/>
    <w:rsid w:val="382611A3"/>
    <w:rsid w:val="382A7217"/>
    <w:rsid w:val="382B67B9"/>
    <w:rsid w:val="38303DA7"/>
    <w:rsid w:val="38305B7D"/>
    <w:rsid w:val="3831064E"/>
    <w:rsid w:val="38325D99"/>
    <w:rsid w:val="3834301C"/>
    <w:rsid w:val="38353194"/>
    <w:rsid w:val="3835486A"/>
    <w:rsid w:val="383A044D"/>
    <w:rsid w:val="383A69FC"/>
    <w:rsid w:val="38417D8A"/>
    <w:rsid w:val="384229DF"/>
    <w:rsid w:val="38425640"/>
    <w:rsid w:val="38431D54"/>
    <w:rsid w:val="384440D0"/>
    <w:rsid w:val="38467783"/>
    <w:rsid w:val="3848736B"/>
    <w:rsid w:val="384A30E3"/>
    <w:rsid w:val="384E4FBD"/>
    <w:rsid w:val="384F204E"/>
    <w:rsid w:val="384F24A7"/>
    <w:rsid w:val="38514471"/>
    <w:rsid w:val="38547ABE"/>
    <w:rsid w:val="385555E4"/>
    <w:rsid w:val="385664E5"/>
    <w:rsid w:val="386046B4"/>
    <w:rsid w:val="38635F53"/>
    <w:rsid w:val="38637D01"/>
    <w:rsid w:val="3864175C"/>
    <w:rsid w:val="38653A79"/>
    <w:rsid w:val="386D5023"/>
    <w:rsid w:val="386D6DD1"/>
    <w:rsid w:val="386F21F2"/>
    <w:rsid w:val="38726196"/>
    <w:rsid w:val="38743CBC"/>
    <w:rsid w:val="387463B2"/>
    <w:rsid w:val="3875408A"/>
    <w:rsid w:val="38763ED8"/>
    <w:rsid w:val="38787C50"/>
    <w:rsid w:val="387C0DC3"/>
    <w:rsid w:val="38855EC9"/>
    <w:rsid w:val="388F6D48"/>
    <w:rsid w:val="38912AC0"/>
    <w:rsid w:val="38926838"/>
    <w:rsid w:val="389425B0"/>
    <w:rsid w:val="38972D3F"/>
    <w:rsid w:val="38983E4E"/>
    <w:rsid w:val="38990E1F"/>
    <w:rsid w:val="389B393F"/>
    <w:rsid w:val="389B56ED"/>
    <w:rsid w:val="389F78EA"/>
    <w:rsid w:val="38A071A7"/>
    <w:rsid w:val="38A65E3F"/>
    <w:rsid w:val="38AA5930"/>
    <w:rsid w:val="38AC5B4C"/>
    <w:rsid w:val="38B22A36"/>
    <w:rsid w:val="38B40CAC"/>
    <w:rsid w:val="38B7004D"/>
    <w:rsid w:val="38B86F38"/>
    <w:rsid w:val="38B90459"/>
    <w:rsid w:val="38B927E7"/>
    <w:rsid w:val="38BA2623"/>
    <w:rsid w:val="38BB18EB"/>
    <w:rsid w:val="38BB2412"/>
    <w:rsid w:val="38BD1B07"/>
    <w:rsid w:val="38C35493"/>
    <w:rsid w:val="38C42E95"/>
    <w:rsid w:val="38CC3AF8"/>
    <w:rsid w:val="38CF35E8"/>
    <w:rsid w:val="38CF5396"/>
    <w:rsid w:val="38D0417E"/>
    <w:rsid w:val="38D1110E"/>
    <w:rsid w:val="38D62BC9"/>
    <w:rsid w:val="38DB4A34"/>
    <w:rsid w:val="38DC353B"/>
    <w:rsid w:val="38E057F5"/>
    <w:rsid w:val="38E075A3"/>
    <w:rsid w:val="38E452E6"/>
    <w:rsid w:val="38E86458"/>
    <w:rsid w:val="38E91D32"/>
    <w:rsid w:val="38E928FC"/>
    <w:rsid w:val="38E946AA"/>
    <w:rsid w:val="38EA21D0"/>
    <w:rsid w:val="38EC5F48"/>
    <w:rsid w:val="38EC7CF6"/>
    <w:rsid w:val="38EE040E"/>
    <w:rsid w:val="38F12CD3"/>
    <w:rsid w:val="38F1355F"/>
    <w:rsid w:val="38F44DFD"/>
    <w:rsid w:val="38F92413"/>
    <w:rsid w:val="38F94373"/>
    <w:rsid w:val="38F94775"/>
    <w:rsid w:val="38F972B9"/>
    <w:rsid w:val="38FF3A42"/>
    <w:rsid w:val="38FF3ECD"/>
    <w:rsid w:val="390246F3"/>
    <w:rsid w:val="39070FD4"/>
    <w:rsid w:val="39074B30"/>
    <w:rsid w:val="390B6245"/>
    <w:rsid w:val="391159AF"/>
    <w:rsid w:val="39162FC5"/>
    <w:rsid w:val="3919532C"/>
    <w:rsid w:val="391B05DB"/>
    <w:rsid w:val="391D4354"/>
    <w:rsid w:val="39203E44"/>
    <w:rsid w:val="39246EA0"/>
    <w:rsid w:val="39290F4A"/>
    <w:rsid w:val="392971ED"/>
    <w:rsid w:val="392F646B"/>
    <w:rsid w:val="39304C93"/>
    <w:rsid w:val="39311478"/>
    <w:rsid w:val="3938118D"/>
    <w:rsid w:val="393A3157"/>
    <w:rsid w:val="393D2C48"/>
    <w:rsid w:val="393F42CA"/>
    <w:rsid w:val="394051F8"/>
    <w:rsid w:val="39406294"/>
    <w:rsid w:val="394204F7"/>
    <w:rsid w:val="39461AFC"/>
    <w:rsid w:val="394C4C39"/>
    <w:rsid w:val="394D77FC"/>
    <w:rsid w:val="39504729"/>
    <w:rsid w:val="3953226C"/>
    <w:rsid w:val="3953286E"/>
    <w:rsid w:val="39535FC7"/>
    <w:rsid w:val="39551D3F"/>
    <w:rsid w:val="39561614"/>
    <w:rsid w:val="39567866"/>
    <w:rsid w:val="39581830"/>
    <w:rsid w:val="395A55A8"/>
    <w:rsid w:val="395D699C"/>
    <w:rsid w:val="39610843"/>
    <w:rsid w:val="39616936"/>
    <w:rsid w:val="3962620A"/>
    <w:rsid w:val="39641F82"/>
    <w:rsid w:val="39657AA9"/>
    <w:rsid w:val="39663F4D"/>
    <w:rsid w:val="39665CFB"/>
    <w:rsid w:val="39684404"/>
    <w:rsid w:val="396C0E37"/>
    <w:rsid w:val="39706B79"/>
    <w:rsid w:val="397321C6"/>
    <w:rsid w:val="39736669"/>
    <w:rsid w:val="397D3044"/>
    <w:rsid w:val="397D6458"/>
    <w:rsid w:val="397D70D7"/>
    <w:rsid w:val="39810D86"/>
    <w:rsid w:val="398114C3"/>
    <w:rsid w:val="3983274D"/>
    <w:rsid w:val="398B39B3"/>
    <w:rsid w:val="398B750F"/>
    <w:rsid w:val="398C14D9"/>
    <w:rsid w:val="398C590D"/>
    <w:rsid w:val="398E5251"/>
    <w:rsid w:val="399034BF"/>
    <w:rsid w:val="39906069"/>
    <w:rsid w:val="3995213C"/>
    <w:rsid w:val="399860D0"/>
    <w:rsid w:val="399C796E"/>
    <w:rsid w:val="399E319B"/>
    <w:rsid w:val="399F120C"/>
    <w:rsid w:val="39A14F85"/>
    <w:rsid w:val="39A63CD6"/>
    <w:rsid w:val="39A84565"/>
    <w:rsid w:val="39A86313"/>
    <w:rsid w:val="39A91C53"/>
    <w:rsid w:val="39AB2E16"/>
    <w:rsid w:val="39AE76A2"/>
    <w:rsid w:val="39B36A66"/>
    <w:rsid w:val="39BB514E"/>
    <w:rsid w:val="39BC1DBE"/>
    <w:rsid w:val="39BC591B"/>
    <w:rsid w:val="39BC70BE"/>
    <w:rsid w:val="39BD18DE"/>
    <w:rsid w:val="39CD5D7A"/>
    <w:rsid w:val="39CE3969"/>
    <w:rsid w:val="39D07613"/>
    <w:rsid w:val="39D30EB6"/>
    <w:rsid w:val="39D52E80"/>
    <w:rsid w:val="39D54C2E"/>
    <w:rsid w:val="39D569DC"/>
    <w:rsid w:val="39D64A99"/>
    <w:rsid w:val="39D709A6"/>
    <w:rsid w:val="39D70F13"/>
    <w:rsid w:val="39DA3FF3"/>
    <w:rsid w:val="39DE1D35"/>
    <w:rsid w:val="39DF6898"/>
    <w:rsid w:val="39E3559D"/>
    <w:rsid w:val="39E6508D"/>
    <w:rsid w:val="39E758BD"/>
    <w:rsid w:val="39E97DA8"/>
    <w:rsid w:val="39ED170C"/>
    <w:rsid w:val="39ED1F78"/>
    <w:rsid w:val="39F552D0"/>
    <w:rsid w:val="39F5707E"/>
    <w:rsid w:val="39F74BA5"/>
    <w:rsid w:val="39FA4695"/>
    <w:rsid w:val="3A03179B"/>
    <w:rsid w:val="3A06002D"/>
    <w:rsid w:val="3A064DE8"/>
    <w:rsid w:val="3A0A0C34"/>
    <w:rsid w:val="3A0A0D7C"/>
    <w:rsid w:val="3A0A2228"/>
    <w:rsid w:val="3A0B0650"/>
    <w:rsid w:val="3A10210A"/>
    <w:rsid w:val="3A103EB8"/>
    <w:rsid w:val="3A156272"/>
    <w:rsid w:val="3A1A4D37"/>
    <w:rsid w:val="3A1B12AC"/>
    <w:rsid w:val="3A1B478A"/>
    <w:rsid w:val="3A1C0AAF"/>
    <w:rsid w:val="3A1E073A"/>
    <w:rsid w:val="3A2160C5"/>
    <w:rsid w:val="3A255BB6"/>
    <w:rsid w:val="3A29194C"/>
    <w:rsid w:val="3A2B3AE8"/>
    <w:rsid w:val="3A2E4B81"/>
    <w:rsid w:val="3A2E7EAC"/>
    <w:rsid w:val="3A2F45EC"/>
    <w:rsid w:val="3A306308"/>
    <w:rsid w:val="3A325BDD"/>
    <w:rsid w:val="3A340FF7"/>
    <w:rsid w:val="3A377697"/>
    <w:rsid w:val="3A3F654C"/>
    <w:rsid w:val="3A40479E"/>
    <w:rsid w:val="3A410516"/>
    <w:rsid w:val="3A414072"/>
    <w:rsid w:val="3A437DEA"/>
    <w:rsid w:val="3A440893"/>
    <w:rsid w:val="3A445910"/>
    <w:rsid w:val="3A4464CC"/>
    <w:rsid w:val="3A465B2C"/>
    <w:rsid w:val="3A496293"/>
    <w:rsid w:val="3A4A1178"/>
    <w:rsid w:val="3A500DE0"/>
    <w:rsid w:val="3A53360C"/>
    <w:rsid w:val="3A5448AB"/>
    <w:rsid w:val="3A5706CA"/>
    <w:rsid w:val="3A571AE7"/>
    <w:rsid w:val="3A575643"/>
    <w:rsid w:val="3A581C37"/>
    <w:rsid w:val="3A59760D"/>
    <w:rsid w:val="3A5C70FE"/>
    <w:rsid w:val="3A5E2E76"/>
    <w:rsid w:val="3A663AD8"/>
    <w:rsid w:val="3A6A3F6F"/>
    <w:rsid w:val="3A6A6066"/>
    <w:rsid w:val="3A6B550B"/>
    <w:rsid w:val="3A751279"/>
    <w:rsid w:val="3A7B57D6"/>
    <w:rsid w:val="3A805456"/>
    <w:rsid w:val="3A830B2E"/>
    <w:rsid w:val="3A836438"/>
    <w:rsid w:val="3A84407A"/>
    <w:rsid w:val="3A8723CC"/>
    <w:rsid w:val="3A8839A7"/>
    <w:rsid w:val="3A887EF3"/>
    <w:rsid w:val="3A8B353F"/>
    <w:rsid w:val="3A8D6676"/>
    <w:rsid w:val="3A921CEB"/>
    <w:rsid w:val="3A971EE4"/>
    <w:rsid w:val="3A995C5C"/>
    <w:rsid w:val="3A9C574C"/>
    <w:rsid w:val="3A9D19CF"/>
    <w:rsid w:val="3A9D3032"/>
    <w:rsid w:val="3AA26176"/>
    <w:rsid w:val="3AA34D2C"/>
    <w:rsid w:val="3AA45590"/>
    <w:rsid w:val="3AA60379"/>
    <w:rsid w:val="3AA64BD0"/>
    <w:rsid w:val="3AA70E2C"/>
    <w:rsid w:val="3AA80482"/>
    <w:rsid w:val="3AAC1E33"/>
    <w:rsid w:val="3AAC3BE1"/>
    <w:rsid w:val="3AAD1707"/>
    <w:rsid w:val="3AB900AC"/>
    <w:rsid w:val="3ABC194A"/>
    <w:rsid w:val="3AC70A1B"/>
    <w:rsid w:val="3AC75A58"/>
    <w:rsid w:val="3ACA0928"/>
    <w:rsid w:val="3ACD736D"/>
    <w:rsid w:val="3ACF167E"/>
    <w:rsid w:val="3AD35612"/>
    <w:rsid w:val="3AD43138"/>
    <w:rsid w:val="3AD82C28"/>
    <w:rsid w:val="3AD849D6"/>
    <w:rsid w:val="3AD969A0"/>
    <w:rsid w:val="3ADA2030"/>
    <w:rsid w:val="3ADB0022"/>
    <w:rsid w:val="3ADE7B13"/>
    <w:rsid w:val="3AE07D2F"/>
    <w:rsid w:val="3AE315B0"/>
    <w:rsid w:val="3AE43338"/>
    <w:rsid w:val="3AE55345"/>
    <w:rsid w:val="3AE72E6B"/>
    <w:rsid w:val="3AE80991"/>
    <w:rsid w:val="3AE8291B"/>
    <w:rsid w:val="3AE852B6"/>
    <w:rsid w:val="3AE92834"/>
    <w:rsid w:val="3AEC0481"/>
    <w:rsid w:val="3AF61300"/>
    <w:rsid w:val="3AF92B9E"/>
    <w:rsid w:val="3AFD443D"/>
    <w:rsid w:val="3AFD4730"/>
    <w:rsid w:val="3AFD5E03"/>
    <w:rsid w:val="3AFD61EB"/>
    <w:rsid w:val="3B006923"/>
    <w:rsid w:val="3B007A89"/>
    <w:rsid w:val="3B047274"/>
    <w:rsid w:val="3B082DE1"/>
    <w:rsid w:val="3B111C96"/>
    <w:rsid w:val="3B113181"/>
    <w:rsid w:val="3B132EBB"/>
    <w:rsid w:val="3B1479D8"/>
    <w:rsid w:val="3B181276"/>
    <w:rsid w:val="3B191B5E"/>
    <w:rsid w:val="3B1A5974"/>
    <w:rsid w:val="3B1B0D67"/>
    <w:rsid w:val="3B1D688D"/>
    <w:rsid w:val="3B21695D"/>
    <w:rsid w:val="3B2319C9"/>
    <w:rsid w:val="3B236601"/>
    <w:rsid w:val="3B244DE4"/>
    <w:rsid w:val="3B2A0FAA"/>
    <w:rsid w:val="3B2B710B"/>
    <w:rsid w:val="3B2D1B96"/>
    <w:rsid w:val="3B2D5F51"/>
    <w:rsid w:val="3B2E26A9"/>
    <w:rsid w:val="3B2F036E"/>
    <w:rsid w:val="3B304812"/>
    <w:rsid w:val="3B3140E6"/>
    <w:rsid w:val="3B3167B3"/>
    <w:rsid w:val="3B31760D"/>
    <w:rsid w:val="3B345984"/>
    <w:rsid w:val="3B3763D1"/>
    <w:rsid w:val="3B3A49B5"/>
    <w:rsid w:val="3B3A743F"/>
    <w:rsid w:val="3B3D0CDD"/>
    <w:rsid w:val="3B3E4314"/>
    <w:rsid w:val="3B424545"/>
    <w:rsid w:val="3B4262F3"/>
    <w:rsid w:val="3B4406AD"/>
    <w:rsid w:val="3B451F73"/>
    <w:rsid w:val="3B4A1BD1"/>
    <w:rsid w:val="3B530501"/>
    <w:rsid w:val="3B5424B5"/>
    <w:rsid w:val="3B581673"/>
    <w:rsid w:val="3B5C3046"/>
    <w:rsid w:val="3B6444BC"/>
    <w:rsid w:val="3B6B3A9C"/>
    <w:rsid w:val="3B6D4F6B"/>
    <w:rsid w:val="3B6E0E96"/>
    <w:rsid w:val="3B712735"/>
    <w:rsid w:val="3B7346FF"/>
    <w:rsid w:val="3B787F67"/>
    <w:rsid w:val="3B7A5A8D"/>
    <w:rsid w:val="3B7F12F6"/>
    <w:rsid w:val="3B7F4E52"/>
    <w:rsid w:val="3B81506E"/>
    <w:rsid w:val="3B8839A9"/>
    <w:rsid w:val="3B89556C"/>
    <w:rsid w:val="3B8B7C9A"/>
    <w:rsid w:val="3B903503"/>
    <w:rsid w:val="3B905FB8"/>
    <w:rsid w:val="3B9308FD"/>
    <w:rsid w:val="3B974891"/>
    <w:rsid w:val="3B9823B7"/>
    <w:rsid w:val="3B9A7EDD"/>
    <w:rsid w:val="3B9F54F4"/>
    <w:rsid w:val="3BA1436A"/>
    <w:rsid w:val="3BA174BE"/>
    <w:rsid w:val="3BA35F47"/>
    <w:rsid w:val="3BA716DB"/>
    <w:rsid w:val="3BA90120"/>
    <w:rsid w:val="3BAB1B9C"/>
    <w:rsid w:val="3BAB20EB"/>
    <w:rsid w:val="3BAB3E99"/>
    <w:rsid w:val="3BAB7ADE"/>
    <w:rsid w:val="3BAC7C11"/>
    <w:rsid w:val="3BAE24DA"/>
    <w:rsid w:val="3BB014AF"/>
    <w:rsid w:val="3BB164CD"/>
    <w:rsid w:val="3BB865B6"/>
    <w:rsid w:val="3BB9344F"/>
    <w:rsid w:val="3BBF7944"/>
    <w:rsid w:val="3BC1190E"/>
    <w:rsid w:val="3BC136BC"/>
    <w:rsid w:val="3BC60CD2"/>
    <w:rsid w:val="3BCE7B87"/>
    <w:rsid w:val="3BD74C8E"/>
    <w:rsid w:val="3BD776DA"/>
    <w:rsid w:val="3BD80A06"/>
    <w:rsid w:val="3BD8351A"/>
    <w:rsid w:val="3BDA477E"/>
    <w:rsid w:val="3BDA652C"/>
    <w:rsid w:val="3BDC04F6"/>
    <w:rsid w:val="3BDC22A4"/>
    <w:rsid w:val="3BDF1D94"/>
    <w:rsid w:val="3BE63123"/>
    <w:rsid w:val="3BE70C49"/>
    <w:rsid w:val="3BEB0440"/>
    <w:rsid w:val="3BEE0229"/>
    <w:rsid w:val="3BF36DBD"/>
    <w:rsid w:val="3BF375EE"/>
    <w:rsid w:val="3BF84C04"/>
    <w:rsid w:val="3BFC46F4"/>
    <w:rsid w:val="3BFD046C"/>
    <w:rsid w:val="3C011D0B"/>
    <w:rsid w:val="3C0417FB"/>
    <w:rsid w:val="3C0637C5"/>
    <w:rsid w:val="3C070B8D"/>
    <w:rsid w:val="3C092C4F"/>
    <w:rsid w:val="3C1001A0"/>
    <w:rsid w:val="3C166A9C"/>
    <w:rsid w:val="3C1934F8"/>
    <w:rsid w:val="3C1F4887"/>
    <w:rsid w:val="3C1F6635"/>
    <w:rsid w:val="3C2459F9"/>
    <w:rsid w:val="3C2854E9"/>
    <w:rsid w:val="3C2D2B00"/>
    <w:rsid w:val="3C2E0626"/>
    <w:rsid w:val="3C300842"/>
    <w:rsid w:val="3C36222D"/>
    <w:rsid w:val="3C3A4B39"/>
    <w:rsid w:val="3C4165AB"/>
    <w:rsid w:val="3C432323"/>
    <w:rsid w:val="3C44609B"/>
    <w:rsid w:val="3C457059"/>
    <w:rsid w:val="3C4A1903"/>
    <w:rsid w:val="3C4D13F4"/>
    <w:rsid w:val="3C502C92"/>
    <w:rsid w:val="3C504A40"/>
    <w:rsid w:val="3C553E04"/>
    <w:rsid w:val="3C5A45CF"/>
    <w:rsid w:val="3C5C1637"/>
    <w:rsid w:val="3C5F4C83"/>
    <w:rsid w:val="3C6147D0"/>
    <w:rsid w:val="3C6179FE"/>
    <w:rsid w:val="3C6B3628"/>
    <w:rsid w:val="3C700C3E"/>
    <w:rsid w:val="3C7050E2"/>
    <w:rsid w:val="3C706E90"/>
    <w:rsid w:val="3C76094E"/>
    <w:rsid w:val="3C795D45"/>
    <w:rsid w:val="3C7B228A"/>
    <w:rsid w:val="3C7B3438"/>
    <w:rsid w:val="3C7C1760"/>
    <w:rsid w:val="3C7E0F10"/>
    <w:rsid w:val="3C7E4C3C"/>
    <w:rsid w:val="3C7F0E81"/>
    <w:rsid w:val="3C805325"/>
    <w:rsid w:val="3C8079E2"/>
    <w:rsid w:val="3C814BF9"/>
    <w:rsid w:val="3C8766A6"/>
    <w:rsid w:val="3C89024E"/>
    <w:rsid w:val="3C8B5A78"/>
    <w:rsid w:val="3C8C5DD5"/>
    <w:rsid w:val="3C9037B0"/>
    <w:rsid w:val="3C94492D"/>
    <w:rsid w:val="3C9618E6"/>
    <w:rsid w:val="3C971E70"/>
    <w:rsid w:val="3C990195"/>
    <w:rsid w:val="3C9C3DF5"/>
    <w:rsid w:val="3C9E1C4F"/>
    <w:rsid w:val="3CA164D5"/>
    <w:rsid w:val="3CA1704A"/>
    <w:rsid w:val="3CA31F01"/>
    <w:rsid w:val="3CA408E8"/>
    <w:rsid w:val="3CBB45AF"/>
    <w:rsid w:val="3CBC20D5"/>
    <w:rsid w:val="3CBE19AA"/>
    <w:rsid w:val="3CC03974"/>
    <w:rsid w:val="3CC05722"/>
    <w:rsid w:val="3CC316B6"/>
    <w:rsid w:val="3CC347D3"/>
    <w:rsid w:val="3CCA65A0"/>
    <w:rsid w:val="3CCD3C8C"/>
    <w:rsid w:val="3CCD6091"/>
    <w:rsid w:val="3CD236A7"/>
    <w:rsid w:val="3CD63197"/>
    <w:rsid w:val="3CDA245A"/>
    <w:rsid w:val="3CE05DC4"/>
    <w:rsid w:val="3CE37662"/>
    <w:rsid w:val="3CE4098F"/>
    <w:rsid w:val="3CE539F7"/>
    <w:rsid w:val="3CE7185D"/>
    <w:rsid w:val="3CE75BCC"/>
    <w:rsid w:val="3CEA4193"/>
    <w:rsid w:val="3CEA4A31"/>
    <w:rsid w:val="3CEC4769"/>
    <w:rsid w:val="3CED3259"/>
    <w:rsid w:val="3CEE0A37"/>
    <w:rsid w:val="3CF0711C"/>
    <w:rsid w:val="3CF47AC1"/>
    <w:rsid w:val="3CF67395"/>
    <w:rsid w:val="3CF7124B"/>
    <w:rsid w:val="3CF96E86"/>
    <w:rsid w:val="3CFA3924"/>
    <w:rsid w:val="3CFC735A"/>
    <w:rsid w:val="3CFE624A"/>
    <w:rsid w:val="3D011811"/>
    <w:rsid w:val="3D05582A"/>
    <w:rsid w:val="3D056A3F"/>
    <w:rsid w:val="3D0A64B2"/>
    <w:rsid w:val="3D0F48FB"/>
    <w:rsid w:val="3D10720F"/>
    <w:rsid w:val="3D112421"/>
    <w:rsid w:val="3D115F7D"/>
    <w:rsid w:val="3D18555E"/>
    <w:rsid w:val="3D1B3B06"/>
    <w:rsid w:val="3D2008B6"/>
    <w:rsid w:val="3D202664"/>
    <w:rsid w:val="3D204412"/>
    <w:rsid w:val="3D257C7B"/>
    <w:rsid w:val="3D2739C8"/>
    <w:rsid w:val="3D2739F3"/>
    <w:rsid w:val="3D2C1009"/>
    <w:rsid w:val="3D2C725B"/>
    <w:rsid w:val="3D2D11B0"/>
    <w:rsid w:val="3D2F0AF9"/>
    <w:rsid w:val="3D3035F9"/>
    <w:rsid w:val="3D344362"/>
    <w:rsid w:val="3D347EBE"/>
    <w:rsid w:val="3D363C36"/>
    <w:rsid w:val="3D3659E4"/>
    <w:rsid w:val="3D393726"/>
    <w:rsid w:val="3D4520CB"/>
    <w:rsid w:val="3D491BBB"/>
    <w:rsid w:val="3D4D6987"/>
    <w:rsid w:val="3D4E71D1"/>
    <w:rsid w:val="3D4F2F4A"/>
    <w:rsid w:val="3D50442D"/>
    <w:rsid w:val="3D566086"/>
    <w:rsid w:val="3D567E34"/>
    <w:rsid w:val="3D580050"/>
    <w:rsid w:val="3D581DFE"/>
    <w:rsid w:val="3D597924"/>
    <w:rsid w:val="3D5D11C3"/>
    <w:rsid w:val="3D605157"/>
    <w:rsid w:val="3D624A2B"/>
    <w:rsid w:val="3D6469F5"/>
    <w:rsid w:val="3D665228"/>
    <w:rsid w:val="3D670293"/>
    <w:rsid w:val="3D691975"/>
    <w:rsid w:val="3D69400B"/>
    <w:rsid w:val="3D6A7D83"/>
    <w:rsid w:val="3D6B6BFA"/>
    <w:rsid w:val="3D6D517E"/>
    <w:rsid w:val="3D6E33D0"/>
    <w:rsid w:val="3D736C38"/>
    <w:rsid w:val="3D747A54"/>
    <w:rsid w:val="3D766728"/>
    <w:rsid w:val="3D785FFC"/>
    <w:rsid w:val="3D7A26B1"/>
    <w:rsid w:val="3D7B5AED"/>
    <w:rsid w:val="3D7B789B"/>
    <w:rsid w:val="3D7D7F1F"/>
    <w:rsid w:val="3D7E17DF"/>
    <w:rsid w:val="3D7E687B"/>
    <w:rsid w:val="3D807852"/>
    <w:rsid w:val="3D842BF3"/>
    <w:rsid w:val="3D8726E3"/>
    <w:rsid w:val="3D87623F"/>
    <w:rsid w:val="3D89020A"/>
    <w:rsid w:val="3D913562"/>
    <w:rsid w:val="3D915310"/>
    <w:rsid w:val="3D923268"/>
    <w:rsid w:val="3D9A756D"/>
    <w:rsid w:val="3D9B618F"/>
    <w:rsid w:val="3D9C66F8"/>
    <w:rsid w:val="3DA167F8"/>
    <w:rsid w:val="3DA23C6B"/>
    <w:rsid w:val="3DA44081"/>
    <w:rsid w:val="3DA4758B"/>
    <w:rsid w:val="3DA47914"/>
    <w:rsid w:val="3DA54918"/>
    <w:rsid w:val="3DA6065E"/>
    <w:rsid w:val="3DA60DBB"/>
    <w:rsid w:val="3DA768E2"/>
    <w:rsid w:val="3DA86F6D"/>
    <w:rsid w:val="3DB12122"/>
    <w:rsid w:val="3DB3369B"/>
    <w:rsid w:val="3DBB238D"/>
    <w:rsid w:val="3DBC05DF"/>
    <w:rsid w:val="3DBC3A61"/>
    <w:rsid w:val="3DBD4357"/>
    <w:rsid w:val="3DBD7EB3"/>
    <w:rsid w:val="3DBF1E7D"/>
    <w:rsid w:val="3DC5623F"/>
    <w:rsid w:val="3DCE20C0"/>
    <w:rsid w:val="3DD31485"/>
    <w:rsid w:val="3DD516A1"/>
    <w:rsid w:val="3DD86A9B"/>
    <w:rsid w:val="3DDA0A65"/>
    <w:rsid w:val="3DDA6CB7"/>
    <w:rsid w:val="3DDD2303"/>
    <w:rsid w:val="3DE11078"/>
    <w:rsid w:val="3DE37306"/>
    <w:rsid w:val="3DE61E57"/>
    <w:rsid w:val="3DE62196"/>
    <w:rsid w:val="3DE73182"/>
    <w:rsid w:val="3DEB2C72"/>
    <w:rsid w:val="3DF064DB"/>
    <w:rsid w:val="3DF37D79"/>
    <w:rsid w:val="3DF77869"/>
    <w:rsid w:val="3DF96E3A"/>
    <w:rsid w:val="3DFC7B0B"/>
    <w:rsid w:val="3DFD29A6"/>
    <w:rsid w:val="3E0013C5"/>
    <w:rsid w:val="3E015FF2"/>
    <w:rsid w:val="3E02320C"/>
    <w:rsid w:val="3E03620E"/>
    <w:rsid w:val="3E083824"/>
    <w:rsid w:val="3E104487"/>
    <w:rsid w:val="3E1113DE"/>
    <w:rsid w:val="3E18333B"/>
    <w:rsid w:val="3E1A3557"/>
    <w:rsid w:val="3E1A5306"/>
    <w:rsid w:val="3E1A6DC1"/>
    <w:rsid w:val="3E1D0952"/>
    <w:rsid w:val="3E1D4DF6"/>
    <w:rsid w:val="3E1F291C"/>
    <w:rsid w:val="3E202556"/>
    <w:rsid w:val="3E23240C"/>
    <w:rsid w:val="3E241CE0"/>
    <w:rsid w:val="3E247F32"/>
    <w:rsid w:val="3E29379B"/>
    <w:rsid w:val="3E295549"/>
    <w:rsid w:val="3E2E7003"/>
    <w:rsid w:val="3E301242"/>
    <w:rsid w:val="3E304B29"/>
    <w:rsid w:val="3E3143FD"/>
    <w:rsid w:val="3E3144BE"/>
    <w:rsid w:val="3E377C66"/>
    <w:rsid w:val="3E3A106C"/>
    <w:rsid w:val="3E3A59A8"/>
    <w:rsid w:val="3E3B4094"/>
    <w:rsid w:val="3E3C4BA5"/>
    <w:rsid w:val="3E3D275E"/>
    <w:rsid w:val="3E3F6B1A"/>
    <w:rsid w:val="3E43485C"/>
    <w:rsid w:val="3E46434D"/>
    <w:rsid w:val="3E467DCB"/>
    <w:rsid w:val="3E4E4FAF"/>
    <w:rsid w:val="3E4F1453"/>
    <w:rsid w:val="3E4F1FA4"/>
    <w:rsid w:val="3E530817"/>
    <w:rsid w:val="3E564C85"/>
    <w:rsid w:val="3E566547"/>
    <w:rsid w:val="3E587BDC"/>
    <w:rsid w:val="3E5A3954"/>
    <w:rsid w:val="3E5E3444"/>
    <w:rsid w:val="3E6134D9"/>
    <w:rsid w:val="3E636CAD"/>
    <w:rsid w:val="3E64108F"/>
    <w:rsid w:val="3E693B97"/>
    <w:rsid w:val="3E6C78E8"/>
    <w:rsid w:val="3E6D7B2B"/>
    <w:rsid w:val="3E6E11AD"/>
    <w:rsid w:val="3E6F5ADD"/>
    <w:rsid w:val="3E75078E"/>
    <w:rsid w:val="3E767CA2"/>
    <w:rsid w:val="3E78202C"/>
    <w:rsid w:val="3E78424B"/>
    <w:rsid w:val="3E7C7D6E"/>
    <w:rsid w:val="3E805321"/>
    <w:rsid w:val="3E817133"/>
    <w:rsid w:val="3E837941"/>
    <w:rsid w:val="3E864749"/>
    <w:rsid w:val="3E8B7FB1"/>
    <w:rsid w:val="3E8E35FE"/>
    <w:rsid w:val="3E90381A"/>
    <w:rsid w:val="3E907376"/>
    <w:rsid w:val="3E921340"/>
    <w:rsid w:val="3E941710"/>
    <w:rsid w:val="3E95498C"/>
    <w:rsid w:val="3E970704"/>
    <w:rsid w:val="3E976956"/>
    <w:rsid w:val="3E9A01F4"/>
    <w:rsid w:val="3E9C5D1B"/>
    <w:rsid w:val="3E9D0C6B"/>
    <w:rsid w:val="3E9D66EF"/>
    <w:rsid w:val="3EA10976"/>
    <w:rsid w:val="3EA11583"/>
    <w:rsid w:val="3EA11895"/>
    <w:rsid w:val="3EAB2402"/>
    <w:rsid w:val="3EAC2D08"/>
    <w:rsid w:val="3EB06725"/>
    <w:rsid w:val="3EB9437E"/>
    <w:rsid w:val="3EBF1FF6"/>
    <w:rsid w:val="3EC2693B"/>
    <w:rsid w:val="3EC7118D"/>
    <w:rsid w:val="3ECB1845"/>
    <w:rsid w:val="3ECB4852"/>
    <w:rsid w:val="3ECC5112"/>
    <w:rsid w:val="3ECD2378"/>
    <w:rsid w:val="3ECF148E"/>
    <w:rsid w:val="3ED23E32"/>
    <w:rsid w:val="3ED352AD"/>
    <w:rsid w:val="3ED90D1D"/>
    <w:rsid w:val="3EDC25BB"/>
    <w:rsid w:val="3EDD198D"/>
    <w:rsid w:val="3EE002FD"/>
    <w:rsid w:val="3EE020AB"/>
    <w:rsid w:val="3EE31B9B"/>
    <w:rsid w:val="3EE6263B"/>
    <w:rsid w:val="3EE651E8"/>
    <w:rsid w:val="3EE86526"/>
    <w:rsid w:val="3EEA4CD8"/>
    <w:rsid w:val="3EEB27FE"/>
    <w:rsid w:val="3EEC1570"/>
    <w:rsid w:val="3EEF23AA"/>
    <w:rsid w:val="3EF20030"/>
    <w:rsid w:val="3EF23B8C"/>
    <w:rsid w:val="3EF26282"/>
    <w:rsid w:val="3EF50C5D"/>
    <w:rsid w:val="3EF618CF"/>
    <w:rsid w:val="3EFB0C93"/>
    <w:rsid w:val="3F001B51"/>
    <w:rsid w:val="3F03223E"/>
    <w:rsid w:val="3F045DCE"/>
    <w:rsid w:val="3F051B12"/>
    <w:rsid w:val="3F057D64"/>
    <w:rsid w:val="3F06588A"/>
    <w:rsid w:val="3F0840B9"/>
    <w:rsid w:val="3F0A35CC"/>
    <w:rsid w:val="3F0B2DA6"/>
    <w:rsid w:val="3F0F473E"/>
    <w:rsid w:val="3F165ACD"/>
    <w:rsid w:val="3F171845"/>
    <w:rsid w:val="3F19736B"/>
    <w:rsid w:val="3F1E4982"/>
    <w:rsid w:val="3F1F2EBB"/>
    <w:rsid w:val="3F220916"/>
    <w:rsid w:val="3F244605"/>
    <w:rsid w:val="3F260B3C"/>
    <w:rsid w:val="3F281CA4"/>
    <w:rsid w:val="3F375A43"/>
    <w:rsid w:val="3F381EE7"/>
    <w:rsid w:val="3F397A0D"/>
    <w:rsid w:val="3F3E5CD5"/>
    <w:rsid w:val="3F3F46D3"/>
    <w:rsid w:val="3F407113"/>
    <w:rsid w:val="3F4239B6"/>
    <w:rsid w:val="3F441A8C"/>
    <w:rsid w:val="3F44662B"/>
    <w:rsid w:val="3F450160"/>
    <w:rsid w:val="3F4A5777"/>
    <w:rsid w:val="3F4A741D"/>
    <w:rsid w:val="3F4B1EE8"/>
    <w:rsid w:val="3F4D34B9"/>
    <w:rsid w:val="3F4D4F72"/>
    <w:rsid w:val="3F5465F5"/>
    <w:rsid w:val="3F555269"/>
    <w:rsid w:val="3F5605BF"/>
    <w:rsid w:val="3F56236D"/>
    <w:rsid w:val="3F5900B0"/>
    <w:rsid w:val="3F591E5E"/>
    <w:rsid w:val="3F5A676C"/>
    <w:rsid w:val="3F5C54AA"/>
    <w:rsid w:val="3F6251B6"/>
    <w:rsid w:val="3F660E74"/>
    <w:rsid w:val="3F66642D"/>
    <w:rsid w:val="3F67457A"/>
    <w:rsid w:val="3F6A406B"/>
    <w:rsid w:val="3F6C1B91"/>
    <w:rsid w:val="3F6C393F"/>
    <w:rsid w:val="3F6D50FF"/>
    <w:rsid w:val="3F6E19E9"/>
    <w:rsid w:val="3F6F1681"/>
    <w:rsid w:val="3F704E97"/>
    <w:rsid w:val="3F744EE9"/>
    <w:rsid w:val="3F746C97"/>
    <w:rsid w:val="3F780536"/>
    <w:rsid w:val="3F79240C"/>
    <w:rsid w:val="3F7942AE"/>
    <w:rsid w:val="3F7B6278"/>
    <w:rsid w:val="3F7B7B8A"/>
    <w:rsid w:val="3F811F08"/>
    <w:rsid w:val="3F817E67"/>
    <w:rsid w:val="3F862E62"/>
    <w:rsid w:val="3F870779"/>
    <w:rsid w:val="3F8844F1"/>
    <w:rsid w:val="3F900337"/>
    <w:rsid w:val="3F905FED"/>
    <w:rsid w:val="3F9115F7"/>
    <w:rsid w:val="3F9335CD"/>
    <w:rsid w:val="3F995D91"/>
    <w:rsid w:val="3F9A0EA5"/>
    <w:rsid w:val="3F9D1D4A"/>
    <w:rsid w:val="3FA94B93"/>
    <w:rsid w:val="3FAC01DF"/>
    <w:rsid w:val="3FAC745B"/>
    <w:rsid w:val="3FAF13AE"/>
    <w:rsid w:val="3FAF7CCF"/>
    <w:rsid w:val="3FB12ADB"/>
    <w:rsid w:val="3FB164F4"/>
    <w:rsid w:val="3FB3156E"/>
    <w:rsid w:val="3FB377C0"/>
    <w:rsid w:val="3FB53538"/>
    <w:rsid w:val="3FBD419A"/>
    <w:rsid w:val="3FBE7F13"/>
    <w:rsid w:val="3FC26C5C"/>
    <w:rsid w:val="3FC63871"/>
    <w:rsid w:val="3FC75AA0"/>
    <w:rsid w:val="3FC96EB0"/>
    <w:rsid w:val="3FCA68B7"/>
    <w:rsid w:val="3FCF2120"/>
    <w:rsid w:val="3FDA2F9E"/>
    <w:rsid w:val="3FDF4418"/>
    <w:rsid w:val="3FE16D38"/>
    <w:rsid w:val="3FE55985"/>
    <w:rsid w:val="3FE95A64"/>
    <w:rsid w:val="3FEB51AC"/>
    <w:rsid w:val="3FEE07F8"/>
    <w:rsid w:val="3FF027C2"/>
    <w:rsid w:val="3FF102E8"/>
    <w:rsid w:val="3FF213FE"/>
    <w:rsid w:val="3FF63508"/>
    <w:rsid w:val="3FF878C8"/>
    <w:rsid w:val="3FFA34B2"/>
    <w:rsid w:val="3FFD2A12"/>
    <w:rsid w:val="3FFD4EDF"/>
    <w:rsid w:val="3FFF0C57"/>
    <w:rsid w:val="3FFF2A05"/>
    <w:rsid w:val="4001677D"/>
    <w:rsid w:val="40062655"/>
    <w:rsid w:val="400647A9"/>
    <w:rsid w:val="400A75C6"/>
    <w:rsid w:val="400B75FC"/>
    <w:rsid w:val="400C0C7E"/>
    <w:rsid w:val="400D3374"/>
    <w:rsid w:val="400E7546"/>
    <w:rsid w:val="4010076E"/>
    <w:rsid w:val="401144E6"/>
    <w:rsid w:val="40170617"/>
    <w:rsid w:val="40183AC7"/>
    <w:rsid w:val="401F4E55"/>
    <w:rsid w:val="40203CB1"/>
    <w:rsid w:val="40227D90"/>
    <w:rsid w:val="4024246B"/>
    <w:rsid w:val="4025767C"/>
    <w:rsid w:val="402814CD"/>
    <w:rsid w:val="402B37FA"/>
    <w:rsid w:val="402E32EA"/>
    <w:rsid w:val="4030560B"/>
    <w:rsid w:val="403264EC"/>
    <w:rsid w:val="403326AF"/>
    <w:rsid w:val="403F2E01"/>
    <w:rsid w:val="40442B0E"/>
    <w:rsid w:val="40445CE2"/>
    <w:rsid w:val="40477F08"/>
    <w:rsid w:val="404B79F8"/>
    <w:rsid w:val="4053079A"/>
    <w:rsid w:val="40567EB2"/>
    <w:rsid w:val="40572841"/>
    <w:rsid w:val="405B099C"/>
    <w:rsid w:val="405E3BCF"/>
    <w:rsid w:val="405E758E"/>
    <w:rsid w:val="405F1467"/>
    <w:rsid w:val="40630A6C"/>
    <w:rsid w:val="40646D0C"/>
    <w:rsid w:val="40692574"/>
    <w:rsid w:val="40697DEF"/>
    <w:rsid w:val="406B009A"/>
    <w:rsid w:val="407231D7"/>
    <w:rsid w:val="40723CDF"/>
    <w:rsid w:val="40744D04"/>
    <w:rsid w:val="40747AD3"/>
    <w:rsid w:val="4077259B"/>
    <w:rsid w:val="407A6407"/>
    <w:rsid w:val="407A79D6"/>
    <w:rsid w:val="407C22A8"/>
    <w:rsid w:val="407F58F4"/>
    <w:rsid w:val="408353E4"/>
    <w:rsid w:val="40844CB8"/>
    <w:rsid w:val="40863629"/>
    <w:rsid w:val="40890521"/>
    <w:rsid w:val="408D0011"/>
    <w:rsid w:val="408F7457"/>
    <w:rsid w:val="409018AF"/>
    <w:rsid w:val="409018CD"/>
    <w:rsid w:val="40910A42"/>
    <w:rsid w:val="40923879"/>
    <w:rsid w:val="409475F1"/>
    <w:rsid w:val="40967C9A"/>
    <w:rsid w:val="4099146F"/>
    <w:rsid w:val="4099578D"/>
    <w:rsid w:val="409A0980"/>
    <w:rsid w:val="409D0A43"/>
    <w:rsid w:val="409F7D44"/>
    <w:rsid w:val="40A57942"/>
    <w:rsid w:val="40A610D2"/>
    <w:rsid w:val="40A6298A"/>
    <w:rsid w:val="40A67324"/>
    <w:rsid w:val="40A8309D"/>
    <w:rsid w:val="40AD06B3"/>
    <w:rsid w:val="40AE41D1"/>
    <w:rsid w:val="40AF4295"/>
    <w:rsid w:val="40B03D9C"/>
    <w:rsid w:val="40B06142"/>
    <w:rsid w:val="40B25CC9"/>
    <w:rsid w:val="40B27A77"/>
    <w:rsid w:val="40BB7697"/>
    <w:rsid w:val="40BE0DB2"/>
    <w:rsid w:val="40BE0F76"/>
    <w:rsid w:val="40BF0BE9"/>
    <w:rsid w:val="40C1373E"/>
    <w:rsid w:val="40C2412A"/>
    <w:rsid w:val="40C514D7"/>
    <w:rsid w:val="40C655E2"/>
    <w:rsid w:val="40C67C6D"/>
    <w:rsid w:val="40C74FEA"/>
    <w:rsid w:val="40C81049"/>
    <w:rsid w:val="40C96B6F"/>
    <w:rsid w:val="40CD48B1"/>
    <w:rsid w:val="40CD582B"/>
    <w:rsid w:val="40CE674B"/>
    <w:rsid w:val="40CF4866"/>
    <w:rsid w:val="40D07EFD"/>
    <w:rsid w:val="40D1705F"/>
    <w:rsid w:val="40D53766"/>
    <w:rsid w:val="40DA57F1"/>
    <w:rsid w:val="40DA6834"/>
    <w:rsid w:val="40DE4339"/>
    <w:rsid w:val="40E37C31"/>
    <w:rsid w:val="40E439A9"/>
    <w:rsid w:val="40E47132"/>
    <w:rsid w:val="40E56385"/>
    <w:rsid w:val="40E85247"/>
    <w:rsid w:val="40EA6527"/>
    <w:rsid w:val="40EC1096"/>
    <w:rsid w:val="40ED0AAF"/>
    <w:rsid w:val="40F41E3E"/>
    <w:rsid w:val="40F621C4"/>
    <w:rsid w:val="40F67CBC"/>
    <w:rsid w:val="40F7192E"/>
    <w:rsid w:val="40FA31CC"/>
    <w:rsid w:val="40FA626B"/>
    <w:rsid w:val="40FB1513"/>
    <w:rsid w:val="40FE4A6B"/>
    <w:rsid w:val="40FF07E3"/>
    <w:rsid w:val="410127AD"/>
    <w:rsid w:val="410140EC"/>
    <w:rsid w:val="4101455B"/>
    <w:rsid w:val="410249FD"/>
    <w:rsid w:val="41076015"/>
    <w:rsid w:val="410A5D60"/>
    <w:rsid w:val="410C362B"/>
    <w:rsid w:val="410D6D4A"/>
    <w:rsid w:val="41160006"/>
    <w:rsid w:val="41171FD0"/>
    <w:rsid w:val="41195D48"/>
    <w:rsid w:val="411C3143"/>
    <w:rsid w:val="411E04AF"/>
    <w:rsid w:val="412076AA"/>
    <w:rsid w:val="41232723"/>
    <w:rsid w:val="41235477"/>
    <w:rsid w:val="41281AE7"/>
    <w:rsid w:val="412C5A7C"/>
    <w:rsid w:val="412D48D8"/>
    <w:rsid w:val="41322966"/>
    <w:rsid w:val="41332DEE"/>
    <w:rsid w:val="41336AA3"/>
    <w:rsid w:val="413E093E"/>
    <w:rsid w:val="41405083"/>
    <w:rsid w:val="41434B73"/>
    <w:rsid w:val="41441117"/>
    <w:rsid w:val="414B6FDA"/>
    <w:rsid w:val="414F0FC2"/>
    <w:rsid w:val="414F2A83"/>
    <w:rsid w:val="41536C1F"/>
    <w:rsid w:val="41555250"/>
    <w:rsid w:val="41562AF9"/>
    <w:rsid w:val="415C3EC7"/>
    <w:rsid w:val="41641FEF"/>
    <w:rsid w:val="41662610"/>
    <w:rsid w:val="416A0352"/>
    <w:rsid w:val="416C5F4F"/>
    <w:rsid w:val="416D24A3"/>
    <w:rsid w:val="41742F7F"/>
    <w:rsid w:val="41764F49"/>
    <w:rsid w:val="4177481D"/>
    <w:rsid w:val="417C1E33"/>
    <w:rsid w:val="417D0085"/>
    <w:rsid w:val="41815E93"/>
    <w:rsid w:val="41892EE4"/>
    <w:rsid w:val="418B6F45"/>
    <w:rsid w:val="418E2292"/>
    <w:rsid w:val="419302A8"/>
    <w:rsid w:val="419453CF"/>
    <w:rsid w:val="419A1BB9"/>
    <w:rsid w:val="41A354FD"/>
    <w:rsid w:val="41A35612"/>
    <w:rsid w:val="41AB3DDC"/>
    <w:rsid w:val="41AE6491"/>
    <w:rsid w:val="41AF43C0"/>
    <w:rsid w:val="41B11ADD"/>
    <w:rsid w:val="41B21056"/>
    <w:rsid w:val="41B33AA7"/>
    <w:rsid w:val="41B36CDD"/>
    <w:rsid w:val="41B521B1"/>
    <w:rsid w:val="41B8730F"/>
    <w:rsid w:val="41B94E35"/>
    <w:rsid w:val="41BA23CC"/>
    <w:rsid w:val="41BB0BAE"/>
    <w:rsid w:val="41BC71EB"/>
    <w:rsid w:val="41BE4CC7"/>
    <w:rsid w:val="41BE5A2A"/>
    <w:rsid w:val="41C12819"/>
    <w:rsid w:val="41C30ADF"/>
    <w:rsid w:val="41C31810"/>
    <w:rsid w:val="41C37A62"/>
    <w:rsid w:val="41C454A4"/>
    <w:rsid w:val="41C63BEE"/>
    <w:rsid w:val="41C662EF"/>
    <w:rsid w:val="41CF2217"/>
    <w:rsid w:val="41D1217F"/>
    <w:rsid w:val="41D41C6F"/>
    <w:rsid w:val="41D45583"/>
    <w:rsid w:val="41D81760"/>
    <w:rsid w:val="41DB1250"/>
    <w:rsid w:val="41DB4DAC"/>
    <w:rsid w:val="41DC3706"/>
    <w:rsid w:val="41E40104"/>
    <w:rsid w:val="41E41EB2"/>
    <w:rsid w:val="41E86DA1"/>
    <w:rsid w:val="41E952A1"/>
    <w:rsid w:val="41E974C9"/>
    <w:rsid w:val="41EC6FB9"/>
    <w:rsid w:val="41EE19F9"/>
    <w:rsid w:val="41EE4ADF"/>
    <w:rsid w:val="41F145CF"/>
    <w:rsid w:val="41F30347"/>
    <w:rsid w:val="41F61BE6"/>
    <w:rsid w:val="41FA16D6"/>
    <w:rsid w:val="41FB71FC"/>
    <w:rsid w:val="42004812"/>
    <w:rsid w:val="42044303"/>
    <w:rsid w:val="42072EE9"/>
    <w:rsid w:val="420A5BE2"/>
    <w:rsid w:val="420B5DF7"/>
    <w:rsid w:val="420E33EE"/>
    <w:rsid w:val="4210073E"/>
    <w:rsid w:val="421107CE"/>
    <w:rsid w:val="421309EA"/>
    <w:rsid w:val="421502BE"/>
    <w:rsid w:val="42204EB5"/>
    <w:rsid w:val="422229DB"/>
    <w:rsid w:val="42233FC5"/>
    <w:rsid w:val="42291FBB"/>
    <w:rsid w:val="42294DF3"/>
    <w:rsid w:val="42295B17"/>
    <w:rsid w:val="42366123"/>
    <w:rsid w:val="423821FE"/>
    <w:rsid w:val="423A0FD9"/>
    <w:rsid w:val="423A3BCC"/>
    <w:rsid w:val="423B584A"/>
    <w:rsid w:val="423D7815"/>
    <w:rsid w:val="423E5B89"/>
    <w:rsid w:val="423F533B"/>
    <w:rsid w:val="42415ACC"/>
    <w:rsid w:val="42421156"/>
    <w:rsid w:val="425154F8"/>
    <w:rsid w:val="425C043B"/>
    <w:rsid w:val="425C413F"/>
    <w:rsid w:val="425D3A13"/>
    <w:rsid w:val="42612D34"/>
    <w:rsid w:val="42646E38"/>
    <w:rsid w:val="426B4382"/>
    <w:rsid w:val="426D5A4D"/>
    <w:rsid w:val="426D634C"/>
    <w:rsid w:val="427174BE"/>
    <w:rsid w:val="42721D88"/>
    <w:rsid w:val="42723962"/>
    <w:rsid w:val="427A498A"/>
    <w:rsid w:val="427C5B2B"/>
    <w:rsid w:val="427F1BDB"/>
    <w:rsid w:val="42813ED5"/>
    <w:rsid w:val="42816FF2"/>
    <w:rsid w:val="4283791D"/>
    <w:rsid w:val="42843695"/>
    <w:rsid w:val="42843BC2"/>
    <w:rsid w:val="428561CB"/>
    <w:rsid w:val="428B4A24"/>
    <w:rsid w:val="428C585C"/>
    <w:rsid w:val="428E0630"/>
    <w:rsid w:val="42903DE8"/>
    <w:rsid w:val="42940787"/>
    <w:rsid w:val="429733C9"/>
    <w:rsid w:val="429C278D"/>
    <w:rsid w:val="429D131E"/>
    <w:rsid w:val="429E2362"/>
    <w:rsid w:val="42A338A7"/>
    <w:rsid w:val="42A35700"/>
    <w:rsid w:val="42A950BB"/>
    <w:rsid w:val="42AA5F72"/>
    <w:rsid w:val="42B34E2B"/>
    <w:rsid w:val="42B51AA1"/>
    <w:rsid w:val="42B52239"/>
    <w:rsid w:val="42B530EB"/>
    <w:rsid w:val="42B5384F"/>
    <w:rsid w:val="42BD444E"/>
    <w:rsid w:val="42BF46CD"/>
    <w:rsid w:val="42C24102"/>
    <w:rsid w:val="42C341BE"/>
    <w:rsid w:val="42C41CE4"/>
    <w:rsid w:val="42C615B8"/>
    <w:rsid w:val="42C73697"/>
    <w:rsid w:val="42C817D4"/>
    <w:rsid w:val="42CA40AF"/>
    <w:rsid w:val="42CA554C"/>
    <w:rsid w:val="42D261AF"/>
    <w:rsid w:val="42D31F27"/>
    <w:rsid w:val="42D53EF1"/>
    <w:rsid w:val="42D57A4D"/>
    <w:rsid w:val="42D737C5"/>
    <w:rsid w:val="42DA5063"/>
    <w:rsid w:val="42DA7950"/>
    <w:rsid w:val="42DC0DDB"/>
    <w:rsid w:val="42DC4B82"/>
    <w:rsid w:val="42E163F2"/>
    <w:rsid w:val="42E20147"/>
    <w:rsid w:val="42E3216A"/>
    <w:rsid w:val="42E44134"/>
    <w:rsid w:val="42E87780"/>
    <w:rsid w:val="42ED123B"/>
    <w:rsid w:val="42ED1DD1"/>
    <w:rsid w:val="42ED352D"/>
    <w:rsid w:val="42EE0B0F"/>
    <w:rsid w:val="42EF6D61"/>
    <w:rsid w:val="42F500EF"/>
    <w:rsid w:val="42F8373B"/>
    <w:rsid w:val="42FA5706"/>
    <w:rsid w:val="42FE6FA4"/>
    <w:rsid w:val="43071BDE"/>
    <w:rsid w:val="43087E22"/>
    <w:rsid w:val="430B16C1"/>
    <w:rsid w:val="43122A4F"/>
    <w:rsid w:val="43140575"/>
    <w:rsid w:val="431542ED"/>
    <w:rsid w:val="431A7B56"/>
    <w:rsid w:val="431D0717"/>
    <w:rsid w:val="431D372B"/>
    <w:rsid w:val="4320516C"/>
    <w:rsid w:val="432D5ADB"/>
    <w:rsid w:val="432E070E"/>
    <w:rsid w:val="43302ED5"/>
    <w:rsid w:val="4339622E"/>
    <w:rsid w:val="433A6FE6"/>
    <w:rsid w:val="434075BC"/>
    <w:rsid w:val="434123BC"/>
    <w:rsid w:val="43421586"/>
    <w:rsid w:val="43443F1E"/>
    <w:rsid w:val="43452E25"/>
    <w:rsid w:val="43454BD3"/>
    <w:rsid w:val="4346094B"/>
    <w:rsid w:val="434E3146"/>
    <w:rsid w:val="434E7CF8"/>
    <w:rsid w:val="4350713C"/>
    <w:rsid w:val="4352109E"/>
    <w:rsid w:val="43543068"/>
    <w:rsid w:val="435968D0"/>
    <w:rsid w:val="435B2648"/>
    <w:rsid w:val="435D2432"/>
    <w:rsid w:val="435D5832"/>
    <w:rsid w:val="43600C36"/>
    <w:rsid w:val="436556CB"/>
    <w:rsid w:val="436653E0"/>
    <w:rsid w:val="4368266F"/>
    <w:rsid w:val="43696F7C"/>
    <w:rsid w:val="436B7F3C"/>
    <w:rsid w:val="436C06B0"/>
    <w:rsid w:val="436D237B"/>
    <w:rsid w:val="437453F5"/>
    <w:rsid w:val="437901B2"/>
    <w:rsid w:val="43790D20"/>
    <w:rsid w:val="4379487C"/>
    <w:rsid w:val="438356FB"/>
    <w:rsid w:val="43843DC2"/>
    <w:rsid w:val="438621B4"/>
    <w:rsid w:val="43866F99"/>
    <w:rsid w:val="438751EB"/>
    <w:rsid w:val="43882D11"/>
    <w:rsid w:val="438C0A54"/>
    <w:rsid w:val="438C2802"/>
    <w:rsid w:val="438C45B0"/>
    <w:rsid w:val="438D0328"/>
    <w:rsid w:val="438D102F"/>
    <w:rsid w:val="438F2C60"/>
    <w:rsid w:val="43902128"/>
    <w:rsid w:val="43930246"/>
    <w:rsid w:val="439671DC"/>
    <w:rsid w:val="43973DCE"/>
    <w:rsid w:val="439E4A66"/>
    <w:rsid w:val="43A318F9"/>
    <w:rsid w:val="43A359B9"/>
    <w:rsid w:val="43A86F10"/>
    <w:rsid w:val="43AC6A00"/>
    <w:rsid w:val="43AE6F7D"/>
    <w:rsid w:val="43B12268"/>
    <w:rsid w:val="43B14016"/>
    <w:rsid w:val="43B14858"/>
    <w:rsid w:val="43B600AD"/>
    <w:rsid w:val="43B81849"/>
    <w:rsid w:val="43B9736F"/>
    <w:rsid w:val="43BD1491"/>
    <w:rsid w:val="43BF3FB9"/>
    <w:rsid w:val="43C006FD"/>
    <w:rsid w:val="43C04259"/>
    <w:rsid w:val="43C045BC"/>
    <w:rsid w:val="43C24475"/>
    <w:rsid w:val="43C31F9B"/>
    <w:rsid w:val="43C401ED"/>
    <w:rsid w:val="43C81360"/>
    <w:rsid w:val="43C8760E"/>
    <w:rsid w:val="43CC0E50"/>
    <w:rsid w:val="43CD667C"/>
    <w:rsid w:val="43CE260B"/>
    <w:rsid w:val="43CE2E1A"/>
    <w:rsid w:val="43CF1E4E"/>
    <w:rsid w:val="43D45F57"/>
    <w:rsid w:val="43DB1093"/>
    <w:rsid w:val="43E02BE7"/>
    <w:rsid w:val="43E36C7A"/>
    <w:rsid w:val="43F04D5C"/>
    <w:rsid w:val="43F62371"/>
    <w:rsid w:val="43F809F6"/>
    <w:rsid w:val="44022AC4"/>
    <w:rsid w:val="440426ED"/>
    <w:rsid w:val="44071E88"/>
    <w:rsid w:val="44087AD1"/>
    <w:rsid w:val="440920A4"/>
    <w:rsid w:val="440A7BCA"/>
    <w:rsid w:val="440C749E"/>
    <w:rsid w:val="440E3217"/>
    <w:rsid w:val="441427F7"/>
    <w:rsid w:val="441445A5"/>
    <w:rsid w:val="44150A49"/>
    <w:rsid w:val="44156B63"/>
    <w:rsid w:val="44175E54"/>
    <w:rsid w:val="441E4690"/>
    <w:rsid w:val="44222311"/>
    <w:rsid w:val="44223EC2"/>
    <w:rsid w:val="44226CC2"/>
    <w:rsid w:val="442E1B0B"/>
    <w:rsid w:val="442E3801"/>
    <w:rsid w:val="44330ECF"/>
    <w:rsid w:val="443609BF"/>
    <w:rsid w:val="443D1D4E"/>
    <w:rsid w:val="443D58AA"/>
    <w:rsid w:val="443F7874"/>
    <w:rsid w:val="444255B6"/>
    <w:rsid w:val="44511355"/>
    <w:rsid w:val="445157F9"/>
    <w:rsid w:val="44557097"/>
    <w:rsid w:val="44567282"/>
    <w:rsid w:val="445A46AE"/>
    <w:rsid w:val="445D7CFA"/>
    <w:rsid w:val="44611C1B"/>
    <w:rsid w:val="446175D3"/>
    <w:rsid w:val="44661A1F"/>
    <w:rsid w:val="446C43E1"/>
    <w:rsid w:val="446E2DED"/>
    <w:rsid w:val="4473751E"/>
    <w:rsid w:val="447D214A"/>
    <w:rsid w:val="44872FC9"/>
    <w:rsid w:val="448E7078"/>
    <w:rsid w:val="448F2126"/>
    <w:rsid w:val="44913E48"/>
    <w:rsid w:val="44915BF6"/>
    <w:rsid w:val="44945701"/>
    <w:rsid w:val="44984DD2"/>
    <w:rsid w:val="449851D6"/>
    <w:rsid w:val="449C4CC6"/>
    <w:rsid w:val="44A14FA7"/>
    <w:rsid w:val="44A30E66"/>
    <w:rsid w:val="44A8626A"/>
    <w:rsid w:val="44AE67A8"/>
    <w:rsid w:val="44B02520"/>
    <w:rsid w:val="44B042CE"/>
    <w:rsid w:val="44B32010"/>
    <w:rsid w:val="44B71B00"/>
    <w:rsid w:val="44B738AE"/>
    <w:rsid w:val="44B85878"/>
    <w:rsid w:val="44BE2E8F"/>
    <w:rsid w:val="44BF2763"/>
    <w:rsid w:val="44C10289"/>
    <w:rsid w:val="44C45FCB"/>
    <w:rsid w:val="44C611C3"/>
    <w:rsid w:val="44C61D43"/>
    <w:rsid w:val="44CB1108"/>
    <w:rsid w:val="44CB3B1B"/>
    <w:rsid w:val="44CD14E0"/>
    <w:rsid w:val="44CD30D2"/>
    <w:rsid w:val="44CE0BF8"/>
    <w:rsid w:val="44D0671E"/>
    <w:rsid w:val="44D2693A"/>
    <w:rsid w:val="44D3299F"/>
    <w:rsid w:val="44D37FBC"/>
    <w:rsid w:val="44D40479"/>
    <w:rsid w:val="44D66572"/>
    <w:rsid w:val="44DF1057"/>
    <w:rsid w:val="44E32CB1"/>
    <w:rsid w:val="44E4666D"/>
    <w:rsid w:val="44E623E5"/>
    <w:rsid w:val="44E73A68"/>
    <w:rsid w:val="44E81CBA"/>
    <w:rsid w:val="44E83CA9"/>
    <w:rsid w:val="44E93C84"/>
    <w:rsid w:val="44EC4ED1"/>
    <w:rsid w:val="44EE129A"/>
    <w:rsid w:val="44F05012"/>
    <w:rsid w:val="44F06DC0"/>
    <w:rsid w:val="44F22B38"/>
    <w:rsid w:val="44F42EE1"/>
    <w:rsid w:val="44F52628"/>
    <w:rsid w:val="44F63EA4"/>
    <w:rsid w:val="44F63F31"/>
    <w:rsid w:val="44F85C75"/>
    <w:rsid w:val="44F87A23"/>
    <w:rsid w:val="44F92119"/>
    <w:rsid w:val="44FA4815"/>
    <w:rsid w:val="45015304"/>
    <w:rsid w:val="450308A1"/>
    <w:rsid w:val="45034D45"/>
    <w:rsid w:val="45096B39"/>
    <w:rsid w:val="45097E82"/>
    <w:rsid w:val="450C780B"/>
    <w:rsid w:val="450E5498"/>
    <w:rsid w:val="450F35F0"/>
    <w:rsid w:val="45102FBE"/>
    <w:rsid w:val="451231DA"/>
    <w:rsid w:val="45141548"/>
    <w:rsid w:val="45147E19"/>
    <w:rsid w:val="451505D5"/>
    <w:rsid w:val="4517434D"/>
    <w:rsid w:val="451A3E3D"/>
    <w:rsid w:val="451C1963"/>
    <w:rsid w:val="451C5E07"/>
    <w:rsid w:val="451E56DB"/>
    <w:rsid w:val="45237196"/>
    <w:rsid w:val="45240818"/>
    <w:rsid w:val="452409D7"/>
    <w:rsid w:val="452775FC"/>
    <w:rsid w:val="45280308"/>
    <w:rsid w:val="452847AC"/>
    <w:rsid w:val="452D3A41"/>
    <w:rsid w:val="452F700E"/>
    <w:rsid w:val="453018B3"/>
    <w:rsid w:val="453250A1"/>
    <w:rsid w:val="4537679D"/>
    <w:rsid w:val="453942C3"/>
    <w:rsid w:val="453A003B"/>
    <w:rsid w:val="453B6B56"/>
    <w:rsid w:val="4541761C"/>
    <w:rsid w:val="4545710C"/>
    <w:rsid w:val="454A2974"/>
    <w:rsid w:val="454B2248"/>
    <w:rsid w:val="454D5FC1"/>
    <w:rsid w:val="454D7D6F"/>
    <w:rsid w:val="454F1D39"/>
    <w:rsid w:val="4550160D"/>
    <w:rsid w:val="45505AB1"/>
    <w:rsid w:val="45561AB0"/>
    <w:rsid w:val="455A248C"/>
    <w:rsid w:val="455C4456"/>
    <w:rsid w:val="45622249"/>
    <w:rsid w:val="4565155C"/>
    <w:rsid w:val="456D21BF"/>
    <w:rsid w:val="456D2CB0"/>
    <w:rsid w:val="456E41DF"/>
    <w:rsid w:val="456E4C88"/>
    <w:rsid w:val="456F4189"/>
    <w:rsid w:val="456F738A"/>
    <w:rsid w:val="45703A5D"/>
    <w:rsid w:val="457277D5"/>
    <w:rsid w:val="45735B6A"/>
    <w:rsid w:val="4574354D"/>
    <w:rsid w:val="457E5811"/>
    <w:rsid w:val="457E617A"/>
    <w:rsid w:val="457F1EF2"/>
    <w:rsid w:val="45800144"/>
    <w:rsid w:val="45833790"/>
    <w:rsid w:val="45863281"/>
    <w:rsid w:val="458946E9"/>
    <w:rsid w:val="458F0387"/>
    <w:rsid w:val="45911A11"/>
    <w:rsid w:val="459260C9"/>
    <w:rsid w:val="45962E4E"/>
    <w:rsid w:val="45986D8C"/>
    <w:rsid w:val="45992C39"/>
    <w:rsid w:val="459B4382"/>
    <w:rsid w:val="459C0CF6"/>
    <w:rsid w:val="459C2AA4"/>
    <w:rsid w:val="459F20B2"/>
    <w:rsid w:val="45A32084"/>
    <w:rsid w:val="45A50057"/>
    <w:rsid w:val="45AA51C1"/>
    <w:rsid w:val="45AA6F6F"/>
    <w:rsid w:val="45AC718B"/>
    <w:rsid w:val="45AC719E"/>
    <w:rsid w:val="45AE54CB"/>
    <w:rsid w:val="45B1654F"/>
    <w:rsid w:val="45B222C8"/>
    <w:rsid w:val="45B918A8"/>
    <w:rsid w:val="45BB4AE0"/>
    <w:rsid w:val="45C16A25"/>
    <w:rsid w:val="45C36283"/>
    <w:rsid w:val="45C66EB9"/>
    <w:rsid w:val="45C74FBF"/>
    <w:rsid w:val="45C95510"/>
    <w:rsid w:val="45CA13BF"/>
    <w:rsid w:val="45CA1598"/>
    <w:rsid w:val="45D264C6"/>
    <w:rsid w:val="45D87F80"/>
    <w:rsid w:val="45DA5812"/>
    <w:rsid w:val="45DB181E"/>
    <w:rsid w:val="45DE130F"/>
    <w:rsid w:val="45E06E35"/>
    <w:rsid w:val="45E22BAD"/>
    <w:rsid w:val="45E71F71"/>
    <w:rsid w:val="45E76415"/>
    <w:rsid w:val="45EC3A2B"/>
    <w:rsid w:val="45EE269E"/>
    <w:rsid w:val="45F11042"/>
    <w:rsid w:val="45F244DE"/>
    <w:rsid w:val="45F43594"/>
    <w:rsid w:val="45F4653A"/>
    <w:rsid w:val="45F97EF6"/>
    <w:rsid w:val="460074D7"/>
    <w:rsid w:val="46020B59"/>
    <w:rsid w:val="4604211D"/>
    <w:rsid w:val="460743C1"/>
    <w:rsid w:val="460C70AB"/>
    <w:rsid w:val="46113D93"/>
    <w:rsid w:val="4614456F"/>
    <w:rsid w:val="4618037D"/>
    <w:rsid w:val="461865CE"/>
    <w:rsid w:val="46192347"/>
    <w:rsid w:val="461B071B"/>
    <w:rsid w:val="461B1C1B"/>
    <w:rsid w:val="461D1E37"/>
    <w:rsid w:val="461D7829"/>
    <w:rsid w:val="461F516B"/>
    <w:rsid w:val="46256F3D"/>
    <w:rsid w:val="46266A8D"/>
    <w:rsid w:val="46284338"/>
    <w:rsid w:val="462A65A2"/>
    <w:rsid w:val="462C02CC"/>
    <w:rsid w:val="462C3E28"/>
    <w:rsid w:val="462C5BD6"/>
    <w:rsid w:val="462E5CB9"/>
    <w:rsid w:val="463351B6"/>
    <w:rsid w:val="463364C0"/>
    <w:rsid w:val="46357180"/>
    <w:rsid w:val="4636363B"/>
    <w:rsid w:val="46377A12"/>
    <w:rsid w:val="46381AE3"/>
    <w:rsid w:val="463D7073"/>
    <w:rsid w:val="4644098E"/>
    <w:rsid w:val="46472A10"/>
    <w:rsid w:val="464F5C0D"/>
    <w:rsid w:val="46511AE0"/>
    <w:rsid w:val="46584C1D"/>
    <w:rsid w:val="46651908"/>
    <w:rsid w:val="4665558C"/>
    <w:rsid w:val="466B2BA2"/>
    <w:rsid w:val="46713F31"/>
    <w:rsid w:val="4674757D"/>
    <w:rsid w:val="46770F87"/>
    <w:rsid w:val="467852BF"/>
    <w:rsid w:val="4678706D"/>
    <w:rsid w:val="467908C2"/>
    <w:rsid w:val="467B090B"/>
    <w:rsid w:val="467F21AA"/>
    <w:rsid w:val="46821C9A"/>
    <w:rsid w:val="468448D8"/>
    <w:rsid w:val="468679DC"/>
    <w:rsid w:val="46873754"/>
    <w:rsid w:val="468C2B19"/>
    <w:rsid w:val="46971BE9"/>
    <w:rsid w:val="469B06E9"/>
    <w:rsid w:val="469B2D5C"/>
    <w:rsid w:val="469D0882"/>
    <w:rsid w:val="46A62431"/>
    <w:rsid w:val="46A84713"/>
    <w:rsid w:val="46AD52B3"/>
    <w:rsid w:val="46AE0CE1"/>
    <w:rsid w:val="46B02CAB"/>
    <w:rsid w:val="46B06807"/>
    <w:rsid w:val="46B300A5"/>
    <w:rsid w:val="46B36B91"/>
    <w:rsid w:val="46B75DE7"/>
    <w:rsid w:val="46BB51AC"/>
    <w:rsid w:val="46BB787A"/>
    <w:rsid w:val="46BD2CD2"/>
    <w:rsid w:val="46BF2EEE"/>
    <w:rsid w:val="46BF64C2"/>
    <w:rsid w:val="46C40504"/>
    <w:rsid w:val="46C51F28"/>
    <w:rsid w:val="46CC73B9"/>
    <w:rsid w:val="46CD355E"/>
    <w:rsid w:val="46CE09C1"/>
    <w:rsid w:val="46CE3131"/>
    <w:rsid w:val="46D149CF"/>
    <w:rsid w:val="46D1677D"/>
    <w:rsid w:val="46D63D94"/>
    <w:rsid w:val="46D70238"/>
    <w:rsid w:val="46D955A7"/>
    <w:rsid w:val="46D97270"/>
    <w:rsid w:val="46DF0E9A"/>
    <w:rsid w:val="46E110B6"/>
    <w:rsid w:val="46E2098A"/>
    <w:rsid w:val="46E42955"/>
    <w:rsid w:val="46E82445"/>
    <w:rsid w:val="46EB5A91"/>
    <w:rsid w:val="46EB783F"/>
    <w:rsid w:val="46ED0E13"/>
    <w:rsid w:val="46F030A7"/>
    <w:rsid w:val="46F13E60"/>
    <w:rsid w:val="46F15894"/>
    <w:rsid w:val="46F26E20"/>
    <w:rsid w:val="46F56910"/>
    <w:rsid w:val="46F72688"/>
    <w:rsid w:val="46FA2178"/>
    <w:rsid w:val="46FA6535"/>
    <w:rsid w:val="46FD1503"/>
    <w:rsid w:val="46FD6304"/>
    <w:rsid w:val="4703102D"/>
    <w:rsid w:val="47044DA5"/>
    <w:rsid w:val="4707219F"/>
    <w:rsid w:val="470923BB"/>
    <w:rsid w:val="470B7EE1"/>
    <w:rsid w:val="470E2EE7"/>
    <w:rsid w:val="470F089E"/>
    <w:rsid w:val="471054F8"/>
    <w:rsid w:val="47133957"/>
    <w:rsid w:val="4714323A"/>
    <w:rsid w:val="471548BC"/>
    <w:rsid w:val="47176886"/>
    <w:rsid w:val="471919C1"/>
    <w:rsid w:val="471A69C9"/>
    <w:rsid w:val="471E5E67"/>
    <w:rsid w:val="472114B3"/>
    <w:rsid w:val="47217705"/>
    <w:rsid w:val="47237081"/>
    <w:rsid w:val="47250D5F"/>
    <w:rsid w:val="472D42FC"/>
    <w:rsid w:val="473236C0"/>
    <w:rsid w:val="47342495"/>
    <w:rsid w:val="473471F0"/>
    <w:rsid w:val="47356D0C"/>
    <w:rsid w:val="47370CD6"/>
    <w:rsid w:val="4737208D"/>
    <w:rsid w:val="47394A4E"/>
    <w:rsid w:val="473E02B7"/>
    <w:rsid w:val="473E2065"/>
    <w:rsid w:val="474358CD"/>
    <w:rsid w:val="47486A40"/>
    <w:rsid w:val="474B6530"/>
    <w:rsid w:val="474F4272"/>
    <w:rsid w:val="47503B46"/>
    <w:rsid w:val="47503FE6"/>
    <w:rsid w:val="4750418A"/>
    <w:rsid w:val="47507FEA"/>
    <w:rsid w:val="47571378"/>
    <w:rsid w:val="475911F7"/>
    <w:rsid w:val="47596E9F"/>
    <w:rsid w:val="476845ED"/>
    <w:rsid w:val="476A01DA"/>
    <w:rsid w:val="476A10AC"/>
    <w:rsid w:val="476D294A"/>
    <w:rsid w:val="476E221E"/>
    <w:rsid w:val="476E2756"/>
    <w:rsid w:val="47775577"/>
    <w:rsid w:val="47775DDF"/>
    <w:rsid w:val="4779329E"/>
    <w:rsid w:val="477A6E15"/>
    <w:rsid w:val="477E6905"/>
    <w:rsid w:val="47811F51"/>
    <w:rsid w:val="47846F53"/>
    <w:rsid w:val="47887784"/>
    <w:rsid w:val="4789544D"/>
    <w:rsid w:val="478F21EB"/>
    <w:rsid w:val="47901267"/>
    <w:rsid w:val="4792415F"/>
    <w:rsid w:val="47953C4F"/>
    <w:rsid w:val="479F062A"/>
    <w:rsid w:val="47A07E0C"/>
    <w:rsid w:val="47A619B8"/>
    <w:rsid w:val="47AA594C"/>
    <w:rsid w:val="47B36F08"/>
    <w:rsid w:val="47B57E4D"/>
    <w:rsid w:val="47B67368"/>
    <w:rsid w:val="47B71E17"/>
    <w:rsid w:val="47B746AA"/>
    <w:rsid w:val="47BE6D02"/>
    <w:rsid w:val="47BF7F9B"/>
    <w:rsid w:val="47C6205A"/>
    <w:rsid w:val="47CA7D9C"/>
    <w:rsid w:val="47CC58C3"/>
    <w:rsid w:val="47CF7161"/>
    <w:rsid w:val="47D06A35"/>
    <w:rsid w:val="47D26C51"/>
    <w:rsid w:val="47D863C3"/>
    <w:rsid w:val="47DC3CA8"/>
    <w:rsid w:val="47DC523D"/>
    <w:rsid w:val="47DE1152"/>
    <w:rsid w:val="47DF34E2"/>
    <w:rsid w:val="47E0311C"/>
    <w:rsid w:val="47E524E0"/>
    <w:rsid w:val="47E81FD1"/>
    <w:rsid w:val="47EA722E"/>
    <w:rsid w:val="47EF37F7"/>
    <w:rsid w:val="47F44E19"/>
    <w:rsid w:val="47FB7F56"/>
    <w:rsid w:val="47FE7A46"/>
    <w:rsid w:val="4800642D"/>
    <w:rsid w:val="48014387"/>
    <w:rsid w:val="48036E0A"/>
    <w:rsid w:val="48041878"/>
    <w:rsid w:val="48054931"/>
    <w:rsid w:val="480A136E"/>
    <w:rsid w:val="480B5E1D"/>
    <w:rsid w:val="480C3F11"/>
    <w:rsid w:val="48111527"/>
    <w:rsid w:val="481132D5"/>
    <w:rsid w:val="48153186"/>
    <w:rsid w:val="481903DC"/>
    <w:rsid w:val="481E59F2"/>
    <w:rsid w:val="481F27F7"/>
    <w:rsid w:val="48256D81"/>
    <w:rsid w:val="48270D4B"/>
    <w:rsid w:val="482A083B"/>
    <w:rsid w:val="482B265C"/>
    <w:rsid w:val="482C628C"/>
    <w:rsid w:val="482D3E87"/>
    <w:rsid w:val="48313978"/>
    <w:rsid w:val="48315726"/>
    <w:rsid w:val="48335D86"/>
    <w:rsid w:val="483416BA"/>
    <w:rsid w:val="48347F7E"/>
    <w:rsid w:val="483B4DFB"/>
    <w:rsid w:val="483D056E"/>
    <w:rsid w:val="483E6094"/>
    <w:rsid w:val="484511D1"/>
    <w:rsid w:val="48457423"/>
    <w:rsid w:val="48484C47"/>
    <w:rsid w:val="484A4A39"/>
    <w:rsid w:val="484C255F"/>
    <w:rsid w:val="484E0AD2"/>
    <w:rsid w:val="485811E2"/>
    <w:rsid w:val="485B27A2"/>
    <w:rsid w:val="485B4F92"/>
    <w:rsid w:val="48604DA3"/>
    <w:rsid w:val="486378A9"/>
    <w:rsid w:val="48642021"/>
    <w:rsid w:val="48650157"/>
    <w:rsid w:val="4867383D"/>
    <w:rsid w:val="486A1C17"/>
    <w:rsid w:val="486C1747"/>
    <w:rsid w:val="486D24D6"/>
    <w:rsid w:val="4870272E"/>
    <w:rsid w:val="48713324"/>
    <w:rsid w:val="48723461"/>
    <w:rsid w:val="48763E7B"/>
    <w:rsid w:val="487A051B"/>
    <w:rsid w:val="487B1097"/>
    <w:rsid w:val="487B2E3B"/>
    <w:rsid w:val="487B4BF3"/>
    <w:rsid w:val="487C1662"/>
    <w:rsid w:val="4880045B"/>
    <w:rsid w:val="488013AC"/>
    <w:rsid w:val="48825F81"/>
    <w:rsid w:val="48840354"/>
    <w:rsid w:val="488404C7"/>
    <w:rsid w:val="48847F4B"/>
    <w:rsid w:val="48867CD4"/>
    <w:rsid w:val="4889543F"/>
    <w:rsid w:val="488C32A4"/>
    <w:rsid w:val="488F68F0"/>
    <w:rsid w:val="48952158"/>
    <w:rsid w:val="48961A2D"/>
    <w:rsid w:val="489D100D"/>
    <w:rsid w:val="489D2DBB"/>
    <w:rsid w:val="48A278EC"/>
    <w:rsid w:val="48A36846"/>
    <w:rsid w:val="48A4239B"/>
    <w:rsid w:val="48A466CE"/>
    <w:rsid w:val="48A534D7"/>
    <w:rsid w:val="48A64365"/>
    <w:rsid w:val="48A73C3A"/>
    <w:rsid w:val="48A91760"/>
    <w:rsid w:val="48B00D40"/>
    <w:rsid w:val="48B06F92"/>
    <w:rsid w:val="48B85E47"/>
    <w:rsid w:val="48B9571B"/>
    <w:rsid w:val="48BA107A"/>
    <w:rsid w:val="48BA396D"/>
    <w:rsid w:val="48BC0D87"/>
    <w:rsid w:val="48BD345D"/>
    <w:rsid w:val="48BD520B"/>
    <w:rsid w:val="48BF0F83"/>
    <w:rsid w:val="48C04DCB"/>
    <w:rsid w:val="48C4659A"/>
    <w:rsid w:val="48C52312"/>
    <w:rsid w:val="48C53D36"/>
    <w:rsid w:val="48C90054"/>
    <w:rsid w:val="48C91E02"/>
    <w:rsid w:val="48CA7928"/>
    <w:rsid w:val="48CB5B7A"/>
    <w:rsid w:val="48CD108C"/>
    <w:rsid w:val="48CD2E1A"/>
    <w:rsid w:val="48D16F09"/>
    <w:rsid w:val="48D3302F"/>
    <w:rsid w:val="48D80297"/>
    <w:rsid w:val="48D83DF3"/>
    <w:rsid w:val="48D94F98"/>
    <w:rsid w:val="48DA5DBD"/>
    <w:rsid w:val="48DB1977"/>
    <w:rsid w:val="48DF0B70"/>
    <w:rsid w:val="48DF5182"/>
    <w:rsid w:val="48E00EFA"/>
    <w:rsid w:val="48E22EC4"/>
    <w:rsid w:val="48E357A6"/>
    <w:rsid w:val="48E924A4"/>
    <w:rsid w:val="48EC114E"/>
    <w:rsid w:val="48EF5D2E"/>
    <w:rsid w:val="48F7696F"/>
    <w:rsid w:val="48FA1472"/>
    <w:rsid w:val="48FA645F"/>
    <w:rsid w:val="48FE0F52"/>
    <w:rsid w:val="490115D2"/>
    <w:rsid w:val="49044BE8"/>
    <w:rsid w:val="490457A5"/>
    <w:rsid w:val="49050213"/>
    <w:rsid w:val="4907292A"/>
    <w:rsid w:val="49080B7C"/>
    <w:rsid w:val="490966A2"/>
    <w:rsid w:val="490A3089"/>
    <w:rsid w:val="490D78A6"/>
    <w:rsid w:val="490E1F0B"/>
    <w:rsid w:val="49130E7E"/>
    <w:rsid w:val="49156DF5"/>
    <w:rsid w:val="49162368"/>
    <w:rsid w:val="491A265E"/>
    <w:rsid w:val="491B18EA"/>
    <w:rsid w:val="491D214E"/>
    <w:rsid w:val="491D5CAA"/>
    <w:rsid w:val="491F7C74"/>
    <w:rsid w:val="492028A2"/>
    <w:rsid w:val="49255DFC"/>
    <w:rsid w:val="49276B29"/>
    <w:rsid w:val="4929658F"/>
    <w:rsid w:val="492B486B"/>
    <w:rsid w:val="492C24DC"/>
    <w:rsid w:val="49307A8A"/>
    <w:rsid w:val="49311755"/>
    <w:rsid w:val="49325BF9"/>
    <w:rsid w:val="4933371F"/>
    <w:rsid w:val="49362ED7"/>
    <w:rsid w:val="49380D36"/>
    <w:rsid w:val="49385C0C"/>
    <w:rsid w:val="4938670B"/>
    <w:rsid w:val="493B27AF"/>
    <w:rsid w:val="493C0826"/>
    <w:rsid w:val="493D3419"/>
    <w:rsid w:val="493F54EA"/>
    <w:rsid w:val="49410206"/>
    <w:rsid w:val="49415E3C"/>
    <w:rsid w:val="49424029"/>
    <w:rsid w:val="49425710"/>
    <w:rsid w:val="49431BB4"/>
    <w:rsid w:val="49463453"/>
    <w:rsid w:val="494816E4"/>
    <w:rsid w:val="49492F43"/>
    <w:rsid w:val="494B0A69"/>
    <w:rsid w:val="494B472D"/>
    <w:rsid w:val="4953791E"/>
    <w:rsid w:val="49553696"/>
    <w:rsid w:val="49585496"/>
    <w:rsid w:val="495913D8"/>
    <w:rsid w:val="495A6EFE"/>
    <w:rsid w:val="495F2766"/>
    <w:rsid w:val="496164DE"/>
    <w:rsid w:val="49647D7D"/>
    <w:rsid w:val="496833C9"/>
    <w:rsid w:val="49697141"/>
    <w:rsid w:val="496B2EB9"/>
    <w:rsid w:val="496C291C"/>
    <w:rsid w:val="496D32A5"/>
    <w:rsid w:val="496D58A8"/>
    <w:rsid w:val="496F62BB"/>
    <w:rsid w:val="497266D3"/>
    <w:rsid w:val="49757894"/>
    <w:rsid w:val="4977360C"/>
    <w:rsid w:val="497C0C22"/>
    <w:rsid w:val="498015D8"/>
    <w:rsid w:val="49804BB7"/>
    <w:rsid w:val="49811327"/>
    <w:rsid w:val="498126DD"/>
    <w:rsid w:val="49815D26"/>
    <w:rsid w:val="49816239"/>
    <w:rsid w:val="49817868"/>
    <w:rsid w:val="49861AA1"/>
    <w:rsid w:val="49877112"/>
    <w:rsid w:val="498A77E3"/>
    <w:rsid w:val="499046CE"/>
    <w:rsid w:val="4990798C"/>
    <w:rsid w:val="499441BE"/>
    <w:rsid w:val="49951AC7"/>
    <w:rsid w:val="49973BDF"/>
    <w:rsid w:val="49995C78"/>
    <w:rsid w:val="499A452E"/>
    <w:rsid w:val="499C2277"/>
    <w:rsid w:val="499F2B63"/>
    <w:rsid w:val="49A32653"/>
    <w:rsid w:val="49A3380F"/>
    <w:rsid w:val="49A81A70"/>
    <w:rsid w:val="49A918FB"/>
    <w:rsid w:val="49AA1FDC"/>
    <w:rsid w:val="49AA31B5"/>
    <w:rsid w:val="49AB59AC"/>
    <w:rsid w:val="49AB775A"/>
    <w:rsid w:val="49AC538B"/>
    <w:rsid w:val="49AD1724"/>
    <w:rsid w:val="49AE2DA6"/>
    <w:rsid w:val="49AF724A"/>
    <w:rsid w:val="49B22896"/>
    <w:rsid w:val="49B605D8"/>
    <w:rsid w:val="49B753C7"/>
    <w:rsid w:val="49B900C8"/>
    <w:rsid w:val="49BA799D"/>
    <w:rsid w:val="49BC2721"/>
    <w:rsid w:val="49BC5519"/>
    <w:rsid w:val="49C56A6D"/>
    <w:rsid w:val="49C64593"/>
    <w:rsid w:val="49C66341"/>
    <w:rsid w:val="49C751FD"/>
    <w:rsid w:val="49C820BA"/>
    <w:rsid w:val="49C97B1D"/>
    <w:rsid w:val="49CA4084"/>
    <w:rsid w:val="49CF169A"/>
    <w:rsid w:val="49D2118A"/>
    <w:rsid w:val="49D40682"/>
    <w:rsid w:val="49D62A28"/>
    <w:rsid w:val="49D7054F"/>
    <w:rsid w:val="49D767A1"/>
    <w:rsid w:val="49D96075"/>
    <w:rsid w:val="49DC7715"/>
    <w:rsid w:val="49E01723"/>
    <w:rsid w:val="49E04077"/>
    <w:rsid w:val="49E113CD"/>
    <w:rsid w:val="49E1317B"/>
    <w:rsid w:val="49E8275C"/>
    <w:rsid w:val="49E968C3"/>
    <w:rsid w:val="49EB1A27"/>
    <w:rsid w:val="49EC224C"/>
    <w:rsid w:val="49ED4E02"/>
    <w:rsid w:val="49EF7646"/>
    <w:rsid w:val="49F033BE"/>
    <w:rsid w:val="49F20EE5"/>
    <w:rsid w:val="49F44C5D"/>
    <w:rsid w:val="49F53598"/>
    <w:rsid w:val="49F7299F"/>
    <w:rsid w:val="49FC1D63"/>
    <w:rsid w:val="49FC7FB5"/>
    <w:rsid w:val="49FD6207"/>
    <w:rsid w:val="4A023139"/>
    <w:rsid w:val="4A03113E"/>
    <w:rsid w:val="4A0328F9"/>
    <w:rsid w:val="4A09101F"/>
    <w:rsid w:val="4A0D21C2"/>
    <w:rsid w:val="4A0E316A"/>
    <w:rsid w:val="4A0F5F3A"/>
    <w:rsid w:val="4A113A61"/>
    <w:rsid w:val="4A1672C9"/>
    <w:rsid w:val="4A17094B"/>
    <w:rsid w:val="4A174DEF"/>
    <w:rsid w:val="4A1E617D"/>
    <w:rsid w:val="4A201EF6"/>
    <w:rsid w:val="4A2410AF"/>
    <w:rsid w:val="4A247CED"/>
    <w:rsid w:val="4A273284"/>
    <w:rsid w:val="4A2819C9"/>
    <w:rsid w:val="4A2C2648"/>
    <w:rsid w:val="4A314103"/>
    <w:rsid w:val="4A353E64"/>
    <w:rsid w:val="4A3B0ADD"/>
    <w:rsid w:val="4A413C1A"/>
    <w:rsid w:val="4A435BE4"/>
    <w:rsid w:val="4A437992"/>
    <w:rsid w:val="4A443E36"/>
    <w:rsid w:val="4A471230"/>
    <w:rsid w:val="4A4756D4"/>
    <w:rsid w:val="4A477482"/>
    <w:rsid w:val="4A492030"/>
    <w:rsid w:val="4A4D0867"/>
    <w:rsid w:val="4A58168F"/>
    <w:rsid w:val="4A600544"/>
    <w:rsid w:val="4A6022F2"/>
    <w:rsid w:val="4A633B90"/>
    <w:rsid w:val="4A653DAC"/>
    <w:rsid w:val="4A673681"/>
    <w:rsid w:val="4A695243"/>
    <w:rsid w:val="4A6A3171"/>
    <w:rsid w:val="4A6D4A0F"/>
    <w:rsid w:val="4A6F2535"/>
    <w:rsid w:val="4A712751"/>
    <w:rsid w:val="4A727F0E"/>
    <w:rsid w:val="4A730277"/>
    <w:rsid w:val="4A742241"/>
    <w:rsid w:val="4A754154"/>
    <w:rsid w:val="4A761B16"/>
    <w:rsid w:val="4A767D68"/>
    <w:rsid w:val="4A77763C"/>
    <w:rsid w:val="4A791606"/>
    <w:rsid w:val="4A7B537E"/>
    <w:rsid w:val="4A7B576F"/>
    <w:rsid w:val="4A7E09CA"/>
    <w:rsid w:val="4A82495E"/>
    <w:rsid w:val="4A82670C"/>
    <w:rsid w:val="4A857FAB"/>
    <w:rsid w:val="4A8C38A0"/>
    <w:rsid w:val="4A8D10ED"/>
    <w:rsid w:val="4A8E09AD"/>
    <w:rsid w:val="4A8E50B1"/>
    <w:rsid w:val="4A8F4985"/>
    <w:rsid w:val="4A954692"/>
    <w:rsid w:val="4A985F30"/>
    <w:rsid w:val="4A9B05A9"/>
    <w:rsid w:val="4A9F106C"/>
    <w:rsid w:val="4A9F72BE"/>
    <w:rsid w:val="4AA30431"/>
    <w:rsid w:val="4AA448D5"/>
    <w:rsid w:val="4AAA6481"/>
    <w:rsid w:val="4AAD305D"/>
    <w:rsid w:val="4AAF6887"/>
    <w:rsid w:val="4AB03279"/>
    <w:rsid w:val="4AB04516"/>
    <w:rsid w:val="4AB16FF2"/>
    <w:rsid w:val="4AB32D6A"/>
    <w:rsid w:val="4AB368C6"/>
    <w:rsid w:val="4AB50890"/>
    <w:rsid w:val="4AB54787"/>
    <w:rsid w:val="4AB663B6"/>
    <w:rsid w:val="4ABB577A"/>
    <w:rsid w:val="4ABD30CC"/>
    <w:rsid w:val="4AC07235"/>
    <w:rsid w:val="4AC22FAD"/>
    <w:rsid w:val="4AC46D25"/>
    <w:rsid w:val="4AC705C3"/>
    <w:rsid w:val="4ACA1E61"/>
    <w:rsid w:val="4ACA3C0F"/>
    <w:rsid w:val="4ACE54AE"/>
    <w:rsid w:val="4ACF05F5"/>
    <w:rsid w:val="4AD056CA"/>
    <w:rsid w:val="4AD11442"/>
    <w:rsid w:val="4AD131F0"/>
    <w:rsid w:val="4AD60806"/>
    <w:rsid w:val="4ADB18EB"/>
    <w:rsid w:val="4ADE7383"/>
    <w:rsid w:val="4ADF355A"/>
    <w:rsid w:val="4ADF76BB"/>
    <w:rsid w:val="4AE5022F"/>
    <w:rsid w:val="4AE52E2B"/>
    <w:rsid w:val="4AE7656F"/>
    <w:rsid w:val="4AEA4061"/>
    <w:rsid w:val="4AEB2504"/>
    <w:rsid w:val="4AEE5B50"/>
    <w:rsid w:val="4AF37CCE"/>
    <w:rsid w:val="4AF60EA8"/>
    <w:rsid w:val="4AF869CF"/>
    <w:rsid w:val="4AF95AE8"/>
    <w:rsid w:val="4AFA62A3"/>
    <w:rsid w:val="4AFE2ACC"/>
    <w:rsid w:val="4B0042F9"/>
    <w:rsid w:val="4B0378FD"/>
    <w:rsid w:val="4B0F5512"/>
    <w:rsid w:val="4B11183E"/>
    <w:rsid w:val="4B137364"/>
    <w:rsid w:val="4B1732F9"/>
    <w:rsid w:val="4B187071"/>
    <w:rsid w:val="4B1A6945"/>
    <w:rsid w:val="4B1D4687"/>
    <w:rsid w:val="4B217CD3"/>
    <w:rsid w:val="4B271062"/>
    <w:rsid w:val="4B2B0B52"/>
    <w:rsid w:val="4B2C48CA"/>
    <w:rsid w:val="4B2C6678"/>
    <w:rsid w:val="4B307F16"/>
    <w:rsid w:val="4B3774F7"/>
    <w:rsid w:val="4B3814C1"/>
    <w:rsid w:val="4B386DCB"/>
    <w:rsid w:val="4B3872B3"/>
    <w:rsid w:val="4B3D2633"/>
    <w:rsid w:val="4B40489E"/>
    <w:rsid w:val="4B441C14"/>
    <w:rsid w:val="4B48362D"/>
    <w:rsid w:val="4B4C2876"/>
    <w:rsid w:val="4B555BCF"/>
    <w:rsid w:val="4B5A4F93"/>
    <w:rsid w:val="4B5C0D0B"/>
    <w:rsid w:val="4B5D4A84"/>
    <w:rsid w:val="4B5F09E6"/>
    <w:rsid w:val="4B616322"/>
    <w:rsid w:val="4B6202EC"/>
    <w:rsid w:val="4B6422B6"/>
    <w:rsid w:val="4B6573C5"/>
    <w:rsid w:val="4B660ECF"/>
    <w:rsid w:val="4B673834"/>
    <w:rsid w:val="4B695975"/>
    <w:rsid w:val="4B6978CC"/>
    <w:rsid w:val="4B6C4CC7"/>
    <w:rsid w:val="4B6D2F19"/>
    <w:rsid w:val="4B73542B"/>
    <w:rsid w:val="4B747A79"/>
    <w:rsid w:val="4B777E35"/>
    <w:rsid w:val="4B797B0F"/>
    <w:rsid w:val="4B7B4D7B"/>
    <w:rsid w:val="4B7C13AE"/>
    <w:rsid w:val="4B7D55E8"/>
    <w:rsid w:val="4B7F2C4C"/>
    <w:rsid w:val="4B8262E8"/>
    <w:rsid w:val="4B83273C"/>
    <w:rsid w:val="4B8402B1"/>
    <w:rsid w:val="4B8509FE"/>
    <w:rsid w:val="4B863FDA"/>
    <w:rsid w:val="4B865D88"/>
    <w:rsid w:val="4B92297F"/>
    <w:rsid w:val="4B9318F2"/>
    <w:rsid w:val="4B9366F7"/>
    <w:rsid w:val="4B9506C1"/>
    <w:rsid w:val="4B9530C4"/>
    <w:rsid w:val="4B983D0E"/>
    <w:rsid w:val="4B9A1834"/>
    <w:rsid w:val="4B9E1324"/>
    <w:rsid w:val="4B9F6E4A"/>
    <w:rsid w:val="4BA17066"/>
    <w:rsid w:val="4BA426B2"/>
    <w:rsid w:val="4BA803F5"/>
    <w:rsid w:val="4BA821A3"/>
    <w:rsid w:val="4BA97CC9"/>
    <w:rsid w:val="4BAB57EF"/>
    <w:rsid w:val="4BAE52DF"/>
    <w:rsid w:val="4BAF6219"/>
    <w:rsid w:val="4BB01057"/>
    <w:rsid w:val="4BB26B7D"/>
    <w:rsid w:val="4BB46D99"/>
    <w:rsid w:val="4BB87F0C"/>
    <w:rsid w:val="4BB943B0"/>
    <w:rsid w:val="4BBA3C84"/>
    <w:rsid w:val="4BBC5C4E"/>
    <w:rsid w:val="4BBF594C"/>
    <w:rsid w:val="4BC82845"/>
    <w:rsid w:val="4BC9514A"/>
    <w:rsid w:val="4BD05255"/>
    <w:rsid w:val="4BD3035B"/>
    <w:rsid w:val="4BD626E7"/>
    <w:rsid w:val="4BD765E4"/>
    <w:rsid w:val="4BD905AE"/>
    <w:rsid w:val="4BDA60D4"/>
    <w:rsid w:val="4BDC009E"/>
    <w:rsid w:val="4BDD3B63"/>
    <w:rsid w:val="4BDE3E16"/>
    <w:rsid w:val="4BDF193C"/>
    <w:rsid w:val="4BE156B5"/>
    <w:rsid w:val="4BE62CCB"/>
    <w:rsid w:val="4BEA27BB"/>
    <w:rsid w:val="4BEA671C"/>
    <w:rsid w:val="4BEB6533"/>
    <w:rsid w:val="4BED22AB"/>
    <w:rsid w:val="4BF040B3"/>
    <w:rsid w:val="4BF61160"/>
    <w:rsid w:val="4BF62612"/>
    <w:rsid w:val="4BF70A34"/>
    <w:rsid w:val="4BF90C50"/>
    <w:rsid w:val="4BFC24EE"/>
    <w:rsid w:val="4BFC604B"/>
    <w:rsid w:val="4C0118B3"/>
    <w:rsid w:val="4C0575F5"/>
    <w:rsid w:val="4C072813"/>
    <w:rsid w:val="4C0A2342"/>
    <w:rsid w:val="4C0D2006"/>
    <w:rsid w:val="4C107D48"/>
    <w:rsid w:val="4C11613A"/>
    <w:rsid w:val="4C12586E"/>
    <w:rsid w:val="4C15535E"/>
    <w:rsid w:val="4C177328"/>
    <w:rsid w:val="4C196BFC"/>
    <w:rsid w:val="4C1B0BC7"/>
    <w:rsid w:val="4C1C011A"/>
    <w:rsid w:val="4C1D2A3A"/>
    <w:rsid w:val="4C20442F"/>
    <w:rsid w:val="4C215AB1"/>
    <w:rsid w:val="4C222DFD"/>
    <w:rsid w:val="4C2757BD"/>
    <w:rsid w:val="4C2E13B2"/>
    <w:rsid w:val="4C2F01CE"/>
    <w:rsid w:val="4C3103EA"/>
    <w:rsid w:val="4C327CBE"/>
    <w:rsid w:val="4C343841"/>
    <w:rsid w:val="4C371778"/>
    <w:rsid w:val="4C39104D"/>
    <w:rsid w:val="4C3B6274"/>
    <w:rsid w:val="4C4874E2"/>
    <w:rsid w:val="4C4A0649"/>
    <w:rsid w:val="4C4C5224"/>
    <w:rsid w:val="4C511115"/>
    <w:rsid w:val="4C516396"/>
    <w:rsid w:val="4C5328EF"/>
    <w:rsid w:val="4C5D5CF6"/>
    <w:rsid w:val="4C6205A3"/>
    <w:rsid w:val="4C667968"/>
    <w:rsid w:val="4C675BBA"/>
    <w:rsid w:val="4C6B091A"/>
    <w:rsid w:val="4C6C226D"/>
    <w:rsid w:val="4C6E50DF"/>
    <w:rsid w:val="4C713CFE"/>
    <w:rsid w:val="4C716A38"/>
    <w:rsid w:val="4C72630D"/>
    <w:rsid w:val="4C744019"/>
    <w:rsid w:val="4C79769B"/>
    <w:rsid w:val="4C7E4CB1"/>
    <w:rsid w:val="4C804ECE"/>
    <w:rsid w:val="4C83051A"/>
    <w:rsid w:val="4C863FEA"/>
    <w:rsid w:val="4C87000A"/>
    <w:rsid w:val="4C8C73CE"/>
    <w:rsid w:val="4C9857B2"/>
    <w:rsid w:val="4C9B3AB5"/>
    <w:rsid w:val="4C9D782D"/>
    <w:rsid w:val="4CA02E7A"/>
    <w:rsid w:val="4CA0731E"/>
    <w:rsid w:val="4CA24E44"/>
    <w:rsid w:val="4CA276AB"/>
    <w:rsid w:val="4CA412EE"/>
    <w:rsid w:val="4CA50490"/>
    <w:rsid w:val="4CA54934"/>
    <w:rsid w:val="4CA7245A"/>
    <w:rsid w:val="4CAA64D4"/>
    <w:rsid w:val="4CB132D9"/>
    <w:rsid w:val="4CB22BAD"/>
    <w:rsid w:val="4CBE1552"/>
    <w:rsid w:val="4CBF59F6"/>
    <w:rsid w:val="4CC0176E"/>
    <w:rsid w:val="4CC21042"/>
    <w:rsid w:val="4CC2206D"/>
    <w:rsid w:val="4CC4300C"/>
    <w:rsid w:val="4CC50B32"/>
    <w:rsid w:val="4CC528E0"/>
    <w:rsid w:val="4CC622E8"/>
    <w:rsid w:val="4CC72AFC"/>
    <w:rsid w:val="4CC76658"/>
    <w:rsid w:val="4CCE58CF"/>
    <w:rsid w:val="4CD15729"/>
    <w:rsid w:val="4CD26D0B"/>
    <w:rsid w:val="4CD3324F"/>
    <w:rsid w:val="4CD40D75"/>
    <w:rsid w:val="4CD6689C"/>
    <w:rsid w:val="4CD66EB3"/>
    <w:rsid w:val="4CDB0356"/>
    <w:rsid w:val="4CDD5E7C"/>
    <w:rsid w:val="4CE03BBE"/>
    <w:rsid w:val="4CE25557"/>
    <w:rsid w:val="4CE27936"/>
    <w:rsid w:val="4CE42B3C"/>
    <w:rsid w:val="4CE4647E"/>
    <w:rsid w:val="4CE470D3"/>
    <w:rsid w:val="4CE70AA9"/>
    <w:rsid w:val="4CEE62DB"/>
    <w:rsid w:val="4CEF5BAF"/>
    <w:rsid w:val="4D023C3A"/>
    <w:rsid w:val="4D0347ED"/>
    <w:rsid w:val="4D04450E"/>
    <w:rsid w:val="4D07677C"/>
    <w:rsid w:val="4D0A4797"/>
    <w:rsid w:val="4D0D77FD"/>
    <w:rsid w:val="4D1004F6"/>
    <w:rsid w:val="4D153868"/>
    <w:rsid w:val="4D1A36F9"/>
    <w:rsid w:val="4D1B58FE"/>
    <w:rsid w:val="4D1D44CA"/>
    <w:rsid w:val="4D1E40F8"/>
    <w:rsid w:val="4D2717ED"/>
    <w:rsid w:val="4D2770F7"/>
    <w:rsid w:val="4D2948D5"/>
    <w:rsid w:val="4D355CB8"/>
    <w:rsid w:val="4D3A32CE"/>
    <w:rsid w:val="4D3B1C54"/>
    <w:rsid w:val="4D3D691B"/>
    <w:rsid w:val="4D3F481B"/>
    <w:rsid w:val="4D41465D"/>
    <w:rsid w:val="4D4203D5"/>
    <w:rsid w:val="4D446304"/>
    <w:rsid w:val="4D461C73"/>
    <w:rsid w:val="4D467EC5"/>
    <w:rsid w:val="4D4A6344"/>
    <w:rsid w:val="4D4C3002"/>
    <w:rsid w:val="4D4F548A"/>
    <w:rsid w:val="4D4F66DD"/>
    <w:rsid w:val="4D5048A0"/>
    <w:rsid w:val="4D511823"/>
    <w:rsid w:val="4D523335"/>
    <w:rsid w:val="4D534390"/>
    <w:rsid w:val="4D551EB6"/>
    <w:rsid w:val="4D5716EC"/>
    <w:rsid w:val="4D5F2D35"/>
    <w:rsid w:val="4D622825"/>
    <w:rsid w:val="4D626381"/>
    <w:rsid w:val="4D64659D"/>
    <w:rsid w:val="4D6473B4"/>
    <w:rsid w:val="4D665E71"/>
    <w:rsid w:val="4D6D36A4"/>
    <w:rsid w:val="4D70238D"/>
    <w:rsid w:val="4D73058E"/>
    <w:rsid w:val="4D782FD9"/>
    <w:rsid w:val="4D806F98"/>
    <w:rsid w:val="4D826A23"/>
    <w:rsid w:val="4D834C75"/>
    <w:rsid w:val="4D844549"/>
    <w:rsid w:val="4D8602C2"/>
    <w:rsid w:val="4D866514"/>
    <w:rsid w:val="4D880DF6"/>
    <w:rsid w:val="4D8B3B2A"/>
    <w:rsid w:val="4D8E361A"/>
    <w:rsid w:val="4D8F45EB"/>
    <w:rsid w:val="4D910B7E"/>
    <w:rsid w:val="4D956757"/>
    <w:rsid w:val="4D9C1893"/>
    <w:rsid w:val="4D9E78F3"/>
    <w:rsid w:val="4D9F75D5"/>
    <w:rsid w:val="4DA326D4"/>
    <w:rsid w:val="4DA60964"/>
    <w:rsid w:val="4DA67FC9"/>
    <w:rsid w:val="4DA70238"/>
    <w:rsid w:val="4DA846DC"/>
    <w:rsid w:val="4DAB40F0"/>
    <w:rsid w:val="4DAE0572"/>
    <w:rsid w:val="4DB43081"/>
    <w:rsid w:val="4DB50BA7"/>
    <w:rsid w:val="4DB82445"/>
    <w:rsid w:val="4DBA61BD"/>
    <w:rsid w:val="4DBC1F35"/>
    <w:rsid w:val="4DBE2C0C"/>
    <w:rsid w:val="4DBF10A6"/>
    <w:rsid w:val="4DC112FA"/>
    <w:rsid w:val="4DC1754C"/>
    <w:rsid w:val="4DC31F9D"/>
    <w:rsid w:val="4DC42B98"/>
    <w:rsid w:val="4DC66910"/>
    <w:rsid w:val="4DCC2AB5"/>
    <w:rsid w:val="4DCD7C9F"/>
    <w:rsid w:val="4DCE1C69"/>
    <w:rsid w:val="4DCE2B1A"/>
    <w:rsid w:val="4DD70B1D"/>
    <w:rsid w:val="4DD85AB8"/>
    <w:rsid w:val="4DD94895"/>
    <w:rsid w:val="4DDA06F9"/>
    <w:rsid w:val="4DDB103B"/>
    <w:rsid w:val="4DDE1EAC"/>
    <w:rsid w:val="4DE17BEE"/>
    <w:rsid w:val="4DE21C50"/>
    <w:rsid w:val="4DEB45C9"/>
    <w:rsid w:val="4DEC4FB0"/>
    <w:rsid w:val="4DED6593"/>
    <w:rsid w:val="4DEF6FAE"/>
    <w:rsid w:val="4DFF6CE0"/>
    <w:rsid w:val="4E0062C6"/>
    <w:rsid w:val="4E037B64"/>
    <w:rsid w:val="4E075D8A"/>
    <w:rsid w:val="4E08517B"/>
    <w:rsid w:val="4E0B07C7"/>
    <w:rsid w:val="4E0B6A19"/>
    <w:rsid w:val="4E0F6509"/>
    <w:rsid w:val="4E143B1F"/>
    <w:rsid w:val="4E1C29D4"/>
    <w:rsid w:val="4E1C6E78"/>
    <w:rsid w:val="4E1E674C"/>
    <w:rsid w:val="4E232905"/>
    <w:rsid w:val="4E263853"/>
    <w:rsid w:val="4E265601"/>
    <w:rsid w:val="4E2B4904"/>
    <w:rsid w:val="4E2F00CD"/>
    <w:rsid w:val="4E30022D"/>
    <w:rsid w:val="4E361CE8"/>
    <w:rsid w:val="4E393586"/>
    <w:rsid w:val="4E3B5550"/>
    <w:rsid w:val="4E3B72FE"/>
    <w:rsid w:val="4E3C3076"/>
    <w:rsid w:val="4E3E386B"/>
    <w:rsid w:val="4E3E40CF"/>
    <w:rsid w:val="4E41243B"/>
    <w:rsid w:val="4E43575C"/>
    <w:rsid w:val="4E437F61"/>
    <w:rsid w:val="4E4A7541"/>
    <w:rsid w:val="4E4B32B9"/>
    <w:rsid w:val="4E4B537E"/>
    <w:rsid w:val="4E4D0DDF"/>
    <w:rsid w:val="4E4E3531"/>
    <w:rsid w:val="4E4F21B5"/>
    <w:rsid w:val="4E5008D0"/>
    <w:rsid w:val="4E516B22"/>
    <w:rsid w:val="4E5466E1"/>
    <w:rsid w:val="4E557B71"/>
    <w:rsid w:val="4E5B17E2"/>
    <w:rsid w:val="4E5C64FB"/>
    <w:rsid w:val="4E612B82"/>
    <w:rsid w:val="4E635291"/>
    <w:rsid w:val="4E65437B"/>
    <w:rsid w:val="4E656129"/>
    <w:rsid w:val="4E6C0560"/>
    <w:rsid w:val="4E6C5709"/>
    <w:rsid w:val="4E6D76D3"/>
    <w:rsid w:val="4E704ACE"/>
    <w:rsid w:val="4E7445BE"/>
    <w:rsid w:val="4E796078"/>
    <w:rsid w:val="4E797E26"/>
    <w:rsid w:val="4E850579"/>
    <w:rsid w:val="4E862CA3"/>
    <w:rsid w:val="4E8649E8"/>
    <w:rsid w:val="4E87155B"/>
    <w:rsid w:val="4E87437C"/>
    <w:rsid w:val="4E8A5B90"/>
    <w:rsid w:val="4E8C2811"/>
    <w:rsid w:val="4E922C96"/>
    <w:rsid w:val="4E964534"/>
    <w:rsid w:val="4E992277"/>
    <w:rsid w:val="4E9B7D9D"/>
    <w:rsid w:val="4E9D60A3"/>
    <w:rsid w:val="4E9E163B"/>
    <w:rsid w:val="4EA12ED9"/>
    <w:rsid w:val="4EA2112B"/>
    <w:rsid w:val="4EA35EC7"/>
    <w:rsid w:val="4EA43198"/>
    <w:rsid w:val="4EA56E6D"/>
    <w:rsid w:val="4EAA6232"/>
    <w:rsid w:val="4EAC01FC"/>
    <w:rsid w:val="4EB3158A"/>
    <w:rsid w:val="4EB64BD7"/>
    <w:rsid w:val="4EB726FD"/>
    <w:rsid w:val="4EB90223"/>
    <w:rsid w:val="4EBC01AF"/>
    <w:rsid w:val="4EBD5A47"/>
    <w:rsid w:val="4EC310A1"/>
    <w:rsid w:val="4EC33F0B"/>
    <w:rsid w:val="4EC512BE"/>
    <w:rsid w:val="4EC54E1A"/>
    <w:rsid w:val="4EC76DE4"/>
    <w:rsid w:val="4EC8490A"/>
    <w:rsid w:val="4EC927B3"/>
    <w:rsid w:val="4ECA0682"/>
    <w:rsid w:val="4ECA68D4"/>
    <w:rsid w:val="4ECE6CED"/>
    <w:rsid w:val="4ED355A0"/>
    <w:rsid w:val="4ED3756D"/>
    <w:rsid w:val="4ED432AF"/>
    <w:rsid w:val="4ED4505D"/>
    <w:rsid w:val="4ED60DD5"/>
    <w:rsid w:val="4ED92673"/>
    <w:rsid w:val="4EDB463D"/>
    <w:rsid w:val="4EDD03B5"/>
    <w:rsid w:val="4EDE7C89"/>
    <w:rsid w:val="4EDF257D"/>
    <w:rsid w:val="4EE17099"/>
    <w:rsid w:val="4EE2777A"/>
    <w:rsid w:val="4EE51018"/>
    <w:rsid w:val="4EE527CC"/>
    <w:rsid w:val="4EE73145"/>
    <w:rsid w:val="4EE85483"/>
    <w:rsid w:val="4EEE25C2"/>
    <w:rsid w:val="4EEF00E8"/>
    <w:rsid w:val="4EF474AD"/>
    <w:rsid w:val="4EF86F9D"/>
    <w:rsid w:val="4EFB504C"/>
    <w:rsid w:val="4EFB5199"/>
    <w:rsid w:val="4EFB6A8D"/>
    <w:rsid w:val="4EFD45B3"/>
    <w:rsid w:val="4EFF657E"/>
    <w:rsid w:val="4F0022F6"/>
    <w:rsid w:val="4F0040A4"/>
    <w:rsid w:val="4F02503B"/>
    <w:rsid w:val="4F027E1C"/>
    <w:rsid w:val="4F053468"/>
    <w:rsid w:val="4F091471"/>
    <w:rsid w:val="4F0973FC"/>
    <w:rsid w:val="4F0B3174"/>
    <w:rsid w:val="4F0C0C9A"/>
    <w:rsid w:val="4F0D4088"/>
    <w:rsid w:val="4F0E4A13"/>
    <w:rsid w:val="4F0F42E7"/>
    <w:rsid w:val="4F141481"/>
    <w:rsid w:val="4F1638C7"/>
    <w:rsid w:val="4F181241"/>
    <w:rsid w:val="4F1B0EDE"/>
    <w:rsid w:val="4F245363"/>
    <w:rsid w:val="4F2908FF"/>
    <w:rsid w:val="4F2C30EB"/>
    <w:rsid w:val="4F334479"/>
    <w:rsid w:val="4F361873"/>
    <w:rsid w:val="4F3855EC"/>
    <w:rsid w:val="4F3955E3"/>
    <w:rsid w:val="4F3B1580"/>
    <w:rsid w:val="4F3D70A6"/>
    <w:rsid w:val="4F4641AC"/>
    <w:rsid w:val="4F473A81"/>
    <w:rsid w:val="4F477F24"/>
    <w:rsid w:val="4F4A531F"/>
    <w:rsid w:val="4F4C0E88"/>
    <w:rsid w:val="4F4C1097"/>
    <w:rsid w:val="4F50502B"/>
    <w:rsid w:val="4F524CFA"/>
    <w:rsid w:val="4F566538"/>
    <w:rsid w:val="4F57407F"/>
    <w:rsid w:val="4F587A3C"/>
    <w:rsid w:val="4F5A30F9"/>
    <w:rsid w:val="4F5A7C58"/>
    <w:rsid w:val="4F5F0DCA"/>
    <w:rsid w:val="4F6005A7"/>
    <w:rsid w:val="4F636270"/>
    <w:rsid w:val="4F6F4D85"/>
    <w:rsid w:val="4F730D1A"/>
    <w:rsid w:val="4F7328A8"/>
    <w:rsid w:val="4F732971"/>
    <w:rsid w:val="4F732AC8"/>
    <w:rsid w:val="4F770156"/>
    <w:rsid w:val="4F7950A3"/>
    <w:rsid w:val="4F7B673F"/>
    <w:rsid w:val="4F7C5E20"/>
    <w:rsid w:val="4F7E5C43"/>
    <w:rsid w:val="4F8534D4"/>
    <w:rsid w:val="4F865629"/>
    <w:rsid w:val="4F884993"/>
    <w:rsid w:val="4F885589"/>
    <w:rsid w:val="4F8B1BBF"/>
    <w:rsid w:val="4F8E237C"/>
    <w:rsid w:val="4F8E6A6F"/>
    <w:rsid w:val="4F9273F2"/>
    <w:rsid w:val="4F960564"/>
    <w:rsid w:val="4F9A44F8"/>
    <w:rsid w:val="4F9B1E14"/>
    <w:rsid w:val="4FA14539"/>
    <w:rsid w:val="4FA40ED3"/>
    <w:rsid w:val="4FA54744"/>
    <w:rsid w:val="4FA54DB5"/>
    <w:rsid w:val="4FAC7D88"/>
    <w:rsid w:val="4FAD422B"/>
    <w:rsid w:val="4FB235F0"/>
    <w:rsid w:val="4FB31A07"/>
    <w:rsid w:val="4FB44097"/>
    <w:rsid w:val="4FBD3D43"/>
    <w:rsid w:val="4FBF5D0D"/>
    <w:rsid w:val="4FC13833"/>
    <w:rsid w:val="4FC155E1"/>
    <w:rsid w:val="4FC43323"/>
    <w:rsid w:val="4FC62A8C"/>
    <w:rsid w:val="4FC869BA"/>
    <w:rsid w:val="4FD83492"/>
    <w:rsid w:val="4FD96283"/>
    <w:rsid w:val="4FDE2637"/>
    <w:rsid w:val="4FE20F0D"/>
    <w:rsid w:val="4FE237A9"/>
    <w:rsid w:val="4FE47521"/>
    <w:rsid w:val="4FE87012"/>
    <w:rsid w:val="4FEB4D54"/>
    <w:rsid w:val="4FED182E"/>
    <w:rsid w:val="4FED4628"/>
    <w:rsid w:val="4FF21C3E"/>
    <w:rsid w:val="4FF37764"/>
    <w:rsid w:val="4FF61ED3"/>
    <w:rsid w:val="4FFA5313"/>
    <w:rsid w:val="4FFA6D45"/>
    <w:rsid w:val="4FFD0694"/>
    <w:rsid w:val="500100D3"/>
    <w:rsid w:val="50024746"/>
    <w:rsid w:val="50025BF9"/>
    <w:rsid w:val="500D0826"/>
    <w:rsid w:val="500F0A42"/>
    <w:rsid w:val="50100316"/>
    <w:rsid w:val="501047BA"/>
    <w:rsid w:val="501B6F55"/>
    <w:rsid w:val="501E5995"/>
    <w:rsid w:val="501F49FD"/>
    <w:rsid w:val="502301D1"/>
    <w:rsid w:val="50234A01"/>
    <w:rsid w:val="502D0EC8"/>
    <w:rsid w:val="502D2C76"/>
    <w:rsid w:val="502E69EF"/>
    <w:rsid w:val="503145EA"/>
    <w:rsid w:val="503234D1"/>
    <w:rsid w:val="503A5393"/>
    <w:rsid w:val="503B1837"/>
    <w:rsid w:val="50412BC6"/>
    <w:rsid w:val="50454464"/>
    <w:rsid w:val="504637E5"/>
    <w:rsid w:val="50463D38"/>
    <w:rsid w:val="50483F54"/>
    <w:rsid w:val="504908E4"/>
    <w:rsid w:val="50492324"/>
    <w:rsid w:val="504A4F1C"/>
    <w:rsid w:val="504B57F2"/>
    <w:rsid w:val="504D156B"/>
    <w:rsid w:val="504D3DB0"/>
    <w:rsid w:val="50503AAD"/>
    <w:rsid w:val="50504C4B"/>
    <w:rsid w:val="50521F46"/>
    <w:rsid w:val="50546455"/>
    <w:rsid w:val="50593A6B"/>
    <w:rsid w:val="505C7A00"/>
    <w:rsid w:val="505F4DFA"/>
    <w:rsid w:val="506403BE"/>
    <w:rsid w:val="50650662"/>
    <w:rsid w:val="50662A6C"/>
    <w:rsid w:val="506774A8"/>
    <w:rsid w:val="50680152"/>
    <w:rsid w:val="506A3ECB"/>
    <w:rsid w:val="506B379F"/>
    <w:rsid w:val="506D39BB"/>
    <w:rsid w:val="506F7733"/>
    <w:rsid w:val="50707B8E"/>
    <w:rsid w:val="50720FD1"/>
    <w:rsid w:val="50724B2D"/>
    <w:rsid w:val="50727505"/>
    <w:rsid w:val="507408A5"/>
    <w:rsid w:val="5074270E"/>
    <w:rsid w:val="50770396"/>
    <w:rsid w:val="50783C60"/>
    <w:rsid w:val="507904F4"/>
    <w:rsid w:val="50813689"/>
    <w:rsid w:val="50867BFF"/>
    <w:rsid w:val="508B5BEF"/>
    <w:rsid w:val="50903205"/>
    <w:rsid w:val="50936B56"/>
    <w:rsid w:val="5095591F"/>
    <w:rsid w:val="509623AA"/>
    <w:rsid w:val="509A5B6A"/>
    <w:rsid w:val="509C6E7C"/>
    <w:rsid w:val="509D6FF7"/>
    <w:rsid w:val="509E57AB"/>
    <w:rsid w:val="50A0169A"/>
    <w:rsid w:val="50A15412"/>
    <w:rsid w:val="50A8054F"/>
    <w:rsid w:val="50A97291"/>
    <w:rsid w:val="50AA42C7"/>
    <w:rsid w:val="50AB7F7F"/>
    <w:rsid w:val="50B43398"/>
    <w:rsid w:val="50B769E4"/>
    <w:rsid w:val="50B909AE"/>
    <w:rsid w:val="50BE5FC4"/>
    <w:rsid w:val="50C07F8E"/>
    <w:rsid w:val="50C15A67"/>
    <w:rsid w:val="50CA6717"/>
    <w:rsid w:val="50CC17D2"/>
    <w:rsid w:val="50CD6207"/>
    <w:rsid w:val="50D17AA6"/>
    <w:rsid w:val="50D22EE7"/>
    <w:rsid w:val="50D457E8"/>
    <w:rsid w:val="50D96C79"/>
    <w:rsid w:val="50DD32E6"/>
    <w:rsid w:val="50E05F3B"/>
    <w:rsid w:val="50E7551B"/>
    <w:rsid w:val="50E81293"/>
    <w:rsid w:val="50EA09D4"/>
    <w:rsid w:val="50EA4404"/>
    <w:rsid w:val="50ED0658"/>
    <w:rsid w:val="50F11EF6"/>
    <w:rsid w:val="50F6750C"/>
    <w:rsid w:val="50F73284"/>
    <w:rsid w:val="50FC2CFB"/>
    <w:rsid w:val="50FE4613"/>
    <w:rsid w:val="51010D79"/>
    <w:rsid w:val="510C31D4"/>
    <w:rsid w:val="51176F9E"/>
    <w:rsid w:val="511778D1"/>
    <w:rsid w:val="511D0F3D"/>
    <w:rsid w:val="511D2CEB"/>
    <w:rsid w:val="511E6A63"/>
    <w:rsid w:val="512027DB"/>
    <w:rsid w:val="51220612"/>
    <w:rsid w:val="51226553"/>
    <w:rsid w:val="512322CB"/>
    <w:rsid w:val="51281690"/>
    <w:rsid w:val="512E314A"/>
    <w:rsid w:val="512F645E"/>
    <w:rsid w:val="5131339E"/>
    <w:rsid w:val="513168B9"/>
    <w:rsid w:val="513358DF"/>
    <w:rsid w:val="51340035"/>
    <w:rsid w:val="51383FC9"/>
    <w:rsid w:val="513A0C0E"/>
    <w:rsid w:val="513A6B13"/>
    <w:rsid w:val="513B13C3"/>
    <w:rsid w:val="513C3318"/>
    <w:rsid w:val="513D513B"/>
    <w:rsid w:val="513E0EB3"/>
    <w:rsid w:val="51404C2B"/>
    <w:rsid w:val="51422751"/>
    <w:rsid w:val="51496312"/>
    <w:rsid w:val="514D0982"/>
    <w:rsid w:val="514F4E6E"/>
    <w:rsid w:val="5151508A"/>
    <w:rsid w:val="5153495F"/>
    <w:rsid w:val="515626A1"/>
    <w:rsid w:val="51576E82"/>
    <w:rsid w:val="515801C7"/>
    <w:rsid w:val="51591E29"/>
    <w:rsid w:val="5160707C"/>
    <w:rsid w:val="51612C25"/>
    <w:rsid w:val="5162104E"/>
    <w:rsid w:val="51631640"/>
    <w:rsid w:val="51644DBE"/>
    <w:rsid w:val="51694182"/>
    <w:rsid w:val="516A3A56"/>
    <w:rsid w:val="51702517"/>
    <w:rsid w:val="51711289"/>
    <w:rsid w:val="51730B5D"/>
    <w:rsid w:val="51777A1C"/>
    <w:rsid w:val="51786173"/>
    <w:rsid w:val="517A638F"/>
    <w:rsid w:val="517B3EB5"/>
    <w:rsid w:val="51810ACE"/>
    <w:rsid w:val="518134B2"/>
    <w:rsid w:val="518502DF"/>
    <w:rsid w:val="51850890"/>
    <w:rsid w:val="51882792"/>
    <w:rsid w:val="518A5306"/>
    <w:rsid w:val="518C1C1F"/>
    <w:rsid w:val="51932FAD"/>
    <w:rsid w:val="519531C9"/>
    <w:rsid w:val="51960CEF"/>
    <w:rsid w:val="519B00B4"/>
    <w:rsid w:val="519B0227"/>
    <w:rsid w:val="51A24EB3"/>
    <w:rsid w:val="51A33E68"/>
    <w:rsid w:val="51A4340C"/>
    <w:rsid w:val="51A52CE0"/>
    <w:rsid w:val="51A74B95"/>
    <w:rsid w:val="51A76A58"/>
    <w:rsid w:val="51AA639C"/>
    <w:rsid w:val="51AC0513"/>
    <w:rsid w:val="51AE0F7B"/>
    <w:rsid w:val="51B7361B"/>
    <w:rsid w:val="51B80C66"/>
    <w:rsid w:val="51BA5593"/>
    <w:rsid w:val="51BF0246"/>
    <w:rsid w:val="51C21AE4"/>
    <w:rsid w:val="51C21ED4"/>
    <w:rsid w:val="51C70EA9"/>
    <w:rsid w:val="51C83F96"/>
    <w:rsid w:val="51CB3467"/>
    <w:rsid w:val="51CB6BEB"/>
    <w:rsid w:val="51CC64BF"/>
    <w:rsid w:val="51D27F79"/>
    <w:rsid w:val="51D3240E"/>
    <w:rsid w:val="51DC0D2B"/>
    <w:rsid w:val="51DD06CC"/>
    <w:rsid w:val="51DD247A"/>
    <w:rsid w:val="51E33C89"/>
    <w:rsid w:val="51E41A5B"/>
    <w:rsid w:val="51E65239"/>
    <w:rsid w:val="51EC0F1C"/>
    <w:rsid w:val="51EE0B2B"/>
    <w:rsid w:val="51EE28D9"/>
    <w:rsid w:val="51F1661C"/>
    <w:rsid w:val="51F6353C"/>
    <w:rsid w:val="51FF6894"/>
    <w:rsid w:val="5201085F"/>
    <w:rsid w:val="52021F07"/>
    <w:rsid w:val="52043EAB"/>
    <w:rsid w:val="5204431E"/>
    <w:rsid w:val="52045C59"/>
    <w:rsid w:val="52050633"/>
    <w:rsid w:val="5208399B"/>
    <w:rsid w:val="520B348B"/>
    <w:rsid w:val="520F6E87"/>
    <w:rsid w:val="52122037"/>
    <w:rsid w:val="52122C37"/>
    <w:rsid w:val="5215365D"/>
    <w:rsid w:val="521C5892"/>
    <w:rsid w:val="521E2410"/>
    <w:rsid w:val="521E31BF"/>
    <w:rsid w:val="52203989"/>
    <w:rsid w:val="52217969"/>
    <w:rsid w:val="52224331"/>
    <w:rsid w:val="522400A9"/>
    <w:rsid w:val="52244433"/>
    <w:rsid w:val="52285DEB"/>
    <w:rsid w:val="52287B99"/>
    <w:rsid w:val="522D3402"/>
    <w:rsid w:val="522E717A"/>
    <w:rsid w:val="52320A18"/>
    <w:rsid w:val="52326C6A"/>
    <w:rsid w:val="5234212E"/>
    <w:rsid w:val="523522B6"/>
    <w:rsid w:val="52374081"/>
    <w:rsid w:val="5237602E"/>
    <w:rsid w:val="52391DA6"/>
    <w:rsid w:val="523A167B"/>
    <w:rsid w:val="523D116B"/>
    <w:rsid w:val="523E560F"/>
    <w:rsid w:val="524244DF"/>
    <w:rsid w:val="5244074B"/>
    <w:rsid w:val="52462715"/>
    <w:rsid w:val="5247554A"/>
    <w:rsid w:val="52481FEA"/>
    <w:rsid w:val="52483D98"/>
    <w:rsid w:val="524B3888"/>
    <w:rsid w:val="524D13AE"/>
    <w:rsid w:val="524E2FBC"/>
    <w:rsid w:val="524E5126"/>
    <w:rsid w:val="52554706"/>
    <w:rsid w:val="525700B0"/>
    <w:rsid w:val="52572AAC"/>
    <w:rsid w:val="52574ECB"/>
    <w:rsid w:val="525941F7"/>
    <w:rsid w:val="525B6CEF"/>
    <w:rsid w:val="525E297F"/>
    <w:rsid w:val="525E35BB"/>
    <w:rsid w:val="52636E23"/>
    <w:rsid w:val="52691F60"/>
    <w:rsid w:val="526E0676"/>
    <w:rsid w:val="526F0D33"/>
    <w:rsid w:val="52701540"/>
    <w:rsid w:val="52720E14"/>
    <w:rsid w:val="527252B8"/>
    <w:rsid w:val="52750905"/>
    <w:rsid w:val="52796647"/>
    <w:rsid w:val="527A33E5"/>
    <w:rsid w:val="527C0E84"/>
    <w:rsid w:val="5281374D"/>
    <w:rsid w:val="528164AB"/>
    <w:rsid w:val="52850AA4"/>
    <w:rsid w:val="528A0854"/>
    <w:rsid w:val="528C45CC"/>
    <w:rsid w:val="528D5C4E"/>
    <w:rsid w:val="528E597D"/>
    <w:rsid w:val="528F1410"/>
    <w:rsid w:val="528F5E6A"/>
    <w:rsid w:val="52915273"/>
    <w:rsid w:val="529214B7"/>
    <w:rsid w:val="52961E90"/>
    <w:rsid w:val="529671F9"/>
    <w:rsid w:val="52A336C4"/>
    <w:rsid w:val="52A64F62"/>
    <w:rsid w:val="52A84C21"/>
    <w:rsid w:val="52AA4A52"/>
    <w:rsid w:val="52AD4542"/>
    <w:rsid w:val="52AF2069"/>
    <w:rsid w:val="52AF3E17"/>
    <w:rsid w:val="52B458D1"/>
    <w:rsid w:val="52B96A43"/>
    <w:rsid w:val="52BC29D7"/>
    <w:rsid w:val="52BE405A"/>
    <w:rsid w:val="52BE768D"/>
    <w:rsid w:val="52C5188C"/>
    <w:rsid w:val="52C553E8"/>
    <w:rsid w:val="52C8137C"/>
    <w:rsid w:val="52D23FA9"/>
    <w:rsid w:val="52D25D57"/>
    <w:rsid w:val="52D73AAB"/>
    <w:rsid w:val="52DD7B03"/>
    <w:rsid w:val="52E53CDC"/>
    <w:rsid w:val="52E8648C"/>
    <w:rsid w:val="52EA30A1"/>
    <w:rsid w:val="52EC33C3"/>
    <w:rsid w:val="52F061DD"/>
    <w:rsid w:val="52F1442F"/>
    <w:rsid w:val="52F67C97"/>
    <w:rsid w:val="52F91536"/>
    <w:rsid w:val="52FB52AE"/>
    <w:rsid w:val="52FB705C"/>
    <w:rsid w:val="530028C4"/>
    <w:rsid w:val="53004672"/>
    <w:rsid w:val="530A729F"/>
    <w:rsid w:val="530C6B0A"/>
    <w:rsid w:val="530D4FE1"/>
    <w:rsid w:val="530E3233"/>
    <w:rsid w:val="530F0D59"/>
    <w:rsid w:val="5310069C"/>
    <w:rsid w:val="531243A6"/>
    <w:rsid w:val="5315716F"/>
    <w:rsid w:val="53171558"/>
    <w:rsid w:val="53195734"/>
    <w:rsid w:val="531D273D"/>
    <w:rsid w:val="532837EA"/>
    <w:rsid w:val="5330338D"/>
    <w:rsid w:val="53312A7E"/>
    <w:rsid w:val="5338205E"/>
    <w:rsid w:val="53397B84"/>
    <w:rsid w:val="533D58C6"/>
    <w:rsid w:val="533D68E5"/>
    <w:rsid w:val="534A3FB3"/>
    <w:rsid w:val="534C02C5"/>
    <w:rsid w:val="534C3D5B"/>
    <w:rsid w:val="53563F10"/>
    <w:rsid w:val="535B7AFB"/>
    <w:rsid w:val="535D1AC5"/>
    <w:rsid w:val="535D2428"/>
    <w:rsid w:val="535E4EAC"/>
    <w:rsid w:val="535E75EB"/>
    <w:rsid w:val="53620E89"/>
    <w:rsid w:val="53654E1D"/>
    <w:rsid w:val="53666D3F"/>
    <w:rsid w:val="53682217"/>
    <w:rsid w:val="536B2E30"/>
    <w:rsid w:val="536E3CD2"/>
    <w:rsid w:val="536E5A80"/>
    <w:rsid w:val="536F7A4A"/>
    <w:rsid w:val="53715570"/>
    <w:rsid w:val="537863BA"/>
    <w:rsid w:val="537E4E8A"/>
    <w:rsid w:val="53803A05"/>
    <w:rsid w:val="53853AFB"/>
    <w:rsid w:val="538E7ED0"/>
    <w:rsid w:val="538F1360"/>
    <w:rsid w:val="538F56F6"/>
    <w:rsid w:val="539354E6"/>
    <w:rsid w:val="53936B24"/>
    <w:rsid w:val="5394125E"/>
    <w:rsid w:val="539579A4"/>
    <w:rsid w:val="539F032F"/>
    <w:rsid w:val="53A039CC"/>
    <w:rsid w:val="53A1505A"/>
    <w:rsid w:val="53A169D4"/>
    <w:rsid w:val="53A21BCD"/>
    <w:rsid w:val="53A45945"/>
    <w:rsid w:val="53A5521A"/>
    <w:rsid w:val="53A56FC8"/>
    <w:rsid w:val="53A94D0A"/>
    <w:rsid w:val="53A96AB8"/>
    <w:rsid w:val="53AA4158"/>
    <w:rsid w:val="53B52E53"/>
    <w:rsid w:val="53B65679"/>
    <w:rsid w:val="53B73033"/>
    <w:rsid w:val="53B84F4D"/>
    <w:rsid w:val="53B8749A"/>
    <w:rsid w:val="53B92A73"/>
    <w:rsid w:val="53BD2563"/>
    <w:rsid w:val="53BD6A07"/>
    <w:rsid w:val="53BF452D"/>
    <w:rsid w:val="53C20A91"/>
    <w:rsid w:val="53C25DCC"/>
    <w:rsid w:val="53C32D17"/>
    <w:rsid w:val="53C64D9B"/>
    <w:rsid w:val="53C77503"/>
    <w:rsid w:val="53D0673A"/>
    <w:rsid w:val="53D14261"/>
    <w:rsid w:val="53D1600F"/>
    <w:rsid w:val="53DC5FCE"/>
    <w:rsid w:val="53E05348"/>
    <w:rsid w:val="53E13976"/>
    <w:rsid w:val="53E43F94"/>
    <w:rsid w:val="53E915AA"/>
    <w:rsid w:val="53E92248"/>
    <w:rsid w:val="53EB266A"/>
    <w:rsid w:val="53EB2F46"/>
    <w:rsid w:val="53EB5322"/>
    <w:rsid w:val="53F306B5"/>
    <w:rsid w:val="53F32429"/>
    <w:rsid w:val="53F33941"/>
    <w:rsid w:val="53FD6108"/>
    <w:rsid w:val="53FF0DCE"/>
    <w:rsid w:val="53FF49A6"/>
    <w:rsid w:val="5400590F"/>
    <w:rsid w:val="540168F4"/>
    <w:rsid w:val="54040192"/>
    <w:rsid w:val="54041F40"/>
    <w:rsid w:val="540463E4"/>
    <w:rsid w:val="54063E08"/>
    <w:rsid w:val="54065CB8"/>
    <w:rsid w:val="54072606"/>
    <w:rsid w:val="54091C4C"/>
    <w:rsid w:val="541A5C08"/>
    <w:rsid w:val="5428092D"/>
    <w:rsid w:val="542A5BF1"/>
    <w:rsid w:val="542B3971"/>
    <w:rsid w:val="542D593B"/>
    <w:rsid w:val="542D76E9"/>
    <w:rsid w:val="542D7E04"/>
    <w:rsid w:val="542E520F"/>
    <w:rsid w:val="543162F7"/>
    <w:rsid w:val="54324CFF"/>
    <w:rsid w:val="54330A77"/>
    <w:rsid w:val="543437E8"/>
    <w:rsid w:val="5435659E"/>
    <w:rsid w:val="54377B7E"/>
    <w:rsid w:val="5438706C"/>
    <w:rsid w:val="543C5B7E"/>
    <w:rsid w:val="543D17CB"/>
    <w:rsid w:val="543F3267"/>
    <w:rsid w:val="543F566E"/>
    <w:rsid w:val="54481E11"/>
    <w:rsid w:val="54483C93"/>
    <w:rsid w:val="544977B7"/>
    <w:rsid w:val="544B4013"/>
    <w:rsid w:val="544D1B39"/>
    <w:rsid w:val="544D7D8B"/>
    <w:rsid w:val="54520EFE"/>
    <w:rsid w:val="54534C76"/>
    <w:rsid w:val="5458228C"/>
    <w:rsid w:val="54613836"/>
    <w:rsid w:val="54617393"/>
    <w:rsid w:val="54624EB9"/>
    <w:rsid w:val="54660E4D"/>
    <w:rsid w:val="546B0211"/>
    <w:rsid w:val="546B4BDF"/>
    <w:rsid w:val="546B6463"/>
    <w:rsid w:val="546E7D01"/>
    <w:rsid w:val="5474311E"/>
    <w:rsid w:val="54752E3E"/>
    <w:rsid w:val="54770964"/>
    <w:rsid w:val="547846DC"/>
    <w:rsid w:val="5479292E"/>
    <w:rsid w:val="547A0454"/>
    <w:rsid w:val="547A48F8"/>
    <w:rsid w:val="547C41CC"/>
    <w:rsid w:val="547C4620"/>
    <w:rsid w:val="547C4F8D"/>
    <w:rsid w:val="54857525"/>
    <w:rsid w:val="5488491F"/>
    <w:rsid w:val="548B440F"/>
    <w:rsid w:val="548E5CAE"/>
    <w:rsid w:val="548F594D"/>
    <w:rsid w:val="54936E88"/>
    <w:rsid w:val="54971006"/>
    <w:rsid w:val="54976312"/>
    <w:rsid w:val="54990ADB"/>
    <w:rsid w:val="549A28A4"/>
    <w:rsid w:val="549F0B68"/>
    <w:rsid w:val="54A0435F"/>
    <w:rsid w:val="54A31D35"/>
    <w:rsid w:val="54A43723"/>
    <w:rsid w:val="54A51975"/>
    <w:rsid w:val="54A6749B"/>
    <w:rsid w:val="54A84FC1"/>
    <w:rsid w:val="54A85393"/>
    <w:rsid w:val="54AB6860"/>
    <w:rsid w:val="54B03EEA"/>
    <w:rsid w:val="54B25E40"/>
    <w:rsid w:val="54B27BEE"/>
    <w:rsid w:val="54B60678"/>
    <w:rsid w:val="54B75204"/>
    <w:rsid w:val="54BA6AA3"/>
    <w:rsid w:val="54BD77A2"/>
    <w:rsid w:val="54C17950"/>
    <w:rsid w:val="54C33BA9"/>
    <w:rsid w:val="54C37597"/>
    <w:rsid w:val="54C60539"/>
    <w:rsid w:val="54C70191"/>
    <w:rsid w:val="54CA13DC"/>
    <w:rsid w:val="54CD2165"/>
    <w:rsid w:val="54CD67D6"/>
    <w:rsid w:val="54CE5923"/>
    <w:rsid w:val="54CE6966"/>
    <w:rsid w:val="54D172DA"/>
    <w:rsid w:val="54D264E2"/>
    <w:rsid w:val="54D538DD"/>
    <w:rsid w:val="54D90E4D"/>
    <w:rsid w:val="54DC2EBD"/>
    <w:rsid w:val="54E0475B"/>
    <w:rsid w:val="54E16725"/>
    <w:rsid w:val="54E23E0D"/>
    <w:rsid w:val="54E87AB4"/>
    <w:rsid w:val="54EA55DA"/>
    <w:rsid w:val="54EB1352"/>
    <w:rsid w:val="54EB72AE"/>
    <w:rsid w:val="54EE1700"/>
    <w:rsid w:val="54F71AA5"/>
    <w:rsid w:val="54FB5FE3"/>
    <w:rsid w:val="54FF66A9"/>
    <w:rsid w:val="550269E3"/>
    <w:rsid w:val="5503669C"/>
    <w:rsid w:val="55085A60"/>
    <w:rsid w:val="550A7A2A"/>
    <w:rsid w:val="550C37A2"/>
    <w:rsid w:val="550D751A"/>
    <w:rsid w:val="55116D87"/>
    <w:rsid w:val="55191A1B"/>
    <w:rsid w:val="55197C6D"/>
    <w:rsid w:val="551D59AF"/>
    <w:rsid w:val="551E34D6"/>
    <w:rsid w:val="5520294D"/>
    <w:rsid w:val="552A3C28"/>
    <w:rsid w:val="55320D2F"/>
    <w:rsid w:val="55384597"/>
    <w:rsid w:val="55393E6B"/>
    <w:rsid w:val="553D6B7E"/>
    <w:rsid w:val="553F6765"/>
    <w:rsid w:val="5540169E"/>
    <w:rsid w:val="5540344C"/>
    <w:rsid w:val="55424033"/>
    <w:rsid w:val="55432F3C"/>
    <w:rsid w:val="55442816"/>
    <w:rsid w:val="55466DB5"/>
    <w:rsid w:val="554967A4"/>
    <w:rsid w:val="554B0437"/>
    <w:rsid w:val="554B0F1D"/>
    <w:rsid w:val="554E3DBB"/>
    <w:rsid w:val="554E7A8C"/>
    <w:rsid w:val="554F468E"/>
    <w:rsid w:val="554F5B03"/>
    <w:rsid w:val="555313D1"/>
    <w:rsid w:val="5553570E"/>
    <w:rsid w:val="55562C6F"/>
    <w:rsid w:val="555869E7"/>
    <w:rsid w:val="55620AD4"/>
    <w:rsid w:val="55652944"/>
    <w:rsid w:val="55652EB2"/>
    <w:rsid w:val="5566599F"/>
    <w:rsid w:val="556829A3"/>
    <w:rsid w:val="556A671B"/>
    <w:rsid w:val="557032EB"/>
    <w:rsid w:val="5579070C"/>
    <w:rsid w:val="557C1FAA"/>
    <w:rsid w:val="557F21C6"/>
    <w:rsid w:val="55801A9A"/>
    <w:rsid w:val="558275C0"/>
    <w:rsid w:val="558570B1"/>
    <w:rsid w:val="558772CD"/>
    <w:rsid w:val="55894DF3"/>
    <w:rsid w:val="558A2919"/>
    <w:rsid w:val="558A46C7"/>
    <w:rsid w:val="558A4BE1"/>
    <w:rsid w:val="558C48E3"/>
    <w:rsid w:val="558D41B7"/>
    <w:rsid w:val="558F6A10"/>
    <w:rsid w:val="559106BB"/>
    <w:rsid w:val="55914F40"/>
    <w:rsid w:val="55935C72"/>
    <w:rsid w:val="55955C89"/>
    <w:rsid w:val="55980A4A"/>
    <w:rsid w:val="559B174B"/>
    <w:rsid w:val="559B4B26"/>
    <w:rsid w:val="559F31E2"/>
    <w:rsid w:val="55A03EEB"/>
    <w:rsid w:val="55A27C63"/>
    <w:rsid w:val="55A41C2D"/>
    <w:rsid w:val="55A439DB"/>
    <w:rsid w:val="55A61974"/>
    <w:rsid w:val="55A734CB"/>
    <w:rsid w:val="55A9466F"/>
    <w:rsid w:val="55AC6D33"/>
    <w:rsid w:val="55AE5808"/>
    <w:rsid w:val="55AE6607"/>
    <w:rsid w:val="55B160F8"/>
    <w:rsid w:val="55B17EA6"/>
    <w:rsid w:val="55BE7BFB"/>
    <w:rsid w:val="55C207CD"/>
    <w:rsid w:val="55C7591B"/>
    <w:rsid w:val="55C94D0E"/>
    <w:rsid w:val="55CB540B"/>
    <w:rsid w:val="55CE0CF4"/>
    <w:rsid w:val="55CF021E"/>
    <w:rsid w:val="55D02A22"/>
    <w:rsid w:val="55D41DE6"/>
    <w:rsid w:val="55D609EE"/>
    <w:rsid w:val="55D6790C"/>
    <w:rsid w:val="55D707A2"/>
    <w:rsid w:val="55D818D6"/>
    <w:rsid w:val="55DB3175"/>
    <w:rsid w:val="55DD6EED"/>
    <w:rsid w:val="55DE2EA3"/>
    <w:rsid w:val="55DF0EB7"/>
    <w:rsid w:val="55DF2C65"/>
    <w:rsid w:val="55E6461A"/>
    <w:rsid w:val="55E92BB7"/>
    <w:rsid w:val="55EA33B8"/>
    <w:rsid w:val="55F06C20"/>
    <w:rsid w:val="55F304BE"/>
    <w:rsid w:val="55F40804"/>
    <w:rsid w:val="55F54236"/>
    <w:rsid w:val="55F66200"/>
    <w:rsid w:val="55F81F79"/>
    <w:rsid w:val="55FA184D"/>
    <w:rsid w:val="55FC1EE9"/>
    <w:rsid w:val="55FD30EB"/>
    <w:rsid w:val="55FD758F"/>
    <w:rsid w:val="55FF3307"/>
    <w:rsid w:val="560102BF"/>
    <w:rsid w:val="56026953"/>
    <w:rsid w:val="560426CB"/>
    <w:rsid w:val="560501F2"/>
    <w:rsid w:val="560F18FC"/>
    <w:rsid w:val="56131A9E"/>
    <w:rsid w:val="56156687"/>
    <w:rsid w:val="561623FF"/>
    <w:rsid w:val="561641AD"/>
    <w:rsid w:val="561A1EEF"/>
    <w:rsid w:val="561D378D"/>
    <w:rsid w:val="5621502B"/>
    <w:rsid w:val="56237FD6"/>
    <w:rsid w:val="562468CA"/>
    <w:rsid w:val="56290384"/>
    <w:rsid w:val="562A14DA"/>
    <w:rsid w:val="562B4DF0"/>
    <w:rsid w:val="562D0004"/>
    <w:rsid w:val="562E14F6"/>
    <w:rsid w:val="562F67CA"/>
    <w:rsid w:val="563053E6"/>
    <w:rsid w:val="56332FB1"/>
    <w:rsid w:val="563365AA"/>
    <w:rsid w:val="56343E36"/>
    <w:rsid w:val="56356D29"/>
    <w:rsid w:val="563740DE"/>
    <w:rsid w:val="563A7E9B"/>
    <w:rsid w:val="563C00B7"/>
    <w:rsid w:val="563D3E2F"/>
    <w:rsid w:val="564156CE"/>
    <w:rsid w:val="564B02FA"/>
    <w:rsid w:val="564B654C"/>
    <w:rsid w:val="564C327E"/>
    <w:rsid w:val="564C5E20"/>
    <w:rsid w:val="564E7DEA"/>
    <w:rsid w:val="56505911"/>
    <w:rsid w:val="565A678F"/>
    <w:rsid w:val="56633896"/>
    <w:rsid w:val="56665134"/>
    <w:rsid w:val="56666EE2"/>
    <w:rsid w:val="56674A08"/>
    <w:rsid w:val="566C4D7C"/>
    <w:rsid w:val="566D0271"/>
    <w:rsid w:val="566D14BC"/>
    <w:rsid w:val="566D3E5D"/>
    <w:rsid w:val="566D52ED"/>
    <w:rsid w:val="56717635"/>
    <w:rsid w:val="56772E9D"/>
    <w:rsid w:val="567B188F"/>
    <w:rsid w:val="567D6627"/>
    <w:rsid w:val="567F61F6"/>
    <w:rsid w:val="567F7FA4"/>
    <w:rsid w:val="56813D1C"/>
    <w:rsid w:val="56847368"/>
    <w:rsid w:val="56867733"/>
    <w:rsid w:val="568832FC"/>
    <w:rsid w:val="568850AA"/>
    <w:rsid w:val="5691462E"/>
    <w:rsid w:val="56925F29"/>
    <w:rsid w:val="56927CD7"/>
    <w:rsid w:val="56941CA1"/>
    <w:rsid w:val="5697709C"/>
    <w:rsid w:val="569C0B56"/>
    <w:rsid w:val="569F23F4"/>
    <w:rsid w:val="56A135C0"/>
    <w:rsid w:val="56A25A40"/>
    <w:rsid w:val="56A31EE4"/>
    <w:rsid w:val="56A417B8"/>
    <w:rsid w:val="56A865F5"/>
    <w:rsid w:val="56A93273"/>
    <w:rsid w:val="56A96DCF"/>
    <w:rsid w:val="56AE4F0A"/>
    <w:rsid w:val="56B0015D"/>
    <w:rsid w:val="56B13CD2"/>
    <w:rsid w:val="56B14607"/>
    <w:rsid w:val="56B22A9C"/>
    <w:rsid w:val="56B41912"/>
    <w:rsid w:val="56BE6D1E"/>
    <w:rsid w:val="56C105BC"/>
    <w:rsid w:val="56C61E97"/>
    <w:rsid w:val="56C67981"/>
    <w:rsid w:val="56C828FA"/>
    <w:rsid w:val="56C90818"/>
    <w:rsid w:val="56C9121F"/>
    <w:rsid w:val="56CA56C3"/>
    <w:rsid w:val="56CB143B"/>
    <w:rsid w:val="56CE62D0"/>
    <w:rsid w:val="56D025AE"/>
    <w:rsid w:val="56D2590B"/>
    <w:rsid w:val="56D54257"/>
    <w:rsid w:val="56D65B5E"/>
    <w:rsid w:val="56D976B4"/>
    <w:rsid w:val="56D97F48"/>
    <w:rsid w:val="56DF0A43"/>
    <w:rsid w:val="56E66275"/>
    <w:rsid w:val="56E91DA0"/>
    <w:rsid w:val="56ED7603"/>
    <w:rsid w:val="56EE5B8F"/>
    <w:rsid w:val="56EF512A"/>
    <w:rsid w:val="56EF6ED8"/>
    <w:rsid w:val="56F42740"/>
    <w:rsid w:val="56F50266"/>
    <w:rsid w:val="56F6463A"/>
    <w:rsid w:val="56F73FDE"/>
    <w:rsid w:val="56FE35BF"/>
    <w:rsid w:val="56FF14FB"/>
    <w:rsid w:val="56FF2E93"/>
    <w:rsid w:val="56FF3769"/>
    <w:rsid w:val="56FF545E"/>
    <w:rsid w:val="57007337"/>
    <w:rsid w:val="570332CE"/>
    <w:rsid w:val="570C5CDB"/>
    <w:rsid w:val="570D3802"/>
    <w:rsid w:val="57106E4E"/>
    <w:rsid w:val="57122BC6"/>
    <w:rsid w:val="5714693E"/>
    <w:rsid w:val="57154464"/>
    <w:rsid w:val="571701DC"/>
    <w:rsid w:val="5717642E"/>
    <w:rsid w:val="57196706"/>
    <w:rsid w:val="571B7CCD"/>
    <w:rsid w:val="571C3A45"/>
    <w:rsid w:val="571E69BE"/>
    <w:rsid w:val="571F6335"/>
    <w:rsid w:val="57203535"/>
    <w:rsid w:val="5721105B"/>
    <w:rsid w:val="57212E09"/>
    <w:rsid w:val="57236B81"/>
    <w:rsid w:val="572648C3"/>
    <w:rsid w:val="57281234"/>
    <w:rsid w:val="572A655F"/>
    <w:rsid w:val="572C2786"/>
    <w:rsid w:val="572E462E"/>
    <w:rsid w:val="572F19CA"/>
    <w:rsid w:val="57311EE8"/>
    <w:rsid w:val="573174F0"/>
    <w:rsid w:val="573378CD"/>
    <w:rsid w:val="57340D8E"/>
    <w:rsid w:val="573423A8"/>
    <w:rsid w:val="573568B4"/>
    <w:rsid w:val="57364B06"/>
    <w:rsid w:val="5737087F"/>
    <w:rsid w:val="573963A5"/>
    <w:rsid w:val="573A4E5A"/>
    <w:rsid w:val="573B1A0A"/>
    <w:rsid w:val="573C5E95"/>
    <w:rsid w:val="573E7E5F"/>
    <w:rsid w:val="573F15EA"/>
    <w:rsid w:val="57405985"/>
    <w:rsid w:val="57430FD1"/>
    <w:rsid w:val="57435475"/>
    <w:rsid w:val="57455773"/>
    <w:rsid w:val="57456BD3"/>
    <w:rsid w:val="57476652"/>
    <w:rsid w:val="57476D14"/>
    <w:rsid w:val="574D135A"/>
    <w:rsid w:val="574F7976"/>
    <w:rsid w:val="57501B81"/>
    <w:rsid w:val="575838A1"/>
    <w:rsid w:val="5758643F"/>
    <w:rsid w:val="575A7321"/>
    <w:rsid w:val="575B27BF"/>
    <w:rsid w:val="575B456D"/>
    <w:rsid w:val="575B774B"/>
    <w:rsid w:val="575D644F"/>
    <w:rsid w:val="575D6537"/>
    <w:rsid w:val="575E6A88"/>
    <w:rsid w:val="57601B83"/>
    <w:rsid w:val="57672F12"/>
    <w:rsid w:val="57686183"/>
    <w:rsid w:val="57693157"/>
    <w:rsid w:val="576C64D8"/>
    <w:rsid w:val="576F0018"/>
    <w:rsid w:val="576F1DC6"/>
    <w:rsid w:val="57713D91"/>
    <w:rsid w:val="57715B3F"/>
    <w:rsid w:val="5774562F"/>
    <w:rsid w:val="57762B00"/>
    <w:rsid w:val="57770C7B"/>
    <w:rsid w:val="57776ECD"/>
    <w:rsid w:val="577B4C0F"/>
    <w:rsid w:val="577C44E3"/>
    <w:rsid w:val="57805D82"/>
    <w:rsid w:val="57833AC4"/>
    <w:rsid w:val="57882E88"/>
    <w:rsid w:val="578A2414"/>
    <w:rsid w:val="578A2E8A"/>
    <w:rsid w:val="578C0BCA"/>
    <w:rsid w:val="578C4726"/>
    <w:rsid w:val="578F4217"/>
    <w:rsid w:val="57904B13"/>
    <w:rsid w:val="57914433"/>
    <w:rsid w:val="57972C44"/>
    <w:rsid w:val="579D05A5"/>
    <w:rsid w:val="579E26AC"/>
    <w:rsid w:val="57A001D2"/>
    <w:rsid w:val="57A203EE"/>
    <w:rsid w:val="57A53A3A"/>
    <w:rsid w:val="57AB72DA"/>
    <w:rsid w:val="57AD0F6C"/>
    <w:rsid w:val="57AE6D93"/>
    <w:rsid w:val="57B1418D"/>
    <w:rsid w:val="57B14F18"/>
    <w:rsid w:val="57B2064E"/>
    <w:rsid w:val="57B72A76"/>
    <w:rsid w:val="57BB7557"/>
    <w:rsid w:val="57BE194A"/>
    <w:rsid w:val="57C02622"/>
    <w:rsid w:val="57C049B1"/>
    <w:rsid w:val="57C10AC3"/>
    <w:rsid w:val="57C739B1"/>
    <w:rsid w:val="57C96694"/>
    <w:rsid w:val="57CB1136"/>
    <w:rsid w:val="57CF6D04"/>
    <w:rsid w:val="57D61E46"/>
    <w:rsid w:val="57D71BB3"/>
    <w:rsid w:val="57D84289"/>
    <w:rsid w:val="57D86F9C"/>
    <w:rsid w:val="57D91936"/>
    <w:rsid w:val="57DA3E17"/>
    <w:rsid w:val="57DD1426"/>
    <w:rsid w:val="57DD31D4"/>
    <w:rsid w:val="57DE2F63"/>
    <w:rsid w:val="57DF3183"/>
    <w:rsid w:val="57E207EA"/>
    <w:rsid w:val="57E27206"/>
    <w:rsid w:val="57E75E01"/>
    <w:rsid w:val="57E90877"/>
    <w:rsid w:val="57F42160"/>
    <w:rsid w:val="57F56CC7"/>
    <w:rsid w:val="57F66044"/>
    <w:rsid w:val="57F8064E"/>
    <w:rsid w:val="57FB7462"/>
    <w:rsid w:val="57FE314A"/>
    <w:rsid w:val="58003366"/>
    <w:rsid w:val="58027680"/>
    <w:rsid w:val="58042493"/>
    <w:rsid w:val="580764A3"/>
    <w:rsid w:val="580856E8"/>
    <w:rsid w:val="58095919"/>
    <w:rsid w:val="580B510E"/>
    <w:rsid w:val="580F2368"/>
    <w:rsid w:val="581110D0"/>
    <w:rsid w:val="58112E7E"/>
    <w:rsid w:val="5814471C"/>
    <w:rsid w:val="581B1F4E"/>
    <w:rsid w:val="581E66C8"/>
    <w:rsid w:val="58215A55"/>
    <w:rsid w:val="58247055"/>
    <w:rsid w:val="58256929"/>
    <w:rsid w:val="58273B30"/>
    <w:rsid w:val="5827444F"/>
    <w:rsid w:val="582901C7"/>
    <w:rsid w:val="582B03E3"/>
    <w:rsid w:val="582B2191"/>
    <w:rsid w:val="582B57B9"/>
    <w:rsid w:val="582E65EE"/>
    <w:rsid w:val="582E7AAF"/>
    <w:rsid w:val="583077A8"/>
    <w:rsid w:val="58315248"/>
    <w:rsid w:val="583268D5"/>
    <w:rsid w:val="583628E4"/>
    <w:rsid w:val="583A23D4"/>
    <w:rsid w:val="583D3C73"/>
    <w:rsid w:val="584204B6"/>
    <w:rsid w:val="58421289"/>
    <w:rsid w:val="584274DB"/>
    <w:rsid w:val="5846521D"/>
    <w:rsid w:val="58496ABB"/>
    <w:rsid w:val="584A6390"/>
    <w:rsid w:val="584E7A4D"/>
    <w:rsid w:val="584E7C2E"/>
    <w:rsid w:val="584F162A"/>
    <w:rsid w:val="58507E4A"/>
    <w:rsid w:val="5853793A"/>
    <w:rsid w:val="58540AF4"/>
    <w:rsid w:val="58555460"/>
    <w:rsid w:val="585B059D"/>
    <w:rsid w:val="585D2567"/>
    <w:rsid w:val="585F1E3B"/>
    <w:rsid w:val="585F489C"/>
    <w:rsid w:val="58607961"/>
    <w:rsid w:val="586C27AA"/>
    <w:rsid w:val="586D5636"/>
    <w:rsid w:val="58737694"/>
    <w:rsid w:val="58754A86"/>
    <w:rsid w:val="587753D7"/>
    <w:rsid w:val="5878114F"/>
    <w:rsid w:val="587A6C75"/>
    <w:rsid w:val="587C29ED"/>
    <w:rsid w:val="587F0709"/>
    <w:rsid w:val="58847AF3"/>
    <w:rsid w:val="58882378"/>
    <w:rsid w:val="588B70D4"/>
    <w:rsid w:val="58967306"/>
    <w:rsid w:val="589870FB"/>
    <w:rsid w:val="589C1963"/>
    <w:rsid w:val="589D2963"/>
    <w:rsid w:val="589E6E07"/>
    <w:rsid w:val="58A3441E"/>
    <w:rsid w:val="58A43CF2"/>
    <w:rsid w:val="58A610F9"/>
    <w:rsid w:val="58A837E2"/>
    <w:rsid w:val="58AB5080"/>
    <w:rsid w:val="58AB6E2E"/>
    <w:rsid w:val="58AE691E"/>
    <w:rsid w:val="58B538BA"/>
    <w:rsid w:val="58B73A25"/>
    <w:rsid w:val="58BC54DF"/>
    <w:rsid w:val="58BE32CF"/>
    <w:rsid w:val="58C218E0"/>
    <w:rsid w:val="58C223CA"/>
    <w:rsid w:val="58C61EBA"/>
    <w:rsid w:val="58CD2411"/>
    <w:rsid w:val="58D04AE7"/>
    <w:rsid w:val="58D345D7"/>
    <w:rsid w:val="58D42829"/>
    <w:rsid w:val="58D51DCF"/>
    <w:rsid w:val="58D71993"/>
    <w:rsid w:val="58D74519"/>
    <w:rsid w:val="58DA7713"/>
    <w:rsid w:val="58E14F46"/>
    <w:rsid w:val="58E90251"/>
    <w:rsid w:val="58EE31BF"/>
    <w:rsid w:val="58EF4229"/>
    <w:rsid w:val="58F307D5"/>
    <w:rsid w:val="58F509F1"/>
    <w:rsid w:val="58FC58DC"/>
    <w:rsid w:val="58FE1654"/>
    <w:rsid w:val="59013D9D"/>
    <w:rsid w:val="59017396"/>
    <w:rsid w:val="590316FF"/>
    <w:rsid w:val="59060CE9"/>
    <w:rsid w:val="59063B02"/>
    <w:rsid w:val="59077622"/>
    <w:rsid w:val="590A49E9"/>
    <w:rsid w:val="590B0730"/>
    <w:rsid w:val="590B3D71"/>
    <w:rsid w:val="590B5B1F"/>
    <w:rsid w:val="590D7AE9"/>
    <w:rsid w:val="590F3E15"/>
    <w:rsid w:val="590F5772"/>
    <w:rsid w:val="591250FF"/>
    <w:rsid w:val="59136180"/>
    <w:rsid w:val="5915699E"/>
    <w:rsid w:val="591623EB"/>
    <w:rsid w:val="59162E41"/>
    <w:rsid w:val="591946E0"/>
    <w:rsid w:val="591B0458"/>
    <w:rsid w:val="591C2557"/>
    <w:rsid w:val="591C5F7E"/>
    <w:rsid w:val="591C7D2C"/>
    <w:rsid w:val="591F6730"/>
    <w:rsid w:val="59205A6E"/>
    <w:rsid w:val="592B7F6F"/>
    <w:rsid w:val="59301A29"/>
    <w:rsid w:val="59305585"/>
    <w:rsid w:val="593212FE"/>
    <w:rsid w:val="59350DEE"/>
    <w:rsid w:val="59372DB8"/>
    <w:rsid w:val="593C6736"/>
    <w:rsid w:val="593E7CA2"/>
    <w:rsid w:val="593F3A1A"/>
    <w:rsid w:val="59411DC7"/>
    <w:rsid w:val="594554D5"/>
    <w:rsid w:val="594A4899"/>
    <w:rsid w:val="594F0101"/>
    <w:rsid w:val="594F3C5E"/>
    <w:rsid w:val="59513E7A"/>
    <w:rsid w:val="5952374E"/>
    <w:rsid w:val="59527BF2"/>
    <w:rsid w:val="59531008"/>
    <w:rsid w:val="59544FF5"/>
    <w:rsid w:val="59597927"/>
    <w:rsid w:val="595B6AA6"/>
    <w:rsid w:val="59613086"/>
    <w:rsid w:val="59637709"/>
    <w:rsid w:val="59653481"/>
    <w:rsid w:val="596901A8"/>
    <w:rsid w:val="596A6CE9"/>
    <w:rsid w:val="596C4358"/>
    <w:rsid w:val="596D0588"/>
    <w:rsid w:val="596D2336"/>
    <w:rsid w:val="596D67DA"/>
    <w:rsid w:val="59722042"/>
    <w:rsid w:val="597263D6"/>
    <w:rsid w:val="59754081"/>
    <w:rsid w:val="59796F2C"/>
    <w:rsid w:val="597E2795"/>
    <w:rsid w:val="59822285"/>
    <w:rsid w:val="598237B0"/>
    <w:rsid w:val="59837DAB"/>
    <w:rsid w:val="598970AA"/>
    <w:rsid w:val="598B7AD8"/>
    <w:rsid w:val="598F04FE"/>
    <w:rsid w:val="598F2EE3"/>
    <w:rsid w:val="5991071A"/>
    <w:rsid w:val="59914276"/>
    <w:rsid w:val="59934492"/>
    <w:rsid w:val="59941FB8"/>
    <w:rsid w:val="599B3347"/>
    <w:rsid w:val="599C2C1B"/>
    <w:rsid w:val="599C4367"/>
    <w:rsid w:val="59A33FA9"/>
    <w:rsid w:val="59A541C5"/>
    <w:rsid w:val="59A87812"/>
    <w:rsid w:val="59A97480"/>
    <w:rsid w:val="59AA0910"/>
    <w:rsid w:val="59AA5338"/>
    <w:rsid w:val="59AF294E"/>
    <w:rsid w:val="59AF6DF2"/>
    <w:rsid w:val="59B04427"/>
    <w:rsid w:val="59B2243E"/>
    <w:rsid w:val="59B526F2"/>
    <w:rsid w:val="59B63CDD"/>
    <w:rsid w:val="59B85CA7"/>
    <w:rsid w:val="59BC7D8F"/>
    <w:rsid w:val="59BE5287"/>
    <w:rsid w:val="59BE7035"/>
    <w:rsid w:val="59C04B5B"/>
    <w:rsid w:val="59C12681"/>
    <w:rsid w:val="59C26B25"/>
    <w:rsid w:val="59C3464B"/>
    <w:rsid w:val="59C82CB8"/>
    <w:rsid w:val="59C97EB4"/>
    <w:rsid w:val="59CF2FF0"/>
    <w:rsid w:val="59D03A04"/>
    <w:rsid w:val="59D12BC9"/>
    <w:rsid w:val="59D1568E"/>
    <w:rsid w:val="59D2488F"/>
    <w:rsid w:val="59D57095"/>
    <w:rsid w:val="59D800F7"/>
    <w:rsid w:val="59DD6583"/>
    <w:rsid w:val="59E0058C"/>
    <w:rsid w:val="59E051FD"/>
    <w:rsid w:val="59E3084A"/>
    <w:rsid w:val="59E51BA8"/>
    <w:rsid w:val="59E720E8"/>
    <w:rsid w:val="59EF71EF"/>
    <w:rsid w:val="59F6007B"/>
    <w:rsid w:val="59F667CF"/>
    <w:rsid w:val="59F73AC1"/>
    <w:rsid w:val="59F8263F"/>
    <w:rsid w:val="59FB3DE5"/>
    <w:rsid w:val="5A054C64"/>
    <w:rsid w:val="5A094754"/>
    <w:rsid w:val="5A0E3B19"/>
    <w:rsid w:val="5A105AE3"/>
    <w:rsid w:val="5A113609"/>
    <w:rsid w:val="5A146C55"/>
    <w:rsid w:val="5A160C1F"/>
    <w:rsid w:val="5A1976E0"/>
    <w:rsid w:val="5A1B4488"/>
    <w:rsid w:val="5A1D5B0A"/>
    <w:rsid w:val="5A2275C4"/>
    <w:rsid w:val="5A272E2C"/>
    <w:rsid w:val="5A277C43"/>
    <w:rsid w:val="5A285D45"/>
    <w:rsid w:val="5A292701"/>
    <w:rsid w:val="5A296BA4"/>
    <w:rsid w:val="5A2A6479"/>
    <w:rsid w:val="5A2E1F00"/>
    <w:rsid w:val="5A2F721D"/>
    <w:rsid w:val="5A3115B5"/>
    <w:rsid w:val="5A312D8C"/>
    <w:rsid w:val="5A3623EE"/>
    <w:rsid w:val="5A366BCB"/>
    <w:rsid w:val="5A380B96"/>
    <w:rsid w:val="5A3A490E"/>
    <w:rsid w:val="5A3B68D8"/>
    <w:rsid w:val="5A3C20EF"/>
    <w:rsid w:val="5A3C747D"/>
    <w:rsid w:val="5A407A4A"/>
    <w:rsid w:val="5A413125"/>
    <w:rsid w:val="5A4455DB"/>
    <w:rsid w:val="5A490FF5"/>
    <w:rsid w:val="5A491AF7"/>
    <w:rsid w:val="5A494B51"/>
    <w:rsid w:val="5A4958D6"/>
    <w:rsid w:val="5A4A4609"/>
    <w:rsid w:val="5A50597F"/>
    <w:rsid w:val="5A533C21"/>
    <w:rsid w:val="5A555C7D"/>
    <w:rsid w:val="5A5B4884"/>
    <w:rsid w:val="5A5D23AA"/>
    <w:rsid w:val="5A6019BB"/>
    <w:rsid w:val="5A7410C5"/>
    <w:rsid w:val="5A74177B"/>
    <w:rsid w:val="5A753B98"/>
    <w:rsid w:val="5A7C4F26"/>
    <w:rsid w:val="5A805270"/>
    <w:rsid w:val="5A820063"/>
    <w:rsid w:val="5A84202D"/>
    <w:rsid w:val="5A846C42"/>
    <w:rsid w:val="5A851901"/>
    <w:rsid w:val="5A87203E"/>
    <w:rsid w:val="5A887DA1"/>
    <w:rsid w:val="5A89083A"/>
    <w:rsid w:val="5A8C2C8F"/>
    <w:rsid w:val="5A9009D2"/>
    <w:rsid w:val="5A9A53AC"/>
    <w:rsid w:val="5AA1498D"/>
    <w:rsid w:val="5AA24261"/>
    <w:rsid w:val="5AA30DE7"/>
    <w:rsid w:val="5AA47FD9"/>
    <w:rsid w:val="5AA7249C"/>
    <w:rsid w:val="5AA903B9"/>
    <w:rsid w:val="5AA955EF"/>
    <w:rsid w:val="5AAE4FDA"/>
    <w:rsid w:val="5AB02E22"/>
    <w:rsid w:val="5AB26B9A"/>
    <w:rsid w:val="5AB3021C"/>
    <w:rsid w:val="5ABA5A4E"/>
    <w:rsid w:val="5ABC3575"/>
    <w:rsid w:val="5ABE2233"/>
    <w:rsid w:val="5ABF12B7"/>
    <w:rsid w:val="5AC02939"/>
    <w:rsid w:val="5AC061CA"/>
    <w:rsid w:val="5AC13523"/>
    <w:rsid w:val="5AC81FAD"/>
    <w:rsid w:val="5AC86513"/>
    <w:rsid w:val="5AC95C92"/>
    <w:rsid w:val="5ACD7DA0"/>
    <w:rsid w:val="5ACE14FA"/>
    <w:rsid w:val="5AD76600"/>
    <w:rsid w:val="5ADA7E9F"/>
    <w:rsid w:val="5ADD34EB"/>
    <w:rsid w:val="5ADE798F"/>
    <w:rsid w:val="5AE55CE6"/>
    <w:rsid w:val="5AE605F2"/>
    <w:rsid w:val="5AE96334"/>
    <w:rsid w:val="5AF17FE3"/>
    <w:rsid w:val="5AF41E9B"/>
    <w:rsid w:val="5AF56A87"/>
    <w:rsid w:val="5AF70A51"/>
    <w:rsid w:val="5AF947C9"/>
    <w:rsid w:val="5AFC6067"/>
    <w:rsid w:val="5AFC7E15"/>
    <w:rsid w:val="5AFE3B8D"/>
    <w:rsid w:val="5AFF50DF"/>
    <w:rsid w:val="5AFF7905"/>
    <w:rsid w:val="5B01542B"/>
    <w:rsid w:val="5B0E7493"/>
    <w:rsid w:val="5B1909C7"/>
    <w:rsid w:val="5B1A473F"/>
    <w:rsid w:val="5B1C4013"/>
    <w:rsid w:val="5B1F079D"/>
    <w:rsid w:val="5B1F58B2"/>
    <w:rsid w:val="5B2305AE"/>
    <w:rsid w:val="5B263367"/>
    <w:rsid w:val="5B276D18"/>
    <w:rsid w:val="5B297096"/>
    <w:rsid w:val="5B2D4374"/>
    <w:rsid w:val="5B3255E5"/>
    <w:rsid w:val="5B33135D"/>
    <w:rsid w:val="5B363143"/>
    <w:rsid w:val="5B3D25E5"/>
    <w:rsid w:val="5B3D3F8A"/>
    <w:rsid w:val="5B4524B8"/>
    <w:rsid w:val="5B4D5DFB"/>
    <w:rsid w:val="5B5163B3"/>
    <w:rsid w:val="5B5437AD"/>
    <w:rsid w:val="5B57329D"/>
    <w:rsid w:val="5B595267"/>
    <w:rsid w:val="5B5A4B3C"/>
    <w:rsid w:val="5B5C08B4"/>
    <w:rsid w:val="5B6065F6"/>
    <w:rsid w:val="5B6139D7"/>
    <w:rsid w:val="5B61411C"/>
    <w:rsid w:val="5B637E94"/>
    <w:rsid w:val="5B647768"/>
    <w:rsid w:val="5B661732"/>
    <w:rsid w:val="5B6854AA"/>
    <w:rsid w:val="5B6B4F9B"/>
    <w:rsid w:val="5B6D2AC1"/>
    <w:rsid w:val="5B6F4A8B"/>
    <w:rsid w:val="5B6F6839"/>
    <w:rsid w:val="5B7200D7"/>
    <w:rsid w:val="5B765E19"/>
    <w:rsid w:val="5B7C2C24"/>
    <w:rsid w:val="5B7C4516"/>
    <w:rsid w:val="5B7C65E8"/>
    <w:rsid w:val="5B7E082A"/>
    <w:rsid w:val="5B800A46"/>
    <w:rsid w:val="5B804F69"/>
    <w:rsid w:val="5B85605C"/>
    <w:rsid w:val="5B885B4D"/>
    <w:rsid w:val="5B8D2D21"/>
    <w:rsid w:val="5B8D4069"/>
    <w:rsid w:val="5B8E7B0D"/>
    <w:rsid w:val="5B9444F1"/>
    <w:rsid w:val="5B956730"/>
    <w:rsid w:val="5B962018"/>
    <w:rsid w:val="5B9938B6"/>
    <w:rsid w:val="5B9960CD"/>
    <w:rsid w:val="5B9B5880"/>
    <w:rsid w:val="5B9D7062"/>
    <w:rsid w:val="5B9E0ECC"/>
    <w:rsid w:val="5BA65FD3"/>
    <w:rsid w:val="5BAC15F8"/>
    <w:rsid w:val="5BAC2986"/>
    <w:rsid w:val="5BB02677"/>
    <w:rsid w:val="5BB02907"/>
    <w:rsid w:val="5BB57FC4"/>
    <w:rsid w:val="5BB97AB4"/>
    <w:rsid w:val="5BBC1352"/>
    <w:rsid w:val="5BBE1529"/>
    <w:rsid w:val="5BCA176A"/>
    <w:rsid w:val="5BD13050"/>
    <w:rsid w:val="5BD42B40"/>
    <w:rsid w:val="5BD82630"/>
    <w:rsid w:val="5BD90156"/>
    <w:rsid w:val="5BD91B0B"/>
    <w:rsid w:val="5BDF5D95"/>
    <w:rsid w:val="5BE00642"/>
    <w:rsid w:val="5BE10DB9"/>
    <w:rsid w:val="5BE74621"/>
    <w:rsid w:val="5BE75033"/>
    <w:rsid w:val="5BE86DD0"/>
    <w:rsid w:val="5BEC7088"/>
    <w:rsid w:val="5BED775E"/>
    <w:rsid w:val="5BF136F2"/>
    <w:rsid w:val="5BF31960"/>
    <w:rsid w:val="5BF605B4"/>
    <w:rsid w:val="5BF64864"/>
    <w:rsid w:val="5BF8281F"/>
    <w:rsid w:val="5C0351D3"/>
    <w:rsid w:val="5C0565F6"/>
    <w:rsid w:val="5C0827EA"/>
    <w:rsid w:val="5C0930C2"/>
    <w:rsid w:val="5C0C3292"/>
    <w:rsid w:val="5C0E3BCB"/>
    <w:rsid w:val="5C0F5926"/>
    <w:rsid w:val="5C121CA4"/>
    <w:rsid w:val="5C1271C4"/>
    <w:rsid w:val="5C133668"/>
    <w:rsid w:val="5C1B076F"/>
    <w:rsid w:val="5C2238AB"/>
    <w:rsid w:val="5C225659"/>
    <w:rsid w:val="5C237623"/>
    <w:rsid w:val="5C2440E9"/>
    <w:rsid w:val="5C25514A"/>
    <w:rsid w:val="5C272C70"/>
    <w:rsid w:val="5C2B0664"/>
    <w:rsid w:val="5C2E290C"/>
    <w:rsid w:val="5C2F421A"/>
    <w:rsid w:val="5C3435DF"/>
    <w:rsid w:val="5C34538D"/>
    <w:rsid w:val="5C3933B5"/>
    <w:rsid w:val="5C487AAD"/>
    <w:rsid w:val="5C4E28BC"/>
    <w:rsid w:val="5C5305C6"/>
    <w:rsid w:val="5C541F4D"/>
    <w:rsid w:val="5C58551F"/>
    <w:rsid w:val="5C5C1087"/>
    <w:rsid w:val="5C62639E"/>
    <w:rsid w:val="5C65155C"/>
    <w:rsid w:val="5C663787"/>
    <w:rsid w:val="5C6C4B26"/>
    <w:rsid w:val="5C6E7D9F"/>
    <w:rsid w:val="5C732359"/>
    <w:rsid w:val="5C757E7F"/>
    <w:rsid w:val="5C7922E1"/>
    <w:rsid w:val="5C7B2FBB"/>
    <w:rsid w:val="5C7D31D8"/>
    <w:rsid w:val="5C7E4CC3"/>
    <w:rsid w:val="5C8207EE"/>
    <w:rsid w:val="5C8509BC"/>
    <w:rsid w:val="5C853455"/>
    <w:rsid w:val="5C86208C"/>
    <w:rsid w:val="5C9E33F5"/>
    <w:rsid w:val="5C9F4EFC"/>
    <w:rsid w:val="5CA16EC6"/>
    <w:rsid w:val="5CA24B2E"/>
    <w:rsid w:val="5CA42512"/>
    <w:rsid w:val="5CA64CDB"/>
    <w:rsid w:val="5CA93FCD"/>
    <w:rsid w:val="5CB35043"/>
    <w:rsid w:val="5CB36BF9"/>
    <w:rsid w:val="5CB84210"/>
    <w:rsid w:val="5CBA2D62"/>
    <w:rsid w:val="5CBA3AE4"/>
    <w:rsid w:val="5CBC0E24"/>
    <w:rsid w:val="5CBC3D00"/>
    <w:rsid w:val="5CBC5AAE"/>
    <w:rsid w:val="5CBF0DB2"/>
    <w:rsid w:val="5CBF10FA"/>
    <w:rsid w:val="5CC05F06"/>
    <w:rsid w:val="5CC26E3C"/>
    <w:rsid w:val="5CC606DB"/>
    <w:rsid w:val="5CC932A2"/>
    <w:rsid w:val="5CCB5CF1"/>
    <w:rsid w:val="5CCC3817"/>
    <w:rsid w:val="5CCD7CBB"/>
    <w:rsid w:val="5CCF3723"/>
    <w:rsid w:val="5CD04077"/>
    <w:rsid w:val="5CD1707F"/>
    <w:rsid w:val="5CD32DF8"/>
    <w:rsid w:val="5CD56B70"/>
    <w:rsid w:val="5CD70B8F"/>
    <w:rsid w:val="5CD86660"/>
    <w:rsid w:val="5CDB3A5A"/>
    <w:rsid w:val="5CDC7EFE"/>
    <w:rsid w:val="5CDD77D2"/>
    <w:rsid w:val="5CDF354A"/>
    <w:rsid w:val="5CDF79EE"/>
    <w:rsid w:val="5CE172C2"/>
    <w:rsid w:val="5CE340AA"/>
    <w:rsid w:val="5CE60D7D"/>
    <w:rsid w:val="5CEB3BAF"/>
    <w:rsid w:val="5CEC5C67"/>
    <w:rsid w:val="5CEE378D"/>
    <w:rsid w:val="5CF50FC0"/>
    <w:rsid w:val="5CF54B1C"/>
    <w:rsid w:val="5CF76AE6"/>
    <w:rsid w:val="5CFA0384"/>
    <w:rsid w:val="5CFB5EAA"/>
    <w:rsid w:val="5CFD1C22"/>
    <w:rsid w:val="5CFE3AF6"/>
    <w:rsid w:val="5D0631CD"/>
    <w:rsid w:val="5D064F7B"/>
    <w:rsid w:val="5D082FB3"/>
    <w:rsid w:val="5D086F45"/>
    <w:rsid w:val="5D1256CE"/>
    <w:rsid w:val="5D1461BC"/>
    <w:rsid w:val="5D1551BE"/>
    <w:rsid w:val="5D170F36"/>
    <w:rsid w:val="5D172CE4"/>
    <w:rsid w:val="5D19376B"/>
    <w:rsid w:val="5D1A4582"/>
    <w:rsid w:val="5D1B2582"/>
    <w:rsid w:val="5D1D209C"/>
    <w:rsid w:val="5D1D22C5"/>
    <w:rsid w:val="5D1D3926"/>
    <w:rsid w:val="5D1D77F0"/>
    <w:rsid w:val="5D1F7DEB"/>
    <w:rsid w:val="5D2720BB"/>
    <w:rsid w:val="5D2D075A"/>
    <w:rsid w:val="5D2E44D2"/>
    <w:rsid w:val="5D2E6280"/>
    <w:rsid w:val="5D2F5E5A"/>
    <w:rsid w:val="5D30766A"/>
    <w:rsid w:val="5D311666"/>
    <w:rsid w:val="5D35760E"/>
    <w:rsid w:val="5D395350"/>
    <w:rsid w:val="5D3A4C25"/>
    <w:rsid w:val="5D3C099D"/>
    <w:rsid w:val="5D3F223B"/>
    <w:rsid w:val="5D443CF5"/>
    <w:rsid w:val="5D494E68"/>
    <w:rsid w:val="5D4D2BAA"/>
    <w:rsid w:val="5D572044"/>
    <w:rsid w:val="5D576C2F"/>
    <w:rsid w:val="5D5A52C7"/>
    <w:rsid w:val="5D5E0913"/>
    <w:rsid w:val="5D616655"/>
    <w:rsid w:val="5D645DC6"/>
    <w:rsid w:val="5D6D6DA8"/>
    <w:rsid w:val="5D712EAB"/>
    <w:rsid w:val="5D7235D2"/>
    <w:rsid w:val="5D730D16"/>
    <w:rsid w:val="5D78422A"/>
    <w:rsid w:val="5D793A3B"/>
    <w:rsid w:val="5D7A14C5"/>
    <w:rsid w:val="5D7C523D"/>
    <w:rsid w:val="5D7E0FB5"/>
    <w:rsid w:val="5D7F6ADB"/>
    <w:rsid w:val="5D814602"/>
    <w:rsid w:val="5D821189"/>
    <w:rsid w:val="5D8365CC"/>
    <w:rsid w:val="5D8440F2"/>
    <w:rsid w:val="5D847B0A"/>
    <w:rsid w:val="5D8660BC"/>
    <w:rsid w:val="5D8B1499"/>
    <w:rsid w:val="5D942587"/>
    <w:rsid w:val="5D94616F"/>
    <w:rsid w:val="5D950500"/>
    <w:rsid w:val="5D955EEB"/>
    <w:rsid w:val="5D983F46"/>
    <w:rsid w:val="5D984E7E"/>
    <w:rsid w:val="5D99194B"/>
    <w:rsid w:val="5D9A7B05"/>
    <w:rsid w:val="5DAA3B58"/>
    <w:rsid w:val="5DAF6F1D"/>
    <w:rsid w:val="5DB171DF"/>
    <w:rsid w:val="5DB34D76"/>
    <w:rsid w:val="5DB577BD"/>
    <w:rsid w:val="5DB669A1"/>
    <w:rsid w:val="5DB74439"/>
    <w:rsid w:val="5DB93D9B"/>
    <w:rsid w:val="5DBC6D53"/>
    <w:rsid w:val="5DBE7604"/>
    <w:rsid w:val="5DC10142"/>
    <w:rsid w:val="5DC21912"/>
    <w:rsid w:val="5DC759C6"/>
    <w:rsid w:val="5DC866D4"/>
    <w:rsid w:val="5DCA41FA"/>
    <w:rsid w:val="5DD1456E"/>
    <w:rsid w:val="5DD47F03"/>
    <w:rsid w:val="5DD60B23"/>
    <w:rsid w:val="5DDB1F64"/>
    <w:rsid w:val="5DE057CC"/>
    <w:rsid w:val="5DE0757A"/>
    <w:rsid w:val="5DE52DE2"/>
    <w:rsid w:val="5DEB63BE"/>
    <w:rsid w:val="5DEC4171"/>
    <w:rsid w:val="5DEC5F0E"/>
    <w:rsid w:val="5DED4C31"/>
    <w:rsid w:val="5DF0431C"/>
    <w:rsid w:val="5DF23751"/>
    <w:rsid w:val="5DF245C1"/>
    <w:rsid w:val="5DF254FF"/>
    <w:rsid w:val="5DF41277"/>
    <w:rsid w:val="5DF64FF0"/>
    <w:rsid w:val="5DF824F6"/>
    <w:rsid w:val="5DF87A0F"/>
    <w:rsid w:val="5DFF2729"/>
    <w:rsid w:val="5E007C1C"/>
    <w:rsid w:val="5E044CCE"/>
    <w:rsid w:val="5E052FC6"/>
    <w:rsid w:val="5E07481C"/>
    <w:rsid w:val="5E0E2A29"/>
    <w:rsid w:val="5E0F35C8"/>
    <w:rsid w:val="5E122843"/>
    <w:rsid w:val="5E1606C4"/>
    <w:rsid w:val="5E176D14"/>
    <w:rsid w:val="5E18501A"/>
    <w:rsid w:val="5E190CDE"/>
    <w:rsid w:val="5E196F30"/>
    <w:rsid w:val="5E1B3B2A"/>
    <w:rsid w:val="5E27164D"/>
    <w:rsid w:val="5E29424F"/>
    <w:rsid w:val="5E2A2EEB"/>
    <w:rsid w:val="5E2D6537"/>
    <w:rsid w:val="5E2D74A8"/>
    <w:rsid w:val="5E337FF2"/>
    <w:rsid w:val="5E371164"/>
    <w:rsid w:val="5E40626B"/>
    <w:rsid w:val="5E4775F9"/>
    <w:rsid w:val="5E483371"/>
    <w:rsid w:val="5E4C10B3"/>
    <w:rsid w:val="5E512226"/>
    <w:rsid w:val="5E541D16"/>
    <w:rsid w:val="5E547F68"/>
    <w:rsid w:val="5E574335"/>
    <w:rsid w:val="5E653F23"/>
    <w:rsid w:val="5E695530"/>
    <w:rsid w:val="5E6D4B86"/>
    <w:rsid w:val="5E710B1A"/>
    <w:rsid w:val="5E734892"/>
    <w:rsid w:val="5E745F14"/>
    <w:rsid w:val="5E781EA8"/>
    <w:rsid w:val="5E796A43"/>
    <w:rsid w:val="5E7A1EB6"/>
    <w:rsid w:val="5E7A3283"/>
    <w:rsid w:val="5E7D126D"/>
    <w:rsid w:val="5E7E2FB5"/>
    <w:rsid w:val="5E800D5D"/>
    <w:rsid w:val="5E806C53"/>
    <w:rsid w:val="5E892B2C"/>
    <w:rsid w:val="5E8A398A"/>
    <w:rsid w:val="5E8B1BDC"/>
    <w:rsid w:val="5E8E347A"/>
    <w:rsid w:val="5E913942"/>
    <w:rsid w:val="5E916AC6"/>
    <w:rsid w:val="5E9842F9"/>
    <w:rsid w:val="5EA20CD3"/>
    <w:rsid w:val="5EA22243"/>
    <w:rsid w:val="5EA42042"/>
    <w:rsid w:val="5EA519D4"/>
    <w:rsid w:val="5EA66A16"/>
    <w:rsid w:val="5EA92062"/>
    <w:rsid w:val="5EA92521"/>
    <w:rsid w:val="5EAB5E7A"/>
    <w:rsid w:val="5EAE7678"/>
    <w:rsid w:val="5EB167DE"/>
    <w:rsid w:val="5EBD5B0D"/>
    <w:rsid w:val="5EC0115A"/>
    <w:rsid w:val="5EC073AC"/>
    <w:rsid w:val="5EC21610"/>
    <w:rsid w:val="5EC92704"/>
    <w:rsid w:val="5ECC5D50"/>
    <w:rsid w:val="5ECF37B3"/>
    <w:rsid w:val="5ED115B9"/>
    <w:rsid w:val="5ED6097D"/>
    <w:rsid w:val="5ED846F5"/>
    <w:rsid w:val="5EDA41C7"/>
    <w:rsid w:val="5EDB5F93"/>
    <w:rsid w:val="5EDC303D"/>
    <w:rsid w:val="5EDF5A84"/>
    <w:rsid w:val="5EE035AA"/>
    <w:rsid w:val="5EE4753E"/>
    <w:rsid w:val="5EE66E12"/>
    <w:rsid w:val="5EE72B8A"/>
    <w:rsid w:val="5EE82168"/>
    <w:rsid w:val="5EEE5CC7"/>
    <w:rsid w:val="5EF01A3F"/>
    <w:rsid w:val="5EF3152F"/>
    <w:rsid w:val="5EF37781"/>
    <w:rsid w:val="5EF77271"/>
    <w:rsid w:val="5F0059FA"/>
    <w:rsid w:val="5F013C4C"/>
    <w:rsid w:val="5F053010"/>
    <w:rsid w:val="5F053F00"/>
    <w:rsid w:val="5F061E42"/>
    <w:rsid w:val="5F074FDA"/>
    <w:rsid w:val="5F092B01"/>
    <w:rsid w:val="5F0C332D"/>
    <w:rsid w:val="5F0C439F"/>
    <w:rsid w:val="5F0E7E34"/>
    <w:rsid w:val="5F105C3D"/>
    <w:rsid w:val="5F13397F"/>
    <w:rsid w:val="5F1514A5"/>
    <w:rsid w:val="5F1576F7"/>
    <w:rsid w:val="5F166FCB"/>
    <w:rsid w:val="5F18074E"/>
    <w:rsid w:val="5F183B67"/>
    <w:rsid w:val="5F1A2B43"/>
    <w:rsid w:val="5F1D035A"/>
    <w:rsid w:val="5F1F2324"/>
    <w:rsid w:val="5F21088D"/>
    <w:rsid w:val="5F245B8C"/>
    <w:rsid w:val="5F27742B"/>
    <w:rsid w:val="5F28567D"/>
    <w:rsid w:val="5F2C67EF"/>
    <w:rsid w:val="5F304531"/>
    <w:rsid w:val="5F337B7D"/>
    <w:rsid w:val="5F3B570F"/>
    <w:rsid w:val="5F405364"/>
    <w:rsid w:val="5F441D8B"/>
    <w:rsid w:val="5F473629"/>
    <w:rsid w:val="5F4A7642"/>
    <w:rsid w:val="5F4D6E91"/>
    <w:rsid w:val="5F5226F9"/>
    <w:rsid w:val="5F5521EA"/>
    <w:rsid w:val="5F555D46"/>
    <w:rsid w:val="5F577D10"/>
    <w:rsid w:val="5F59283E"/>
    <w:rsid w:val="5F5B5D32"/>
    <w:rsid w:val="5F5F4E16"/>
    <w:rsid w:val="5F624983"/>
    <w:rsid w:val="5F675A73"/>
    <w:rsid w:val="5F69359F"/>
    <w:rsid w:val="5F6B7317"/>
    <w:rsid w:val="5F6D12E1"/>
    <w:rsid w:val="5F6E0BB6"/>
    <w:rsid w:val="5F700DD2"/>
    <w:rsid w:val="5F75455E"/>
    <w:rsid w:val="5F761608"/>
    <w:rsid w:val="5F797C86"/>
    <w:rsid w:val="5F7D704B"/>
    <w:rsid w:val="5F7E0DDA"/>
    <w:rsid w:val="5F7E34EF"/>
    <w:rsid w:val="5F816B3B"/>
    <w:rsid w:val="5F845D6D"/>
    <w:rsid w:val="5F8623A3"/>
    <w:rsid w:val="5F864151"/>
    <w:rsid w:val="5F876EAC"/>
    <w:rsid w:val="5F8D4DCC"/>
    <w:rsid w:val="5F8E1258"/>
    <w:rsid w:val="5F97635E"/>
    <w:rsid w:val="5F9C3975"/>
    <w:rsid w:val="5F9E149B"/>
    <w:rsid w:val="5FA171DD"/>
    <w:rsid w:val="5FA34D03"/>
    <w:rsid w:val="5FA42829"/>
    <w:rsid w:val="5FA56CCD"/>
    <w:rsid w:val="5FA8056B"/>
    <w:rsid w:val="5FAA6092"/>
    <w:rsid w:val="5FAB1E0A"/>
    <w:rsid w:val="5FAD000C"/>
    <w:rsid w:val="5FB25842"/>
    <w:rsid w:val="5FB31BE9"/>
    <w:rsid w:val="5FB332AA"/>
    <w:rsid w:val="5FB36ECE"/>
    <w:rsid w:val="5FB707AE"/>
    <w:rsid w:val="5FB837BB"/>
    <w:rsid w:val="5FBA204D"/>
    <w:rsid w:val="5FBD3482"/>
    <w:rsid w:val="5FBE38EB"/>
    <w:rsid w:val="5FBF1411"/>
    <w:rsid w:val="5FC428E6"/>
    <w:rsid w:val="5FC773F1"/>
    <w:rsid w:val="5FC86518"/>
    <w:rsid w:val="5FCB6008"/>
    <w:rsid w:val="5FCD1D80"/>
    <w:rsid w:val="5FCF78A6"/>
    <w:rsid w:val="5FD24E2C"/>
    <w:rsid w:val="5FD27396"/>
    <w:rsid w:val="5FD41360"/>
    <w:rsid w:val="5FD44EBD"/>
    <w:rsid w:val="5FDA449D"/>
    <w:rsid w:val="5FE27568"/>
    <w:rsid w:val="5FE315A4"/>
    <w:rsid w:val="5FE61094"/>
    <w:rsid w:val="5FE64E87"/>
    <w:rsid w:val="5FED41D0"/>
    <w:rsid w:val="5FED5F7E"/>
    <w:rsid w:val="5FEF619A"/>
    <w:rsid w:val="5FF11F12"/>
    <w:rsid w:val="5FF53085"/>
    <w:rsid w:val="5FF732A1"/>
    <w:rsid w:val="5FF7504F"/>
    <w:rsid w:val="5FF8416B"/>
    <w:rsid w:val="5FFA4579"/>
    <w:rsid w:val="60002155"/>
    <w:rsid w:val="60025ECE"/>
    <w:rsid w:val="600339F4"/>
    <w:rsid w:val="60065292"/>
    <w:rsid w:val="60065E0F"/>
    <w:rsid w:val="600A6003"/>
    <w:rsid w:val="600B4642"/>
    <w:rsid w:val="600E2656"/>
    <w:rsid w:val="600F2399"/>
    <w:rsid w:val="60124A61"/>
    <w:rsid w:val="60125EE4"/>
    <w:rsid w:val="60145C01"/>
    <w:rsid w:val="6017749F"/>
    <w:rsid w:val="601A63AB"/>
    <w:rsid w:val="601B2AEB"/>
    <w:rsid w:val="601B4F8E"/>
    <w:rsid w:val="602048C3"/>
    <w:rsid w:val="60255718"/>
    <w:rsid w:val="602A71D2"/>
    <w:rsid w:val="602B6AA7"/>
    <w:rsid w:val="603040BD"/>
    <w:rsid w:val="60310561"/>
    <w:rsid w:val="603242D9"/>
    <w:rsid w:val="603A3F6B"/>
    <w:rsid w:val="604007A4"/>
    <w:rsid w:val="60402552"/>
    <w:rsid w:val="6042276E"/>
    <w:rsid w:val="60432479"/>
    <w:rsid w:val="60457B68"/>
    <w:rsid w:val="60477D84"/>
    <w:rsid w:val="6051650D"/>
    <w:rsid w:val="60522285"/>
    <w:rsid w:val="60593614"/>
    <w:rsid w:val="605B55DE"/>
    <w:rsid w:val="605C4EB2"/>
    <w:rsid w:val="605E3C10"/>
    <w:rsid w:val="605E58D0"/>
    <w:rsid w:val="60681AA9"/>
    <w:rsid w:val="607301CC"/>
    <w:rsid w:val="60732927"/>
    <w:rsid w:val="607355F5"/>
    <w:rsid w:val="607565D9"/>
    <w:rsid w:val="6078309D"/>
    <w:rsid w:val="60786190"/>
    <w:rsid w:val="607D004F"/>
    <w:rsid w:val="607E307A"/>
    <w:rsid w:val="60800482"/>
    <w:rsid w:val="60822B6A"/>
    <w:rsid w:val="608508AD"/>
    <w:rsid w:val="608A1A1F"/>
    <w:rsid w:val="608C39E9"/>
    <w:rsid w:val="608F34D9"/>
    <w:rsid w:val="60912DAE"/>
    <w:rsid w:val="60917251"/>
    <w:rsid w:val="60934D78"/>
    <w:rsid w:val="6094289E"/>
    <w:rsid w:val="6098413C"/>
    <w:rsid w:val="609D069B"/>
    <w:rsid w:val="609D11F2"/>
    <w:rsid w:val="609D79A4"/>
    <w:rsid w:val="609E371C"/>
    <w:rsid w:val="60A07495"/>
    <w:rsid w:val="60A30D33"/>
    <w:rsid w:val="60A56859"/>
    <w:rsid w:val="60A76A75"/>
    <w:rsid w:val="60AC1FF9"/>
    <w:rsid w:val="60AC5E39"/>
    <w:rsid w:val="60AE14F9"/>
    <w:rsid w:val="60B13610"/>
    <w:rsid w:val="60B53DBD"/>
    <w:rsid w:val="60B66CA1"/>
    <w:rsid w:val="60B66CB8"/>
    <w:rsid w:val="60C3173E"/>
    <w:rsid w:val="60C34F31"/>
    <w:rsid w:val="60C433A3"/>
    <w:rsid w:val="60CF36F6"/>
    <w:rsid w:val="60D55390"/>
    <w:rsid w:val="60D809DC"/>
    <w:rsid w:val="60D86C2E"/>
    <w:rsid w:val="60D94755"/>
    <w:rsid w:val="60DB671F"/>
    <w:rsid w:val="60DC7B7A"/>
    <w:rsid w:val="60E37E0A"/>
    <w:rsid w:val="60E6759D"/>
    <w:rsid w:val="60E76E71"/>
    <w:rsid w:val="60E81DBB"/>
    <w:rsid w:val="60E9572D"/>
    <w:rsid w:val="60EC4488"/>
    <w:rsid w:val="60EE0200"/>
    <w:rsid w:val="60EE1FAE"/>
    <w:rsid w:val="60EF48AF"/>
    <w:rsid w:val="60F3411E"/>
    <w:rsid w:val="60F34B93"/>
    <w:rsid w:val="60F9034D"/>
    <w:rsid w:val="60F90953"/>
    <w:rsid w:val="60FD6695"/>
    <w:rsid w:val="60FF41BB"/>
    <w:rsid w:val="61016185"/>
    <w:rsid w:val="61045C75"/>
    <w:rsid w:val="610619ED"/>
    <w:rsid w:val="610828A0"/>
    <w:rsid w:val="610A2B60"/>
    <w:rsid w:val="610C0686"/>
    <w:rsid w:val="610D1BF1"/>
    <w:rsid w:val="610E08A2"/>
    <w:rsid w:val="610F7301"/>
    <w:rsid w:val="61120392"/>
    <w:rsid w:val="61135EB8"/>
    <w:rsid w:val="61137C66"/>
    <w:rsid w:val="61165902"/>
    <w:rsid w:val="611759A9"/>
    <w:rsid w:val="611834CF"/>
    <w:rsid w:val="6129748A"/>
    <w:rsid w:val="612C0393"/>
    <w:rsid w:val="613227E3"/>
    <w:rsid w:val="61355E2F"/>
    <w:rsid w:val="61375C84"/>
    <w:rsid w:val="613F0A5C"/>
    <w:rsid w:val="61442516"/>
    <w:rsid w:val="61471AB8"/>
    <w:rsid w:val="614A7659"/>
    <w:rsid w:val="614C2DB9"/>
    <w:rsid w:val="614D13CA"/>
    <w:rsid w:val="614E6EF1"/>
    <w:rsid w:val="61500EBB"/>
    <w:rsid w:val="61504A17"/>
    <w:rsid w:val="615053A3"/>
    <w:rsid w:val="6151078F"/>
    <w:rsid w:val="6151253D"/>
    <w:rsid w:val="6152204F"/>
    <w:rsid w:val="61527E1C"/>
    <w:rsid w:val="61532759"/>
    <w:rsid w:val="61533665"/>
    <w:rsid w:val="6154367A"/>
    <w:rsid w:val="615446EC"/>
    <w:rsid w:val="615838CB"/>
    <w:rsid w:val="61595DDF"/>
    <w:rsid w:val="615A3AE7"/>
    <w:rsid w:val="615C785F"/>
    <w:rsid w:val="615D7134"/>
    <w:rsid w:val="615F10FE"/>
    <w:rsid w:val="61602923"/>
    <w:rsid w:val="61616C24"/>
    <w:rsid w:val="6162299C"/>
    <w:rsid w:val="616D55C9"/>
    <w:rsid w:val="616F12F4"/>
    <w:rsid w:val="61700C15"/>
    <w:rsid w:val="6170768E"/>
    <w:rsid w:val="61707F91"/>
    <w:rsid w:val="617701F5"/>
    <w:rsid w:val="61783F6D"/>
    <w:rsid w:val="6178408E"/>
    <w:rsid w:val="61785D1C"/>
    <w:rsid w:val="617A7CE6"/>
    <w:rsid w:val="617B1DB5"/>
    <w:rsid w:val="617D3332"/>
    <w:rsid w:val="617E77D6"/>
    <w:rsid w:val="618C17C7"/>
    <w:rsid w:val="618D7A19"/>
    <w:rsid w:val="6190770A"/>
    <w:rsid w:val="61917F48"/>
    <w:rsid w:val="61943BF5"/>
    <w:rsid w:val="619A6C41"/>
    <w:rsid w:val="619F14FA"/>
    <w:rsid w:val="619F73C4"/>
    <w:rsid w:val="61A15272"/>
    <w:rsid w:val="61A62889"/>
    <w:rsid w:val="61AE5BE1"/>
    <w:rsid w:val="61B56F70"/>
    <w:rsid w:val="61B8631B"/>
    <w:rsid w:val="61B94A5E"/>
    <w:rsid w:val="61BA4C5A"/>
    <w:rsid w:val="61BA7637"/>
    <w:rsid w:val="61BC78FE"/>
    <w:rsid w:val="61BE4076"/>
    <w:rsid w:val="61BF1B9C"/>
    <w:rsid w:val="61BF394A"/>
    <w:rsid w:val="61C1296A"/>
    <w:rsid w:val="61C13B66"/>
    <w:rsid w:val="61C243C9"/>
    <w:rsid w:val="61C80A51"/>
    <w:rsid w:val="61CB46C0"/>
    <w:rsid w:val="61CB62CF"/>
    <w:rsid w:val="61D03DA9"/>
    <w:rsid w:val="61D373F6"/>
    <w:rsid w:val="61D70C94"/>
    <w:rsid w:val="61D76EE6"/>
    <w:rsid w:val="61D8378D"/>
    <w:rsid w:val="61D86D49"/>
    <w:rsid w:val="61DA0784"/>
    <w:rsid w:val="61DA26C4"/>
    <w:rsid w:val="61DA69D6"/>
    <w:rsid w:val="61DB285B"/>
    <w:rsid w:val="61DC44FC"/>
    <w:rsid w:val="61E02350"/>
    <w:rsid w:val="61E03976"/>
    <w:rsid w:val="61E31298"/>
    <w:rsid w:val="61E32DD8"/>
    <w:rsid w:val="61E57855"/>
    <w:rsid w:val="61EB0BE3"/>
    <w:rsid w:val="61EB473F"/>
    <w:rsid w:val="61EF4230"/>
    <w:rsid w:val="61EF732C"/>
    <w:rsid w:val="61F21F72"/>
    <w:rsid w:val="61F53810"/>
    <w:rsid w:val="61F950AE"/>
    <w:rsid w:val="61FF118B"/>
    <w:rsid w:val="62020581"/>
    <w:rsid w:val="62031A89"/>
    <w:rsid w:val="62033E14"/>
    <w:rsid w:val="6208709F"/>
    <w:rsid w:val="620A72BB"/>
    <w:rsid w:val="620F48D2"/>
    <w:rsid w:val="62144552"/>
    <w:rsid w:val="621E3D16"/>
    <w:rsid w:val="621E68C3"/>
    <w:rsid w:val="62261C1B"/>
    <w:rsid w:val="622A34BA"/>
    <w:rsid w:val="622A5268"/>
    <w:rsid w:val="623205C0"/>
    <w:rsid w:val="6232236E"/>
    <w:rsid w:val="62364782"/>
    <w:rsid w:val="62375AF0"/>
    <w:rsid w:val="62397551"/>
    <w:rsid w:val="62397BA1"/>
    <w:rsid w:val="623A66C4"/>
    <w:rsid w:val="623C4F9B"/>
    <w:rsid w:val="623C6124"/>
    <w:rsid w:val="623E47E2"/>
    <w:rsid w:val="623E6F65"/>
    <w:rsid w:val="624327CD"/>
    <w:rsid w:val="6247406C"/>
    <w:rsid w:val="62483940"/>
    <w:rsid w:val="624A3B5C"/>
    <w:rsid w:val="624C1682"/>
    <w:rsid w:val="62516C98"/>
    <w:rsid w:val="62540537"/>
    <w:rsid w:val="625422E5"/>
    <w:rsid w:val="62553EF0"/>
    <w:rsid w:val="62562501"/>
    <w:rsid w:val="625B18C5"/>
    <w:rsid w:val="625B3673"/>
    <w:rsid w:val="625E13B5"/>
    <w:rsid w:val="625E6872"/>
    <w:rsid w:val="62620EA5"/>
    <w:rsid w:val="62623765"/>
    <w:rsid w:val="6263077A"/>
    <w:rsid w:val="62636AC5"/>
    <w:rsid w:val="626562A0"/>
    <w:rsid w:val="62665185"/>
    <w:rsid w:val="62682234"/>
    <w:rsid w:val="626B762E"/>
    <w:rsid w:val="626F778E"/>
    <w:rsid w:val="627051C5"/>
    <w:rsid w:val="62740BD9"/>
    <w:rsid w:val="62782477"/>
    <w:rsid w:val="62783599"/>
    <w:rsid w:val="62791D4B"/>
    <w:rsid w:val="627B3D15"/>
    <w:rsid w:val="627C16E2"/>
    <w:rsid w:val="627E3805"/>
    <w:rsid w:val="62807141"/>
    <w:rsid w:val="62830E1C"/>
    <w:rsid w:val="62843025"/>
    <w:rsid w:val="6286301C"/>
    <w:rsid w:val="62864468"/>
    <w:rsid w:val="628A21AA"/>
    <w:rsid w:val="628A3F58"/>
    <w:rsid w:val="628B71A8"/>
    <w:rsid w:val="628C7CD0"/>
    <w:rsid w:val="628D57F7"/>
    <w:rsid w:val="628E1B2F"/>
    <w:rsid w:val="628F42BC"/>
    <w:rsid w:val="62946B85"/>
    <w:rsid w:val="62946DCA"/>
    <w:rsid w:val="62950184"/>
    <w:rsid w:val="62975F54"/>
    <w:rsid w:val="6299063F"/>
    <w:rsid w:val="629B43B7"/>
    <w:rsid w:val="629E02F8"/>
    <w:rsid w:val="629F3071"/>
    <w:rsid w:val="62A27CA7"/>
    <w:rsid w:val="62A414BE"/>
    <w:rsid w:val="62A63DB0"/>
    <w:rsid w:val="62A768B8"/>
    <w:rsid w:val="62AA0157"/>
    <w:rsid w:val="62AA45FB"/>
    <w:rsid w:val="62AA63A9"/>
    <w:rsid w:val="62AC2121"/>
    <w:rsid w:val="62AD7C47"/>
    <w:rsid w:val="62AE40EB"/>
    <w:rsid w:val="62AE5E99"/>
    <w:rsid w:val="62B0142F"/>
    <w:rsid w:val="62B2525D"/>
    <w:rsid w:val="62B45479"/>
    <w:rsid w:val="62B47227"/>
    <w:rsid w:val="62BB38AE"/>
    <w:rsid w:val="62BD2580"/>
    <w:rsid w:val="62BF7FA3"/>
    <w:rsid w:val="62C05BCC"/>
    <w:rsid w:val="62C0797A"/>
    <w:rsid w:val="62C80F19"/>
    <w:rsid w:val="62CA6A4B"/>
    <w:rsid w:val="62CC4571"/>
    <w:rsid w:val="62D376AD"/>
    <w:rsid w:val="62D82F16"/>
    <w:rsid w:val="62D94DD2"/>
    <w:rsid w:val="62D96C8E"/>
    <w:rsid w:val="62DE6052"/>
    <w:rsid w:val="62E0001C"/>
    <w:rsid w:val="62E23D94"/>
    <w:rsid w:val="62E418BB"/>
    <w:rsid w:val="62E42611"/>
    <w:rsid w:val="62E46090"/>
    <w:rsid w:val="62E775FD"/>
    <w:rsid w:val="62EA49F7"/>
    <w:rsid w:val="62EC4C13"/>
    <w:rsid w:val="62EE2739"/>
    <w:rsid w:val="62EF200D"/>
    <w:rsid w:val="62F0280B"/>
    <w:rsid w:val="62F31AFE"/>
    <w:rsid w:val="62F5014F"/>
    <w:rsid w:val="62F703F9"/>
    <w:rsid w:val="62F80A1E"/>
    <w:rsid w:val="62FB09B2"/>
    <w:rsid w:val="62FD297C"/>
    <w:rsid w:val="62FD48F9"/>
    <w:rsid w:val="63027F93"/>
    <w:rsid w:val="63035AB9"/>
    <w:rsid w:val="630652D7"/>
    <w:rsid w:val="6308735D"/>
    <w:rsid w:val="630A6E47"/>
    <w:rsid w:val="630B4F5E"/>
    <w:rsid w:val="630E2DDB"/>
    <w:rsid w:val="630E4B89"/>
    <w:rsid w:val="63141A74"/>
    <w:rsid w:val="631B613A"/>
    <w:rsid w:val="631C6ABE"/>
    <w:rsid w:val="631D4DCC"/>
    <w:rsid w:val="631F28F3"/>
    <w:rsid w:val="63212B0F"/>
    <w:rsid w:val="632223E3"/>
    <w:rsid w:val="63224191"/>
    <w:rsid w:val="63225184"/>
    <w:rsid w:val="63235063"/>
    <w:rsid w:val="63286F28"/>
    <w:rsid w:val="632A1297"/>
    <w:rsid w:val="632B64E7"/>
    <w:rsid w:val="6331132F"/>
    <w:rsid w:val="63332842"/>
    <w:rsid w:val="633914DA"/>
    <w:rsid w:val="633A772C"/>
    <w:rsid w:val="633B16F7"/>
    <w:rsid w:val="633D0FCB"/>
    <w:rsid w:val="633D18C0"/>
    <w:rsid w:val="633D2BD8"/>
    <w:rsid w:val="633E12FE"/>
    <w:rsid w:val="63416D0D"/>
    <w:rsid w:val="6343533F"/>
    <w:rsid w:val="63436152"/>
    <w:rsid w:val="63442359"/>
    <w:rsid w:val="634632A4"/>
    <w:rsid w:val="63493E13"/>
    <w:rsid w:val="634C7460"/>
    <w:rsid w:val="634F638C"/>
    <w:rsid w:val="63554566"/>
    <w:rsid w:val="63556314"/>
    <w:rsid w:val="635D341B"/>
    <w:rsid w:val="63624ED5"/>
    <w:rsid w:val="63650337"/>
    <w:rsid w:val="63651E22"/>
    <w:rsid w:val="63660521"/>
    <w:rsid w:val="636649C5"/>
    <w:rsid w:val="6367429A"/>
    <w:rsid w:val="636C365E"/>
    <w:rsid w:val="637013A0"/>
    <w:rsid w:val="63711839"/>
    <w:rsid w:val="637644DD"/>
    <w:rsid w:val="637C31BE"/>
    <w:rsid w:val="637C5D8F"/>
    <w:rsid w:val="637C7D45"/>
    <w:rsid w:val="637D721E"/>
    <w:rsid w:val="637F3391"/>
    <w:rsid w:val="637F590A"/>
    <w:rsid w:val="637F7835"/>
    <w:rsid w:val="63811F35"/>
    <w:rsid w:val="63881DBD"/>
    <w:rsid w:val="63883103"/>
    <w:rsid w:val="638D4E7E"/>
    <w:rsid w:val="638F1633"/>
    <w:rsid w:val="638F4D78"/>
    <w:rsid w:val="63952BB5"/>
    <w:rsid w:val="63974B7F"/>
    <w:rsid w:val="639808F7"/>
    <w:rsid w:val="63981333"/>
    <w:rsid w:val="639D7CBB"/>
    <w:rsid w:val="639F3A33"/>
    <w:rsid w:val="639F57E1"/>
    <w:rsid w:val="63A143FC"/>
    <w:rsid w:val="63A23524"/>
    <w:rsid w:val="63A759EE"/>
    <w:rsid w:val="63AB4186"/>
    <w:rsid w:val="63AD1FEB"/>
    <w:rsid w:val="63B05C41"/>
    <w:rsid w:val="63B76FCF"/>
    <w:rsid w:val="63B948A0"/>
    <w:rsid w:val="63BA086D"/>
    <w:rsid w:val="63BA6ABF"/>
    <w:rsid w:val="63C11BFC"/>
    <w:rsid w:val="63C4349A"/>
    <w:rsid w:val="63C86A2B"/>
    <w:rsid w:val="63C90AB0"/>
    <w:rsid w:val="63CB3C77"/>
    <w:rsid w:val="63D01E3F"/>
    <w:rsid w:val="63D40BE9"/>
    <w:rsid w:val="63D67398"/>
    <w:rsid w:val="63D7141F"/>
    <w:rsid w:val="63DA0F0F"/>
    <w:rsid w:val="63DD455C"/>
    <w:rsid w:val="63DE27AE"/>
    <w:rsid w:val="63DF2082"/>
    <w:rsid w:val="63E0211F"/>
    <w:rsid w:val="63E1404C"/>
    <w:rsid w:val="63E36016"/>
    <w:rsid w:val="63E37DC4"/>
    <w:rsid w:val="63E678B4"/>
    <w:rsid w:val="63EB4ECB"/>
    <w:rsid w:val="63EC4EF3"/>
    <w:rsid w:val="63ED29F1"/>
    <w:rsid w:val="63F00DC7"/>
    <w:rsid w:val="63F0428F"/>
    <w:rsid w:val="63F20169"/>
    <w:rsid w:val="63F26259"/>
    <w:rsid w:val="63F64A00"/>
    <w:rsid w:val="63FC70D8"/>
    <w:rsid w:val="6405643E"/>
    <w:rsid w:val="64061D04"/>
    <w:rsid w:val="640815D9"/>
    <w:rsid w:val="6408782B"/>
    <w:rsid w:val="640B2E77"/>
    <w:rsid w:val="640F0BB9"/>
    <w:rsid w:val="6410048D"/>
    <w:rsid w:val="64110D2B"/>
    <w:rsid w:val="64122457"/>
    <w:rsid w:val="64144421"/>
    <w:rsid w:val="64153CF6"/>
    <w:rsid w:val="64177A6E"/>
    <w:rsid w:val="64183B7B"/>
    <w:rsid w:val="64191957"/>
    <w:rsid w:val="64195594"/>
    <w:rsid w:val="641E2BAA"/>
    <w:rsid w:val="641E704E"/>
    <w:rsid w:val="642167B4"/>
    <w:rsid w:val="642B3519"/>
    <w:rsid w:val="642D7291"/>
    <w:rsid w:val="642D79A4"/>
    <w:rsid w:val="642E6B65"/>
    <w:rsid w:val="643024A2"/>
    <w:rsid w:val="64326656"/>
    <w:rsid w:val="643945F5"/>
    <w:rsid w:val="643A4CC0"/>
    <w:rsid w:val="643A70CF"/>
    <w:rsid w:val="643C25D6"/>
    <w:rsid w:val="643E0E5C"/>
    <w:rsid w:val="643E4FFA"/>
    <w:rsid w:val="643E5117"/>
    <w:rsid w:val="64426DE8"/>
    <w:rsid w:val="64432611"/>
    <w:rsid w:val="64485E79"/>
    <w:rsid w:val="644904C4"/>
    <w:rsid w:val="644B034C"/>
    <w:rsid w:val="644E3D19"/>
    <w:rsid w:val="644F0FB6"/>
    <w:rsid w:val="64524F4A"/>
    <w:rsid w:val="64534785"/>
    <w:rsid w:val="64552344"/>
    <w:rsid w:val="645667E8"/>
    <w:rsid w:val="64570C2A"/>
    <w:rsid w:val="645760BC"/>
    <w:rsid w:val="645B3DFE"/>
    <w:rsid w:val="645C7B76"/>
    <w:rsid w:val="645E38EF"/>
    <w:rsid w:val="64601415"/>
    <w:rsid w:val="64607958"/>
    <w:rsid w:val="64642182"/>
    <w:rsid w:val="64656A2B"/>
    <w:rsid w:val="646A2293"/>
    <w:rsid w:val="646A4358"/>
    <w:rsid w:val="647640BA"/>
    <w:rsid w:val="647C3D75"/>
    <w:rsid w:val="647C4D24"/>
    <w:rsid w:val="647E203D"/>
    <w:rsid w:val="64872E45"/>
    <w:rsid w:val="6487551C"/>
    <w:rsid w:val="648844C8"/>
    <w:rsid w:val="648917D7"/>
    <w:rsid w:val="648A46E4"/>
    <w:rsid w:val="648A7941"/>
    <w:rsid w:val="648B3FB8"/>
    <w:rsid w:val="64923598"/>
    <w:rsid w:val="64925346"/>
    <w:rsid w:val="649308CA"/>
    <w:rsid w:val="649317EA"/>
    <w:rsid w:val="6497295D"/>
    <w:rsid w:val="64992B79"/>
    <w:rsid w:val="649E3CEB"/>
    <w:rsid w:val="64A0033D"/>
    <w:rsid w:val="64A1360B"/>
    <w:rsid w:val="64A37553"/>
    <w:rsid w:val="64A5151D"/>
    <w:rsid w:val="64A62BA0"/>
    <w:rsid w:val="64AA08E2"/>
    <w:rsid w:val="64AA29DA"/>
    <w:rsid w:val="64B55F14"/>
    <w:rsid w:val="64B61D6A"/>
    <w:rsid w:val="64BE438D"/>
    <w:rsid w:val="64BE613B"/>
    <w:rsid w:val="64C01EB3"/>
    <w:rsid w:val="64C30C0B"/>
    <w:rsid w:val="64C45AF8"/>
    <w:rsid w:val="64C64FF0"/>
    <w:rsid w:val="64CB5679"/>
    <w:rsid w:val="64CC2606"/>
    <w:rsid w:val="64CF659A"/>
    <w:rsid w:val="64D63485"/>
    <w:rsid w:val="64DB6CED"/>
    <w:rsid w:val="64DF43D9"/>
    <w:rsid w:val="64E060B2"/>
    <w:rsid w:val="64E41150"/>
    <w:rsid w:val="64E57B6C"/>
    <w:rsid w:val="64E75692"/>
    <w:rsid w:val="64EA33D4"/>
    <w:rsid w:val="64EC08CE"/>
    <w:rsid w:val="64EC2CA8"/>
    <w:rsid w:val="64EC4A56"/>
    <w:rsid w:val="64F16511"/>
    <w:rsid w:val="64F733FB"/>
    <w:rsid w:val="64F8789F"/>
    <w:rsid w:val="64FB113D"/>
    <w:rsid w:val="64FB2EEB"/>
    <w:rsid w:val="64FB738F"/>
    <w:rsid w:val="64FF0C2E"/>
    <w:rsid w:val="650113FE"/>
    <w:rsid w:val="6502023B"/>
    <w:rsid w:val="6502071E"/>
    <w:rsid w:val="650B61F3"/>
    <w:rsid w:val="650B6F5C"/>
    <w:rsid w:val="65110961"/>
    <w:rsid w:val="65110EF3"/>
    <w:rsid w:val="65136487"/>
    <w:rsid w:val="651569E0"/>
    <w:rsid w:val="65167D25"/>
    <w:rsid w:val="65196183"/>
    <w:rsid w:val="651A5A67"/>
    <w:rsid w:val="651D2E62"/>
    <w:rsid w:val="651D5558"/>
    <w:rsid w:val="65202952"/>
    <w:rsid w:val="65207558"/>
    <w:rsid w:val="652266CA"/>
    <w:rsid w:val="65230BB9"/>
    <w:rsid w:val="652341F0"/>
    <w:rsid w:val="65240694"/>
    <w:rsid w:val="6525705F"/>
    <w:rsid w:val="65295CAB"/>
    <w:rsid w:val="652B54CB"/>
    <w:rsid w:val="652C7549"/>
    <w:rsid w:val="652E1513"/>
    <w:rsid w:val="652F3A2E"/>
    <w:rsid w:val="653463FD"/>
    <w:rsid w:val="65357ADB"/>
    <w:rsid w:val="65362175"/>
    <w:rsid w:val="65373578"/>
    <w:rsid w:val="653A02CF"/>
    <w:rsid w:val="65407C77"/>
    <w:rsid w:val="654523B9"/>
    <w:rsid w:val="654E74BF"/>
    <w:rsid w:val="654F42C1"/>
    <w:rsid w:val="655069AC"/>
    <w:rsid w:val="65515605"/>
    <w:rsid w:val="65544838"/>
    <w:rsid w:val="655467D1"/>
    <w:rsid w:val="655D7702"/>
    <w:rsid w:val="655F791E"/>
    <w:rsid w:val="6560179B"/>
    <w:rsid w:val="65624D19"/>
    <w:rsid w:val="65625419"/>
    <w:rsid w:val="656D4024"/>
    <w:rsid w:val="65700E9B"/>
    <w:rsid w:val="65705687"/>
    <w:rsid w:val="65711400"/>
    <w:rsid w:val="65711DFC"/>
    <w:rsid w:val="65716E00"/>
    <w:rsid w:val="65747D87"/>
    <w:rsid w:val="657809E0"/>
    <w:rsid w:val="657927A1"/>
    <w:rsid w:val="657C1234"/>
    <w:rsid w:val="657D7DA4"/>
    <w:rsid w:val="657E64D4"/>
    <w:rsid w:val="657F1404"/>
    <w:rsid w:val="657F3B1C"/>
    <w:rsid w:val="658253BB"/>
    <w:rsid w:val="65856C59"/>
    <w:rsid w:val="65864EAB"/>
    <w:rsid w:val="65896749"/>
    <w:rsid w:val="658B0713"/>
    <w:rsid w:val="658C6239"/>
    <w:rsid w:val="65905D2A"/>
    <w:rsid w:val="65960165"/>
    <w:rsid w:val="659865EF"/>
    <w:rsid w:val="659A0956"/>
    <w:rsid w:val="65A11CE5"/>
    <w:rsid w:val="65A13A93"/>
    <w:rsid w:val="65A417D5"/>
    <w:rsid w:val="65A70F94"/>
    <w:rsid w:val="65AA392C"/>
    <w:rsid w:val="65AC068A"/>
    <w:rsid w:val="65B337C6"/>
    <w:rsid w:val="65B4371E"/>
    <w:rsid w:val="65B512EC"/>
    <w:rsid w:val="65B55790"/>
    <w:rsid w:val="65B64922"/>
    <w:rsid w:val="65C333D5"/>
    <w:rsid w:val="65C43C25"/>
    <w:rsid w:val="65C459D3"/>
    <w:rsid w:val="65C71020"/>
    <w:rsid w:val="65C94D98"/>
    <w:rsid w:val="65CA4ED5"/>
    <w:rsid w:val="65CC6636"/>
    <w:rsid w:val="65CE6852"/>
    <w:rsid w:val="65D025CA"/>
    <w:rsid w:val="65D16249"/>
    <w:rsid w:val="65DC2D1D"/>
    <w:rsid w:val="65DD6A95"/>
    <w:rsid w:val="65F004D2"/>
    <w:rsid w:val="65F067C8"/>
    <w:rsid w:val="65F31E15"/>
    <w:rsid w:val="65F362B8"/>
    <w:rsid w:val="65F52031"/>
    <w:rsid w:val="65F938CF"/>
    <w:rsid w:val="65FC516D"/>
    <w:rsid w:val="65FE1159"/>
    <w:rsid w:val="65FE6AF8"/>
    <w:rsid w:val="66017C1F"/>
    <w:rsid w:val="6603474E"/>
    <w:rsid w:val="66063C4D"/>
    <w:rsid w:val="6608485B"/>
    <w:rsid w:val="660A6DCA"/>
    <w:rsid w:val="660B1854"/>
    <w:rsid w:val="660E4EA0"/>
    <w:rsid w:val="6611613F"/>
    <w:rsid w:val="66122D27"/>
    <w:rsid w:val="6612673F"/>
    <w:rsid w:val="66171FA7"/>
    <w:rsid w:val="661C3F42"/>
    <w:rsid w:val="662045C9"/>
    <w:rsid w:val="6623094C"/>
    <w:rsid w:val="66280D11"/>
    <w:rsid w:val="662A1D70"/>
    <w:rsid w:val="662D5327"/>
    <w:rsid w:val="66342B59"/>
    <w:rsid w:val="6636344C"/>
    <w:rsid w:val="6639277A"/>
    <w:rsid w:val="663D12E2"/>
    <w:rsid w:val="663E0BF4"/>
    <w:rsid w:val="663E5786"/>
    <w:rsid w:val="663E7534"/>
    <w:rsid w:val="663F0955"/>
    <w:rsid w:val="663F505A"/>
    <w:rsid w:val="66410DD2"/>
    <w:rsid w:val="66415276"/>
    <w:rsid w:val="66434B4A"/>
    <w:rsid w:val="66476DEF"/>
    <w:rsid w:val="664B7EA3"/>
    <w:rsid w:val="664D3C1B"/>
    <w:rsid w:val="664D4B6E"/>
    <w:rsid w:val="664D7777"/>
    <w:rsid w:val="66515501"/>
    <w:rsid w:val="6655487D"/>
    <w:rsid w:val="665705F5"/>
    <w:rsid w:val="6659436D"/>
    <w:rsid w:val="665E3732"/>
    <w:rsid w:val="665E7BD6"/>
    <w:rsid w:val="665F7EA6"/>
    <w:rsid w:val="66660838"/>
    <w:rsid w:val="66664CDC"/>
    <w:rsid w:val="667967BE"/>
    <w:rsid w:val="66833198"/>
    <w:rsid w:val="6683763C"/>
    <w:rsid w:val="668524C1"/>
    <w:rsid w:val="668533B4"/>
    <w:rsid w:val="66854445"/>
    <w:rsid w:val="66862C89"/>
    <w:rsid w:val="668A2779"/>
    <w:rsid w:val="668B7751"/>
    <w:rsid w:val="668D2269"/>
    <w:rsid w:val="668F6144"/>
    <w:rsid w:val="66911D59"/>
    <w:rsid w:val="66976C44"/>
    <w:rsid w:val="669B6734"/>
    <w:rsid w:val="669C10FA"/>
    <w:rsid w:val="669E4476"/>
    <w:rsid w:val="66A001EE"/>
    <w:rsid w:val="66A17AC3"/>
    <w:rsid w:val="66A23F66"/>
    <w:rsid w:val="66A3383B"/>
    <w:rsid w:val="66A51361"/>
    <w:rsid w:val="66A6332B"/>
    <w:rsid w:val="66A870A3"/>
    <w:rsid w:val="66AB0941"/>
    <w:rsid w:val="66B141AA"/>
    <w:rsid w:val="66B15F58"/>
    <w:rsid w:val="66B772E6"/>
    <w:rsid w:val="66BB7D21"/>
    <w:rsid w:val="66BC66AA"/>
    <w:rsid w:val="66BE0882"/>
    <w:rsid w:val="66C043ED"/>
    <w:rsid w:val="66C33EDD"/>
    <w:rsid w:val="66C55758"/>
    <w:rsid w:val="66C57C55"/>
    <w:rsid w:val="66C739CD"/>
    <w:rsid w:val="66C814F3"/>
    <w:rsid w:val="66CF4630"/>
    <w:rsid w:val="66D63C10"/>
    <w:rsid w:val="66D659BE"/>
    <w:rsid w:val="66D6776C"/>
    <w:rsid w:val="66D81D68"/>
    <w:rsid w:val="66D9650E"/>
    <w:rsid w:val="66DD63E5"/>
    <w:rsid w:val="66E71979"/>
    <w:rsid w:val="66EC51E2"/>
    <w:rsid w:val="66EC6F90"/>
    <w:rsid w:val="66EF4CD2"/>
    <w:rsid w:val="66F422E8"/>
    <w:rsid w:val="66F4477F"/>
    <w:rsid w:val="66F45E44"/>
    <w:rsid w:val="66FB71D3"/>
    <w:rsid w:val="66FD73EF"/>
    <w:rsid w:val="67000C8D"/>
    <w:rsid w:val="67010561"/>
    <w:rsid w:val="67024DBF"/>
    <w:rsid w:val="67047F01"/>
    <w:rsid w:val="67073DC9"/>
    <w:rsid w:val="67087B42"/>
    <w:rsid w:val="670F0ED0"/>
    <w:rsid w:val="671007B9"/>
    <w:rsid w:val="671559B9"/>
    <w:rsid w:val="6718611A"/>
    <w:rsid w:val="671A2875"/>
    <w:rsid w:val="671C5B08"/>
    <w:rsid w:val="67211A19"/>
    <w:rsid w:val="67215340"/>
    <w:rsid w:val="67220C03"/>
    <w:rsid w:val="67245B24"/>
    <w:rsid w:val="67281F92"/>
    <w:rsid w:val="67295A58"/>
    <w:rsid w:val="672C6851"/>
    <w:rsid w:val="672D4457"/>
    <w:rsid w:val="672E0BBA"/>
    <w:rsid w:val="672F1572"/>
    <w:rsid w:val="67380715"/>
    <w:rsid w:val="673E3563"/>
    <w:rsid w:val="673F2C7A"/>
    <w:rsid w:val="674072DB"/>
    <w:rsid w:val="674A015A"/>
    <w:rsid w:val="674A094A"/>
    <w:rsid w:val="674C5C80"/>
    <w:rsid w:val="674E1E9C"/>
    <w:rsid w:val="674E7C4A"/>
    <w:rsid w:val="67530DBD"/>
    <w:rsid w:val="67540894"/>
    <w:rsid w:val="675B5EC3"/>
    <w:rsid w:val="675D6544"/>
    <w:rsid w:val="676254A4"/>
    <w:rsid w:val="67630CEF"/>
    <w:rsid w:val="6765041B"/>
    <w:rsid w:val="67672ABA"/>
    <w:rsid w:val="676E3E49"/>
    <w:rsid w:val="676F196F"/>
    <w:rsid w:val="67713939"/>
    <w:rsid w:val="67743B82"/>
    <w:rsid w:val="67746F85"/>
    <w:rsid w:val="67786A75"/>
    <w:rsid w:val="677B6565"/>
    <w:rsid w:val="677F6056"/>
    <w:rsid w:val="6780592A"/>
    <w:rsid w:val="678216A2"/>
    <w:rsid w:val="678278F4"/>
    <w:rsid w:val="67841F6B"/>
    <w:rsid w:val="6784366C"/>
    <w:rsid w:val="67883798"/>
    <w:rsid w:val="678B49FB"/>
    <w:rsid w:val="678E0047"/>
    <w:rsid w:val="678E1AFB"/>
    <w:rsid w:val="678E6299"/>
    <w:rsid w:val="678F707E"/>
    <w:rsid w:val="67900263"/>
    <w:rsid w:val="67982C74"/>
    <w:rsid w:val="679A4C3E"/>
    <w:rsid w:val="679B1BC9"/>
    <w:rsid w:val="679C590C"/>
    <w:rsid w:val="679F04A6"/>
    <w:rsid w:val="67A05409"/>
    <w:rsid w:val="67A07D7A"/>
    <w:rsid w:val="67A20640"/>
    <w:rsid w:val="67A23AF2"/>
    <w:rsid w:val="67A26575"/>
    <w:rsid w:val="67B03535"/>
    <w:rsid w:val="67B13D35"/>
    <w:rsid w:val="67B33F51"/>
    <w:rsid w:val="67B37AAD"/>
    <w:rsid w:val="67B50D99"/>
    <w:rsid w:val="67B83316"/>
    <w:rsid w:val="67C209B2"/>
    <w:rsid w:val="67C63C85"/>
    <w:rsid w:val="67C67CA1"/>
    <w:rsid w:val="67C717AB"/>
    <w:rsid w:val="67CA7EC8"/>
    <w:rsid w:val="67CF2049"/>
    <w:rsid w:val="67D11A4E"/>
    <w:rsid w:val="67D31EFE"/>
    <w:rsid w:val="67D411EB"/>
    <w:rsid w:val="67DD4B2A"/>
    <w:rsid w:val="67E2544D"/>
    <w:rsid w:val="67E301C9"/>
    <w:rsid w:val="67E65ED5"/>
    <w:rsid w:val="67E97973"/>
    <w:rsid w:val="67EB7247"/>
    <w:rsid w:val="67EC1211"/>
    <w:rsid w:val="67F0023F"/>
    <w:rsid w:val="67F2442C"/>
    <w:rsid w:val="67F51E74"/>
    <w:rsid w:val="67FB3202"/>
    <w:rsid w:val="67FC76A6"/>
    <w:rsid w:val="6804655B"/>
    <w:rsid w:val="680622D3"/>
    <w:rsid w:val="68071BA7"/>
    <w:rsid w:val="680B5B3B"/>
    <w:rsid w:val="68106CAE"/>
    <w:rsid w:val="68123978"/>
    <w:rsid w:val="68164A44"/>
    <w:rsid w:val="68183DB4"/>
    <w:rsid w:val="68191A91"/>
    <w:rsid w:val="681A7B2C"/>
    <w:rsid w:val="681B464D"/>
    <w:rsid w:val="681C5653"/>
    <w:rsid w:val="681F5143"/>
    <w:rsid w:val="681F6961"/>
    <w:rsid w:val="682054F9"/>
    <w:rsid w:val="68224C33"/>
    <w:rsid w:val="68297D70"/>
    <w:rsid w:val="682B7F8C"/>
    <w:rsid w:val="68307350"/>
    <w:rsid w:val="6833299C"/>
    <w:rsid w:val="68354966"/>
    <w:rsid w:val="68373ED2"/>
    <w:rsid w:val="683A01CF"/>
    <w:rsid w:val="683D57FD"/>
    <w:rsid w:val="684150B9"/>
    <w:rsid w:val="6842381F"/>
    <w:rsid w:val="68490412"/>
    <w:rsid w:val="684A0DDB"/>
    <w:rsid w:val="684C04B5"/>
    <w:rsid w:val="685079F2"/>
    <w:rsid w:val="685272C6"/>
    <w:rsid w:val="68541CB5"/>
    <w:rsid w:val="685A3F90"/>
    <w:rsid w:val="685C0145"/>
    <w:rsid w:val="685F7695"/>
    <w:rsid w:val="68610A2F"/>
    <w:rsid w:val="686A1C23"/>
    <w:rsid w:val="68721717"/>
    <w:rsid w:val="687234C5"/>
    <w:rsid w:val="687B0C38"/>
    <w:rsid w:val="687D7E1B"/>
    <w:rsid w:val="687F3E33"/>
    <w:rsid w:val="68805514"/>
    <w:rsid w:val="688171D5"/>
    <w:rsid w:val="68833924"/>
    <w:rsid w:val="6884144A"/>
    <w:rsid w:val="688B0A2A"/>
    <w:rsid w:val="688B44B8"/>
    <w:rsid w:val="68953657"/>
    <w:rsid w:val="68955405"/>
    <w:rsid w:val="68994EF5"/>
    <w:rsid w:val="689B6EBF"/>
    <w:rsid w:val="689E075E"/>
    <w:rsid w:val="689E250C"/>
    <w:rsid w:val="689F6284"/>
    <w:rsid w:val="68A13DAA"/>
    <w:rsid w:val="68A33FC6"/>
    <w:rsid w:val="68A36A6C"/>
    <w:rsid w:val="68A613C0"/>
    <w:rsid w:val="68A67612"/>
    <w:rsid w:val="68A839E0"/>
    <w:rsid w:val="68A84B24"/>
    <w:rsid w:val="68AA0EB0"/>
    <w:rsid w:val="68AA7FC8"/>
    <w:rsid w:val="68AD09A1"/>
    <w:rsid w:val="68AE0E91"/>
    <w:rsid w:val="68B03FED"/>
    <w:rsid w:val="68B2355C"/>
    <w:rsid w:val="68B30AF3"/>
    <w:rsid w:val="68B47F81"/>
    <w:rsid w:val="68BA09C6"/>
    <w:rsid w:val="68BE495C"/>
    <w:rsid w:val="68C006D4"/>
    <w:rsid w:val="68C1444C"/>
    <w:rsid w:val="68C55CEA"/>
    <w:rsid w:val="68C63810"/>
    <w:rsid w:val="68C857DA"/>
    <w:rsid w:val="68CD1043"/>
    <w:rsid w:val="68D43ED1"/>
    <w:rsid w:val="68D979E8"/>
    <w:rsid w:val="68DB72BC"/>
    <w:rsid w:val="68DC4DE2"/>
    <w:rsid w:val="68E31C7D"/>
    <w:rsid w:val="68E343C2"/>
    <w:rsid w:val="68E36170"/>
    <w:rsid w:val="68E5022E"/>
    <w:rsid w:val="68E57D0D"/>
    <w:rsid w:val="68E64E12"/>
    <w:rsid w:val="68EC771B"/>
    <w:rsid w:val="68EF0FB9"/>
    <w:rsid w:val="68EF2D67"/>
    <w:rsid w:val="68F00A95"/>
    <w:rsid w:val="68F14D31"/>
    <w:rsid w:val="68F4037D"/>
    <w:rsid w:val="68F55EA4"/>
    <w:rsid w:val="68F759C5"/>
    <w:rsid w:val="68FB5BB0"/>
    <w:rsid w:val="68FB795E"/>
    <w:rsid w:val="68FE744E"/>
    <w:rsid w:val="6905258B"/>
    <w:rsid w:val="6908207B"/>
    <w:rsid w:val="690D040B"/>
    <w:rsid w:val="690E58E3"/>
    <w:rsid w:val="690F51B7"/>
    <w:rsid w:val="69180510"/>
    <w:rsid w:val="69196036"/>
    <w:rsid w:val="691E53FA"/>
    <w:rsid w:val="69201173"/>
    <w:rsid w:val="69230C63"/>
    <w:rsid w:val="69236EB5"/>
    <w:rsid w:val="692F717A"/>
    <w:rsid w:val="69310AF9"/>
    <w:rsid w:val="693370F8"/>
    <w:rsid w:val="693C3AD3"/>
    <w:rsid w:val="693D7F76"/>
    <w:rsid w:val="694110E9"/>
    <w:rsid w:val="69431F77"/>
    <w:rsid w:val="69490210"/>
    <w:rsid w:val="6949691B"/>
    <w:rsid w:val="694B0821"/>
    <w:rsid w:val="694C1F68"/>
    <w:rsid w:val="694E2071"/>
    <w:rsid w:val="694F1A58"/>
    <w:rsid w:val="694F3806"/>
    <w:rsid w:val="69535A05"/>
    <w:rsid w:val="69562DE6"/>
    <w:rsid w:val="695833DA"/>
    <w:rsid w:val="695847ED"/>
    <w:rsid w:val="69586B5E"/>
    <w:rsid w:val="695B21AB"/>
    <w:rsid w:val="695B65B5"/>
    <w:rsid w:val="695E1C9B"/>
    <w:rsid w:val="695E7EED"/>
    <w:rsid w:val="69603C65"/>
    <w:rsid w:val="69603DA2"/>
    <w:rsid w:val="696279DD"/>
    <w:rsid w:val="696A6892"/>
    <w:rsid w:val="696A6E60"/>
    <w:rsid w:val="697119CE"/>
    <w:rsid w:val="69715E72"/>
    <w:rsid w:val="697414BE"/>
    <w:rsid w:val="697A3B33"/>
    <w:rsid w:val="697B35E3"/>
    <w:rsid w:val="697F5FDF"/>
    <w:rsid w:val="69851833"/>
    <w:rsid w:val="69852275"/>
    <w:rsid w:val="698931BC"/>
    <w:rsid w:val="698A0CE2"/>
    <w:rsid w:val="698A5256"/>
    <w:rsid w:val="698C6808"/>
    <w:rsid w:val="698E2580"/>
    <w:rsid w:val="699E2456"/>
    <w:rsid w:val="69A009F8"/>
    <w:rsid w:val="69A2602B"/>
    <w:rsid w:val="69B0699A"/>
    <w:rsid w:val="69B144C0"/>
    <w:rsid w:val="69B53FB1"/>
    <w:rsid w:val="69B55D5F"/>
    <w:rsid w:val="69BA15C7"/>
    <w:rsid w:val="69BA1DDB"/>
    <w:rsid w:val="69BA59A8"/>
    <w:rsid w:val="69BE2739"/>
    <w:rsid w:val="69C441F4"/>
    <w:rsid w:val="69C46CC3"/>
    <w:rsid w:val="69C67F6C"/>
    <w:rsid w:val="69C9180A"/>
    <w:rsid w:val="69CB4873"/>
    <w:rsid w:val="69CC12FA"/>
    <w:rsid w:val="69D0459A"/>
    <w:rsid w:val="69D16911"/>
    <w:rsid w:val="69D62568"/>
    <w:rsid w:val="69D72179"/>
    <w:rsid w:val="69DB0ACD"/>
    <w:rsid w:val="69DB153D"/>
    <w:rsid w:val="69DD7064"/>
    <w:rsid w:val="69DF4B8A"/>
    <w:rsid w:val="69E91EAC"/>
    <w:rsid w:val="69ED735F"/>
    <w:rsid w:val="69F22593"/>
    <w:rsid w:val="69F30635"/>
    <w:rsid w:val="69F36887"/>
    <w:rsid w:val="69F61ED3"/>
    <w:rsid w:val="69FC345A"/>
    <w:rsid w:val="69FF522C"/>
    <w:rsid w:val="6A06480C"/>
    <w:rsid w:val="6A083F67"/>
    <w:rsid w:val="6A0942FC"/>
    <w:rsid w:val="6A0A3DF5"/>
    <w:rsid w:val="6A0B4E3E"/>
    <w:rsid w:val="6A0C7949"/>
    <w:rsid w:val="6A0D5B9B"/>
    <w:rsid w:val="6A102F95"/>
    <w:rsid w:val="6A164324"/>
    <w:rsid w:val="6A197154"/>
    <w:rsid w:val="6A1A6B55"/>
    <w:rsid w:val="6A22716C"/>
    <w:rsid w:val="6A2904FB"/>
    <w:rsid w:val="6A294057"/>
    <w:rsid w:val="6A2B4273"/>
    <w:rsid w:val="6A2F590D"/>
    <w:rsid w:val="6A30161E"/>
    <w:rsid w:val="6A3273AF"/>
    <w:rsid w:val="6A330AD1"/>
    <w:rsid w:val="6A350C4E"/>
    <w:rsid w:val="6A356EA0"/>
    <w:rsid w:val="6A372C18"/>
    <w:rsid w:val="6A383046"/>
    <w:rsid w:val="6A3C3973"/>
    <w:rsid w:val="6A42336B"/>
    <w:rsid w:val="6A462E5B"/>
    <w:rsid w:val="6A4953A1"/>
    <w:rsid w:val="6A4B0471"/>
    <w:rsid w:val="6A4B06F6"/>
    <w:rsid w:val="6A4B221F"/>
    <w:rsid w:val="6A4B66C3"/>
    <w:rsid w:val="6A527A52"/>
    <w:rsid w:val="6A565902"/>
    <w:rsid w:val="6A575068"/>
    <w:rsid w:val="6A5A06B4"/>
    <w:rsid w:val="6A5B122C"/>
    <w:rsid w:val="6A5F61F1"/>
    <w:rsid w:val="6A604D4F"/>
    <w:rsid w:val="6A640209"/>
    <w:rsid w:val="6A642F82"/>
    <w:rsid w:val="6A647785"/>
    <w:rsid w:val="6A652FD8"/>
    <w:rsid w:val="6A681023"/>
    <w:rsid w:val="6A6921D7"/>
    <w:rsid w:val="6A696B49"/>
    <w:rsid w:val="6A6A3122"/>
    <w:rsid w:val="6A731776"/>
    <w:rsid w:val="6A771266"/>
    <w:rsid w:val="6A796A9F"/>
    <w:rsid w:val="6A7A2B04"/>
    <w:rsid w:val="6A7E25F5"/>
    <w:rsid w:val="6A815C41"/>
    <w:rsid w:val="6A880A51"/>
    <w:rsid w:val="6A8A71EB"/>
    <w:rsid w:val="6A8B2B69"/>
    <w:rsid w:val="6A8B520E"/>
    <w:rsid w:val="6A8C0289"/>
    <w:rsid w:val="6A8E035E"/>
    <w:rsid w:val="6A8F6CA3"/>
    <w:rsid w:val="6A9260A0"/>
    <w:rsid w:val="6A9516EC"/>
    <w:rsid w:val="6A9736B6"/>
    <w:rsid w:val="6A995680"/>
    <w:rsid w:val="6A9A5C00"/>
    <w:rsid w:val="6A9C6F1F"/>
    <w:rsid w:val="6A9E0AB3"/>
    <w:rsid w:val="6AA15FA4"/>
    <w:rsid w:val="6AA302AD"/>
    <w:rsid w:val="6AA45DD3"/>
    <w:rsid w:val="6AA67245"/>
    <w:rsid w:val="6AA72412"/>
    <w:rsid w:val="6AA84510"/>
    <w:rsid w:val="6AA933EA"/>
    <w:rsid w:val="6AAB7162"/>
    <w:rsid w:val="6AB029CA"/>
    <w:rsid w:val="6AB06526"/>
    <w:rsid w:val="6AB627B0"/>
    <w:rsid w:val="6AB75B07"/>
    <w:rsid w:val="6ABA2E4A"/>
    <w:rsid w:val="6ABC136F"/>
    <w:rsid w:val="6AC41A32"/>
    <w:rsid w:val="6AC65D4A"/>
    <w:rsid w:val="6ACA583A"/>
    <w:rsid w:val="6ACF10A2"/>
    <w:rsid w:val="6AD05952"/>
    <w:rsid w:val="6AD12861"/>
    <w:rsid w:val="6AD246EE"/>
    <w:rsid w:val="6AD40467"/>
    <w:rsid w:val="6AD93CCF"/>
    <w:rsid w:val="6ADA2581"/>
    <w:rsid w:val="6ADA35A3"/>
    <w:rsid w:val="6AE14931"/>
    <w:rsid w:val="6AF01018"/>
    <w:rsid w:val="6AF02DC7"/>
    <w:rsid w:val="6AF117EA"/>
    <w:rsid w:val="6B00125C"/>
    <w:rsid w:val="6B007E4F"/>
    <w:rsid w:val="6B040620"/>
    <w:rsid w:val="6B052831"/>
    <w:rsid w:val="6B0A20DA"/>
    <w:rsid w:val="6B0A5C6F"/>
    <w:rsid w:val="6B0B5535"/>
    <w:rsid w:val="6B0B7984"/>
    <w:rsid w:val="6B0E1E52"/>
    <w:rsid w:val="6B0E5629"/>
    <w:rsid w:val="6B0F4184"/>
    <w:rsid w:val="6B166CD1"/>
    <w:rsid w:val="6B1747F7"/>
    <w:rsid w:val="6B1A0D60"/>
    <w:rsid w:val="6B1B42E7"/>
    <w:rsid w:val="6B1B6FE7"/>
    <w:rsid w:val="6B1B7E43"/>
    <w:rsid w:val="6B1D4B26"/>
    <w:rsid w:val="6B217424"/>
    <w:rsid w:val="6B234F4A"/>
    <w:rsid w:val="6B286A04"/>
    <w:rsid w:val="6B2A0087"/>
    <w:rsid w:val="6B2A277C"/>
    <w:rsid w:val="6B2D401B"/>
    <w:rsid w:val="6B322639"/>
    <w:rsid w:val="6B3244F1"/>
    <w:rsid w:val="6B3358AF"/>
    <w:rsid w:val="6B347157"/>
    <w:rsid w:val="6B364C7D"/>
    <w:rsid w:val="6B382646"/>
    <w:rsid w:val="6B3B04E6"/>
    <w:rsid w:val="6B4355EC"/>
    <w:rsid w:val="6B43739A"/>
    <w:rsid w:val="6B454B70"/>
    <w:rsid w:val="6B472478"/>
    <w:rsid w:val="6B4C0889"/>
    <w:rsid w:val="6B4C44A1"/>
    <w:rsid w:val="6B4C48E8"/>
    <w:rsid w:val="6B4F5D3F"/>
    <w:rsid w:val="6B5363CE"/>
    <w:rsid w:val="6B5430AF"/>
    <w:rsid w:val="6B56531F"/>
    <w:rsid w:val="6B581098"/>
    <w:rsid w:val="6B5E33B7"/>
    <w:rsid w:val="6B6317EA"/>
    <w:rsid w:val="6B655563"/>
    <w:rsid w:val="6B655B6D"/>
    <w:rsid w:val="6B657311"/>
    <w:rsid w:val="6B67752D"/>
    <w:rsid w:val="6B681A95"/>
    <w:rsid w:val="6B6C68F1"/>
    <w:rsid w:val="6B6F018F"/>
    <w:rsid w:val="6B7439F8"/>
    <w:rsid w:val="6B76151E"/>
    <w:rsid w:val="6B792DBC"/>
    <w:rsid w:val="6B7A514D"/>
    <w:rsid w:val="6B7B2029"/>
    <w:rsid w:val="6B7B4D86"/>
    <w:rsid w:val="6B7F671C"/>
    <w:rsid w:val="6B8204BE"/>
    <w:rsid w:val="6B824366"/>
    <w:rsid w:val="6B882FFF"/>
    <w:rsid w:val="6B8C73F7"/>
    <w:rsid w:val="6B8D6867"/>
    <w:rsid w:val="6B8E4AB9"/>
    <w:rsid w:val="6B930322"/>
    <w:rsid w:val="6B9320D0"/>
    <w:rsid w:val="6B947BF6"/>
    <w:rsid w:val="6B99345E"/>
    <w:rsid w:val="6B99520C"/>
    <w:rsid w:val="6B9B2D32"/>
    <w:rsid w:val="6B9C1CCA"/>
    <w:rsid w:val="6B9D02DA"/>
    <w:rsid w:val="6B9D6AAA"/>
    <w:rsid w:val="6BA20565"/>
    <w:rsid w:val="6BAA319B"/>
    <w:rsid w:val="6BAC13E3"/>
    <w:rsid w:val="6BAC3191"/>
    <w:rsid w:val="6BAF4A30"/>
    <w:rsid w:val="6BAF4F71"/>
    <w:rsid w:val="6BAF67DE"/>
    <w:rsid w:val="6BB362CE"/>
    <w:rsid w:val="6BB43DF4"/>
    <w:rsid w:val="6BB64010"/>
    <w:rsid w:val="6BB838E4"/>
    <w:rsid w:val="6BB9765C"/>
    <w:rsid w:val="6BBA3B00"/>
    <w:rsid w:val="6BBD0EFB"/>
    <w:rsid w:val="6BC71D79"/>
    <w:rsid w:val="6BC73B27"/>
    <w:rsid w:val="6BC90AF3"/>
    <w:rsid w:val="6BCA186A"/>
    <w:rsid w:val="6BCE3108"/>
    <w:rsid w:val="6BD10B8D"/>
    <w:rsid w:val="6BD12AD1"/>
    <w:rsid w:val="6BD526E8"/>
    <w:rsid w:val="6BDF70C3"/>
    <w:rsid w:val="6BE24E05"/>
    <w:rsid w:val="6BEA5A68"/>
    <w:rsid w:val="6BEB1F0C"/>
    <w:rsid w:val="6BF06F4D"/>
    <w:rsid w:val="6BF15048"/>
    <w:rsid w:val="6BF32B6E"/>
    <w:rsid w:val="6BF40694"/>
    <w:rsid w:val="6BF5165A"/>
    <w:rsid w:val="6BF568E6"/>
    <w:rsid w:val="6BF6440D"/>
    <w:rsid w:val="6BF95CAB"/>
    <w:rsid w:val="6BFA3EFD"/>
    <w:rsid w:val="6BFB7C75"/>
    <w:rsid w:val="6BFD1C3F"/>
    <w:rsid w:val="6BFF59B7"/>
    <w:rsid w:val="6C005CFB"/>
    <w:rsid w:val="6C005EAC"/>
    <w:rsid w:val="6C007039"/>
    <w:rsid w:val="6C044D7B"/>
    <w:rsid w:val="6C054650"/>
    <w:rsid w:val="6C066D46"/>
    <w:rsid w:val="6C092392"/>
    <w:rsid w:val="6C0B610A"/>
    <w:rsid w:val="6C0E1756"/>
    <w:rsid w:val="6C0E79A8"/>
    <w:rsid w:val="6C0F54CE"/>
    <w:rsid w:val="6C101972"/>
    <w:rsid w:val="6C136D6D"/>
    <w:rsid w:val="6C155E31"/>
    <w:rsid w:val="6C165A05"/>
    <w:rsid w:val="6C1C6938"/>
    <w:rsid w:val="6C1F2D50"/>
    <w:rsid w:val="6C1F3963"/>
    <w:rsid w:val="6C214EA2"/>
    <w:rsid w:val="6C21592D"/>
    <w:rsid w:val="6C223454"/>
    <w:rsid w:val="6C276CBC"/>
    <w:rsid w:val="6C281668"/>
    <w:rsid w:val="6C2A323C"/>
    <w:rsid w:val="6C2B055A"/>
    <w:rsid w:val="6C2B2308"/>
    <w:rsid w:val="6C2B3654"/>
    <w:rsid w:val="6C2B67AC"/>
    <w:rsid w:val="6C2C6080"/>
    <w:rsid w:val="6C2E3BA6"/>
    <w:rsid w:val="6C2F5CB2"/>
    <w:rsid w:val="6C310227"/>
    <w:rsid w:val="6C316B51"/>
    <w:rsid w:val="6C33740F"/>
    <w:rsid w:val="6C353CDA"/>
    <w:rsid w:val="6C3867D3"/>
    <w:rsid w:val="6C3D028D"/>
    <w:rsid w:val="6C417D7E"/>
    <w:rsid w:val="6C4433CA"/>
    <w:rsid w:val="6C472EBA"/>
    <w:rsid w:val="6C496C32"/>
    <w:rsid w:val="6C4C76D2"/>
    <w:rsid w:val="6C515AE7"/>
    <w:rsid w:val="6C560CAF"/>
    <w:rsid w:val="6C5A7FFE"/>
    <w:rsid w:val="6C5B6D25"/>
    <w:rsid w:val="6C5E0930"/>
    <w:rsid w:val="6C5E2E70"/>
    <w:rsid w:val="6C5F6456"/>
    <w:rsid w:val="6C621AA2"/>
    <w:rsid w:val="6C627CF4"/>
    <w:rsid w:val="6C636C38"/>
    <w:rsid w:val="6C663340"/>
    <w:rsid w:val="6C6677E4"/>
    <w:rsid w:val="6C6770B8"/>
    <w:rsid w:val="6C6929DB"/>
    <w:rsid w:val="6C6E6699"/>
    <w:rsid w:val="6C733CAF"/>
    <w:rsid w:val="6C7A3290"/>
    <w:rsid w:val="6C7C1405"/>
    <w:rsid w:val="6C7F4402"/>
    <w:rsid w:val="6C81461E"/>
    <w:rsid w:val="6C841A18"/>
    <w:rsid w:val="6C847C6A"/>
    <w:rsid w:val="6C8934D3"/>
    <w:rsid w:val="6C89702F"/>
    <w:rsid w:val="6C8E6D3B"/>
    <w:rsid w:val="6C9102FF"/>
    <w:rsid w:val="6C9205D9"/>
    <w:rsid w:val="6C92218A"/>
    <w:rsid w:val="6C9500C9"/>
    <w:rsid w:val="6C983716"/>
    <w:rsid w:val="6C9854C4"/>
    <w:rsid w:val="6C9868F0"/>
    <w:rsid w:val="6C991968"/>
    <w:rsid w:val="6C9937E5"/>
    <w:rsid w:val="6C9A123C"/>
    <w:rsid w:val="6C9C3206"/>
    <w:rsid w:val="6C9F2CF6"/>
    <w:rsid w:val="6C9F49D2"/>
    <w:rsid w:val="6CA125CA"/>
    <w:rsid w:val="6CA34594"/>
    <w:rsid w:val="6CA4030D"/>
    <w:rsid w:val="6CB06CB1"/>
    <w:rsid w:val="6CB26586"/>
    <w:rsid w:val="6CB64D59"/>
    <w:rsid w:val="6CBC5656"/>
    <w:rsid w:val="6CBE317C"/>
    <w:rsid w:val="6CC16DF1"/>
    <w:rsid w:val="6CC2270C"/>
    <w:rsid w:val="6CC51EB4"/>
    <w:rsid w:val="6CC664D5"/>
    <w:rsid w:val="6CCB7647"/>
    <w:rsid w:val="6CCC33F6"/>
    <w:rsid w:val="6CCE7137"/>
    <w:rsid w:val="6CD01102"/>
    <w:rsid w:val="6CD04C5E"/>
    <w:rsid w:val="6CD40BF2"/>
    <w:rsid w:val="6CDA5ADC"/>
    <w:rsid w:val="6CDB1509"/>
    <w:rsid w:val="6CDC7AA6"/>
    <w:rsid w:val="6CDF30F3"/>
    <w:rsid w:val="6CE32BE3"/>
    <w:rsid w:val="6CE4695B"/>
    <w:rsid w:val="6CE8644B"/>
    <w:rsid w:val="6CE909AF"/>
    <w:rsid w:val="6CEB0E5F"/>
    <w:rsid w:val="6CEB120D"/>
    <w:rsid w:val="6CF52916"/>
    <w:rsid w:val="6CF63A92"/>
    <w:rsid w:val="6CF748E0"/>
    <w:rsid w:val="6CF77777"/>
    <w:rsid w:val="6CF80A57"/>
    <w:rsid w:val="6CFA65F7"/>
    <w:rsid w:val="6CFA7F2C"/>
    <w:rsid w:val="6CFE7A1D"/>
    <w:rsid w:val="6CFF0B45"/>
    <w:rsid w:val="6D003795"/>
    <w:rsid w:val="6D026DC6"/>
    <w:rsid w:val="6D0512FF"/>
    <w:rsid w:val="6D062D75"/>
    <w:rsid w:val="6D070FDD"/>
    <w:rsid w:val="6D0B038C"/>
    <w:rsid w:val="6D0B4F67"/>
    <w:rsid w:val="6D125276"/>
    <w:rsid w:val="6D154D66"/>
    <w:rsid w:val="6D194857"/>
    <w:rsid w:val="6D1C60F5"/>
    <w:rsid w:val="6D1E1E6D"/>
    <w:rsid w:val="6D267B26"/>
    <w:rsid w:val="6D276D15"/>
    <w:rsid w:val="6D282CEC"/>
    <w:rsid w:val="6D286848"/>
    <w:rsid w:val="6D2A6A64"/>
    <w:rsid w:val="6D321474"/>
    <w:rsid w:val="6D350F65"/>
    <w:rsid w:val="6D3731FC"/>
    <w:rsid w:val="6D374CDD"/>
    <w:rsid w:val="6D3A657B"/>
    <w:rsid w:val="6D3C0545"/>
    <w:rsid w:val="6D3C1731"/>
    <w:rsid w:val="6D3E606B"/>
    <w:rsid w:val="6D435308"/>
    <w:rsid w:val="6D45389E"/>
    <w:rsid w:val="6D4A2B29"/>
    <w:rsid w:val="6D4B0788"/>
    <w:rsid w:val="6D4B3F19"/>
    <w:rsid w:val="6D4D2752"/>
    <w:rsid w:val="6D543AE1"/>
    <w:rsid w:val="6D55050F"/>
    <w:rsid w:val="6D5B09CB"/>
    <w:rsid w:val="6D5D0BE7"/>
    <w:rsid w:val="6D605FE2"/>
    <w:rsid w:val="6D611D5A"/>
    <w:rsid w:val="6D617FAC"/>
    <w:rsid w:val="6D622950"/>
    <w:rsid w:val="6D673814"/>
    <w:rsid w:val="6D6A6E60"/>
    <w:rsid w:val="6D6D06FE"/>
    <w:rsid w:val="6D6D4BA2"/>
    <w:rsid w:val="6D723F67"/>
    <w:rsid w:val="6D741A8D"/>
    <w:rsid w:val="6D7766CE"/>
    <w:rsid w:val="6D7777CF"/>
    <w:rsid w:val="6D7B2E1B"/>
    <w:rsid w:val="6D7C2AE9"/>
    <w:rsid w:val="6D843973"/>
    <w:rsid w:val="6D864791"/>
    <w:rsid w:val="6D88378A"/>
    <w:rsid w:val="6D8A7502"/>
    <w:rsid w:val="6D8C14BB"/>
    <w:rsid w:val="6D8D2B4F"/>
    <w:rsid w:val="6D91187F"/>
    <w:rsid w:val="6D9914F3"/>
    <w:rsid w:val="6D997745"/>
    <w:rsid w:val="6D9A2D85"/>
    <w:rsid w:val="6D9B170F"/>
    <w:rsid w:val="6D9C0FE4"/>
    <w:rsid w:val="6D9D5488"/>
    <w:rsid w:val="6D9E3E83"/>
    <w:rsid w:val="6D9E6B0A"/>
    <w:rsid w:val="6DA44B49"/>
    <w:rsid w:val="6DA5345C"/>
    <w:rsid w:val="6DAA3A37"/>
    <w:rsid w:val="6DAD4F9F"/>
    <w:rsid w:val="6DB157EC"/>
    <w:rsid w:val="6DB34098"/>
    <w:rsid w:val="6DB545B6"/>
    <w:rsid w:val="6DB77697"/>
    <w:rsid w:val="6DB85E1E"/>
    <w:rsid w:val="6DB93944"/>
    <w:rsid w:val="6DB9682B"/>
    <w:rsid w:val="6DBE0F5A"/>
    <w:rsid w:val="6DC02C1E"/>
    <w:rsid w:val="6DC04CD2"/>
    <w:rsid w:val="6DC17AF6"/>
    <w:rsid w:val="6DC20A4A"/>
    <w:rsid w:val="6DC5678C"/>
    <w:rsid w:val="6DC96001"/>
    <w:rsid w:val="6DC9627D"/>
    <w:rsid w:val="6DCC7B1B"/>
    <w:rsid w:val="6DCF760B"/>
    <w:rsid w:val="6DD077C5"/>
    <w:rsid w:val="6DD137A9"/>
    <w:rsid w:val="6DD51ED2"/>
    <w:rsid w:val="6DD54C21"/>
    <w:rsid w:val="6DD62748"/>
    <w:rsid w:val="6DD86E68"/>
    <w:rsid w:val="6DD9192B"/>
    <w:rsid w:val="6DDA1931"/>
    <w:rsid w:val="6DDD5884"/>
    <w:rsid w:val="6DDF4286"/>
    <w:rsid w:val="6DE07122"/>
    <w:rsid w:val="6DE210EC"/>
    <w:rsid w:val="6DE9247B"/>
    <w:rsid w:val="6DE94229"/>
    <w:rsid w:val="6DEE2714"/>
    <w:rsid w:val="6DF126B5"/>
    <w:rsid w:val="6DF130DE"/>
    <w:rsid w:val="6DF17581"/>
    <w:rsid w:val="6DF17859"/>
    <w:rsid w:val="6DF242FF"/>
    <w:rsid w:val="6DF72A28"/>
    <w:rsid w:val="6DF826BE"/>
    <w:rsid w:val="6DF901E4"/>
    <w:rsid w:val="6DF94A8D"/>
    <w:rsid w:val="6DFA4688"/>
    <w:rsid w:val="6DFB1424"/>
    <w:rsid w:val="6DFC5FDF"/>
    <w:rsid w:val="6DFD746F"/>
    <w:rsid w:val="6DFF3A4C"/>
    <w:rsid w:val="6E025822"/>
    <w:rsid w:val="6E041063"/>
    <w:rsid w:val="6E072901"/>
    <w:rsid w:val="6E0B4EFC"/>
    <w:rsid w:val="6E105C5A"/>
    <w:rsid w:val="6E1B015A"/>
    <w:rsid w:val="6E1B281B"/>
    <w:rsid w:val="6E1E26F7"/>
    <w:rsid w:val="6E2039C3"/>
    <w:rsid w:val="6E21433E"/>
    <w:rsid w:val="6E217E67"/>
    <w:rsid w:val="6E2214E9"/>
    <w:rsid w:val="6E22598D"/>
    <w:rsid w:val="6E22773B"/>
    <w:rsid w:val="6E2407C0"/>
    <w:rsid w:val="6E245261"/>
    <w:rsid w:val="6E256852"/>
    <w:rsid w:val="6E296D1B"/>
    <w:rsid w:val="6E2B2A93"/>
    <w:rsid w:val="6E2C2368"/>
    <w:rsid w:val="6E3457F4"/>
    <w:rsid w:val="6E3A0F28"/>
    <w:rsid w:val="6E3A4A84"/>
    <w:rsid w:val="6E3B6A4F"/>
    <w:rsid w:val="6E3E5D92"/>
    <w:rsid w:val="6E430122"/>
    <w:rsid w:val="6E430774"/>
    <w:rsid w:val="6E4375A0"/>
    <w:rsid w:val="6E443B55"/>
    <w:rsid w:val="6E4476B1"/>
    <w:rsid w:val="6E493F8C"/>
    <w:rsid w:val="6E496F01"/>
    <w:rsid w:val="6E4B6C92"/>
    <w:rsid w:val="6E4E0530"/>
    <w:rsid w:val="6E4E22DE"/>
    <w:rsid w:val="6E4E6782"/>
    <w:rsid w:val="6E5024FA"/>
    <w:rsid w:val="6E511DCE"/>
    <w:rsid w:val="6E514CED"/>
    <w:rsid w:val="6E5341B1"/>
    <w:rsid w:val="6E5518BE"/>
    <w:rsid w:val="6E562672"/>
    <w:rsid w:val="6E587601"/>
    <w:rsid w:val="6E597DC9"/>
    <w:rsid w:val="6E5D4C17"/>
    <w:rsid w:val="6E5D69C5"/>
    <w:rsid w:val="6E5D6D8A"/>
    <w:rsid w:val="6E623FDB"/>
    <w:rsid w:val="6E625D89"/>
    <w:rsid w:val="6E650E15"/>
    <w:rsid w:val="6E6935BC"/>
    <w:rsid w:val="6E6B2E90"/>
    <w:rsid w:val="6E76798E"/>
    <w:rsid w:val="6E773A27"/>
    <w:rsid w:val="6E786E93"/>
    <w:rsid w:val="6E79491A"/>
    <w:rsid w:val="6E7A1325"/>
    <w:rsid w:val="6E7B6E4B"/>
    <w:rsid w:val="6E7C32EF"/>
    <w:rsid w:val="6E7D2BC3"/>
    <w:rsid w:val="6E881C94"/>
    <w:rsid w:val="6E8F15D9"/>
    <w:rsid w:val="6E906D9A"/>
    <w:rsid w:val="6E91666F"/>
    <w:rsid w:val="6E985C4F"/>
    <w:rsid w:val="6E9D5013"/>
    <w:rsid w:val="6EA510B2"/>
    <w:rsid w:val="6EA939B8"/>
    <w:rsid w:val="6EAB7730"/>
    <w:rsid w:val="6EAE7221"/>
    <w:rsid w:val="6EB04D47"/>
    <w:rsid w:val="6EB563D5"/>
    <w:rsid w:val="6EB72579"/>
    <w:rsid w:val="6EB74327"/>
    <w:rsid w:val="6EB760D5"/>
    <w:rsid w:val="6EBA6F09"/>
    <w:rsid w:val="6EBD7464"/>
    <w:rsid w:val="6EBE3907"/>
    <w:rsid w:val="6EBF4F8A"/>
    <w:rsid w:val="6EC407F2"/>
    <w:rsid w:val="6EC46A44"/>
    <w:rsid w:val="6EC72090"/>
    <w:rsid w:val="6EC802E2"/>
    <w:rsid w:val="6EC95E08"/>
    <w:rsid w:val="6ECA1007"/>
    <w:rsid w:val="6ECD58F9"/>
    <w:rsid w:val="6ECF6A6C"/>
    <w:rsid w:val="6ED053E9"/>
    <w:rsid w:val="6ED21161"/>
    <w:rsid w:val="6ED47830"/>
    <w:rsid w:val="6EDA0016"/>
    <w:rsid w:val="6EDC0332"/>
    <w:rsid w:val="6EDC5A42"/>
    <w:rsid w:val="6EDD0B0E"/>
    <w:rsid w:val="6EDD3662"/>
    <w:rsid w:val="6EDE1721"/>
    <w:rsid w:val="6EDF562C"/>
    <w:rsid w:val="6EE3336E"/>
    <w:rsid w:val="6EED1FF5"/>
    <w:rsid w:val="6EED5F9B"/>
    <w:rsid w:val="6EEE4B14"/>
    <w:rsid w:val="6EF03395"/>
    <w:rsid w:val="6EF54E4F"/>
    <w:rsid w:val="6EF966EE"/>
    <w:rsid w:val="6EFF7A7C"/>
    <w:rsid w:val="6F06705D"/>
    <w:rsid w:val="6F0D03EB"/>
    <w:rsid w:val="6F1057E5"/>
    <w:rsid w:val="6F126B79"/>
    <w:rsid w:val="6F152DFC"/>
    <w:rsid w:val="6F1928EC"/>
    <w:rsid w:val="6F1C1F3D"/>
    <w:rsid w:val="6F1E6154"/>
    <w:rsid w:val="6F225983"/>
    <w:rsid w:val="6F2319BD"/>
    <w:rsid w:val="6F26325B"/>
    <w:rsid w:val="6F287F6F"/>
    <w:rsid w:val="6F2D45E9"/>
    <w:rsid w:val="6F345978"/>
    <w:rsid w:val="6F377216"/>
    <w:rsid w:val="6F3911E0"/>
    <w:rsid w:val="6F394D3C"/>
    <w:rsid w:val="6F3C7069"/>
    <w:rsid w:val="6F3E0FA3"/>
    <w:rsid w:val="6F3E2352"/>
    <w:rsid w:val="6F3E67F6"/>
    <w:rsid w:val="6F410779"/>
    <w:rsid w:val="6F433E0D"/>
    <w:rsid w:val="6F4B0F13"/>
    <w:rsid w:val="6F4D4C8B"/>
    <w:rsid w:val="6F4F7C8F"/>
    <w:rsid w:val="6F564243"/>
    <w:rsid w:val="6F571666"/>
    <w:rsid w:val="6F573414"/>
    <w:rsid w:val="6F5B1156"/>
    <w:rsid w:val="6F5C0A2B"/>
    <w:rsid w:val="6F5D2C01"/>
    <w:rsid w:val="6F60676D"/>
    <w:rsid w:val="6F6124E5"/>
    <w:rsid w:val="6F616041"/>
    <w:rsid w:val="6F644787"/>
    <w:rsid w:val="6F673B85"/>
    <w:rsid w:val="6F6C090B"/>
    <w:rsid w:val="6F6D491A"/>
    <w:rsid w:val="6F72517F"/>
    <w:rsid w:val="6F725BBB"/>
    <w:rsid w:val="6F745D74"/>
    <w:rsid w:val="6F7530AC"/>
    <w:rsid w:val="6F7904EA"/>
    <w:rsid w:val="6F7F743C"/>
    <w:rsid w:val="6F8F1B70"/>
    <w:rsid w:val="6F9208F0"/>
    <w:rsid w:val="6F934682"/>
    <w:rsid w:val="6F956912"/>
    <w:rsid w:val="6F963F3C"/>
    <w:rsid w:val="6F9C351D"/>
    <w:rsid w:val="6FA0300D"/>
    <w:rsid w:val="6FA13904"/>
    <w:rsid w:val="6FA279E0"/>
    <w:rsid w:val="6FA80114"/>
    <w:rsid w:val="6FAC19B2"/>
    <w:rsid w:val="6FAF4FFE"/>
    <w:rsid w:val="6FB03B79"/>
    <w:rsid w:val="6FB12BB4"/>
    <w:rsid w:val="6FB371D3"/>
    <w:rsid w:val="6FB72105"/>
    <w:rsid w:val="6FB95B4E"/>
    <w:rsid w:val="6FBA15F7"/>
    <w:rsid w:val="6FC00FB9"/>
    <w:rsid w:val="6FC0720B"/>
    <w:rsid w:val="6FC247B9"/>
    <w:rsid w:val="6FC50CC6"/>
    <w:rsid w:val="6FC565D0"/>
    <w:rsid w:val="6FC767EC"/>
    <w:rsid w:val="6FCB7819"/>
    <w:rsid w:val="6FCC795E"/>
    <w:rsid w:val="6FCD1928"/>
    <w:rsid w:val="6FD11419"/>
    <w:rsid w:val="6FD20CED"/>
    <w:rsid w:val="6FD311BE"/>
    <w:rsid w:val="6FD827A7"/>
    <w:rsid w:val="6FDB2297"/>
    <w:rsid w:val="6FDD7DBD"/>
    <w:rsid w:val="6FDF69AC"/>
    <w:rsid w:val="6FE253D4"/>
    <w:rsid w:val="6FE27182"/>
    <w:rsid w:val="6FE27A2C"/>
    <w:rsid w:val="6FE3114C"/>
    <w:rsid w:val="6FE50A20"/>
    <w:rsid w:val="6FE543B9"/>
    <w:rsid w:val="6FE85244"/>
    <w:rsid w:val="6FEA072C"/>
    <w:rsid w:val="6FEC0000"/>
    <w:rsid w:val="6FED5B27"/>
    <w:rsid w:val="6FEE1FCA"/>
    <w:rsid w:val="6FEF2BB1"/>
    <w:rsid w:val="6FF1744A"/>
    <w:rsid w:val="6FF31222"/>
    <w:rsid w:val="6FF375E1"/>
    <w:rsid w:val="6FF84BF7"/>
    <w:rsid w:val="6FF869A5"/>
    <w:rsid w:val="6FFA3B3C"/>
    <w:rsid w:val="6FFB4722"/>
    <w:rsid w:val="6FFC5590"/>
    <w:rsid w:val="6FFD3FBC"/>
    <w:rsid w:val="6FFE056E"/>
    <w:rsid w:val="70001E21"/>
    <w:rsid w:val="70003AAC"/>
    <w:rsid w:val="70054690"/>
    <w:rsid w:val="70076BE8"/>
    <w:rsid w:val="700C2451"/>
    <w:rsid w:val="700C27C9"/>
    <w:rsid w:val="70122CB7"/>
    <w:rsid w:val="701337DF"/>
    <w:rsid w:val="70175A87"/>
    <w:rsid w:val="70186826"/>
    <w:rsid w:val="70205EFC"/>
    <w:rsid w:val="70221C74"/>
    <w:rsid w:val="70224159"/>
    <w:rsid w:val="702459EC"/>
    <w:rsid w:val="702754DC"/>
    <w:rsid w:val="702E0844"/>
    <w:rsid w:val="702E3539"/>
    <w:rsid w:val="702F4391"/>
    <w:rsid w:val="70301DA3"/>
    <w:rsid w:val="70334C37"/>
    <w:rsid w:val="70343755"/>
    <w:rsid w:val="7036571F"/>
    <w:rsid w:val="703674CE"/>
    <w:rsid w:val="70383246"/>
    <w:rsid w:val="703F3AB6"/>
    <w:rsid w:val="7040034C"/>
    <w:rsid w:val="704020FA"/>
    <w:rsid w:val="70441BEA"/>
    <w:rsid w:val="70473489"/>
    <w:rsid w:val="70497201"/>
    <w:rsid w:val="704A4D27"/>
    <w:rsid w:val="704C0A9F"/>
    <w:rsid w:val="705160B5"/>
    <w:rsid w:val="70531E2E"/>
    <w:rsid w:val="70545BA6"/>
    <w:rsid w:val="70560B9A"/>
    <w:rsid w:val="705855A7"/>
    <w:rsid w:val="70585696"/>
    <w:rsid w:val="70593891"/>
    <w:rsid w:val="70593BE7"/>
    <w:rsid w:val="706202C3"/>
    <w:rsid w:val="70696F3D"/>
    <w:rsid w:val="706A63CD"/>
    <w:rsid w:val="706C2EEF"/>
    <w:rsid w:val="706D0E86"/>
    <w:rsid w:val="706D1DD0"/>
    <w:rsid w:val="706D7810"/>
    <w:rsid w:val="706E6C67"/>
    <w:rsid w:val="707052E7"/>
    <w:rsid w:val="70710506"/>
    <w:rsid w:val="7071718D"/>
    <w:rsid w:val="707359D8"/>
    <w:rsid w:val="707439F1"/>
    <w:rsid w:val="7075449A"/>
    <w:rsid w:val="707A560C"/>
    <w:rsid w:val="707B3132"/>
    <w:rsid w:val="707C1064"/>
    <w:rsid w:val="707D334E"/>
    <w:rsid w:val="70840239"/>
    <w:rsid w:val="708446DD"/>
    <w:rsid w:val="70856B87"/>
    <w:rsid w:val="708E25E0"/>
    <w:rsid w:val="708E2E66"/>
    <w:rsid w:val="708E730A"/>
    <w:rsid w:val="708F0FB3"/>
    <w:rsid w:val="708F219B"/>
    <w:rsid w:val="708F6BDE"/>
    <w:rsid w:val="70935816"/>
    <w:rsid w:val="70960BA9"/>
    <w:rsid w:val="70980188"/>
    <w:rsid w:val="70986DE0"/>
    <w:rsid w:val="709A133F"/>
    <w:rsid w:val="709A3F00"/>
    <w:rsid w:val="709A5CAE"/>
    <w:rsid w:val="709B291A"/>
    <w:rsid w:val="709B37D5"/>
    <w:rsid w:val="709C33D5"/>
    <w:rsid w:val="709E227F"/>
    <w:rsid w:val="70AC7790"/>
    <w:rsid w:val="70AD6D1C"/>
    <w:rsid w:val="70AE3B56"/>
    <w:rsid w:val="70B30B1E"/>
    <w:rsid w:val="70B34FC2"/>
    <w:rsid w:val="70B36D70"/>
    <w:rsid w:val="70B623BC"/>
    <w:rsid w:val="70B701E7"/>
    <w:rsid w:val="70B76860"/>
    <w:rsid w:val="70BD7386"/>
    <w:rsid w:val="70BD7BEF"/>
    <w:rsid w:val="70BE7228"/>
    <w:rsid w:val="70C42D2B"/>
    <w:rsid w:val="70C76378"/>
    <w:rsid w:val="70C8281B"/>
    <w:rsid w:val="70CC398E"/>
    <w:rsid w:val="70D171F6"/>
    <w:rsid w:val="70D32F6E"/>
    <w:rsid w:val="70D34D1C"/>
    <w:rsid w:val="70D527EE"/>
    <w:rsid w:val="70D80585"/>
    <w:rsid w:val="70D94A29"/>
    <w:rsid w:val="70DE553D"/>
    <w:rsid w:val="70DE6288"/>
    <w:rsid w:val="70DF5DB7"/>
    <w:rsid w:val="70E1568B"/>
    <w:rsid w:val="70E21340"/>
    <w:rsid w:val="70E231B1"/>
    <w:rsid w:val="70E7115A"/>
    <w:rsid w:val="70EE5FFA"/>
    <w:rsid w:val="70EE7DA8"/>
    <w:rsid w:val="70F27898"/>
    <w:rsid w:val="70F80C27"/>
    <w:rsid w:val="70F829D5"/>
    <w:rsid w:val="70FA45A0"/>
    <w:rsid w:val="70FA7115"/>
    <w:rsid w:val="7104581E"/>
    <w:rsid w:val="710851C5"/>
    <w:rsid w:val="710A276A"/>
    <w:rsid w:val="710B44B6"/>
    <w:rsid w:val="7113780F"/>
    <w:rsid w:val="71186BD3"/>
    <w:rsid w:val="71211F2C"/>
    <w:rsid w:val="71250729"/>
    <w:rsid w:val="71285068"/>
    <w:rsid w:val="712D491D"/>
    <w:rsid w:val="71311217"/>
    <w:rsid w:val="713450A7"/>
    <w:rsid w:val="713559D7"/>
    <w:rsid w:val="7137174F"/>
    <w:rsid w:val="713779A1"/>
    <w:rsid w:val="713954C7"/>
    <w:rsid w:val="713E2ADE"/>
    <w:rsid w:val="714025F2"/>
    <w:rsid w:val="71410FFA"/>
    <w:rsid w:val="71494FDF"/>
    <w:rsid w:val="714E0847"/>
    <w:rsid w:val="71500A63"/>
    <w:rsid w:val="715045BF"/>
    <w:rsid w:val="71535E5D"/>
    <w:rsid w:val="71537D77"/>
    <w:rsid w:val="71541EF8"/>
    <w:rsid w:val="7154605E"/>
    <w:rsid w:val="715916C6"/>
    <w:rsid w:val="715A543E"/>
    <w:rsid w:val="715B3690"/>
    <w:rsid w:val="715B5300"/>
    <w:rsid w:val="715D3781"/>
    <w:rsid w:val="715F4BD7"/>
    <w:rsid w:val="716370C7"/>
    <w:rsid w:val="71666EDE"/>
    <w:rsid w:val="71692DEE"/>
    <w:rsid w:val="71695F16"/>
    <w:rsid w:val="716A1D0B"/>
    <w:rsid w:val="716A5681"/>
    <w:rsid w:val="716B13F9"/>
    <w:rsid w:val="716C66CF"/>
    <w:rsid w:val="71702252"/>
    <w:rsid w:val="717209D9"/>
    <w:rsid w:val="717228CB"/>
    <w:rsid w:val="717922FD"/>
    <w:rsid w:val="71792783"/>
    <w:rsid w:val="717958C4"/>
    <w:rsid w:val="717C41F3"/>
    <w:rsid w:val="717E2EDA"/>
    <w:rsid w:val="717F65F5"/>
    <w:rsid w:val="718575C1"/>
    <w:rsid w:val="71867FE1"/>
    <w:rsid w:val="718E4C5A"/>
    <w:rsid w:val="71922E29"/>
    <w:rsid w:val="71946BA2"/>
    <w:rsid w:val="71973F9C"/>
    <w:rsid w:val="719B7F30"/>
    <w:rsid w:val="719C5D78"/>
    <w:rsid w:val="719E474F"/>
    <w:rsid w:val="71A06D61"/>
    <w:rsid w:val="71A16BC9"/>
    <w:rsid w:val="71A4680E"/>
    <w:rsid w:val="71A60683"/>
    <w:rsid w:val="71A67840"/>
    <w:rsid w:val="71A861A9"/>
    <w:rsid w:val="71AB48B1"/>
    <w:rsid w:val="71B11484"/>
    <w:rsid w:val="71B132B0"/>
    <w:rsid w:val="71B20DD6"/>
    <w:rsid w:val="71B52674"/>
    <w:rsid w:val="71BD7E79"/>
    <w:rsid w:val="71C14B7C"/>
    <w:rsid w:val="71C6373E"/>
    <w:rsid w:val="71CC00E9"/>
    <w:rsid w:val="71CD79BE"/>
    <w:rsid w:val="71D27F8A"/>
    <w:rsid w:val="71D46F9E"/>
    <w:rsid w:val="71D64AC4"/>
    <w:rsid w:val="71DE606F"/>
    <w:rsid w:val="71DF0378"/>
    <w:rsid w:val="71E05992"/>
    <w:rsid w:val="71E06A73"/>
    <w:rsid w:val="71E74F23"/>
    <w:rsid w:val="71ED21B3"/>
    <w:rsid w:val="71EF202A"/>
    <w:rsid w:val="71F744C6"/>
    <w:rsid w:val="71F907B3"/>
    <w:rsid w:val="71F960CF"/>
    <w:rsid w:val="71FC02A3"/>
    <w:rsid w:val="71FD64F5"/>
    <w:rsid w:val="71FE226D"/>
    <w:rsid w:val="72000B39"/>
    <w:rsid w:val="720158B9"/>
    <w:rsid w:val="72070B3D"/>
    <w:rsid w:val="7208370E"/>
    <w:rsid w:val="72084E9A"/>
    <w:rsid w:val="72086C48"/>
    <w:rsid w:val="72090091"/>
    <w:rsid w:val="720F7FD6"/>
    <w:rsid w:val="72113D47"/>
    <w:rsid w:val="72135089"/>
    <w:rsid w:val="7214383E"/>
    <w:rsid w:val="72144E11"/>
    <w:rsid w:val="72165809"/>
    <w:rsid w:val="721675B7"/>
    <w:rsid w:val="72203F91"/>
    <w:rsid w:val="72206F55"/>
    <w:rsid w:val="72226347"/>
    <w:rsid w:val="72232B8E"/>
    <w:rsid w:val="72255A4C"/>
    <w:rsid w:val="722577FA"/>
    <w:rsid w:val="722717C4"/>
    <w:rsid w:val="72281680"/>
    <w:rsid w:val="722A340F"/>
    <w:rsid w:val="723549BE"/>
    <w:rsid w:val="723B0DCB"/>
    <w:rsid w:val="723E2669"/>
    <w:rsid w:val="724203AC"/>
    <w:rsid w:val="7243340D"/>
    <w:rsid w:val="72435ED2"/>
    <w:rsid w:val="72457E9C"/>
    <w:rsid w:val="72464F43"/>
    <w:rsid w:val="724759C2"/>
    <w:rsid w:val="7249040E"/>
    <w:rsid w:val="7249798C"/>
    <w:rsid w:val="724A3704"/>
    <w:rsid w:val="724C2FD8"/>
    <w:rsid w:val="724C4D86"/>
    <w:rsid w:val="724D0645"/>
    <w:rsid w:val="724D0AFE"/>
    <w:rsid w:val="724F7474"/>
    <w:rsid w:val="72516841"/>
    <w:rsid w:val="72563E57"/>
    <w:rsid w:val="725A3947"/>
    <w:rsid w:val="725B76BF"/>
    <w:rsid w:val="725E2D0C"/>
    <w:rsid w:val="725F12F5"/>
    <w:rsid w:val="72620A4E"/>
    <w:rsid w:val="72655E48"/>
    <w:rsid w:val="72677E12"/>
    <w:rsid w:val="726B1116"/>
    <w:rsid w:val="726F6CC7"/>
    <w:rsid w:val="727147ED"/>
    <w:rsid w:val="7271666B"/>
    <w:rsid w:val="7275721E"/>
    <w:rsid w:val="727A5D97"/>
    <w:rsid w:val="727E3C84"/>
    <w:rsid w:val="72842772"/>
    <w:rsid w:val="728564EA"/>
    <w:rsid w:val="72862DE7"/>
    <w:rsid w:val="728E091D"/>
    <w:rsid w:val="72914E8F"/>
    <w:rsid w:val="72916C3D"/>
    <w:rsid w:val="729329B5"/>
    <w:rsid w:val="72940FE4"/>
    <w:rsid w:val="72952BD1"/>
    <w:rsid w:val="7295497F"/>
    <w:rsid w:val="72964E10"/>
    <w:rsid w:val="7297664B"/>
    <w:rsid w:val="729D55E2"/>
    <w:rsid w:val="72A32D31"/>
    <w:rsid w:val="72A42EE3"/>
    <w:rsid w:val="72A577D6"/>
    <w:rsid w:val="72A746B3"/>
    <w:rsid w:val="72A9418F"/>
    <w:rsid w:val="72A9667D"/>
    <w:rsid w:val="72AA090C"/>
    <w:rsid w:val="72AB5F51"/>
    <w:rsid w:val="72AF11AD"/>
    <w:rsid w:val="72B172DF"/>
    <w:rsid w:val="72B1740E"/>
    <w:rsid w:val="72B264D9"/>
    <w:rsid w:val="72B90194"/>
    <w:rsid w:val="72BF37AA"/>
    <w:rsid w:val="72BF41FF"/>
    <w:rsid w:val="72C131B2"/>
    <w:rsid w:val="72C214EC"/>
    <w:rsid w:val="72C332A1"/>
    <w:rsid w:val="72C41448"/>
    <w:rsid w:val="72C76912"/>
    <w:rsid w:val="72CC32D7"/>
    <w:rsid w:val="72CD414D"/>
    <w:rsid w:val="72D103AE"/>
    <w:rsid w:val="72D1650C"/>
    <w:rsid w:val="72D52FCE"/>
    <w:rsid w:val="72D57472"/>
    <w:rsid w:val="72D82ABE"/>
    <w:rsid w:val="72DA3A73"/>
    <w:rsid w:val="72DA6836"/>
    <w:rsid w:val="72DF3FAB"/>
    <w:rsid w:val="72DF5BFA"/>
    <w:rsid w:val="72E43211"/>
    <w:rsid w:val="72E651DB"/>
    <w:rsid w:val="72E96A79"/>
    <w:rsid w:val="72EC6569"/>
    <w:rsid w:val="72EE3AA0"/>
    <w:rsid w:val="72F23D6D"/>
    <w:rsid w:val="72F31907"/>
    <w:rsid w:val="72F53670"/>
    <w:rsid w:val="72F773E8"/>
    <w:rsid w:val="72F9183A"/>
    <w:rsid w:val="72F96DCD"/>
    <w:rsid w:val="72FA74C9"/>
    <w:rsid w:val="72FB055A"/>
    <w:rsid w:val="72FC60A4"/>
    <w:rsid w:val="72FD42D3"/>
    <w:rsid w:val="73027B3B"/>
    <w:rsid w:val="73035C75"/>
    <w:rsid w:val="730438B3"/>
    <w:rsid w:val="7306263C"/>
    <w:rsid w:val="73076463"/>
    <w:rsid w:val="730833A3"/>
    <w:rsid w:val="730A5070"/>
    <w:rsid w:val="731735E6"/>
    <w:rsid w:val="731A30D6"/>
    <w:rsid w:val="731F5D5E"/>
    <w:rsid w:val="73221F8B"/>
    <w:rsid w:val="732605E1"/>
    <w:rsid w:val="7327064F"/>
    <w:rsid w:val="732B62C0"/>
    <w:rsid w:val="732E6B82"/>
    <w:rsid w:val="73311AF4"/>
    <w:rsid w:val="733207B2"/>
    <w:rsid w:val="73344DA5"/>
    <w:rsid w:val="733817AF"/>
    <w:rsid w:val="73397A01"/>
    <w:rsid w:val="733A72D5"/>
    <w:rsid w:val="733C304D"/>
    <w:rsid w:val="733C4DFB"/>
    <w:rsid w:val="733F14A3"/>
    <w:rsid w:val="733F2B3D"/>
    <w:rsid w:val="73412411"/>
    <w:rsid w:val="73426189"/>
    <w:rsid w:val="7349576A"/>
    <w:rsid w:val="734A7BDE"/>
    <w:rsid w:val="734E2D80"/>
    <w:rsid w:val="73522870"/>
    <w:rsid w:val="73530396"/>
    <w:rsid w:val="735419E9"/>
    <w:rsid w:val="735465E8"/>
    <w:rsid w:val="735635E4"/>
    <w:rsid w:val="7359395E"/>
    <w:rsid w:val="735C549D"/>
    <w:rsid w:val="735E1215"/>
    <w:rsid w:val="735E1E53"/>
    <w:rsid w:val="736305DA"/>
    <w:rsid w:val="73644352"/>
    <w:rsid w:val="736F5257"/>
    <w:rsid w:val="73797DFD"/>
    <w:rsid w:val="737E150A"/>
    <w:rsid w:val="737F73DD"/>
    <w:rsid w:val="73813156"/>
    <w:rsid w:val="7383282E"/>
    <w:rsid w:val="73852C46"/>
    <w:rsid w:val="7386076C"/>
    <w:rsid w:val="7386251A"/>
    <w:rsid w:val="738A113A"/>
    <w:rsid w:val="738F520D"/>
    <w:rsid w:val="738F5872"/>
    <w:rsid w:val="7395275D"/>
    <w:rsid w:val="7398711B"/>
    <w:rsid w:val="739C3AEB"/>
    <w:rsid w:val="73A115C0"/>
    <w:rsid w:val="73A56E44"/>
    <w:rsid w:val="73A6496A"/>
    <w:rsid w:val="73A66718"/>
    <w:rsid w:val="73A756ED"/>
    <w:rsid w:val="73A82490"/>
    <w:rsid w:val="73AB1F81"/>
    <w:rsid w:val="73B13A3B"/>
    <w:rsid w:val="73B452D9"/>
    <w:rsid w:val="73B726D3"/>
    <w:rsid w:val="73B928EF"/>
    <w:rsid w:val="73BB0416"/>
    <w:rsid w:val="73BF31E9"/>
    <w:rsid w:val="73C05A2C"/>
    <w:rsid w:val="73C13552"/>
    <w:rsid w:val="73C3376E"/>
    <w:rsid w:val="73C445EE"/>
    <w:rsid w:val="73C87D5A"/>
    <w:rsid w:val="73CA68AB"/>
    <w:rsid w:val="73CC2623"/>
    <w:rsid w:val="73D028F7"/>
    <w:rsid w:val="73D43285"/>
    <w:rsid w:val="73D72D76"/>
    <w:rsid w:val="73DC213A"/>
    <w:rsid w:val="73E32748"/>
    <w:rsid w:val="73E55492"/>
    <w:rsid w:val="73E85F78"/>
    <w:rsid w:val="73EA3012"/>
    <w:rsid w:val="73F04256"/>
    <w:rsid w:val="73F12089"/>
    <w:rsid w:val="73F27BAF"/>
    <w:rsid w:val="73F61F09"/>
    <w:rsid w:val="73F91FD5"/>
    <w:rsid w:val="73F97190"/>
    <w:rsid w:val="73FA72C2"/>
    <w:rsid w:val="73FE47A6"/>
    <w:rsid w:val="74017DF2"/>
    <w:rsid w:val="74031C39"/>
    <w:rsid w:val="74031DBD"/>
    <w:rsid w:val="74034A59"/>
    <w:rsid w:val="74082FD3"/>
    <w:rsid w:val="740A6CA7"/>
    <w:rsid w:val="740C48D9"/>
    <w:rsid w:val="740D139D"/>
    <w:rsid w:val="74122000"/>
    <w:rsid w:val="741E793C"/>
    <w:rsid w:val="7420296E"/>
    <w:rsid w:val="742064CB"/>
    <w:rsid w:val="74213FF1"/>
    <w:rsid w:val="74235EE9"/>
    <w:rsid w:val="742400E9"/>
    <w:rsid w:val="74270EB4"/>
    <w:rsid w:val="742E4F45"/>
    <w:rsid w:val="742F18D2"/>
    <w:rsid w:val="74314E96"/>
    <w:rsid w:val="74324450"/>
    <w:rsid w:val="743326A2"/>
    <w:rsid w:val="743331FD"/>
    <w:rsid w:val="74335F8F"/>
    <w:rsid w:val="74381A66"/>
    <w:rsid w:val="743C0E2B"/>
    <w:rsid w:val="743D707D"/>
    <w:rsid w:val="74404DBF"/>
    <w:rsid w:val="74410A17"/>
    <w:rsid w:val="744523D5"/>
    <w:rsid w:val="74457850"/>
    <w:rsid w:val="74487DCD"/>
    <w:rsid w:val="744C72C0"/>
    <w:rsid w:val="7452064E"/>
    <w:rsid w:val="74531D52"/>
    <w:rsid w:val="74566390"/>
    <w:rsid w:val="74575C64"/>
    <w:rsid w:val="745E6FF3"/>
    <w:rsid w:val="74600FBD"/>
    <w:rsid w:val="74631ADE"/>
    <w:rsid w:val="7463285B"/>
    <w:rsid w:val="74640AAD"/>
    <w:rsid w:val="746565D3"/>
    <w:rsid w:val="74675EA7"/>
    <w:rsid w:val="746A5998"/>
    <w:rsid w:val="746C5BB4"/>
    <w:rsid w:val="746D092B"/>
    <w:rsid w:val="746D7236"/>
    <w:rsid w:val="74716D26"/>
    <w:rsid w:val="74734539"/>
    <w:rsid w:val="7476301D"/>
    <w:rsid w:val="74784559"/>
    <w:rsid w:val="74793E2D"/>
    <w:rsid w:val="747C2324"/>
    <w:rsid w:val="74806E03"/>
    <w:rsid w:val="74821A87"/>
    <w:rsid w:val="748527D2"/>
    <w:rsid w:val="748922C2"/>
    <w:rsid w:val="748C1DB2"/>
    <w:rsid w:val="748C590E"/>
    <w:rsid w:val="748D49CD"/>
    <w:rsid w:val="7494275B"/>
    <w:rsid w:val="74980757"/>
    <w:rsid w:val="749869A9"/>
    <w:rsid w:val="74987F0D"/>
    <w:rsid w:val="7499002B"/>
    <w:rsid w:val="749B1FF5"/>
    <w:rsid w:val="749B5C86"/>
    <w:rsid w:val="749D6880"/>
    <w:rsid w:val="749D7B1B"/>
    <w:rsid w:val="749E5EC1"/>
    <w:rsid w:val="74A138CF"/>
    <w:rsid w:val="74A4531D"/>
    <w:rsid w:val="74A50BEC"/>
    <w:rsid w:val="74A52E74"/>
    <w:rsid w:val="74AC35B3"/>
    <w:rsid w:val="74AC4202"/>
    <w:rsid w:val="74AE3AD6"/>
    <w:rsid w:val="74AE4B4E"/>
    <w:rsid w:val="74B135C7"/>
    <w:rsid w:val="74B314A3"/>
    <w:rsid w:val="74B64406"/>
    <w:rsid w:val="74B94727"/>
    <w:rsid w:val="74BA31C7"/>
    <w:rsid w:val="74BB4445"/>
    <w:rsid w:val="74C351B8"/>
    <w:rsid w:val="74C4779E"/>
    <w:rsid w:val="74C7103C"/>
    <w:rsid w:val="74C72DEA"/>
    <w:rsid w:val="74CC2B9D"/>
    <w:rsid w:val="74D127CE"/>
    <w:rsid w:val="74D15A17"/>
    <w:rsid w:val="74D472B5"/>
    <w:rsid w:val="74D72C6A"/>
    <w:rsid w:val="74D97E42"/>
    <w:rsid w:val="74DD6779"/>
    <w:rsid w:val="74DE3871"/>
    <w:rsid w:val="74DE444F"/>
    <w:rsid w:val="74DF1EE2"/>
    <w:rsid w:val="74E05C5A"/>
    <w:rsid w:val="74E171DC"/>
    <w:rsid w:val="74E221F2"/>
    <w:rsid w:val="74E24DC3"/>
    <w:rsid w:val="74E25E76"/>
    <w:rsid w:val="74E97204"/>
    <w:rsid w:val="74EC45FF"/>
    <w:rsid w:val="74F87447"/>
    <w:rsid w:val="74FC2045"/>
    <w:rsid w:val="74FD4A5E"/>
    <w:rsid w:val="74FF2584"/>
    <w:rsid w:val="75045DEC"/>
    <w:rsid w:val="75071439"/>
    <w:rsid w:val="750D643F"/>
    <w:rsid w:val="75120509"/>
    <w:rsid w:val="75157FF9"/>
    <w:rsid w:val="75184E92"/>
    <w:rsid w:val="751A5610"/>
    <w:rsid w:val="751F6782"/>
    <w:rsid w:val="75241FEA"/>
    <w:rsid w:val="75273889"/>
    <w:rsid w:val="752902E4"/>
    <w:rsid w:val="752975C2"/>
    <w:rsid w:val="752A0B31"/>
    <w:rsid w:val="752C70F1"/>
    <w:rsid w:val="752D7D55"/>
    <w:rsid w:val="752F1C88"/>
    <w:rsid w:val="7530273D"/>
    <w:rsid w:val="7532211D"/>
    <w:rsid w:val="75357D54"/>
    <w:rsid w:val="75394CD8"/>
    <w:rsid w:val="753D4E5A"/>
    <w:rsid w:val="753F0BD2"/>
    <w:rsid w:val="753F6E24"/>
    <w:rsid w:val="75412B9C"/>
    <w:rsid w:val="75466405"/>
    <w:rsid w:val="754937FF"/>
    <w:rsid w:val="754D7793"/>
    <w:rsid w:val="754E7DE2"/>
    <w:rsid w:val="75504B8E"/>
    <w:rsid w:val="7553467E"/>
    <w:rsid w:val="75616D9B"/>
    <w:rsid w:val="75662603"/>
    <w:rsid w:val="75693EA1"/>
    <w:rsid w:val="756B19C7"/>
    <w:rsid w:val="756E14B8"/>
    <w:rsid w:val="75703448"/>
    <w:rsid w:val="75703482"/>
    <w:rsid w:val="75734D20"/>
    <w:rsid w:val="757765BE"/>
    <w:rsid w:val="75780312"/>
    <w:rsid w:val="75792336"/>
    <w:rsid w:val="757B16F4"/>
    <w:rsid w:val="757C3BD5"/>
    <w:rsid w:val="757C7B01"/>
    <w:rsid w:val="757F36C5"/>
    <w:rsid w:val="757F4D0F"/>
    <w:rsid w:val="7581743D"/>
    <w:rsid w:val="75866801"/>
    <w:rsid w:val="758D193E"/>
    <w:rsid w:val="758D75E2"/>
    <w:rsid w:val="758E56B6"/>
    <w:rsid w:val="758F1B5A"/>
    <w:rsid w:val="75950E36"/>
    <w:rsid w:val="75970A0E"/>
    <w:rsid w:val="75986327"/>
    <w:rsid w:val="759A04FF"/>
    <w:rsid w:val="759C7DD3"/>
    <w:rsid w:val="759E7FEF"/>
    <w:rsid w:val="759F4EC0"/>
    <w:rsid w:val="75A35605"/>
    <w:rsid w:val="75A90742"/>
    <w:rsid w:val="75AA17D7"/>
    <w:rsid w:val="75AD1FE0"/>
    <w:rsid w:val="75AD3D8E"/>
    <w:rsid w:val="75B275F6"/>
    <w:rsid w:val="75B50E95"/>
    <w:rsid w:val="75BC0475"/>
    <w:rsid w:val="75BE0ADD"/>
    <w:rsid w:val="75BF17E5"/>
    <w:rsid w:val="75C13CDD"/>
    <w:rsid w:val="75C17839"/>
    <w:rsid w:val="75C31803"/>
    <w:rsid w:val="75C54C20"/>
    <w:rsid w:val="75C55E29"/>
    <w:rsid w:val="75C67E24"/>
    <w:rsid w:val="75C74A70"/>
    <w:rsid w:val="75CA04F1"/>
    <w:rsid w:val="75CA45A2"/>
    <w:rsid w:val="75CC738E"/>
    <w:rsid w:val="75D25EEA"/>
    <w:rsid w:val="75D75A34"/>
    <w:rsid w:val="75D83BE9"/>
    <w:rsid w:val="75D91F21"/>
    <w:rsid w:val="75E8126A"/>
    <w:rsid w:val="75EF0F06"/>
    <w:rsid w:val="75F06371"/>
    <w:rsid w:val="75F23E97"/>
    <w:rsid w:val="75F61BD9"/>
    <w:rsid w:val="75FE45EA"/>
    <w:rsid w:val="760D47C2"/>
    <w:rsid w:val="7610431D"/>
    <w:rsid w:val="7613626B"/>
    <w:rsid w:val="76146753"/>
    <w:rsid w:val="76157B85"/>
    <w:rsid w:val="761734C3"/>
    <w:rsid w:val="761C7166"/>
    <w:rsid w:val="7620086F"/>
    <w:rsid w:val="76206C56"/>
    <w:rsid w:val="762229CE"/>
    <w:rsid w:val="762F4F34"/>
    <w:rsid w:val="76312C11"/>
    <w:rsid w:val="76341118"/>
    <w:rsid w:val="76363CCA"/>
    <w:rsid w:val="76366479"/>
    <w:rsid w:val="763F1FF4"/>
    <w:rsid w:val="764226AA"/>
    <w:rsid w:val="76432944"/>
    <w:rsid w:val="76465F91"/>
    <w:rsid w:val="76472434"/>
    <w:rsid w:val="764D19B8"/>
    <w:rsid w:val="7651022E"/>
    <w:rsid w:val="765A5B10"/>
    <w:rsid w:val="765D4A31"/>
    <w:rsid w:val="765E152C"/>
    <w:rsid w:val="765E777E"/>
    <w:rsid w:val="7662726E"/>
    <w:rsid w:val="766823AB"/>
    <w:rsid w:val="766905FD"/>
    <w:rsid w:val="766E5C13"/>
    <w:rsid w:val="767057F7"/>
    <w:rsid w:val="76724FD8"/>
    <w:rsid w:val="76736211"/>
    <w:rsid w:val="76761669"/>
    <w:rsid w:val="767945B8"/>
    <w:rsid w:val="767A350B"/>
    <w:rsid w:val="767B0330"/>
    <w:rsid w:val="767E008B"/>
    <w:rsid w:val="767E397C"/>
    <w:rsid w:val="76802F08"/>
    <w:rsid w:val="76830F93"/>
    <w:rsid w:val="768327DD"/>
    <w:rsid w:val="76880357"/>
    <w:rsid w:val="7688510D"/>
    <w:rsid w:val="768C7E47"/>
    <w:rsid w:val="76921635"/>
    <w:rsid w:val="76927701"/>
    <w:rsid w:val="769413F2"/>
    <w:rsid w:val="76944F4E"/>
    <w:rsid w:val="76956082"/>
    <w:rsid w:val="76982666"/>
    <w:rsid w:val="769907B6"/>
    <w:rsid w:val="769A6A08"/>
    <w:rsid w:val="769B008A"/>
    <w:rsid w:val="769B452E"/>
    <w:rsid w:val="769D3E02"/>
    <w:rsid w:val="769F401E"/>
    <w:rsid w:val="76A038F3"/>
    <w:rsid w:val="76A258BD"/>
    <w:rsid w:val="76A3126E"/>
    <w:rsid w:val="76A333E3"/>
    <w:rsid w:val="76A553AD"/>
    <w:rsid w:val="76AA4771"/>
    <w:rsid w:val="76AB19E8"/>
    <w:rsid w:val="76AE24B4"/>
    <w:rsid w:val="76BD44A5"/>
    <w:rsid w:val="76BD7829"/>
    <w:rsid w:val="76C27D0D"/>
    <w:rsid w:val="76CE1958"/>
    <w:rsid w:val="76CE1B2D"/>
    <w:rsid w:val="76D717A6"/>
    <w:rsid w:val="76DA7A57"/>
    <w:rsid w:val="76DB2B7D"/>
    <w:rsid w:val="76DE441B"/>
    <w:rsid w:val="76DE4877"/>
    <w:rsid w:val="76DE48C7"/>
    <w:rsid w:val="76E6765B"/>
    <w:rsid w:val="76E9529A"/>
    <w:rsid w:val="76E97048"/>
    <w:rsid w:val="76EA1012"/>
    <w:rsid w:val="76ED1FB3"/>
    <w:rsid w:val="76ED69CE"/>
    <w:rsid w:val="76F464A4"/>
    <w:rsid w:val="76F61765"/>
    <w:rsid w:val="76F62D49"/>
    <w:rsid w:val="76F65C09"/>
    <w:rsid w:val="76F679B7"/>
    <w:rsid w:val="76F93003"/>
    <w:rsid w:val="76FA74A7"/>
    <w:rsid w:val="76FB4FCD"/>
    <w:rsid w:val="76FD2AF3"/>
    <w:rsid w:val="77043E82"/>
    <w:rsid w:val="77065E4C"/>
    <w:rsid w:val="770728A7"/>
    <w:rsid w:val="770E0AD4"/>
    <w:rsid w:val="77101B8D"/>
    <w:rsid w:val="77111884"/>
    <w:rsid w:val="77112A42"/>
    <w:rsid w:val="771542E1"/>
    <w:rsid w:val="771D36E6"/>
    <w:rsid w:val="771D4F43"/>
    <w:rsid w:val="771F319A"/>
    <w:rsid w:val="77217937"/>
    <w:rsid w:val="7722255A"/>
    <w:rsid w:val="77274B25"/>
    <w:rsid w:val="77291B3A"/>
    <w:rsid w:val="77297EB7"/>
    <w:rsid w:val="772B7660"/>
    <w:rsid w:val="772C5186"/>
    <w:rsid w:val="772D6C40"/>
    <w:rsid w:val="772E7150"/>
    <w:rsid w:val="77316C41"/>
    <w:rsid w:val="7735567E"/>
    <w:rsid w:val="77387FCF"/>
    <w:rsid w:val="773A3D47"/>
    <w:rsid w:val="773C186D"/>
    <w:rsid w:val="773D7394"/>
    <w:rsid w:val="774150D6"/>
    <w:rsid w:val="77426B90"/>
    <w:rsid w:val="77476464"/>
    <w:rsid w:val="77493F8A"/>
    <w:rsid w:val="77514BED"/>
    <w:rsid w:val="77532FA4"/>
    <w:rsid w:val="77585F7B"/>
    <w:rsid w:val="775947BB"/>
    <w:rsid w:val="77597468"/>
    <w:rsid w:val="775F555C"/>
    <w:rsid w:val="77613082"/>
    <w:rsid w:val="7762586D"/>
    <w:rsid w:val="7763329E"/>
    <w:rsid w:val="776A29E0"/>
    <w:rsid w:val="776E1C43"/>
    <w:rsid w:val="77707E71"/>
    <w:rsid w:val="77731BEB"/>
    <w:rsid w:val="77735147"/>
    <w:rsid w:val="77762421"/>
    <w:rsid w:val="777728A5"/>
    <w:rsid w:val="777803CC"/>
    <w:rsid w:val="77796881"/>
    <w:rsid w:val="777A3AF4"/>
    <w:rsid w:val="777D0F3E"/>
    <w:rsid w:val="77846CDF"/>
    <w:rsid w:val="77846D70"/>
    <w:rsid w:val="778C5F09"/>
    <w:rsid w:val="779276DF"/>
    <w:rsid w:val="77931781"/>
    <w:rsid w:val="77976AA4"/>
    <w:rsid w:val="779C40BA"/>
    <w:rsid w:val="779E0807"/>
    <w:rsid w:val="77A15B74"/>
    <w:rsid w:val="77A25449"/>
    <w:rsid w:val="77A318EC"/>
    <w:rsid w:val="77AB254F"/>
    <w:rsid w:val="77AE59B8"/>
    <w:rsid w:val="77B5517C"/>
    <w:rsid w:val="77B6195A"/>
    <w:rsid w:val="77B72606"/>
    <w:rsid w:val="77B829C3"/>
    <w:rsid w:val="77B83A96"/>
    <w:rsid w:val="77BA09E4"/>
    <w:rsid w:val="77BA0F87"/>
    <w:rsid w:val="77BC650A"/>
    <w:rsid w:val="77BF4E3D"/>
    <w:rsid w:val="77C32BA6"/>
    <w:rsid w:val="77CB76FC"/>
    <w:rsid w:val="77CC5CC0"/>
    <w:rsid w:val="77CD4BBB"/>
    <w:rsid w:val="77D136FF"/>
    <w:rsid w:val="77D777E8"/>
    <w:rsid w:val="77D93560"/>
    <w:rsid w:val="77D94BF9"/>
    <w:rsid w:val="77E421DC"/>
    <w:rsid w:val="77E43CB3"/>
    <w:rsid w:val="77E76882"/>
    <w:rsid w:val="77E77FA4"/>
    <w:rsid w:val="77E93077"/>
    <w:rsid w:val="77EA751B"/>
    <w:rsid w:val="77EC4554"/>
    <w:rsid w:val="77F17064"/>
    <w:rsid w:val="77FB0E29"/>
    <w:rsid w:val="77FE6B23"/>
    <w:rsid w:val="77FF666B"/>
    <w:rsid w:val="780103C1"/>
    <w:rsid w:val="78016613"/>
    <w:rsid w:val="78034139"/>
    <w:rsid w:val="780600CD"/>
    <w:rsid w:val="780B1240"/>
    <w:rsid w:val="780D4FB8"/>
    <w:rsid w:val="780F09F4"/>
    <w:rsid w:val="78104469"/>
    <w:rsid w:val="781141F2"/>
    <w:rsid w:val="78146346"/>
    <w:rsid w:val="78174088"/>
    <w:rsid w:val="78186399"/>
    <w:rsid w:val="78193C47"/>
    <w:rsid w:val="781A1483"/>
    <w:rsid w:val="781B4BC0"/>
    <w:rsid w:val="781E71C5"/>
    <w:rsid w:val="78252301"/>
    <w:rsid w:val="782B18E2"/>
    <w:rsid w:val="78324A1E"/>
    <w:rsid w:val="78340796"/>
    <w:rsid w:val="78395DAD"/>
    <w:rsid w:val="783A7A6C"/>
    <w:rsid w:val="783C1535"/>
    <w:rsid w:val="783C764B"/>
    <w:rsid w:val="78434743"/>
    <w:rsid w:val="784471B4"/>
    <w:rsid w:val="78454752"/>
    <w:rsid w:val="784604CA"/>
    <w:rsid w:val="784800CA"/>
    <w:rsid w:val="784F02E1"/>
    <w:rsid w:val="784F737E"/>
    <w:rsid w:val="7851759A"/>
    <w:rsid w:val="785229A8"/>
    <w:rsid w:val="785250C1"/>
    <w:rsid w:val="78540E39"/>
    <w:rsid w:val="78564BB1"/>
    <w:rsid w:val="785901FD"/>
    <w:rsid w:val="7859644F"/>
    <w:rsid w:val="785B21C7"/>
    <w:rsid w:val="785F0F7A"/>
    <w:rsid w:val="786009D9"/>
    <w:rsid w:val="78600D56"/>
    <w:rsid w:val="786170B2"/>
    <w:rsid w:val="786234C5"/>
    <w:rsid w:val="78656BA2"/>
    <w:rsid w:val="78685D53"/>
    <w:rsid w:val="786A41B8"/>
    <w:rsid w:val="786B1CDE"/>
    <w:rsid w:val="786C6182"/>
    <w:rsid w:val="786C7F30"/>
    <w:rsid w:val="7870237F"/>
    <w:rsid w:val="78760DAF"/>
    <w:rsid w:val="7878342B"/>
    <w:rsid w:val="78793171"/>
    <w:rsid w:val="787943FB"/>
    <w:rsid w:val="787B4617"/>
    <w:rsid w:val="787D20B0"/>
    <w:rsid w:val="787E5EB6"/>
    <w:rsid w:val="787F02DF"/>
    <w:rsid w:val="788039DC"/>
    <w:rsid w:val="78810287"/>
    <w:rsid w:val="78811502"/>
    <w:rsid w:val="78824593"/>
    <w:rsid w:val="788A6608"/>
    <w:rsid w:val="788C2381"/>
    <w:rsid w:val="788C3154"/>
    <w:rsid w:val="7892370F"/>
    <w:rsid w:val="78964FAD"/>
    <w:rsid w:val="789C4F47"/>
    <w:rsid w:val="78A11715"/>
    <w:rsid w:val="78A37DFC"/>
    <w:rsid w:val="78A609C8"/>
    <w:rsid w:val="78A90480"/>
    <w:rsid w:val="78AC0BE6"/>
    <w:rsid w:val="78AD18CD"/>
    <w:rsid w:val="78B1554E"/>
    <w:rsid w:val="78B43685"/>
    <w:rsid w:val="78BB4A14"/>
    <w:rsid w:val="78BD078C"/>
    <w:rsid w:val="78C31B1A"/>
    <w:rsid w:val="78C37D6C"/>
    <w:rsid w:val="78C7785D"/>
    <w:rsid w:val="78CC351E"/>
    <w:rsid w:val="78CC6C21"/>
    <w:rsid w:val="78CE0BEB"/>
    <w:rsid w:val="78D35BBD"/>
    <w:rsid w:val="78D36201"/>
    <w:rsid w:val="78D37FAF"/>
    <w:rsid w:val="78D646F6"/>
    <w:rsid w:val="78D9133E"/>
    <w:rsid w:val="78DA7590"/>
    <w:rsid w:val="78DB58DC"/>
    <w:rsid w:val="78DF4BA6"/>
    <w:rsid w:val="78E20A03"/>
    <w:rsid w:val="78E22B8B"/>
    <w:rsid w:val="78E23DF0"/>
    <w:rsid w:val="78E30EC4"/>
    <w:rsid w:val="78E55F35"/>
    <w:rsid w:val="78E57CE3"/>
    <w:rsid w:val="78E8315E"/>
    <w:rsid w:val="78EC2E1F"/>
    <w:rsid w:val="78EE6B97"/>
    <w:rsid w:val="78EF0B61"/>
    <w:rsid w:val="78F02F79"/>
    <w:rsid w:val="78F10436"/>
    <w:rsid w:val="78F817C4"/>
    <w:rsid w:val="78F9201C"/>
    <w:rsid w:val="78FA19E0"/>
    <w:rsid w:val="78FD0B56"/>
    <w:rsid w:val="78FD6F13"/>
    <w:rsid w:val="78FF0DA4"/>
    <w:rsid w:val="79002D6F"/>
    <w:rsid w:val="7904104F"/>
    <w:rsid w:val="790463BB"/>
    <w:rsid w:val="790747D9"/>
    <w:rsid w:val="790920D1"/>
    <w:rsid w:val="790939D1"/>
    <w:rsid w:val="790B6163"/>
    <w:rsid w:val="790C526F"/>
    <w:rsid w:val="790D1571"/>
    <w:rsid w:val="790F182A"/>
    <w:rsid w:val="79122B54"/>
    <w:rsid w:val="791650FE"/>
    <w:rsid w:val="79167E9C"/>
    <w:rsid w:val="79175833"/>
    <w:rsid w:val="79181E66"/>
    <w:rsid w:val="791D747D"/>
    <w:rsid w:val="79206F6D"/>
    <w:rsid w:val="79244A8E"/>
    <w:rsid w:val="79295E21"/>
    <w:rsid w:val="79297BCF"/>
    <w:rsid w:val="792A1B99"/>
    <w:rsid w:val="792A243A"/>
    <w:rsid w:val="792C3B64"/>
    <w:rsid w:val="792C4CC9"/>
    <w:rsid w:val="792F0F5E"/>
    <w:rsid w:val="79312F28"/>
    <w:rsid w:val="79330A4E"/>
    <w:rsid w:val="79346574"/>
    <w:rsid w:val="79352A18"/>
    <w:rsid w:val="7936053E"/>
    <w:rsid w:val="79365798"/>
    <w:rsid w:val="793A1DDD"/>
    <w:rsid w:val="793B7903"/>
    <w:rsid w:val="793D367B"/>
    <w:rsid w:val="793F5645"/>
    <w:rsid w:val="7940316B"/>
    <w:rsid w:val="79404F19"/>
    <w:rsid w:val="79442C5B"/>
    <w:rsid w:val="79490AB5"/>
    <w:rsid w:val="794C38BE"/>
    <w:rsid w:val="795024F0"/>
    <w:rsid w:val="79507900"/>
    <w:rsid w:val="79571D0E"/>
    <w:rsid w:val="79586707"/>
    <w:rsid w:val="79594081"/>
    <w:rsid w:val="795C2D0A"/>
    <w:rsid w:val="795E1D44"/>
    <w:rsid w:val="796055BB"/>
    <w:rsid w:val="79667075"/>
    <w:rsid w:val="796926C2"/>
    <w:rsid w:val="796C5D0E"/>
    <w:rsid w:val="796D289A"/>
    <w:rsid w:val="796E46DA"/>
    <w:rsid w:val="79717E77"/>
    <w:rsid w:val="79752E15"/>
    <w:rsid w:val="79761652"/>
    <w:rsid w:val="79780B57"/>
    <w:rsid w:val="79781B06"/>
    <w:rsid w:val="797950B4"/>
    <w:rsid w:val="797B41A3"/>
    <w:rsid w:val="797C0647"/>
    <w:rsid w:val="797D1490"/>
    <w:rsid w:val="797D43BF"/>
    <w:rsid w:val="797E7C8C"/>
    <w:rsid w:val="797F0137"/>
    <w:rsid w:val="797F5CD5"/>
    <w:rsid w:val="798020FD"/>
    <w:rsid w:val="79811327"/>
    <w:rsid w:val="798219D5"/>
    <w:rsid w:val="79856DD0"/>
    <w:rsid w:val="79865022"/>
    <w:rsid w:val="79894B12"/>
    <w:rsid w:val="798C015E"/>
    <w:rsid w:val="798C5D24"/>
    <w:rsid w:val="798D4602"/>
    <w:rsid w:val="798E037A"/>
    <w:rsid w:val="798E2128"/>
    <w:rsid w:val="798E3ED6"/>
    <w:rsid w:val="799055DF"/>
    <w:rsid w:val="79905EA0"/>
    <w:rsid w:val="79935991"/>
    <w:rsid w:val="79951709"/>
    <w:rsid w:val="79974728"/>
    <w:rsid w:val="79983E20"/>
    <w:rsid w:val="799C2A97"/>
    <w:rsid w:val="799D05BD"/>
    <w:rsid w:val="799D236B"/>
    <w:rsid w:val="79A11E5C"/>
    <w:rsid w:val="79A13C0A"/>
    <w:rsid w:val="79A67472"/>
    <w:rsid w:val="79AA32CF"/>
    <w:rsid w:val="79AB666B"/>
    <w:rsid w:val="79AC0800"/>
    <w:rsid w:val="79AE0B68"/>
    <w:rsid w:val="79B3393D"/>
    <w:rsid w:val="79B43D9D"/>
    <w:rsid w:val="79B7167F"/>
    <w:rsid w:val="79B74AA6"/>
    <w:rsid w:val="79B778D1"/>
    <w:rsid w:val="79B86634"/>
    <w:rsid w:val="79BC1BD4"/>
    <w:rsid w:val="79BF22E2"/>
    <w:rsid w:val="79C03F87"/>
    <w:rsid w:val="79C124FE"/>
    <w:rsid w:val="79CD0EA3"/>
    <w:rsid w:val="79D42231"/>
    <w:rsid w:val="79D45972"/>
    <w:rsid w:val="79D744BA"/>
    <w:rsid w:val="79D815F5"/>
    <w:rsid w:val="79DB76E8"/>
    <w:rsid w:val="79DC10E6"/>
    <w:rsid w:val="79E104AA"/>
    <w:rsid w:val="79E157E7"/>
    <w:rsid w:val="79E70CF9"/>
    <w:rsid w:val="79E85CDC"/>
    <w:rsid w:val="79E93803"/>
    <w:rsid w:val="79EA65F3"/>
    <w:rsid w:val="79ED50A1"/>
    <w:rsid w:val="79EF706B"/>
    <w:rsid w:val="79F04553"/>
    <w:rsid w:val="79F150AA"/>
    <w:rsid w:val="79F20909"/>
    <w:rsid w:val="79F24D77"/>
    <w:rsid w:val="79F44681"/>
    <w:rsid w:val="79F62EF9"/>
    <w:rsid w:val="79FA156C"/>
    <w:rsid w:val="79FB1D40"/>
    <w:rsid w:val="79FC7092"/>
    <w:rsid w:val="79FD1A8F"/>
    <w:rsid w:val="7A013C8D"/>
    <w:rsid w:val="7A0B19CB"/>
    <w:rsid w:val="7A0D0323"/>
    <w:rsid w:val="7A0D129F"/>
    <w:rsid w:val="7A0D6CCC"/>
    <w:rsid w:val="7A137FC7"/>
    <w:rsid w:val="7A1E16FE"/>
    <w:rsid w:val="7A1F0FD2"/>
    <w:rsid w:val="7A214D4A"/>
    <w:rsid w:val="7A22231A"/>
    <w:rsid w:val="7A230AC3"/>
    <w:rsid w:val="7A24780B"/>
    <w:rsid w:val="7A272A29"/>
    <w:rsid w:val="7A274CFC"/>
    <w:rsid w:val="7A293BFF"/>
    <w:rsid w:val="7A2A3180"/>
    <w:rsid w:val="7A2B3E1B"/>
    <w:rsid w:val="7A2B5BC9"/>
    <w:rsid w:val="7A316DFD"/>
    <w:rsid w:val="7A326F58"/>
    <w:rsid w:val="7A340F22"/>
    <w:rsid w:val="7A344A7E"/>
    <w:rsid w:val="7A356A48"/>
    <w:rsid w:val="7A364017"/>
    <w:rsid w:val="7A392094"/>
    <w:rsid w:val="7A3B22B0"/>
    <w:rsid w:val="7A444E4A"/>
    <w:rsid w:val="7A48677B"/>
    <w:rsid w:val="7A4B626B"/>
    <w:rsid w:val="7A4C55E3"/>
    <w:rsid w:val="7A504D36"/>
    <w:rsid w:val="7A5073DE"/>
    <w:rsid w:val="7A523156"/>
    <w:rsid w:val="7A5427A8"/>
    <w:rsid w:val="7A592736"/>
    <w:rsid w:val="7A5A200A"/>
    <w:rsid w:val="7A5E1AFB"/>
    <w:rsid w:val="7A661D65"/>
    <w:rsid w:val="7A665F33"/>
    <w:rsid w:val="7A6660F8"/>
    <w:rsid w:val="7A6B1967"/>
    <w:rsid w:val="7A6D48C0"/>
    <w:rsid w:val="7A6F3D08"/>
    <w:rsid w:val="7A70182E"/>
    <w:rsid w:val="7A715CD2"/>
    <w:rsid w:val="7A741BC1"/>
    <w:rsid w:val="7A756E44"/>
    <w:rsid w:val="7A7C3632"/>
    <w:rsid w:val="7A7C6425"/>
    <w:rsid w:val="7A7E03EF"/>
    <w:rsid w:val="7A7F18A6"/>
    <w:rsid w:val="7A812D68"/>
    <w:rsid w:val="7A8265E1"/>
    <w:rsid w:val="7A8316B7"/>
    <w:rsid w:val="7A8377B3"/>
    <w:rsid w:val="7A8A6D94"/>
    <w:rsid w:val="7A8B5A6A"/>
    <w:rsid w:val="7A8C2A1A"/>
    <w:rsid w:val="7A8C2B0C"/>
    <w:rsid w:val="7A8F43AA"/>
    <w:rsid w:val="7A9006E8"/>
    <w:rsid w:val="7A903C7E"/>
    <w:rsid w:val="7A922E92"/>
    <w:rsid w:val="7A94376E"/>
    <w:rsid w:val="7A996FD7"/>
    <w:rsid w:val="7A9B4AFD"/>
    <w:rsid w:val="7A9C2623"/>
    <w:rsid w:val="7A9D4E2F"/>
    <w:rsid w:val="7AA15E8B"/>
    <w:rsid w:val="7AA339B1"/>
    <w:rsid w:val="7AA53BCD"/>
    <w:rsid w:val="7AAA2F92"/>
    <w:rsid w:val="7AAF05A8"/>
    <w:rsid w:val="7AB01E15"/>
    <w:rsid w:val="7AB07CD4"/>
    <w:rsid w:val="7AB21E46"/>
    <w:rsid w:val="7AB37F0E"/>
    <w:rsid w:val="7AB45BBF"/>
    <w:rsid w:val="7AB636E5"/>
    <w:rsid w:val="7AB67B89"/>
    <w:rsid w:val="7AB756AF"/>
    <w:rsid w:val="7AB84E03"/>
    <w:rsid w:val="7AB94F83"/>
    <w:rsid w:val="7ABB519F"/>
    <w:rsid w:val="7AC0190A"/>
    <w:rsid w:val="7AC322A6"/>
    <w:rsid w:val="7AC57DCC"/>
    <w:rsid w:val="7AC81891"/>
    <w:rsid w:val="7ACD6C80"/>
    <w:rsid w:val="7ACE3A64"/>
    <w:rsid w:val="7ACE4ED2"/>
    <w:rsid w:val="7AD04DF9"/>
    <w:rsid w:val="7AD47448"/>
    <w:rsid w:val="7AD7365B"/>
    <w:rsid w:val="7ADC6EC3"/>
    <w:rsid w:val="7ADF6323"/>
    <w:rsid w:val="7AE2097E"/>
    <w:rsid w:val="7AE475C4"/>
    <w:rsid w:val="7AE63625"/>
    <w:rsid w:val="7AE9497B"/>
    <w:rsid w:val="7AED10D1"/>
    <w:rsid w:val="7AF10BC1"/>
    <w:rsid w:val="7AF75AAB"/>
    <w:rsid w:val="7AF842F9"/>
    <w:rsid w:val="7AF91823"/>
    <w:rsid w:val="7AF938C7"/>
    <w:rsid w:val="7AFA2D33"/>
    <w:rsid w:val="7AFB559C"/>
    <w:rsid w:val="7B0F7299"/>
    <w:rsid w:val="7B144D59"/>
    <w:rsid w:val="7B14665D"/>
    <w:rsid w:val="7B157B32"/>
    <w:rsid w:val="7B191EC6"/>
    <w:rsid w:val="7B1D5512"/>
    <w:rsid w:val="7B252618"/>
    <w:rsid w:val="7B2745E3"/>
    <w:rsid w:val="7B2C3224"/>
    <w:rsid w:val="7B362A78"/>
    <w:rsid w:val="7B3650A3"/>
    <w:rsid w:val="7B3B410F"/>
    <w:rsid w:val="7B42766E"/>
    <w:rsid w:val="7B43689E"/>
    <w:rsid w:val="7B4738E3"/>
    <w:rsid w:val="7B486307"/>
    <w:rsid w:val="7B4A02D1"/>
    <w:rsid w:val="7B4A207F"/>
    <w:rsid w:val="7B4D6C02"/>
    <w:rsid w:val="7B4E1B6F"/>
    <w:rsid w:val="7B4E6013"/>
    <w:rsid w:val="7B4F7695"/>
    <w:rsid w:val="7B512CCA"/>
    <w:rsid w:val="7B51340D"/>
    <w:rsid w:val="7B533629"/>
    <w:rsid w:val="7B537186"/>
    <w:rsid w:val="7B561A28"/>
    <w:rsid w:val="7B5770BD"/>
    <w:rsid w:val="7B58479C"/>
    <w:rsid w:val="7B5E1E17"/>
    <w:rsid w:val="7B5E43AD"/>
    <w:rsid w:val="7B66335D"/>
    <w:rsid w:val="7B686D42"/>
    <w:rsid w:val="7B6969A9"/>
    <w:rsid w:val="7B6A54D9"/>
    <w:rsid w:val="7B727A53"/>
    <w:rsid w:val="7B7470FC"/>
    <w:rsid w:val="7B784E3E"/>
    <w:rsid w:val="7B7974B6"/>
    <w:rsid w:val="7B7A0BB6"/>
    <w:rsid w:val="7B7A0FC8"/>
    <w:rsid w:val="7B7B4FB7"/>
    <w:rsid w:val="7B7B545C"/>
    <w:rsid w:val="7B7D06A6"/>
    <w:rsid w:val="7B7D6B6D"/>
    <w:rsid w:val="7B7F61CD"/>
    <w:rsid w:val="7B821819"/>
    <w:rsid w:val="7B841746"/>
    <w:rsid w:val="7B886713"/>
    <w:rsid w:val="7B8B207E"/>
    <w:rsid w:val="7B8B4B71"/>
    <w:rsid w:val="7B8D7AD7"/>
    <w:rsid w:val="7B8F3D87"/>
    <w:rsid w:val="7B925FE7"/>
    <w:rsid w:val="7B943B13"/>
    <w:rsid w:val="7B98103C"/>
    <w:rsid w:val="7B9A3A6E"/>
    <w:rsid w:val="7B9A4DB4"/>
    <w:rsid w:val="7B9B4A66"/>
    <w:rsid w:val="7B9C6D7F"/>
    <w:rsid w:val="7B9D6653"/>
    <w:rsid w:val="7B9F061D"/>
    <w:rsid w:val="7B9F5824"/>
    <w:rsid w:val="7BA14395"/>
    <w:rsid w:val="7BA2010D"/>
    <w:rsid w:val="7BA3748A"/>
    <w:rsid w:val="7BA53E28"/>
    <w:rsid w:val="7BA63759"/>
    <w:rsid w:val="7BA94FF8"/>
    <w:rsid w:val="7BAC542E"/>
    <w:rsid w:val="7BAD0F8C"/>
    <w:rsid w:val="7BB128AD"/>
    <w:rsid w:val="7BB53956"/>
    <w:rsid w:val="7BB75966"/>
    <w:rsid w:val="7BB94C2D"/>
    <w:rsid w:val="7BBF2A6D"/>
    <w:rsid w:val="7BC25D04"/>
    <w:rsid w:val="7BC77B74"/>
    <w:rsid w:val="7BCB31C0"/>
    <w:rsid w:val="7BCD6162"/>
    <w:rsid w:val="7BD3786A"/>
    <w:rsid w:val="7BD61B65"/>
    <w:rsid w:val="7BD76009"/>
    <w:rsid w:val="7BD858DD"/>
    <w:rsid w:val="7BD965DC"/>
    <w:rsid w:val="7BDC717B"/>
    <w:rsid w:val="7BDE7215"/>
    <w:rsid w:val="7BE55C9F"/>
    <w:rsid w:val="7BE6624C"/>
    <w:rsid w:val="7BE92C4E"/>
    <w:rsid w:val="7BEB3862"/>
    <w:rsid w:val="7BEC1388"/>
    <w:rsid w:val="7BEE3352"/>
    <w:rsid w:val="7BEE6EAE"/>
    <w:rsid w:val="7BF63170"/>
    <w:rsid w:val="7BFA3C79"/>
    <w:rsid w:val="7BFC15CB"/>
    <w:rsid w:val="7C0045FA"/>
    <w:rsid w:val="7C06069C"/>
    <w:rsid w:val="7C075F3B"/>
    <w:rsid w:val="7C084414"/>
    <w:rsid w:val="7C087DDE"/>
    <w:rsid w:val="7C093CE8"/>
    <w:rsid w:val="7C0A1ED0"/>
    <w:rsid w:val="7C0B180E"/>
    <w:rsid w:val="7C1032C9"/>
    <w:rsid w:val="7C1508DF"/>
    <w:rsid w:val="7C174418"/>
    <w:rsid w:val="7C176405"/>
    <w:rsid w:val="7C1B0ED7"/>
    <w:rsid w:val="7C246915"/>
    <w:rsid w:val="7C291F9B"/>
    <w:rsid w:val="7C321AEA"/>
    <w:rsid w:val="7C32323F"/>
    <w:rsid w:val="7C330D65"/>
    <w:rsid w:val="7C346191"/>
    <w:rsid w:val="7C362E56"/>
    <w:rsid w:val="7C3A0345"/>
    <w:rsid w:val="7C3A2A38"/>
    <w:rsid w:val="7C3C40BE"/>
    <w:rsid w:val="7C3E526E"/>
    <w:rsid w:val="7C3E6D39"/>
    <w:rsid w:val="7C3F3BAE"/>
    <w:rsid w:val="7C4411C4"/>
    <w:rsid w:val="7C464F3C"/>
    <w:rsid w:val="7C491437"/>
    <w:rsid w:val="7C4A67DB"/>
    <w:rsid w:val="7C4C69A8"/>
    <w:rsid w:val="7C4F3DF1"/>
    <w:rsid w:val="7C5076B5"/>
    <w:rsid w:val="7C5344F7"/>
    <w:rsid w:val="7C55517F"/>
    <w:rsid w:val="7C5A4544"/>
    <w:rsid w:val="7C5F5C65"/>
    <w:rsid w:val="7C605FFE"/>
    <w:rsid w:val="7C611D76"/>
    <w:rsid w:val="7C622F4D"/>
    <w:rsid w:val="7C63789C"/>
    <w:rsid w:val="7C644183"/>
    <w:rsid w:val="7C6508D6"/>
    <w:rsid w:val="7C653614"/>
    <w:rsid w:val="7C6F2938"/>
    <w:rsid w:val="7C6F6241"/>
    <w:rsid w:val="7C725D31"/>
    <w:rsid w:val="7C730E76"/>
    <w:rsid w:val="7C743857"/>
    <w:rsid w:val="7C76154A"/>
    <w:rsid w:val="7C7B7C1A"/>
    <w:rsid w:val="7C7C270C"/>
    <w:rsid w:val="7C7C44BA"/>
    <w:rsid w:val="7C7F3FAA"/>
    <w:rsid w:val="7C8466E7"/>
    <w:rsid w:val="7C896BD7"/>
    <w:rsid w:val="7C8D3F98"/>
    <w:rsid w:val="7C943EFA"/>
    <w:rsid w:val="7C950E2A"/>
    <w:rsid w:val="7C952014"/>
    <w:rsid w:val="7C95557C"/>
    <w:rsid w:val="7C9663A3"/>
    <w:rsid w:val="7C98391B"/>
    <w:rsid w:val="7C9C6796"/>
    <w:rsid w:val="7CA44918"/>
    <w:rsid w:val="7CA57EB5"/>
    <w:rsid w:val="7CA67789"/>
    <w:rsid w:val="7CA83501"/>
    <w:rsid w:val="7CB023B6"/>
    <w:rsid w:val="7CB50DE1"/>
    <w:rsid w:val="7CB63E70"/>
    <w:rsid w:val="7CB9570E"/>
    <w:rsid w:val="7CBC0D5A"/>
    <w:rsid w:val="7CC12815"/>
    <w:rsid w:val="7CC16371"/>
    <w:rsid w:val="7CC83BA3"/>
    <w:rsid w:val="7CCA3477"/>
    <w:rsid w:val="7CCB74A0"/>
    <w:rsid w:val="7CCD2F68"/>
    <w:rsid w:val="7CCF0A8E"/>
    <w:rsid w:val="7CCF4C6B"/>
    <w:rsid w:val="7CD10CAA"/>
    <w:rsid w:val="7CD15D0F"/>
    <w:rsid w:val="7CD16601"/>
    <w:rsid w:val="7CD2057E"/>
    <w:rsid w:val="7CD460A4"/>
    <w:rsid w:val="7CD95DB0"/>
    <w:rsid w:val="7CDB37F5"/>
    <w:rsid w:val="7CDE5175"/>
    <w:rsid w:val="7CE107C1"/>
    <w:rsid w:val="7CE26411"/>
    <w:rsid w:val="7CE502B1"/>
    <w:rsid w:val="7CE65DD7"/>
    <w:rsid w:val="7CE7227B"/>
    <w:rsid w:val="7CE81B50"/>
    <w:rsid w:val="7CEB60EC"/>
    <w:rsid w:val="7CEC1640"/>
    <w:rsid w:val="7CED53B8"/>
    <w:rsid w:val="7CF36423"/>
    <w:rsid w:val="7CF404F4"/>
    <w:rsid w:val="7CF624BE"/>
    <w:rsid w:val="7CF93D5D"/>
    <w:rsid w:val="7CFD1A9F"/>
    <w:rsid w:val="7CFD215E"/>
    <w:rsid w:val="7CFE75C5"/>
    <w:rsid w:val="7D0239FF"/>
    <w:rsid w:val="7D034BDB"/>
    <w:rsid w:val="7D0428EB"/>
    <w:rsid w:val="7D0467C0"/>
    <w:rsid w:val="7D060228"/>
    <w:rsid w:val="7D0A41BC"/>
    <w:rsid w:val="7D0D15B6"/>
    <w:rsid w:val="7D0E1EA7"/>
    <w:rsid w:val="7D0E2B49"/>
    <w:rsid w:val="7D115EA6"/>
    <w:rsid w:val="7D130900"/>
    <w:rsid w:val="7D142945"/>
    <w:rsid w:val="7D1961AD"/>
    <w:rsid w:val="7D1F2481"/>
    <w:rsid w:val="7D221505"/>
    <w:rsid w:val="7D225061"/>
    <w:rsid w:val="7D23702C"/>
    <w:rsid w:val="7D242BDB"/>
    <w:rsid w:val="7D2708CA"/>
    <w:rsid w:val="7D284642"/>
    <w:rsid w:val="7D2A03BA"/>
    <w:rsid w:val="7D2B623C"/>
    <w:rsid w:val="7D2C4132"/>
    <w:rsid w:val="7D2D1C58"/>
    <w:rsid w:val="7D3134F6"/>
    <w:rsid w:val="7D33726F"/>
    <w:rsid w:val="7D342FE7"/>
    <w:rsid w:val="7D344D95"/>
    <w:rsid w:val="7D37575A"/>
    <w:rsid w:val="7D380D29"/>
    <w:rsid w:val="7D3F0F24"/>
    <w:rsid w:val="7D4274B2"/>
    <w:rsid w:val="7D44147C"/>
    <w:rsid w:val="7D495EEB"/>
    <w:rsid w:val="7D4A0A5C"/>
    <w:rsid w:val="7D4E22FA"/>
    <w:rsid w:val="7D513B99"/>
    <w:rsid w:val="7D52346D"/>
    <w:rsid w:val="7D580A83"/>
    <w:rsid w:val="7D5B4A17"/>
    <w:rsid w:val="7D5B67C5"/>
    <w:rsid w:val="7D5E40CD"/>
    <w:rsid w:val="7D605B8A"/>
    <w:rsid w:val="7D63567A"/>
    <w:rsid w:val="7D6531A0"/>
    <w:rsid w:val="7D677C31"/>
    <w:rsid w:val="7D693BED"/>
    <w:rsid w:val="7D694C7C"/>
    <w:rsid w:val="7D6C2781"/>
    <w:rsid w:val="7D6F2271"/>
    <w:rsid w:val="7D705BFF"/>
    <w:rsid w:val="7D710202"/>
    <w:rsid w:val="7D711B45"/>
    <w:rsid w:val="7D715D95"/>
    <w:rsid w:val="7D7D04EA"/>
    <w:rsid w:val="7D7F24B4"/>
    <w:rsid w:val="7D80622C"/>
    <w:rsid w:val="7D824B7F"/>
    <w:rsid w:val="7D8950E1"/>
    <w:rsid w:val="7D8C697F"/>
    <w:rsid w:val="7D8F0799"/>
    <w:rsid w:val="7D944F65"/>
    <w:rsid w:val="7D9558DE"/>
    <w:rsid w:val="7D957F29"/>
    <w:rsid w:val="7D983576"/>
    <w:rsid w:val="7D9B1B39"/>
    <w:rsid w:val="7D9D6DDE"/>
    <w:rsid w:val="7DA0067C"/>
    <w:rsid w:val="7DA57A41"/>
    <w:rsid w:val="7DA61F6B"/>
    <w:rsid w:val="7DA95783"/>
    <w:rsid w:val="7DB06B11"/>
    <w:rsid w:val="7DB127A8"/>
    <w:rsid w:val="7DB3215D"/>
    <w:rsid w:val="7DB92447"/>
    <w:rsid w:val="7DBF0B02"/>
    <w:rsid w:val="7DC10D1E"/>
    <w:rsid w:val="7DC4436B"/>
    <w:rsid w:val="7DC46119"/>
    <w:rsid w:val="7DC51888"/>
    <w:rsid w:val="7DC600E3"/>
    <w:rsid w:val="7DC66335"/>
    <w:rsid w:val="7DC720AD"/>
    <w:rsid w:val="7DC92BE0"/>
    <w:rsid w:val="7DCE51E9"/>
    <w:rsid w:val="7DD37B87"/>
    <w:rsid w:val="7DD44EEC"/>
    <w:rsid w:val="7DD722F0"/>
    <w:rsid w:val="7DD81BC4"/>
    <w:rsid w:val="7DD86068"/>
    <w:rsid w:val="7DDC2D72"/>
    <w:rsid w:val="7DDE34B5"/>
    <w:rsid w:val="7DDF2F52"/>
    <w:rsid w:val="7DE60785"/>
    <w:rsid w:val="7DE67D76"/>
    <w:rsid w:val="7DEB7B49"/>
    <w:rsid w:val="7DED0EFA"/>
    <w:rsid w:val="7DEE7639"/>
    <w:rsid w:val="7DF12C86"/>
    <w:rsid w:val="7DF34C50"/>
    <w:rsid w:val="7DFA192F"/>
    <w:rsid w:val="7DFA5FDE"/>
    <w:rsid w:val="7E052BDE"/>
    <w:rsid w:val="7E0724A9"/>
    <w:rsid w:val="7E096221"/>
    <w:rsid w:val="7E097B4D"/>
    <w:rsid w:val="7E0B440B"/>
    <w:rsid w:val="7E106FF4"/>
    <w:rsid w:val="7E1075B0"/>
    <w:rsid w:val="7E132BFC"/>
    <w:rsid w:val="7E1370A0"/>
    <w:rsid w:val="7E1532BF"/>
    <w:rsid w:val="7E17093E"/>
    <w:rsid w:val="7E183771"/>
    <w:rsid w:val="7E1846B6"/>
    <w:rsid w:val="7E192908"/>
    <w:rsid w:val="7E1B52D0"/>
    <w:rsid w:val="7E1B5633"/>
    <w:rsid w:val="7E1C7776"/>
    <w:rsid w:val="7E1D624C"/>
    <w:rsid w:val="7E1E7F1F"/>
    <w:rsid w:val="7E2117BD"/>
    <w:rsid w:val="7E2272E3"/>
    <w:rsid w:val="7E235535"/>
    <w:rsid w:val="7E24305B"/>
    <w:rsid w:val="7E246BF6"/>
    <w:rsid w:val="7E2867A7"/>
    <w:rsid w:val="7E290672"/>
    <w:rsid w:val="7E292420"/>
    <w:rsid w:val="7E2B3F60"/>
    <w:rsid w:val="7E2E5C88"/>
    <w:rsid w:val="7E325778"/>
    <w:rsid w:val="7E327526"/>
    <w:rsid w:val="7E3C666E"/>
    <w:rsid w:val="7E3E37D9"/>
    <w:rsid w:val="7E3E411D"/>
    <w:rsid w:val="7E4215D3"/>
    <w:rsid w:val="7E4436FD"/>
    <w:rsid w:val="7E447259"/>
    <w:rsid w:val="7E461224"/>
    <w:rsid w:val="7E4C610E"/>
    <w:rsid w:val="7E4D6024"/>
    <w:rsid w:val="7E4E04C2"/>
    <w:rsid w:val="7E4E1E86"/>
    <w:rsid w:val="7E50377C"/>
    <w:rsid w:val="7E5637D7"/>
    <w:rsid w:val="7E573431"/>
    <w:rsid w:val="7E58122B"/>
    <w:rsid w:val="7E5C45A3"/>
    <w:rsid w:val="7E5E1C1A"/>
    <w:rsid w:val="7E5F4093"/>
    <w:rsid w:val="7E5F7640"/>
    <w:rsid w:val="7E68119A"/>
    <w:rsid w:val="7E6873EC"/>
    <w:rsid w:val="7E6D1E3F"/>
    <w:rsid w:val="7E6D67B0"/>
    <w:rsid w:val="7E6F077A"/>
    <w:rsid w:val="7E751B09"/>
    <w:rsid w:val="7E762DB4"/>
    <w:rsid w:val="7E7713DD"/>
    <w:rsid w:val="7E7A0ECD"/>
    <w:rsid w:val="7E7B3C1E"/>
    <w:rsid w:val="7E7C69F3"/>
    <w:rsid w:val="7E7E09BD"/>
    <w:rsid w:val="7E7E276B"/>
    <w:rsid w:val="7E8104AE"/>
    <w:rsid w:val="7E81225C"/>
    <w:rsid w:val="7E834226"/>
    <w:rsid w:val="7E851D4C"/>
    <w:rsid w:val="7E857F9E"/>
    <w:rsid w:val="7E8769F7"/>
    <w:rsid w:val="7E88183C"/>
    <w:rsid w:val="7E8B30DA"/>
    <w:rsid w:val="7E8D6E52"/>
    <w:rsid w:val="7E9006F1"/>
    <w:rsid w:val="7E9401E1"/>
    <w:rsid w:val="7E9417C7"/>
    <w:rsid w:val="7E955B89"/>
    <w:rsid w:val="7E957AB5"/>
    <w:rsid w:val="7E9B0C6E"/>
    <w:rsid w:val="7E9F0934"/>
    <w:rsid w:val="7EA30424"/>
    <w:rsid w:val="7EA33FDE"/>
    <w:rsid w:val="7EA40AE0"/>
    <w:rsid w:val="7EAB552B"/>
    <w:rsid w:val="7EAD3051"/>
    <w:rsid w:val="7EB264E4"/>
    <w:rsid w:val="7EB56F67"/>
    <w:rsid w:val="7EB77A2B"/>
    <w:rsid w:val="7EB837A6"/>
    <w:rsid w:val="7EBB6578"/>
    <w:rsid w:val="7EBE7F49"/>
    <w:rsid w:val="7EC65EC0"/>
    <w:rsid w:val="7EC860DC"/>
    <w:rsid w:val="7ECD36F3"/>
    <w:rsid w:val="7ECD724F"/>
    <w:rsid w:val="7ED455CC"/>
    <w:rsid w:val="7ED71E7C"/>
    <w:rsid w:val="7ED92098"/>
    <w:rsid w:val="7EDE145C"/>
    <w:rsid w:val="7EDE40B7"/>
    <w:rsid w:val="7EE40DA4"/>
    <w:rsid w:val="7EE527EB"/>
    <w:rsid w:val="7EED5B43"/>
    <w:rsid w:val="7EF42A2E"/>
    <w:rsid w:val="7EF70770"/>
    <w:rsid w:val="7EF7251E"/>
    <w:rsid w:val="7EF742CC"/>
    <w:rsid w:val="7F007624"/>
    <w:rsid w:val="7F046EE9"/>
    <w:rsid w:val="7F054C3B"/>
    <w:rsid w:val="7F0709B3"/>
    <w:rsid w:val="7F0A6D29"/>
    <w:rsid w:val="7F0B7D77"/>
    <w:rsid w:val="7F0C5FC9"/>
    <w:rsid w:val="7F0D7F93"/>
    <w:rsid w:val="7F10538E"/>
    <w:rsid w:val="7F1135E0"/>
    <w:rsid w:val="7F1629A4"/>
    <w:rsid w:val="7F1950C0"/>
    <w:rsid w:val="7F1A070C"/>
    <w:rsid w:val="7F1B1B92"/>
    <w:rsid w:val="7F1B7FBA"/>
    <w:rsid w:val="7F2331D7"/>
    <w:rsid w:val="7F244B86"/>
    <w:rsid w:val="7F250E39"/>
    <w:rsid w:val="7F264BB1"/>
    <w:rsid w:val="7F2C1F5B"/>
    <w:rsid w:val="7F2D7CEE"/>
    <w:rsid w:val="7F2F7F0A"/>
    <w:rsid w:val="7F3124A9"/>
    <w:rsid w:val="7F361298"/>
    <w:rsid w:val="7F364DF4"/>
    <w:rsid w:val="7F3E639F"/>
    <w:rsid w:val="7F3F258C"/>
    <w:rsid w:val="7F405C73"/>
    <w:rsid w:val="7F4219EB"/>
    <w:rsid w:val="7F4339B5"/>
    <w:rsid w:val="7F435763"/>
    <w:rsid w:val="7F437511"/>
    <w:rsid w:val="7F477001"/>
    <w:rsid w:val="7F4C021D"/>
    <w:rsid w:val="7F4C0ABC"/>
    <w:rsid w:val="7F4C4618"/>
    <w:rsid w:val="7F565ECA"/>
    <w:rsid w:val="7F597551"/>
    <w:rsid w:val="7F5E434B"/>
    <w:rsid w:val="7F623E3B"/>
    <w:rsid w:val="7F625BE9"/>
    <w:rsid w:val="7F673200"/>
    <w:rsid w:val="7F6A2CF0"/>
    <w:rsid w:val="7F6A5F93"/>
    <w:rsid w:val="7F6C2F0C"/>
    <w:rsid w:val="7F6C6A68"/>
    <w:rsid w:val="7F6E2C4D"/>
    <w:rsid w:val="7F73429A"/>
    <w:rsid w:val="7F775DA9"/>
    <w:rsid w:val="7F78540D"/>
    <w:rsid w:val="7F7A0869"/>
    <w:rsid w:val="7F7B314F"/>
    <w:rsid w:val="7F7C6065"/>
    <w:rsid w:val="7F7D0C75"/>
    <w:rsid w:val="7F7D2A23"/>
    <w:rsid w:val="7F7E49ED"/>
    <w:rsid w:val="7F7F7177"/>
    <w:rsid w:val="7F855D7C"/>
    <w:rsid w:val="7F88735E"/>
    <w:rsid w:val="7F8B6081"/>
    <w:rsid w:val="7F8F09A8"/>
    <w:rsid w:val="7F916650"/>
    <w:rsid w:val="7F9935D5"/>
    <w:rsid w:val="7F9D1317"/>
    <w:rsid w:val="7F9E2999"/>
    <w:rsid w:val="7F9E7405"/>
    <w:rsid w:val="7F9F508F"/>
    <w:rsid w:val="7F9F59E6"/>
    <w:rsid w:val="7FA12C09"/>
    <w:rsid w:val="7FA16445"/>
    <w:rsid w:val="7FA206DC"/>
    <w:rsid w:val="7FA2692E"/>
    <w:rsid w:val="7FA44454"/>
    <w:rsid w:val="7FA44DC6"/>
    <w:rsid w:val="7FA53D28"/>
    <w:rsid w:val="7FA91A6A"/>
    <w:rsid w:val="7FA96067"/>
    <w:rsid w:val="7FA97CBC"/>
    <w:rsid w:val="7FAC2D33"/>
    <w:rsid w:val="7FAF2DF8"/>
    <w:rsid w:val="7FB12A09"/>
    <w:rsid w:val="7FB21237"/>
    <w:rsid w:val="7FB64187"/>
    <w:rsid w:val="7FB83A5B"/>
    <w:rsid w:val="7FB87EFF"/>
    <w:rsid w:val="7FBE40A5"/>
    <w:rsid w:val="7FBE43E0"/>
    <w:rsid w:val="7FC00B62"/>
    <w:rsid w:val="7FC37379"/>
    <w:rsid w:val="7FC40652"/>
    <w:rsid w:val="7FC56D57"/>
    <w:rsid w:val="7FC70142"/>
    <w:rsid w:val="7FC701BA"/>
    <w:rsid w:val="7FC71EF0"/>
    <w:rsid w:val="7FC7259B"/>
    <w:rsid w:val="7FC76394"/>
    <w:rsid w:val="7FC95C68"/>
    <w:rsid w:val="7FCB5E84"/>
    <w:rsid w:val="7FCC0579"/>
    <w:rsid w:val="7FCC39AA"/>
    <w:rsid w:val="7FCE0C2C"/>
    <w:rsid w:val="7FCE327F"/>
    <w:rsid w:val="7FD003CD"/>
    <w:rsid w:val="7FD05249"/>
    <w:rsid w:val="7FD14B1D"/>
    <w:rsid w:val="7FD36AE7"/>
    <w:rsid w:val="7FD5285F"/>
    <w:rsid w:val="7FDB04BF"/>
    <w:rsid w:val="7FDF527F"/>
    <w:rsid w:val="7FE47E50"/>
    <w:rsid w:val="7FE707E4"/>
    <w:rsid w:val="7FE80BDA"/>
    <w:rsid w:val="7FEA3E31"/>
    <w:rsid w:val="7FED2B70"/>
    <w:rsid w:val="7FEE3921"/>
    <w:rsid w:val="7FF57F11"/>
    <w:rsid w:val="7FF75AFE"/>
    <w:rsid w:val="7FF7723F"/>
    <w:rsid w:val="7FF802FC"/>
    <w:rsid w:val="7FFD45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qFormat="1" w:unhideWhenUsed="0" w:uiPriority="39"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40"/>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141"/>
    <w:qFormat/>
    <w:locked/>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locked/>
    <w:uiPriority w:val="0"/>
    <w:pPr>
      <w:numPr>
        <w:ilvl w:val="2"/>
        <w:numId w:val="1"/>
      </w:numPr>
      <w:spacing w:before="50" w:beforeLines="50"/>
      <w:ind w:left="0" w:firstLine="0"/>
      <w:jc w:val="left"/>
      <w:outlineLvl w:val="2"/>
    </w:pPr>
    <w:rPr>
      <w:b/>
      <w:sz w:val="28"/>
    </w:rPr>
  </w:style>
  <w:style w:type="paragraph" w:styleId="5">
    <w:name w:val="heading 4"/>
    <w:basedOn w:val="1"/>
    <w:next w:val="1"/>
    <w:qFormat/>
    <w:locked/>
    <w:uiPriority w:val="99"/>
    <w:pPr>
      <w:keepNext/>
      <w:keepLines/>
      <w:numPr>
        <w:ilvl w:val="3"/>
        <w:numId w:val="1"/>
      </w:numPr>
      <w:ind w:left="0" w:firstLine="0"/>
      <w:jc w:val="left"/>
      <w:outlineLvl w:val="3"/>
    </w:pPr>
    <w:rPr>
      <w:b/>
      <w:bCs/>
      <w:szCs w:val="28"/>
    </w:rPr>
  </w:style>
  <w:style w:type="character" w:default="1" w:styleId="39">
    <w:name w:val="Default Paragraph Font"/>
    <w:semiHidden/>
    <w:unhideWhenUsed/>
    <w:qFormat/>
    <w:uiPriority w:val="1"/>
  </w:style>
  <w:style w:type="table" w:default="1" w:styleId="37">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next w:val="1"/>
    <w:qFormat/>
    <w:uiPriority w:val="0"/>
    <w:pPr>
      <w:spacing w:line="460" w:lineRule="atLeast"/>
      <w:ind w:firstLine="420"/>
    </w:pPr>
    <w:rPr>
      <w:szCs w:val="20"/>
    </w:rPr>
  </w:style>
  <w:style w:type="paragraph" w:styleId="7">
    <w:name w:val="caption"/>
    <w:basedOn w:val="1"/>
    <w:next w:val="1"/>
    <w:qFormat/>
    <w:locked/>
    <w:uiPriority w:val="0"/>
    <w:rPr>
      <w:rFonts w:ascii="Arial" w:hAnsi="Arial" w:eastAsia="黑体"/>
      <w:sz w:val="20"/>
      <w:szCs w:val="20"/>
    </w:rPr>
  </w:style>
  <w:style w:type="paragraph" w:styleId="8">
    <w:name w:val="annotation text"/>
    <w:basedOn w:val="1"/>
    <w:link w:val="54"/>
    <w:semiHidden/>
    <w:qFormat/>
    <w:uiPriority w:val="0"/>
    <w:pPr>
      <w:jc w:val="left"/>
    </w:pPr>
    <w:rPr>
      <w:kern w:val="0"/>
      <w:sz w:val="20"/>
    </w:rPr>
  </w:style>
  <w:style w:type="paragraph" w:styleId="9">
    <w:name w:val="Body Text"/>
    <w:basedOn w:val="1"/>
    <w:next w:val="10"/>
    <w:link w:val="55"/>
    <w:qFormat/>
    <w:uiPriority w:val="0"/>
    <w:pPr>
      <w:widowControl/>
      <w:snapToGrid w:val="0"/>
      <w:spacing w:before="60" w:after="160" w:line="259" w:lineRule="auto"/>
      <w:ind w:right="113"/>
    </w:pPr>
    <w:rPr>
      <w:kern w:val="0"/>
      <w:sz w:val="18"/>
      <w:szCs w:val="18"/>
    </w:rPr>
  </w:style>
  <w:style w:type="paragraph" w:customStyle="1" w:styleId="10">
    <w:name w:val="Normal (Web)1"/>
    <w:basedOn w:val="1"/>
    <w:next w:val="11"/>
    <w:qFormat/>
    <w:uiPriority w:val="0"/>
    <w:pPr>
      <w:widowControl/>
    </w:pPr>
    <w:rPr>
      <w:rFonts w:ascii="宋体"/>
      <w:sz w:val="24"/>
      <w:szCs w:val="21"/>
    </w:rPr>
  </w:style>
  <w:style w:type="paragraph" w:customStyle="1" w:styleId="11">
    <w:name w:val="Date1"/>
    <w:basedOn w:val="1"/>
    <w:next w:val="1"/>
    <w:qFormat/>
    <w:uiPriority w:val="0"/>
    <w:pPr>
      <w:ind w:left="2500" w:leftChars="2500"/>
    </w:pPr>
  </w:style>
  <w:style w:type="paragraph" w:styleId="12">
    <w:name w:val="Body Text Indent"/>
    <w:basedOn w:val="1"/>
    <w:next w:val="13"/>
    <w:link w:val="56"/>
    <w:semiHidden/>
    <w:qFormat/>
    <w:uiPriority w:val="0"/>
    <w:pPr>
      <w:spacing w:after="120"/>
      <w:ind w:left="420" w:leftChars="200"/>
    </w:pPr>
  </w:style>
  <w:style w:type="paragraph" w:customStyle="1" w:styleId="13">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14">
    <w:name w:val="Block Text"/>
    <w:basedOn w:val="1"/>
    <w:next w:val="1"/>
    <w:qFormat/>
    <w:uiPriority w:val="0"/>
    <w:pPr>
      <w:spacing w:line="240" w:lineRule="auto"/>
      <w:ind w:left="113" w:right="113" w:firstLine="3584"/>
      <w:jc w:val="center"/>
    </w:pPr>
  </w:style>
  <w:style w:type="paragraph" w:styleId="15">
    <w:name w:val="Plain Text"/>
    <w:basedOn w:val="1"/>
    <w:next w:val="16"/>
    <w:qFormat/>
    <w:uiPriority w:val="0"/>
    <w:rPr>
      <w:rFonts w:ascii="宋体" w:hAnsi="Courier New" w:cs="Courier New"/>
      <w:szCs w:val="21"/>
    </w:rPr>
  </w:style>
  <w:style w:type="paragraph" w:styleId="16">
    <w:name w:val="toc 1"/>
    <w:basedOn w:val="1"/>
    <w:next w:val="1"/>
    <w:qFormat/>
    <w:locked/>
    <w:uiPriority w:val="0"/>
    <w:pPr>
      <w:spacing w:line="360" w:lineRule="auto"/>
    </w:pPr>
    <w:rPr>
      <w:b/>
      <w:sz w:val="24"/>
    </w:rPr>
  </w:style>
  <w:style w:type="paragraph" w:styleId="17">
    <w:name w:val="Date"/>
    <w:basedOn w:val="1"/>
    <w:next w:val="1"/>
    <w:link w:val="57"/>
    <w:qFormat/>
    <w:uiPriority w:val="0"/>
    <w:pPr>
      <w:ind w:left="100" w:leftChars="2500"/>
    </w:pPr>
    <w:rPr>
      <w:kern w:val="0"/>
      <w:sz w:val="20"/>
    </w:rPr>
  </w:style>
  <w:style w:type="paragraph" w:styleId="18">
    <w:name w:val="Body Text Indent 2"/>
    <w:basedOn w:val="1"/>
    <w:next w:val="1"/>
    <w:qFormat/>
    <w:uiPriority w:val="0"/>
    <w:pPr>
      <w:spacing w:after="120" w:line="480" w:lineRule="auto"/>
      <w:ind w:left="420" w:leftChars="200"/>
    </w:pPr>
  </w:style>
  <w:style w:type="paragraph" w:styleId="19">
    <w:name w:val="Balloon Text"/>
    <w:basedOn w:val="1"/>
    <w:next w:val="14"/>
    <w:link w:val="58"/>
    <w:semiHidden/>
    <w:qFormat/>
    <w:uiPriority w:val="0"/>
    <w:rPr>
      <w:sz w:val="18"/>
      <w:szCs w:val="18"/>
    </w:rPr>
  </w:style>
  <w:style w:type="paragraph" w:styleId="20">
    <w:name w:val="footer"/>
    <w:basedOn w:val="1"/>
    <w:link w:val="59"/>
    <w:qFormat/>
    <w:uiPriority w:val="0"/>
    <w:pPr>
      <w:tabs>
        <w:tab w:val="center" w:pos="4153"/>
        <w:tab w:val="right" w:pos="8306"/>
      </w:tabs>
      <w:snapToGrid w:val="0"/>
      <w:jc w:val="left"/>
    </w:pPr>
    <w:rPr>
      <w:sz w:val="18"/>
      <w:szCs w:val="18"/>
    </w:rPr>
  </w:style>
  <w:style w:type="paragraph" w:styleId="21">
    <w:name w:val="header"/>
    <w:basedOn w:val="1"/>
    <w:next w:val="22"/>
    <w:link w:val="60"/>
    <w:qFormat/>
    <w:uiPriority w:val="0"/>
    <w:pPr>
      <w:pBdr>
        <w:bottom w:val="single" w:color="auto" w:sz="6" w:space="1"/>
      </w:pBdr>
      <w:tabs>
        <w:tab w:val="center" w:pos="4153"/>
        <w:tab w:val="right" w:pos="8306"/>
      </w:tabs>
      <w:snapToGrid w:val="0"/>
      <w:jc w:val="center"/>
    </w:pPr>
    <w:rPr>
      <w:sz w:val="18"/>
      <w:szCs w:val="18"/>
    </w:rPr>
  </w:style>
  <w:style w:type="paragraph" w:customStyle="1" w:styleId="22">
    <w:name w:val="样式5"/>
    <w:basedOn w:val="1"/>
    <w:qFormat/>
    <w:uiPriority w:val="0"/>
    <w:pPr>
      <w:spacing w:line="380" w:lineRule="exact"/>
      <w:ind w:firstLine="566" w:firstLineChars="202"/>
    </w:pPr>
    <w:rPr>
      <w:rFonts w:eastAsia="华文行楷"/>
    </w:rPr>
  </w:style>
  <w:style w:type="paragraph" w:styleId="23">
    <w:name w:val="List"/>
    <w:basedOn w:val="1"/>
    <w:next w:val="1"/>
    <w:qFormat/>
    <w:uiPriority w:val="0"/>
    <w:pPr>
      <w:ind w:left="200" w:hanging="200" w:hangingChars="200"/>
    </w:pPr>
  </w:style>
  <w:style w:type="paragraph" w:styleId="24">
    <w:name w:val="toc 6"/>
    <w:basedOn w:val="1"/>
    <w:next w:val="1"/>
    <w:qFormat/>
    <w:locked/>
    <w:uiPriority w:val="0"/>
    <w:pPr>
      <w:ind w:left="2100" w:leftChars="1000"/>
    </w:pPr>
  </w:style>
  <w:style w:type="paragraph" w:styleId="25">
    <w:name w:val="Body Text Indent 3"/>
    <w:basedOn w:val="1"/>
    <w:next w:val="19"/>
    <w:qFormat/>
    <w:uiPriority w:val="0"/>
    <w:pPr>
      <w:spacing w:after="120"/>
      <w:ind w:left="420" w:leftChars="200"/>
    </w:pPr>
    <w:rPr>
      <w:sz w:val="16"/>
      <w:szCs w:val="16"/>
    </w:rPr>
  </w:style>
  <w:style w:type="paragraph" w:styleId="26">
    <w:name w:val="table of figures"/>
    <w:basedOn w:val="1"/>
    <w:next w:val="1"/>
    <w:qFormat/>
    <w:uiPriority w:val="0"/>
    <w:pPr>
      <w:autoSpaceDE w:val="0"/>
      <w:autoSpaceDN w:val="0"/>
      <w:spacing w:line="360" w:lineRule="auto"/>
      <w:ind w:left="200" w:leftChars="200" w:hanging="200" w:hangingChars="200"/>
    </w:pPr>
    <w:rPr>
      <w:sz w:val="28"/>
      <w:szCs w:val="20"/>
    </w:rPr>
  </w:style>
  <w:style w:type="paragraph" w:styleId="27">
    <w:name w:val="toc 2"/>
    <w:basedOn w:val="1"/>
    <w:next w:val="1"/>
    <w:unhideWhenUsed/>
    <w:qFormat/>
    <w:locked/>
    <w:uiPriority w:val="39"/>
    <w:pPr>
      <w:ind w:left="420" w:leftChars="200"/>
    </w:pPr>
    <w:rPr>
      <w:rFonts w:ascii="Calibri" w:hAnsi="Calibri"/>
    </w:rPr>
  </w:style>
  <w:style w:type="paragraph" w:styleId="28">
    <w:name w:val="toc 9"/>
    <w:basedOn w:val="1"/>
    <w:next w:val="1"/>
    <w:qFormat/>
    <w:locked/>
    <w:uiPriority w:val="39"/>
    <w:pPr>
      <w:ind w:left="1680"/>
    </w:pPr>
    <w:rPr>
      <w:sz w:val="18"/>
    </w:rPr>
  </w:style>
  <w:style w:type="paragraph" w:styleId="29">
    <w:name w:val="Body Text 2"/>
    <w:basedOn w:val="1"/>
    <w:unhideWhenUsed/>
    <w:qFormat/>
    <w:uiPriority w:val="0"/>
    <w:rPr>
      <w:sz w:val="24"/>
    </w:rPr>
  </w:style>
  <w:style w:type="paragraph" w:styleId="30">
    <w:name w:val="Message Header"/>
    <w:basedOn w:val="1"/>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31">
    <w:name w:val="Normal (Web)"/>
    <w:basedOn w:val="1"/>
    <w:link w:val="61"/>
    <w:qFormat/>
    <w:uiPriority w:val="0"/>
    <w:pPr>
      <w:widowControl/>
      <w:spacing w:before="100" w:beforeAutospacing="1" w:after="100" w:afterAutospacing="1"/>
      <w:jc w:val="left"/>
    </w:pPr>
    <w:rPr>
      <w:rFonts w:ascii="宋体" w:hAnsi="宋体"/>
      <w:kern w:val="0"/>
      <w:sz w:val="24"/>
    </w:rPr>
  </w:style>
  <w:style w:type="paragraph" w:styleId="32">
    <w:name w:val="Title"/>
    <w:basedOn w:val="1"/>
    <w:next w:val="1"/>
    <w:qFormat/>
    <w:locked/>
    <w:uiPriority w:val="0"/>
    <w:pPr>
      <w:jc w:val="left"/>
      <w:outlineLvl w:val="0"/>
    </w:pPr>
    <w:rPr>
      <w:rFonts w:cstheme="majorBidi"/>
      <w:b/>
      <w:bCs/>
      <w:sz w:val="24"/>
      <w:szCs w:val="32"/>
    </w:rPr>
  </w:style>
  <w:style w:type="paragraph" w:styleId="33">
    <w:name w:val="annotation subject"/>
    <w:basedOn w:val="8"/>
    <w:next w:val="8"/>
    <w:link w:val="62"/>
    <w:semiHidden/>
    <w:qFormat/>
    <w:uiPriority w:val="0"/>
    <w:rPr>
      <w:b/>
      <w:bCs/>
    </w:rPr>
  </w:style>
  <w:style w:type="paragraph" w:styleId="34">
    <w:name w:val="Body Text First Indent"/>
    <w:basedOn w:val="9"/>
    <w:next w:val="35"/>
    <w:qFormat/>
    <w:uiPriority w:val="0"/>
    <w:pPr>
      <w:ind w:firstLine="420" w:firstLineChars="100"/>
    </w:pPr>
  </w:style>
  <w:style w:type="paragraph" w:customStyle="1" w:styleId="35">
    <w:name w:val="样式 正文首行缩进 + 首行缩进:  2 字符1"/>
    <w:basedOn w:val="34"/>
    <w:next w:val="16"/>
    <w:qFormat/>
    <w:uiPriority w:val="0"/>
    <w:pPr>
      <w:spacing w:line="360" w:lineRule="auto"/>
      <w:ind w:firstLine="480" w:firstLineChars="200"/>
    </w:pPr>
    <w:rPr>
      <w:sz w:val="24"/>
    </w:rPr>
  </w:style>
  <w:style w:type="paragraph" w:styleId="36">
    <w:name w:val="Body Text First Indent 2"/>
    <w:basedOn w:val="12"/>
    <w:next w:val="1"/>
    <w:qFormat/>
    <w:uiPriority w:val="0"/>
    <w:pPr>
      <w:ind w:firstLine="420" w:firstLineChars="200"/>
    </w:pPr>
    <w:rPr>
      <w:szCs w:val="22"/>
    </w:rPr>
  </w:style>
  <w:style w:type="table" w:styleId="38">
    <w:name w:val="Table Grid"/>
    <w:basedOn w:val="3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qFormat/>
    <w:locked/>
    <w:uiPriority w:val="0"/>
    <w:rPr>
      <w:b/>
    </w:rPr>
  </w:style>
  <w:style w:type="character" w:styleId="41">
    <w:name w:val="page number"/>
    <w:basedOn w:val="39"/>
    <w:qFormat/>
    <w:uiPriority w:val="0"/>
    <w:rPr>
      <w:rFonts w:hint="default" w:ascii="Times New Roman" w:hAnsi="Times New Roman" w:cs="Times New Roman"/>
    </w:rPr>
  </w:style>
  <w:style w:type="character" w:styleId="42">
    <w:name w:val="FollowedHyperlink"/>
    <w:basedOn w:val="39"/>
    <w:qFormat/>
    <w:uiPriority w:val="0"/>
    <w:rPr>
      <w:color w:val="185ECF"/>
      <w:u w:val="none"/>
    </w:rPr>
  </w:style>
  <w:style w:type="character" w:styleId="43">
    <w:name w:val="Emphasis"/>
    <w:qFormat/>
    <w:locked/>
    <w:uiPriority w:val="0"/>
    <w:rPr>
      <w:i/>
    </w:rPr>
  </w:style>
  <w:style w:type="character" w:styleId="44">
    <w:name w:val="Hyperlink"/>
    <w:qFormat/>
    <w:uiPriority w:val="0"/>
    <w:rPr>
      <w:color w:val="0000FF"/>
      <w:u w:val="single"/>
    </w:rPr>
  </w:style>
  <w:style w:type="character" w:styleId="45">
    <w:name w:val="annotation reference"/>
    <w:basedOn w:val="39"/>
    <w:semiHidden/>
    <w:qFormat/>
    <w:uiPriority w:val="0"/>
    <w:rPr>
      <w:sz w:val="21"/>
    </w:rPr>
  </w:style>
  <w:style w:type="paragraph" w:customStyle="1" w:styleId="46">
    <w:name w:val="TOC2"/>
    <w:basedOn w:val="1"/>
    <w:next w:val="1"/>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47">
    <w:name w:val="样式 标题 1一级标题 + 段前: 0.5 行 段后: 0.5 行"/>
    <w:basedOn w:val="2"/>
    <w:qFormat/>
    <w:uiPriority w:val="99"/>
    <w:pPr>
      <w:tabs>
        <w:tab w:val="left" w:pos="4425"/>
      </w:tabs>
      <w:spacing w:line="320" w:lineRule="exact"/>
      <w:outlineLvl w:val="9"/>
    </w:pPr>
    <w:rPr>
      <w:spacing w:val="-6"/>
      <w:sz w:val="21"/>
      <w:szCs w:val="21"/>
    </w:rPr>
  </w:style>
  <w:style w:type="paragraph" w:customStyle="1" w:styleId="48">
    <w:name w:val="Default"/>
    <w:basedOn w:val="49"/>
    <w:qFormat/>
    <w:uiPriority w:val="0"/>
    <w:pPr>
      <w:widowControl w:val="0"/>
      <w:autoSpaceDE w:val="0"/>
      <w:autoSpaceDN w:val="0"/>
    </w:pPr>
    <w:rPr>
      <w:color w:val="000000"/>
    </w:rPr>
  </w:style>
  <w:style w:type="paragraph" w:customStyle="1" w:styleId="49">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50">
    <w:name w:val="BodyText"/>
    <w:basedOn w:val="1"/>
    <w:qFormat/>
    <w:uiPriority w:val="0"/>
    <w:pPr>
      <w:textAlignment w:val="baseline"/>
    </w:pPr>
    <w:rPr>
      <w:rFonts w:ascii="宋体" w:hAnsi="宋体"/>
      <w:szCs w:val="21"/>
    </w:rPr>
  </w:style>
  <w:style w:type="paragraph" w:customStyle="1" w:styleId="51">
    <w:name w:val="xl27"/>
    <w:basedOn w:val="1"/>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52">
    <w:name w:val="_Style 4"/>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53">
    <w:name w:val="内容"/>
    <w:basedOn w:val="1"/>
    <w:qFormat/>
    <w:uiPriority w:val="0"/>
    <w:pPr>
      <w:spacing w:beforeLines="50" w:afterLines="50"/>
      <w:ind w:firstLine="200" w:firstLineChars="200"/>
    </w:pPr>
    <w:rPr>
      <w:color w:val="000000"/>
      <w:sz w:val="24"/>
    </w:rPr>
  </w:style>
  <w:style w:type="character" w:customStyle="1" w:styleId="54">
    <w:name w:val="批注文字 字符"/>
    <w:link w:val="8"/>
    <w:qFormat/>
    <w:locked/>
    <w:uiPriority w:val="0"/>
    <w:rPr>
      <w:rFonts w:ascii="Times New Roman" w:hAnsi="Times New Roman" w:eastAsia="宋体"/>
      <w:sz w:val="24"/>
    </w:rPr>
  </w:style>
  <w:style w:type="character" w:customStyle="1" w:styleId="55">
    <w:name w:val="正文文本 字符"/>
    <w:link w:val="9"/>
    <w:qFormat/>
    <w:locked/>
    <w:uiPriority w:val="0"/>
    <w:rPr>
      <w:sz w:val="18"/>
    </w:rPr>
  </w:style>
  <w:style w:type="character" w:customStyle="1" w:styleId="56">
    <w:name w:val="正文文本缩进 字符"/>
    <w:link w:val="12"/>
    <w:semiHidden/>
    <w:qFormat/>
    <w:locked/>
    <w:uiPriority w:val="0"/>
    <w:rPr>
      <w:rFonts w:ascii="Times New Roman" w:hAnsi="Times New Roman" w:eastAsia="宋体" w:cs="Times New Roman"/>
      <w:sz w:val="24"/>
      <w:szCs w:val="24"/>
    </w:rPr>
  </w:style>
  <w:style w:type="character" w:customStyle="1" w:styleId="57">
    <w:name w:val="日期 字符1"/>
    <w:link w:val="17"/>
    <w:qFormat/>
    <w:locked/>
    <w:uiPriority w:val="0"/>
    <w:rPr>
      <w:rFonts w:ascii="Times New Roman" w:hAnsi="Times New Roman" w:eastAsia="宋体"/>
      <w:sz w:val="24"/>
    </w:rPr>
  </w:style>
  <w:style w:type="character" w:customStyle="1" w:styleId="58">
    <w:name w:val="批注框文本 字符"/>
    <w:link w:val="19"/>
    <w:semiHidden/>
    <w:qFormat/>
    <w:locked/>
    <w:uiPriority w:val="0"/>
    <w:rPr>
      <w:rFonts w:ascii="Times New Roman" w:hAnsi="Times New Roman" w:eastAsia="宋体" w:cs="Times New Roman"/>
      <w:sz w:val="18"/>
      <w:szCs w:val="18"/>
    </w:rPr>
  </w:style>
  <w:style w:type="character" w:customStyle="1" w:styleId="59">
    <w:name w:val="页脚 字符"/>
    <w:link w:val="20"/>
    <w:qFormat/>
    <w:locked/>
    <w:uiPriority w:val="0"/>
    <w:rPr>
      <w:rFonts w:cs="Times New Roman"/>
      <w:sz w:val="18"/>
      <w:szCs w:val="18"/>
    </w:rPr>
  </w:style>
  <w:style w:type="character" w:customStyle="1" w:styleId="60">
    <w:name w:val="页眉 字符1"/>
    <w:link w:val="21"/>
    <w:qFormat/>
    <w:locked/>
    <w:uiPriority w:val="0"/>
    <w:rPr>
      <w:rFonts w:cs="Times New Roman"/>
      <w:sz w:val="18"/>
      <w:szCs w:val="18"/>
    </w:rPr>
  </w:style>
  <w:style w:type="character" w:customStyle="1" w:styleId="61">
    <w:name w:val="普通(网站) 字符"/>
    <w:link w:val="31"/>
    <w:qFormat/>
    <w:locked/>
    <w:uiPriority w:val="0"/>
    <w:rPr>
      <w:rFonts w:ascii="宋体" w:hAnsi="宋体" w:eastAsia="宋体"/>
      <w:sz w:val="24"/>
    </w:rPr>
  </w:style>
  <w:style w:type="character" w:customStyle="1" w:styleId="62">
    <w:name w:val="批注主题 字符"/>
    <w:link w:val="33"/>
    <w:semiHidden/>
    <w:qFormat/>
    <w:locked/>
    <w:uiPriority w:val="0"/>
    <w:rPr>
      <w:rFonts w:cs="Times New Roman"/>
      <w:b/>
      <w:bCs/>
      <w:kern w:val="2"/>
      <w:szCs w:val="24"/>
    </w:rPr>
  </w:style>
  <w:style w:type="character" w:customStyle="1" w:styleId="63">
    <w:name w:val="页眉 字符"/>
    <w:qFormat/>
    <w:uiPriority w:val="0"/>
    <w:rPr>
      <w:rFonts w:hint="default" w:ascii="Calibri" w:hAnsi="Calibri" w:cs="Calibri"/>
    </w:rPr>
  </w:style>
  <w:style w:type="character" w:customStyle="1" w:styleId="64">
    <w:name w:val="普通(网站) Char"/>
    <w:qFormat/>
    <w:locked/>
    <w:uiPriority w:val="0"/>
    <w:rPr>
      <w:rFonts w:ascii="宋体" w:hAnsi="宋体" w:eastAsia="宋体"/>
      <w:sz w:val="24"/>
    </w:rPr>
  </w:style>
  <w:style w:type="character" w:customStyle="1" w:styleId="65">
    <w:name w:val="日期 字符"/>
    <w:semiHidden/>
    <w:qFormat/>
    <w:uiPriority w:val="0"/>
    <w:rPr>
      <w:rFonts w:ascii="Times New Roman" w:hAnsi="Times New Roman" w:eastAsia="宋体" w:cs="Times New Roman"/>
      <w:sz w:val="24"/>
      <w:szCs w:val="24"/>
    </w:rPr>
  </w:style>
  <w:style w:type="character" w:customStyle="1" w:styleId="66">
    <w:name w:val="批注文字 字符1"/>
    <w:semiHidden/>
    <w:qFormat/>
    <w:uiPriority w:val="0"/>
    <w:rPr>
      <w:rFonts w:ascii="Times New Roman" w:hAnsi="Times New Roman" w:eastAsia="宋体" w:cs="Times New Roman"/>
      <w:sz w:val="24"/>
      <w:szCs w:val="24"/>
    </w:rPr>
  </w:style>
  <w:style w:type="character" w:customStyle="1" w:styleId="67">
    <w:name w:val="正文文本 字符1"/>
    <w:semiHidden/>
    <w:qFormat/>
    <w:uiPriority w:val="0"/>
    <w:rPr>
      <w:rFonts w:ascii="Times New Roman" w:hAnsi="Times New Roman" w:eastAsia="宋体" w:cs="Times New Roman"/>
      <w:sz w:val="24"/>
      <w:szCs w:val="24"/>
    </w:rPr>
  </w:style>
  <w:style w:type="character" w:customStyle="1" w:styleId="68">
    <w:name w:val="表格 Char"/>
    <w:link w:val="69"/>
    <w:qFormat/>
    <w:locked/>
    <w:uiPriority w:val="0"/>
    <w:rPr>
      <w:rFonts w:ascii="宋体"/>
      <w:sz w:val="21"/>
    </w:rPr>
  </w:style>
  <w:style w:type="paragraph" w:customStyle="1" w:styleId="69">
    <w:name w:val="表格"/>
    <w:basedOn w:val="6"/>
    <w:next w:val="1"/>
    <w:link w:val="68"/>
    <w:qFormat/>
    <w:uiPriority w:val="0"/>
    <w:pPr>
      <w:adjustRightInd w:val="0"/>
      <w:snapToGrid w:val="0"/>
      <w:spacing w:beforeLines="10" w:afterLines="10" w:line="259" w:lineRule="auto"/>
      <w:jc w:val="center"/>
    </w:pPr>
    <w:rPr>
      <w:rFonts w:ascii="宋体"/>
      <w:kern w:val="0"/>
      <w:sz w:val="20"/>
      <w:szCs w:val="21"/>
    </w:rPr>
  </w:style>
  <w:style w:type="character" w:customStyle="1" w:styleId="70">
    <w:name w:val="apple-converted-space"/>
    <w:qFormat/>
    <w:uiPriority w:val="0"/>
    <w:rPr>
      <w:rFonts w:hint="default" w:ascii="Times New Roman" w:hAnsi="Times New Roman" w:cs="Times New Roman"/>
    </w:rPr>
  </w:style>
  <w:style w:type="paragraph" w:customStyle="1" w:styleId="71">
    <w:name w:val="样式 标题 1 + 首行缩进:  2 字符"/>
    <w:basedOn w:val="2"/>
    <w:qFormat/>
    <w:uiPriority w:val="0"/>
    <w:pPr>
      <w:spacing w:before="0" w:after="0" w:line="720" w:lineRule="auto"/>
      <w:ind w:firstLine="200" w:firstLineChars="200"/>
      <w:jc w:val="center"/>
    </w:pPr>
    <w:rPr>
      <w:rFonts w:ascii="黑体" w:cs="宋体"/>
      <w:kern w:val="2"/>
      <w:sz w:val="36"/>
      <w:szCs w:val="20"/>
    </w:rPr>
  </w:style>
  <w:style w:type="paragraph" w:customStyle="1" w:styleId="72">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73">
    <w:name w:val="表格标题"/>
    <w:basedOn w:val="1"/>
    <w:next w:val="1"/>
    <w:qFormat/>
    <w:uiPriority w:val="0"/>
    <w:pPr>
      <w:tabs>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74">
    <w:name w:val="【表头】"/>
    <w:basedOn w:val="75"/>
    <w:qFormat/>
    <w:uiPriority w:val="0"/>
    <w:pPr>
      <w:spacing w:line="460" w:lineRule="exact"/>
      <w:jc w:val="center"/>
    </w:pPr>
    <w:rPr>
      <w:rFonts w:eastAsia="黑体"/>
      <w:sz w:val="24"/>
    </w:rPr>
  </w:style>
  <w:style w:type="paragraph" w:customStyle="1" w:styleId="75">
    <w:name w:val="0"/>
    <w:basedOn w:val="1"/>
    <w:qFormat/>
    <w:uiPriority w:val="99"/>
    <w:pPr>
      <w:widowControl/>
      <w:snapToGrid w:val="0"/>
      <w:jc w:val="left"/>
    </w:pPr>
    <w:rPr>
      <w:rFonts w:ascii="宋体"/>
      <w:kern w:val="0"/>
      <w:sz w:val="20"/>
      <w:szCs w:val="20"/>
    </w:rPr>
  </w:style>
  <w:style w:type="paragraph" w:customStyle="1" w:styleId="76">
    <w:name w:val="【正文】"/>
    <w:basedOn w:val="1"/>
    <w:next w:val="30"/>
    <w:qFormat/>
    <w:uiPriority w:val="0"/>
    <w:pPr>
      <w:spacing w:line="440" w:lineRule="exact"/>
      <w:ind w:firstLine="544"/>
    </w:pPr>
    <w:rPr>
      <w:rFonts w:cs="宋体"/>
      <w:szCs w:val="20"/>
    </w:rPr>
  </w:style>
  <w:style w:type="paragraph" w:customStyle="1" w:styleId="77">
    <w:name w:val="正文00"/>
    <w:basedOn w:val="1"/>
    <w:qFormat/>
    <w:uiPriority w:val="0"/>
    <w:pPr>
      <w:widowControl/>
      <w:spacing w:line="425" w:lineRule="atLeast"/>
      <w:ind w:left="107" w:leftChars="51" w:right="124" w:rightChars="59" w:firstLine="480"/>
      <w:textAlignment w:val="baseline"/>
    </w:pPr>
    <w:rPr>
      <w:rFonts w:ascii="Calibri"/>
      <w:sz w:val="28"/>
    </w:rPr>
  </w:style>
  <w:style w:type="paragraph" w:customStyle="1" w:styleId="78">
    <w:name w:val="表头"/>
    <w:basedOn w:val="23"/>
    <w:next w:val="1"/>
    <w:qFormat/>
    <w:uiPriority w:val="0"/>
    <w:rPr>
      <w:rFonts w:eastAsia="黑体"/>
    </w:rPr>
  </w:style>
  <w:style w:type="paragraph" w:customStyle="1" w:styleId="79">
    <w:name w:val="样式4"/>
    <w:basedOn w:val="9"/>
    <w:qFormat/>
    <w:uiPriority w:val="0"/>
    <w:pPr>
      <w:adjustRightInd w:val="0"/>
      <w:jc w:val="center"/>
    </w:pPr>
    <w:rPr>
      <w:sz w:val="24"/>
    </w:rPr>
  </w:style>
  <w:style w:type="paragraph" w:customStyle="1" w:styleId="80">
    <w:name w:val="Table Paragraph"/>
    <w:basedOn w:val="1"/>
    <w:unhideWhenUsed/>
    <w:qFormat/>
    <w:uiPriority w:val="1"/>
    <w:rPr>
      <w:sz w:val="24"/>
    </w:rPr>
  </w:style>
  <w:style w:type="paragraph" w:customStyle="1" w:styleId="81">
    <w:name w:val="煤炭资源普查报告格式"/>
    <w:basedOn w:val="1"/>
    <w:qFormat/>
    <w:uiPriority w:val="0"/>
    <w:pPr>
      <w:spacing w:line="500" w:lineRule="exact"/>
    </w:pPr>
  </w:style>
  <w:style w:type="paragraph" w:customStyle="1" w:styleId="82">
    <w:name w:val="表头文字"/>
    <w:basedOn w:val="1"/>
    <w:qFormat/>
    <w:uiPriority w:val="0"/>
    <w:pPr>
      <w:adjustRightInd w:val="0"/>
      <w:jc w:val="center"/>
    </w:pPr>
    <w:rPr>
      <w:sz w:val="28"/>
      <w:szCs w:val="20"/>
    </w:rPr>
  </w:style>
  <w:style w:type="paragraph" w:customStyle="1" w:styleId="83">
    <w:name w:val="标题4"/>
    <w:basedOn w:val="77"/>
    <w:qFormat/>
    <w:uiPriority w:val="0"/>
    <w:pPr>
      <w:ind w:left="51" w:right="59" w:firstLine="100" w:firstLineChars="100"/>
    </w:pPr>
    <w:rPr>
      <w:b/>
    </w:rPr>
  </w:style>
  <w:style w:type="paragraph" w:customStyle="1" w:styleId="84">
    <w:name w:val="正文----------------"/>
    <w:basedOn w:val="1"/>
    <w:qFormat/>
    <w:uiPriority w:val="0"/>
    <w:pPr>
      <w:spacing w:line="440" w:lineRule="exact"/>
      <w:ind w:firstLine="544" w:firstLineChars="200"/>
    </w:pPr>
    <w:rPr>
      <w:rFonts w:ascii="Calibri" w:cs="宋体"/>
      <w:spacing w:val="16"/>
      <w:szCs w:val="20"/>
    </w:rPr>
  </w:style>
  <w:style w:type="paragraph" w:customStyle="1" w:styleId="85">
    <w:name w:val="表文"/>
    <w:basedOn w:val="1"/>
    <w:qFormat/>
    <w:uiPriority w:val="0"/>
    <w:pPr>
      <w:tabs>
        <w:tab w:val="left" w:pos="6480"/>
      </w:tabs>
      <w:spacing w:line="360" w:lineRule="exact"/>
    </w:pPr>
    <w:rPr>
      <w:rFonts w:ascii="宋体" w:hAnsi="宋体"/>
      <w:sz w:val="24"/>
    </w:rPr>
  </w:style>
  <w:style w:type="paragraph" w:customStyle="1" w:styleId="86">
    <w:name w:val="表格文字"/>
    <w:basedOn w:val="1"/>
    <w:link w:val="153"/>
    <w:qFormat/>
    <w:uiPriority w:val="0"/>
    <w:pPr>
      <w:jc w:val="center"/>
    </w:pPr>
    <w:rPr>
      <w:rFonts w:ascii="new times roma" w:hAnsi="new times roma"/>
    </w:rPr>
  </w:style>
  <w:style w:type="paragraph" w:styleId="87">
    <w:name w:val="No Spacing"/>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8">
    <w:name w:val="表格内容"/>
    <w:basedOn w:val="89"/>
    <w:next w:val="1"/>
    <w:qFormat/>
    <w:uiPriority w:val="0"/>
    <w:pPr>
      <w:spacing w:line="240" w:lineRule="exact"/>
    </w:pPr>
    <w:rPr>
      <w:snapToGrid w:val="0"/>
      <w:color w:val="FF0000"/>
      <w:kern w:val="0"/>
      <w:sz w:val="21"/>
      <w:szCs w:val="21"/>
    </w:rPr>
  </w:style>
  <w:style w:type="paragraph" w:customStyle="1" w:styleId="89">
    <w:name w:val="封皮-证书编号"/>
    <w:basedOn w:val="1"/>
    <w:qFormat/>
    <w:uiPriority w:val="0"/>
    <w:pPr>
      <w:jc w:val="center"/>
    </w:pPr>
    <w:rPr>
      <w:rFonts w:eastAsia="黑体"/>
      <w:sz w:val="28"/>
    </w:rPr>
  </w:style>
  <w:style w:type="paragraph" w:customStyle="1" w:styleId="9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91">
    <w:name w:val="表头-------------"/>
    <w:basedOn w:val="1"/>
    <w:qFormat/>
    <w:uiPriority w:val="0"/>
    <w:pPr>
      <w:spacing w:line="460" w:lineRule="exact"/>
      <w:jc w:val="center"/>
    </w:pPr>
    <w:rPr>
      <w:rFonts w:ascii="Calibri" w:eastAsia="黑体" w:cs="宋体"/>
      <w:szCs w:val="20"/>
    </w:rPr>
  </w:style>
  <w:style w:type="paragraph" w:customStyle="1" w:styleId="92">
    <w:name w:val="正文01"/>
    <w:basedOn w:val="1"/>
    <w:qFormat/>
    <w:uiPriority w:val="0"/>
    <w:pPr>
      <w:spacing w:before="60" w:line="460" w:lineRule="exact"/>
      <w:ind w:firstLine="200" w:firstLineChars="200"/>
    </w:pPr>
    <w:rPr>
      <w:snapToGrid w:val="0"/>
      <w:kern w:val="0"/>
      <w:sz w:val="24"/>
    </w:rPr>
  </w:style>
  <w:style w:type="paragraph" w:customStyle="1" w:styleId="93">
    <w:name w:val="样式 正文文字-1 + 首行缩进:  2.1 字符1"/>
    <w:basedOn w:val="94"/>
    <w:qFormat/>
    <w:uiPriority w:val="0"/>
    <w:pPr>
      <w:spacing w:line="440" w:lineRule="exact"/>
      <w:ind w:firstLine="210"/>
    </w:pPr>
    <w:rPr>
      <w:rFonts w:cs="宋体"/>
      <w:szCs w:val="20"/>
    </w:rPr>
  </w:style>
  <w:style w:type="paragraph" w:customStyle="1" w:styleId="94">
    <w:name w:val="正文文字-1 Char"/>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95">
    <w:name w:val="表格正文"/>
    <w:basedOn w:val="1"/>
    <w:qFormat/>
    <w:uiPriority w:val="0"/>
    <w:pPr>
      <w:spacing w:line="360" w:lineRule="exact"/>
      <w:ind w:firstLine="640" w:firstLineChars="200"/>
      <w:jc w:val="center"/>
    </w:pPr>
    <w:rPr>
      <w:sz w:val="28"/>
      <w:szCs w:val="28"/>
    </w:rPr>
  </w:style>
  <w:style w:type="paragraph" w:customStyle="1" w:styleId="96">
    <w:name w:val="Table caption|1"/>
    <w:basedOn w:val="1"/>
    <w:qFormat/>
    <w:uiPriority w:val="0"/>
    <w:rPr>
      <w:rFonts w:ascii="宋体" w:hAnsi="宋体" w:cs="宋体"/>
      <w:sz w:val="13"/>
      <w:szCs w:val="13"/>
      <w:lang w:val="zh-TW" w:eastAsia="zh-TW" w:bidi="zh-TW"/>
    </w:rPr>
  </w:style>
  <w:style w:type="paragraph" w:customStyle="1" w:styleId="97">
    <w:name w:val="报告书正文"/>
    <w:basedOn w:val="1"/>
    <w:qFormat/>
    <w:uiPriority w:val="0"/>
    <w:pPr>
      <w:adjustRightInd w:val="0"/>
      <w:snapToGrid w:val="0"/>
      <w:spacing w:line="360" w:lineRule="auto"/>
      <w:ind w:firstLine="425"/>
      <w:textAlignment w:val="baseline"/>
    </w:pPr>
    <w:rPr>
      <w:rFonts w:ascii="Arial" w:hAnsi="Arial"/>
      <w:kern w:val="0"/>
      <w:sz w:val="24"/>
    </w:rPr>
  </w:style>
  <w:style w:type="paragraph" w:customStyle="1" w:styleId="98">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99">
    <w:name w:val="正文_14"/>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0">
    <w:name w:val="正文_15"/>
    <w:qFormat/>
    <w:uiPriority w:val="0"/>
    <w:pPr>
      <w:widowControl w:val="0"/>
      <w:jc w:val="both"/>
    </w:pPr>
    <w:rPr>
      <w:rFonts w:ascii="Times New Roman" w:hAnsi="Times New Roman" w:eastAsia="宋体" w:cs="Times New Roman"/>
      <w:kern w:val="2"/>
      <w:sz w:val="21"/>
      <w:lang w:val="en-US" w:eastAsia="zh-CN" w:bidi="ar-SA"/>
    </w:rPr>
  </w:style>
  <w:style w:type="paragraph" w:styleId="101">
    <w:name w:val="List Paragraph"/>
    <w:basedOn w:val="1"/>
    <w:qFormat/>
    <w:uiPriority w:val="34"/>
    <w:pPr>
      <w:ind w:firstLine="420" w:firstLineChars="200"/>
    </w:pPr>
    <w:rPr>
      <w:szCs w:val="22"/>
    </w:rPr>
  </w:style>
  <w:style w:type="paragraph" w:customStyle="1" w:styleId="102">
    <w:name w:val="表中字"/>
    <w:qFormat/>
    <w:uiPriority w:val="0"/>
    <w:pPr>
      <w:jc w:val="center"/>
    </w:pPr>
    <w:rPr>
      <w:rFonts w:ascii="Times New Roman" w:hAnsi="Times New Roman" w:eastAsia="宋体" w:cs="Times New Roman"/>
      <w:kern w:val="2"/>
      <w:sz w:val="21"/>
      <w:szCs w:val="22"/>
      <w:lang w:val="zh-CN" w:eastAsia="zh-CN" w:bidi="ar-SA"/>
    </w:rPr>
  </w:style>
  <w:style w:type="paragraph" w:customStyle="1" w:styleId="103">
    <w:name w:val="样式 Times New Roman 五号 居中1"/>
    <w:basedOn w:val="1"/>
    <w:qFormat/>
    <w:uiPriority w:val="0"/>
    <w:pPr>
      <w:jc w:val="center"/>
    </w:pPr>
    <w:rPr>
      <w:rFonts w:cs="宋体"/>
      <w:szCs w:val="20"/>
    </w:rPr>
  </w:style>
  <w:style w:type="paragraph" w:customStyle="1" w:styleId="104">
    <w:name w:val="_Style 3"/>
    <w:basedOn w:val="1"/>
    <w:qFormat/>
    <w:uiPriority w:val="34"/>
    <w:pPr>
      <w:ind w:firstLine="420" w:firstLineChars="200"/>
    </w:pPr>
    <w:rPr>
      <w:rFonts w:ascii="Calibri" w:hAnsi="Calibri"/>
      <w:szCs w:val="22"/>
    </w:rPr>
  </w:style>
  <w:style w:type="paragraph" w:customStyle="1" w:styleId="105">
    <w:name w:val="表1"/>
    <w:next w:val="1"/>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06">
    <w:name w:val="Body text|4"/>
    <w:basedOn w:val="1"/>
    <w:qFormat/>
    <w:uiPriority w:val="0"/>
    <w:pPr>
      <w:spacing w:line="434" w:lineRule="auto"/>
      <w:ind w:firstLine="500"/>
    </w:pPr>
    <w:rPr>
      <w:color w:val="FF0000"/>
    </w:rPr>
  </w:style>
  <w:style w:type="paragraph" w:customStyle="1" w:styleId="107">
    <w:name w:val="Body text|1"/>
    <w:basedOn w:val="1"/>
    <w:qFormat/>
    <w:uiPriority w:val="0"/>
    <w:pPr>
      <w:spacing w:line="480" w:lineRule="auto"/>
      <w:ind w:firstLine="400"/>
    </w:pPr>
    <w:rPr>
      <w:rFonts w:ascii="宋体" w:hAnsi="宋体" w:cs="宋体"/>
      <w:sz w:val="22"/>
      <w:szCs w:val="22"/>
      <w:lang w:val="zh-TW" w:eastAsia="zh-TW" w:bidi="zh-TW"/>
    </w:rPr>
  </w:style>
  <w:style w:type="paragraph" w:customStyle="1" w:styleId="108">
    <w:name w:val="Other|1"/>
    <w:basedOn w:val="1"/>
    <w:qFormat/>
    <w:uiPriority w:val="0"/>
    <w:pPr>
      <w:jc w:val="center"/>
    </w:pPr>
    <w:rPr>
      <w:rFonts w:ascii="宋体" w:hAnsi="宋体" w:cs="宋体"/>
      <w:sz w:val="20"/>
      <w:szCs w:val="20"/>
      <w:lang w:val="zh-TW" w:eastAsia="zh-TW" w:bidi="zh-TW"/>
    </w:rPr>
  </w:style>
  <w:style w:type="paragraph" w:customStyle="1" w:styleId="109">
    <w:name w:val="首行缩进表格正文"/>
    <w:basedOn w:val="1"/>
    <w:qFormat/>
    <w:uiPriority w:val="0"/>
    <w:pPr>
      <w:spacing w:line="360" w:lineRule="auto"/>
      <w:ind w:firstLine="720" w:firstLineChars="200"/>
      <w:jc w:val="left"/>
    </w:pPr>
  </w:style>
  <w:style w:type="paragraph" w:customStyle="1" w:styleId="110">
    <w:name w:val="C首行缩进正文"/>
    <w:basedOn w:val="76"/>
    <w:qFormat/>
    <w:uiPriority w:val="0"/>
    <w:pPr>
      <w:spacing w:line="360" w:lineRule="auto"/>
      <w:ind w:firstLine="200"/>
    </w:pPr>
    <w:rPr>
      <w:color w:val="000000"/>
    </w:rPr>
  </w:style>
  <w:style w:type="paragraph" w:customStyle="1" w:styleId="111">
    <w:name w:val="C【表中文字】-"/>
    <w:basedOn w:val="1"/>
    <w:qFormat/>
    <w:uiPriority w:val="0"/>
    <w:pPr>
      <w:adjustRightInd w:val="0"/>
      <w:snapToGrid w:val="0"/>
      <w:jc w:val="center"/>
    </w:pPr>
    <w:rPr>
      <w:kern w:val="0"/>
      <w:szCs w:val="20"/>
    </w:rPr>
  </w:style>
  <w:style w:type="paragraph" w:customStyle="1" w:styleId="112">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13">
    <w:name w:val="11111"/>
    <w:basedOn w:val="1"/>
    <w:next w:val="1"/>
    <w:qFormat/>
    <w:uiPriority w:val="0"/>
    <w:pPr>
      <w:spacing w:line="360" w:lineRule="auto"/>
      <w:ind w:firstLine="200" w:firstLineChars="200"/>
    </w:pPr>
    <w:rPr>
      <w:rFonts w:hAnsi="宋体" w:cs="宋体"/>
    </w:rPr>
  </w:style>
  <w:style w:type="character" w:customStyle="1" w:styleId="114">
    <w:name w:val="chakan"/>
    <w:basedOn w:val="39"/>
    <w:qFormat/>
    <w:uiPriority w:val="0"/>
    <w:rPr>
      <w:color w:val="0064EA"/>
    </w:rPr>
  </w:style>
  <w:style w:type="character" w:customStyle="1" w:styleId="115">
    <w:name w:val="checkbox2"/>
    <w:basedOn w:val="39"/>
    <w:qFormat/>
    <w:uiPriority w:val="0"/>
  </w:style>
  <w:style w:type="character" w:customStyle="1" w:styleId="116">
    <w:name w:val="shenbao"/>
    <w:basedOn w:val="39"/>
    <w:qFormat/>
    <w:uiPriority w:val="0"/>
    <w:rPr>
      <w:color w:val="EF6334"/>
    </w:rPr>
  </w:style>
  <w:style w:type="character" w:customStyle="1" w:styleId="117">
    <w:name w:val="checkbox"/>
    <w:basedOn w:val="39"/>
    <w:qFormat/>
    <w:uiPriority w:val="0"/>
  </w:style>
  <w:style w:type="paragraph" w:customStyle="1" w:styleId="118">
    <w:name w:val="表中"/>
    <w:basedOn w:val="1"/>
    <w:qFormat/>
    <w:uiPriority w:val="0"/>
    <w:pPr>
      <w:spacing w:line="240" w:lineRule="exact"/>
    </w:pPr>
    <w:rPr>
      <w:szCs w:val="21"/>
    </w:rPr>
  </w:style>
  <w:style w:type="paragraph" w:customStyle="1" w:styleId="119">
    <w:name w:val="中文报告书样式"/>
    <w:basedOn w:val="1"/>
    <w:qFormat/>
    <w:uiPriority w:val="0"/>
    <w:pPr>
      <w:adjustRightInd w:val="0"/>
      <w:spacing w:line="480" w:lineRule="atLeast"/>
      <w:ind w:firstLine="482"/>
      <w:textAlignment w:val="baseline"/>
    </w:pPr>
    <w:rPr>
      <w:kern w:val="24"/>
      <w:szCs w:val="20"/>
    </w:rPr>
  </w:style>
  <w:style w:type="paragraph" w:customStyle="1" w:styleId="120">
    <w:name w:val="UserStyle_0"/>
    <w:basedOn w:val="121"/>
    <w:next w:val="122"/>
    <w:qFormat/>
    <w:uiPriority w:val="0"/>
    <w:pPr>
      <w:spacing w:line="360" w:lineRule="auto"/>
      <w:ind w:firstLine="480" w:firstLineChars="200"/>
    </w:pPr>
    <w:rPr>
      <w:rFonts w:ascii="Calibri" w:hAnsi="Calibri"/>
      <w:sz w:val="24"/>
      <w:szCs w:val="22"/>
    </w:rPr>
  </w:style>
  <w:style w:type="paragraph" w:customStyle="1" w:styleId="121">
    <w:name w:val="UserStyle_1"/>
    <w:basedOn w:val="1"/>
    <w:next w:val="1"/>
    <w:qFormat/>
    <w:uiPriority w:val="0"/>
    <w:pPr>
      <w:spacing w:after="120"/>
      <w:textAlignment w:val="baseline"/>
    </w:pPr>
  </w:style>
  <w:style w:type="paragraph" w:customStyle="1" w:styleId="122">
    <w:name w:val="TOC1"/>
    <w:basedOn w:val="1"/>
    <w:next w:val="1"/>
    <w:qFormat/>
    <w:uiPriority w:val="0"/>
    <w:pPr>
      <w:spacing w:line="360" w:lineRule="auto"/>
      <w:textAlignment w:val="baseline"/>
    </w:pPr>
    <w:rPr>
      <w:rFonts w:ascii="Calibri" w:hAnsi="Calibri"/>
      <w:b/>
      <w:sz w:val="24"/>
      <w:szCs w:val="22"/>
    </w:rPr>
  </w:style>
  <w:style w:type="character" w:customStyle="1" w:styleId="123">
    <w:name w:val="NormalCharacter"/>
    <w:qFormat/>
    <w:uiPriority w:val="0"/>
    <w:rPr>
      <w:kern w:val="2"/>
      <w:sz w:val="21"/>
      <w:szCs w:val="24"/>
      <w:lang w:val="en-US" w:eastAsia="zh-CN" w:bidi="ar-SA"/>
    </w:rPr>
  </w:style>
  <w:style w:type="paragraph" w:customStyle="1" w:styleId="124">
    <w:name w:val="表头1"/>
    <w:basedOn w:val="125"/>
    <w:next w:val="1"/>
    <w:qFormat/>
    <w:uiPriority w:val="0"/>
    <w:pPr>
      <w:spacing w:before="120" w:beforeLines="50"/>
    </w:pPr>
  </w:style>
  <w:style w:type="paragraph" w:customStyle="1" w:styleId="125">
    <w:name w:val="文华表标题"/>
    <w:basedOn w:val="126"/>
    <w:qFormat/>
    <w:uiPriority w:val="0"/>
    <w:pPr>
      <w:spacing w:line="240" w:lineRule="auto"/>
      <w:ind w:firstLine="0"/>
      <w:jc w:val="center"/>
    </w:pPr>
    <w:rPr>
      <w:rFonts w:eastAsia="黑体"/>
    </w:rPr>
  </w:style>
  <w:style w:type="paragraph" w:customStyle="1" w:styleId="126">
    <w:name w:val="文华表正文"/>
    <w:basedOn w:val="72"/>
    <w:qFormat/>
    <w:uiPriority w:val="0"/>
  </w:style>
  <w:style w:type="paragraph" w:customStyle="1" w:styleId="127">
    <w:name w:val="xl25"/>
    <w:basedOn w:val="1"/>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8">
    <w:name w:val="xl36"/>
    <w:basedOn w:val="1"/>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29">
    <w:name w:val="文华表1级标题1"/>
    <w:basedOn w:val="2"/>
    <w:next w:val="130"/>
    <w:qFormat/>
    <w:uiPriority w:val="0"/>
    <w:pPr>
      <w:keepNext w:val="0"/>
    </w:pPr>
    <w:rPr>
      <w:kern w:val="4"/>
      <w:sz w:val="28"/>
    </w:rPr>
  </w:style>
  <w:style w:type="paragraph" w:customStyle="1" w:styleId="130">
    <w:name w:val="文本正文"/>
    <w:basedOn w:val="1"/>
    <w:qFormat/>
    <w:uiPriority w:val="0"/>
    <w:pPr>
      <w:spacing w:line="360" w:lineRule="auto"/>
      <w:ind w:firstLine="480" w:firstLineChars="200"/>
    </w:pPr>
    <w:rPr>
      <w:rFonts w:ascii="Calibri" w:hAnsi="Calibri"/>
      <w:sz w:val="24"/>
    </w:rPr>
  </w:style>
  <w:style w:type="paragraph" w:customStyle="1" w:styleId="131">
    <w:name w:val="zxzx书正文"/>
    <w:basedOn w:val="1"/>
    <w:qFormat/>
    <w:uiPriority w:val="0"/>
    <w:pPr>
      <w:widowControl/>
      <w:spacing w:line="440" w:lineRule="exact"/>
      <w:ind w:firstLine="880" w:firstLineChars="200"/>
      <w:jc w:val="left"/>
    </w:pPr>
    <w:rPr>
      <w:sz w:val="24"/>
    </w:rPr>
  </w:style>
  <w:style w:type="paragraph" w:customStyle="1" w:styleId="132">
    <w:name w:val="正文--环评"/>
    <w:basedOn w:val="1"/>
    <w:qFormat/>
    <w:uiPriority w:val="0"/>
    <w:pPr>
      <w:spacing w:line="360" w:lineRule="auto"/>
      <w:ind w:firstLine="480" w:firstLineChars="200"/>
    </w:pPr>
    <w:rPr>
      <w:rFonts w:cs="宋体"/>
      <w:color w:val="000000"/>
      <w:spacing w:val="0"/>
      <w:sz w:val="24"/>
    </w:rPr>
  </w:style>
  <w:style w:type="paragraph" w:customStyle="1" w:styleId="133">
    <w:name w:val="表中文字（工大）"/>
    <w:basedOn w:val="1"/>
    <w:qFormat/>
    <w:uiPriority w:val="0"/>
    <w:pPr>
      <w:spacing w:line="440" w:lineRule="exact"/>
      <w:jc w:val="center"/>
    </w:pPr>
    <w:rPr>
      <w:sz w:val="21"/>
      <w:szCs w:val="20"/>
    </w:rPr>
  </w:style>
  <w:style w:type="character" w:customStyle="1" w:styleId="134">
    <w:name w:val="font11"/>
    <w:basedOn w:val="39"/>
    <w:qFormat/>
    <w:uiPriority w:val="0"/>
    <w:rPr>
      <w:rFonts w:hint="default" w:ascii="Times New Roman" w:hAnsi="Times New Roman" w:cs="Times New Roman"/>
      <w:color w:val="000000"/>
      <w:sz w:val="18"/>
      <w:szCs w:val="18"/>
      <w:u w:val="none"/>
    </w:rPr>
  </w:style>
  <w:style w:type="character" w:customStyle="1" w:styleId="135">
    <w:name w:val="font21"/>
    <w:basedOn w:val="39"/>
    <w:qFormat/>
    <w:uiPriority w:val="0"/>
    <w:rPr>
      <w:rFonts w:hint="eastAsia" w:ascii="宋体" w:hAnsi="宋体" w:eastAsia="宋体" w:cs="宋体"/>
      <w:color w:val="000000"/>
      <w:sz w:val="18"/>
      <w:szCs w:val="18"/>
      <w:u w:val="none"/>
    </w:rPr>
  </w:style>
  <w:style w:type="paragraph" w:customStyle="1" w:styleId="136">
    <w:name w:val="文本框样式"/>
    <w:basedOn w:val="1"/>
    <w:qFormat/>
    <w:uiPriority w:val="0"/>
    <w:pPr>
      <w:spacing w:line="240" w:lineRule="auto"/>
      <w:ind w:firstLine="0" w:firstLineChars="0"/>
      <w:jc w:val="center"/>
    </w:pPr>
    <w:rPr>
      <w:sz w:val="21"/>
    </w:rPr>
  </w:style>
  <w:style w:type="paragraph" w:customStyle="1" w:styleId="137">
    <w:name w:val="表"/>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8">
    <w:name w:val="cucd-0"/>
    <w:qFormat/>
    <w:uiPriority w:val="0"/>
    <w:pPr>
      <w:numPr>
        <w:ilvl w:val="0"/>
        <w:numId w:val="2"/>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39">
    <w:name w:val="段落正文"/>
    <w:basedOn w:val="1"/>
    <w:qFormat/>
    <w:uiPriority w:val="0"/>
    <w:pPr>
      <w:widowControl w:val="0"/>
      <w:spacing w:line="500" w:lineRule="atLeast"/>
    </w:pPr>
    <w:rPr>
      <w:rFonts w:eastAsia="仿宋_GB2312"/>
      <w:szCs w:val="28"/>
    </w:rPr>
  </w:style>
  <w:style w:type="character" w:customStyle="1" w:styleId="140">
    <w:name w:val="标题 1 Char1"/>
    <w:link w:val="2"/>
    <w:qFormat/>
    <w:uiPriority w:val="0"/>
    <w:rPr>
      <w:rFonts w:eastAsia="黑体"/>
      <w:b/>
      <w:bCs/>
      <w:color w:val="000000"/>
      <w:kern w:val="44"/>
      <w:sz w:val="30"/>
      <w:szCs w:val="30"/>
    </w:rPr>
  </w:style>
  <w:style w:type="character" w:customStyle="1" w:styleId="141">
    <w:name w:val="标题 2 Char"/>
    <w:link w:val="3"/>
    <w:qFormat/>
    <w:uiPriority w:val="0"/>
    <w:rPr>
      <w:rFonts w:ascii="Arial" w:hAnsi="Arial" w:eastAsia="黑体"/>
      <w:b/>
      <w:bCs/>
      <w:sz w:val="32"/>
      <w:szCs w:val="32"/>
    </w:rPr>
  </w:style>
  <w:style w:type="paragraph" w:customStyle="1" w:styleId="142">
    <w:name w:val="表体"/>
    <w:basedOn w:val="1"/>
    <w:qFormat/>
    <w:uiPriority w:val="0"/>
    <w:pPr>
      <w:spacing w:line="240" w:lineRule="auto"/>
    </w:pPr>
    <w:rPr>
      <w:sz w:val="21"/>
      <w:szCs w:val="21"/>
    </w:rPr>
  </w:style>
  <w:style w:type="paragraph" w:customStyle="1" w:styleId="143">
    <w:name w:val="Char Char Char Char Char Char Char2"/>
    <w:basedOn w:val="1"/>
    <w:qFormat/>
    <w:uiPriority w:val="0"/>
    <w:pPr>
      <w:snapToGrid w:val="0"/>
      <w:spacing w:line="360" w:lineRule="auto"/>
      <w:ind w:firstLine="529" w:firstLineChars="200"/>
    </w:pPr>
  </w:style>
  <w:style w:type="paragraph" w:customStyle="1" w:styleId="144">
    <w:name w:val="表格题目"/>
    <w:basedOn w:val="1"/>
    <w:qFormat/>
    <w:uiPriority w:val="0"/>
    <w:pPr>
      <w:spacing w:line="240" w:lineRule="atLeast"/>
      <w:jc w:val="center"/>
    </w:pPr>
    <w:rPr>
      <w:rFonts w:ascii="黑体" w:hAnsi="宋体" w:eastAsia="黑体"/>
      <w:sz w:val="24"/>
    </w:rPr>
  </w:style>
  <w:style w:type="table" w:customStyle="1" w:styleId="145">
    <w:name w:val="Table Normal"/>
    <w:semiHidden/>
    <w:unhideWhenUsed/>
    <w:qFormat/>
    <w:uiPriority w:val="0"/>
    <w:tblPr>
      <w:tblCellMar>
        <w:top w:w="0" w:type="dxa"/>
        <w:left w:w="0" w:type="dxa"/>
        <w:bottom w:w="0" w:type="dxa"/>
        <w:right w:w="0" w:type="dxa"/>
      </w:tblCellMar>
    </w:tblPr>
  </w:style>
  <w:style w:type="character" w:customStyle="1" w:styleId="146">
    <w:name w:val="正文（首行缩进两字） Char"/>
    <w:qFormat/>
    <w:uiPriority w:val="0"/>
    <w:rPr>
      <w:rFonts w:eastAsia="宋体"/>
      <w:kern w:val="2"/>
      <w:sz w:val="24"/>
      <w:lang w:val="en-US" w:eastAsia="zh-CN"/>
    </w:rPr>
  </w:style>
  <w:style w:type="paragraph" w:customStyle="1" w:styleId="147">
    <w:name w:val="表中文字"/>
    <w:basedOn w:val="1"/>
    <w:qFormat/>
    <w:uiPriority w:val="0"/>
    <w:pPr>
      <w:jc w:val="center"/>
    </w:pPr>
    <w:rPr>
      <w:szCs w:val="20"/>
    </w:rPr>
  </w:style>
  <w:style w:type="paragraph" w:customStyle="1" w:styleId="148">
    <w:name w:val="正文格式"/>
    <w:basedOn w:val="1"/>
    <w:next w:val="1"/>
    <w:qFormat/>
    <w:uiPriority w:val="0"/>
    <w:pPr>
      <w:spacing w:line="360" w:lineRule="auto"/>
      <w:ind w:firstLine="482"/>
    </w:pPr>
  </w:style>
  <w:style w:type="paragraph" w:customStyle="1" w:styleId="149">
    <w:name w:val="Table Text"/>
    <w:basedOn w:val="1"/>
    <w:semiHidden/>
    <w:qFormat/>
    <w:uiPriority w:val="0"/>
    <w:rPr>
      <w:rFonts w:ascii="宋体" w:hAnsi="宋体" w:eastAsia="宋体" w:cs="宋体"/>
      <w:sz w:val="24"/>
      <w:szCs w:val="24"/>
      <w:lang w:val="en-US" w:eastAsia="en-US" w:bidi="ar-SA"/>
    </w:rPr>
  </w:style>
  <w:style w:type="paragraph" w:customStyle="1" w:styleId="150">
    <w:name w:val="【表中文字】"/>
    <w:basedOn w:val="151"/>
    <w:qFormat/>
    <w:uiPriority w:val="0"/>
    <w:pPr>
      <w:jc w:val="center"/>
    </w:pPr>
    <w:rPr>
      <w:kern w:val="0"/>
      <w:szCs w:val="20"/>
    </w:rPr>
  </w:style>
  <w:style w:type="paragraph" w:customStyle="1" w:styleId="151">
    <w:name w:val=".表1-1-1内容"/>
    <w:basedOn w:val="1"/>
    <w:qFormat/>
    <w:uiPriority w:val="0"/>
    <w:pPr>
      <w:spacing w:line="300" w:lineRule="exact"/>
      <w:jc w:val="center"/>
    </w:pPr>
    <w:rPr>
      <w:kern w:val="0"/>
      <w:szCs w:val="21"/>
    </w:rPr>
  </w:style>
  <w:style w:type="paragraph" w:customStyle="1" w:styleId="152">
    <w:name w:val="a正文"/>
    <w:basedOn w:val="148"/>
    <w:qFormat/>
    <w:uiPriority w:val="0"/>
    <w:pPr>
      <w:spacing w:line="520" w:lineRule="exact"/>
      <w:ind w:firstLine="200" w:firstLineChars="200"/>
    </w:pPr>
    <w:rPr>
      <w:kern w:val="0"/>
      <w:szCs w:val="21"/>
    </w:rPr>
  </w:style>
  <w:style w:type="character" w:customStyle="1" w:styleId="153">
    <w:name w:val="表格文字 Char"/>
    <w:link w:val="86"/>
    <w:qFormat/>
    <w:uiPriority w:val="0"/>
    <w:rPr>
      <w:rFonts w:ascii="new times roma" w:hAnsi="new times roma"/>
    </w:rPr>
  </w:style>
  <w:style w:type="paragraph" w:customStyle="1" w:styleId="154">
    <w:name w:val="表表头"/>
    <w:basedOn w:val="1"/>
    <w:qFormat/>
    <w:uiPriority w:val="0"/>
    <w:pPr>
      <w:jc w:val="center"/>
    </w:pPr>
    <w:rPr>
      <w:rFonts w:ascii="Calibri" w:hAnsi="Calibri" w:eastAsia="黑体"/>
    </w:rPr>
  </w:style>
  <w:style w:type="paragraph" w:customStyle="1" w:styleId="155">
    <w:name w:val="列出段落1"/>
    <w:basedOn w:val="1"/>
    <w:qFormat/>
    <w:uiPriority w:val="0"/>
    <w:pPr>
      <w:ind w:firstLine="420" w:firstLineChars="200"/>
    </w:pPr>
  </w:style>
  <w:style w:type="paragraph" w:customStyle="1" w:styleId="156">
    <w:name w:val="盂县"/>
    <w:basedOn w:val="1"/>
    <w:qFormat/>
    <w:uiPriority w:val="0"/>
    <w:pPr>
      <w:adjustRightInd w:val="0"/>
      <w:snapToGrid w:val="0"/>
      <w:spacing w:line="312" w:lineRule="auto"/>
      <w:ind w:firstLine="560" w:firstLineChars="200"/>
    </w:pPr>
    <w:rPr>
      <w:sz w:val="28"/>
    </w:rPr>
  </w:style>
  <w:style w:type="paragraph" w:customStyle="1" w:styleId="157">
    <w:name w:val="首行缩进正文"/>
    <w:basedOn w:val="76"/>
    <w:qFormat/>
    <w:uiPriority w:val="0"/>
    <w:rPr>
      <w:sz w:val="21"/>
    </w:rPr>
  </w:style>
  <w:style w:type="paragraph" w:customStyle="1" w:styleId="158">
    <w:name w:val="【表中文字】-"/>
    <w:basedOn w:val="1"/>
    <w:qFormat/>
    <w:uiPriority w:val="0"/>
    <w:pPr>
      <w:adjustRightInd w:val="0"/>
      <w:snapToGrid w:val="0"/>
      <w:jc w:val="center"/>
    </w:pPr>
    <w:rPr>
      <w:kern w:val="0"/>
      <w:sz w:val="18"/>
      <w:szCs w:val="20"/>
    </w:rPr>
  </w:style>
  <w:style w:type="paragraph" w:customStyle="1" w:styleId="159">
    <w:name w:val="样式 正文缩进正文缩进2正文缩进 Char Char正文缩进 Char Char Char Char正文缩进 Char ..."/>
    <w:basedOn w:val="6"/>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160">
    <w:name w:val="a表格标题"/>
    <w:basedOn w:val="1"/>
    <w:qFormat/>
    <w:uiPriority w:val="0"/>
    <w:pPr>
      <w:widowControl/>
      <w:spacing w:line="360" w:lineRule="auto"/>
      <w:jc w:val="center"/>
    </w:pPr>
    <w:rPr>
      <w:b/>
      <w:kern w:val="0"/>
      <w:szCs w:val="21"/>
    </w:rPr>
  </w:style>
  <w:style w:type="paragraph" w:customStyle="1" w:styleId="161">
    <w:name w:val="表格文本"/>
    <w:qFormat/>
    <w:uiPriority w:val="0"/>
    <w:pPr>
      <w:adjustRightInd w:val="0"/>
      <w:snapToGrid w:val="0"/>
      <w:contextualSpacing/>
      <w:jc w:val="center"/>
    </w:pPr>
    <w:rPr>
      <w:rFonts w:ascii="Times New Roman" w:hAnsi="Times New Roman" w:eastAsia="宋体" w:cs="宋体"/>
      <w:kern w:val="2"/>
      <w:sz w:val="21"/>
      <w:szCs w:val="21"/>
      <w:lang w:val="en-US" w:eastAsia="zh-CN" w:bidi="ar-SA"/>
    </w:rPr>
  </w:style>
  <w:style w:type="paragraph" w:customStyle="1" w:styleId="162">
    <w:name w:val="正文缩进1"/>
    <w:basedOn w:val="1"/>
    <w:qFormat/>
    <w:uiPriority w:val="0"/>
    <w:pPr>
      <w:ind w:firstLine="420"/>
    </w:pPr>
    <w:rPr>
      <w:rFonts w:eastAsia="宋体"/>
      <w:sz w:val="28"/>
    </w:rPr>
  </w:style>
  <w:style w:type="paragraph" w:customStyle="1" w:styleId="163">
    <w:name w:val="专篇正文"/>
    <w:basedOn w:val="76"/>
    <w:qFormat/>
    <w:uiPriority w:val="0"/>
  </w:style>
  <w:style w:type="character" w:customStyle="1" w:styleId="164">
    <w:name w:val="【表中文字】 Char"/>
    <w:qFormat/>
    <w:uiPriority w:val="0"/>
    <w:rPr>
      <w:rFonts w:hint="default" w:ascii="Times New Roman" w:hAnsi="Times New Roman" w:cs="Times New Roman"/>
      <w:kern w:val="2"/>
      <w:sz w:val="21"/>
    </w:rPr>
  </w:style>
  <w:style w:type="paragraph" w:customStyle="1" w:styleId="165">
    <w:name w:val="..正文"/>
    <w:basedOn w:val="1"/>
    <w:qFormat/>
    <w:uiPriority w:val="0"/>
    <w:pPr>
      <w:spacing w:line="520" w:lineRule="exact"/>
      <w:ind w:firstLine="200" w:firstLineChars="200"/>
    </w:pPr>
    <w:rPr>
      <w:kern w:val="0"/>
      <w:sz w:val="24"/>
    </w:rPr>
  </w:style>
  <w:style w:type="paragraph" w:customStyle="1" w:styleId="166">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67">
    <w:name w:val="雪表文"/>
    <w:basedOn w:val="1"/>
    <w:qFormat/>
    <w:uiPriority w:val="0"/>
    <w:pPr>
      <w:spacing w:line="360" w:lineRule="exact"/>
      <w:ind w:firstLine="0" w:firstLineChars="0"/>
      <w:jc w:val="center"/>
      <w:textAlignment w:val="center"/>
    </w:pPr>
    <w:rPr>
      <w:rFonts w:ascii="Times New Roman" w:hAnsi="Times New Roman" w:eastAsia="宋体"/>
      <w:bCs/>
      <w:iCs/>
      <w:sz w:val="21"/>
      <w:szCs w:val="28"/>
    </w:rPr>
  </w:style>
  <w:style w:type="paragraph" w:customStyle="1" w:styleId="168">
    <w:name w:val="AAA首行缩进2字符正文"/>
    <w:basedOn w:val="157"/>
    <w:qFormat/>
    <w:uiPriority w:val="0"/>
    <w:pPr>
      <w:adjustRightInd w:val="0"/>
      <w:snapToGrid w:val="0"/>
      <w:spacing w:line="500" w:lineRule="exact"/>
    </w:pPr>
    <w:rPr>
      <w:rFonts w:eastAsia="仿宋"/>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png"/><Relationship Id="rId94" Type="http://schemas.openxmlformats.org/officeDocument/2006/relationships/image" Target="media/image80.png"/><Relationship Id="rId93" Type="http://schemas.openxmlformats.org/officeDocument/2006/relationships/image" Target="media/image79.png"/><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image" Target="media/image2.png"/><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image" Target="media/image1.png"/><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theme" Target="theme/theme1.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er" Target="footer1.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png"/><Relationship Id="rId26" Type="http://schemas.openxmlformats.org/officeDocument/2006/relationships/image" Target="media/image12.wmf"/><Relationship Id="rId25" Type="http://schemas.openxmlformats.org/officeDocument/2006/relationships/oleObject" Target="embeddings/oleObject7.bin"/><Relationship Id="rId24" Type="http://schemas.openxmlformats.org/officeDocument/2006/relationships/image" Target="media/image11.wmf"/><Relationship Id="rId23" Type="http://schemas.openxmlformats.org/officeDocument/2006/relationships/oleObject" Target="embeddings/oleObject6.bin"/><Relationship Id="rId22" Type="http://schemas.openxmlformats.org/officeDocument/2006/relationships/image" Target="media/image10.wmf"/><Relationship Id="rId21" Type="http://schemas.openxmlformats.org/officeDocument/2006/relationships/oleObject" Target="embeddings/oleObject5.bin"/><Relationship Id="rId20" Type="http://schemas.openxmlformats.org/officeDocument/2006/relationships/image" Target="media/image9.w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emf"/><Relationship Id="rId15" Type="http://schemas.openxmlformats.org/officeDocument/2006/relationships/oleObject" Target="embeddings/oleObject3.bin"/><Relationship Id="rId14" Type="http://schemas.openxmlformats.org/officeDocument/2006/relationships/image" Target="media/image5.emf"/><Relationship Id="rId13" Type="http://schemas.openxmlformats.org/officeDocument/2006/relationships/oleObject" Target="embeddings/oleObject2.bin"/><Relationship Id="rId120" Type="http://schemas.openxmlformats.org/officeDocument/2006/relationships/fontTable" Target="fontTable.xml"/><Relationship Id="rId12" Type="http://schemas.openxmlformats.org/officeDocument/2006/relationships/image" Target="media/image4.emf"/><Relationship Id="rId119" Type="http://schemas.openxmlformats.org/officeDocument/2006/relationships/numbering" Target="numbering.xml"/><Relationship Id="rId118" Type="http://schemas.openxmlformats.org/officeDocument/2006/relationships/customXml" Target="../customXml/item1.xml"/><Relationship Id="rId117" Type="http://schemas.openxmlformats.org/officeDocument/2006/relationships/image" Target="media/image103.png"/><Relationship Id="rId116" Type="http://schemas.openxmlformats.org/officeDocument/2006/relationships/image" Target="media/image102.png"/><Relationship Id="rId115" Type="http://schemas.openxmlformats.org/officeDocument/2006/relationships/image" Target="media/image101.png"/><Relationship Id="rId114" Type="http://schemas.openxmlformats.org/officeDocument/2006/relationships/image" Target="media/image100.png"/><Relationship Id="rId113" Type="http://schemas.openxmlformats.org/officeDocument/2006/relationships/image" Target="media/image99.png"/><Relationship Id="rId112" Type="http://schemas.openxmlformats.org/officeDocument/2006/relationships/image" Target="media/image98.png"/><Relationship Id="rId111" Type="http://schemas.openxmlformats.org/officeDocument/2006/relationships/image" Target="media/image97.png"/><Relationship Id="rId110" Type="http://schemas.openxmlformats.org/officeDocument/2006/relationships/image" Target="media/image96.png"/><Relationship Id="rId11" Type="http://schemas.openxmlformats.org/officeDocument/2006/relationships/oleObject" Target="embeddings/oleObject1.bin"/><Relationship Id="rId109" Type="http://schemas.openxmlformats.org/officeDocument/2006/relationships/image" Target="media/image95.png"/><Relationship Id="rId108" Type="http://schemas.openxmlformats.org/officeDocument/2006/relationships/image" Target="media/image94.png"/><Relationship Id="rId107" Type="http://schemas.openxmlformats.org/officeDocument/2006/relationships/image" Target="media/image93.png"/><Relationship Id="rId106" Type="http://schemas.openxmlformats.org/officeDocument/2006/relationships/image" Target="media/image92.png"/><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png"/><Relationship Id="rId102" Type="http://schemas.openxmlformats.org/officeDocument/2006/relationships/image" Target="media/image88.jpe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118</Pages>
  <Words>13171</Words>
  <Characters>14574</Characters>
  <Lines>1</Lines>
  <Paragraphs>1</Paragraphs>
  <TotalTime>4</TotalTime>
  <ScaleCrop>false</ScaleCrop>
  <LinksUpToDate>false</LinksUpToDate>
  <CharactersWithSpaces>14664</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2020-12-24T09:42:00Z</dcterms:created>
  <dc:creator>Yu</dc:creator>
  <cp:lastModifiedBy>进击的豆子</cp:lastModifiedBy>
  <cp:lastPrinted>2021-09-16T16:57:00Z</cp:lastPrinted>
  <dcterms:modified xsi:type="dcterms:W3CDTF">2025-10-28T05:58:23Z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942A012A220D45F2909F65AE43BCD9D3_13</vt:lpwstr>
  </property>
  <property fmtid="{D5CDD505-2E9C-101B-9397-08002B2CF9AE}" pid="4" name="KSOTemplateDocerSaveRecord">
    <vt:lpwstr>eyJoZGlkIjoiNDA3ZDEzYTcyZWRiOGYyNzJkZjRjYTAzZDg0ODNmY2UiLCJ1c2VySWQiOiIzNDIxNTk0NDEifQ==</vt:lpwstr>
  </property>
</Properties>
</file>