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81D392E">
      <w:pPr>
        <w:ind w:left="420" w:leftChars="0" w:firstLine="420" w:firstLineChars="0"/>
        <w:rPr>
          <w:rFonts w:hint="default" w:ascii="Times New Roman" w:hAnsi="Times New Roman" w:eastAsia="仿宋_GB2312" w:cs="Times New Roman"/>
          <w:color w:val="auto"/>
          <w:sz w:val="36"/>
          <w:szCs w:val="36"/>
          <w:highlight w:val="none"/>
        </w:rPr>
      </w:pPr>
      <w:bookmarkStart w:id="0" w:name="_Hlk57883707"/>
    </w:p>
    <w:p w14:paraId="38093DAD">
      <w:pPr>
        <w:rPr>
          <w:rFonts w:hint="eastAsia" w:ascii="宋体" w:hAnsi="宋体" w:eastAsia="宋体" w:cs="宋体"/>
          <w:color w:val="auto"/>
          <w:sz w:val="36"/>
          <w:szCs w:val="36"/>
          <w:highlight w:val="none"/>
        </w:rPr>
      </w:pPr>
    </w:p>
    <w:p w14:paraId="19CEEF34">
      <w:pPr>
        <w:rPr>
          <w:rFonts w:hint="eastAsia" w:ascii="宋体" w:hAnsi="宋体" w:eastAsia="宋体" w:cs="宋体"/>
          <w:color w:val="auto"/>
          <w:sz w:val="36"/>
          <w:szCs w:val="36"/>
          <w:highlight w:val="none"/>
        </w:rPr>
      </w:pPr>
    </w:p>
    <w:bookmarkEnd w:id="0"/>
    <w:p w14:paraId="2A751ED3">
      <w:pPr>
        <w:adjustRightInd w:val="0"/>
        <w:snapToGrid w:val="0"/>
        <w:jc w:val="center"/>
        <w:rPr>
          <w:rFonts w:hint="eastAsia" w:ascii="宋体" w:hAnsi="宋体" w:eastAsia="宋体" w:cs="宋体"/>
          <w:bCs/>
          <w:color w:val="auto"/>
          <w:sz w:val="72"/>
          <w:szCs w:val="72"/>
          <w:highlight w:val="none"/>
        </w:rPr>
      </w:pPr>
      <w:r>
        <w:rPr>
          <w:rFonts w:hint="eastAsia" w:ascii="宋体" w:hAnsi="宋体" w:eastAsia="宋体" w:cs="宋体"/>
          <w:bCs/>
          <w:color w:val="auto"/>
          <w:sz w:val="72"/>
          <w:szCs w:val="72"/>
          <w:highlight w:val="none"/>
        </w:rPr>
        <w:t>建设项目环境影响报告表</w:t>
      </w:r>
    </w:p>
    <w:p w14:paraId="4F10476C">
      <w:pPr>
        <w:adjustRightInd w:val="0"/>
        <w:snapToGrid w:val="0"/>
        <w:spacing w:before="249" w:beforeLines="80"/>
        <w:jc w:val="center"/>
        <w:rPr>
          <w:rFonts w:hint="eastAsia" w:ascii="宋体" w:hAnsi="宋体" w:eastAsia="宋体" w:cs="宋体"/>
          <w:bCs/>
          <w:color w:val="auto"/>
          <w:sz w:val="48"/>
          <w:szCs w:val="48"/>
          <w:highlight w:val="none"/>
        </w:rPr>
      </w:pPr>
      <w:r>
        <w:rPr>
          <w:rFonts w:hint="eastAsia" w:ascii="宋体" w:hAnsi="宋体" w:eastAsia="宋体" w:cs="宋体"/>
          <w:bCs/>
          <w:color w:val="auto"/>
          <w:sz w:val="48"/>
          <w:szCs w:val="48"/>
          <w:highlight w:val="none"/>
        </w:rPr>
        <w:t>（污染影响类）</w:t>
      </w:r>
    </w:p>
    <w:p w14:paraId="05D691FD">
      <w:pPr>
        <w:adjustRightInd w:val="0"/>
        <w:snapToGrid w:val="0"/>
        <w:spacing w:line="288" w:lineRule="auto"/>
        <w:jc w:val="center"/>
        <w:rPr>
          <w:rFonts w:hint="eastAsia" w:ascii="宋体" w:hAnsi="宋体" w:eastAsia="宋体" w:cs="宋体"/>
          <w:color w:val="auto"/>
          <w:kern w:val="44"/>
          <w:sz w:val="44"/>
          <w:szCs w:val="44"/>
          <w:highlight w:val="none"/>
        </w:rPr>
      </w:pPr>
      <w:bookmarkStart w:id="1" w:name="_Hlk57883728"/>
    </w:p>
    <w:p w14:paraId="4BF5CAF1">
      <w:pPr>
        <w:jc w:val="center"/>
        <w:rPr>
          <w:rFonts w:hint="eastAsia" w:ascii="宋体" w:hAnsi="宋体" w:eastAsia="宋体" w:cs="宋体"/>
          <w:color w:val="auto"/>
          <w:sz w:val="52"/>
          <w:szCs w:val="52"/>
          <w:highlight w:val="none"/>
        </w:rPr>
      </w:pPr>
    </w:p>
    <w:p w14:paraId="7F2632E4">
      <w:pPr>
        <w:ind w:firstLine="1040"/>
        <w:rPr>
          <w:rFonts w:hint="eastAsia" w:ascii="宋体" w:hAnsi="宋体" w:eastAsia="宋体" w:cs="宋体"/>
          <w:color w:val="auto"/>
          <w:sz w:val="44"/>
          <w:szCs w:val="44"/>
          <w:highlight w:val="none"/>
        </w:rPr>
      </w:pPr>
    </w:p>
    <w:p w14:paraId="6CA9952B">
      <w:pPr>
        <w:pStyle w:val="12"/>
        <w:rPr>
          <w:rFonts w:hint="eastAsia" w:ascii="宋体" w:hAnsi="宋体" w:eastAsia="宋体" w:cs="宋体"/>
          <w:color w:val="auto"/>
          <w:sz w:val="44"/>
          <w:szCs w:val="44"/>
          <w:highlight w:val="none"/>
        </w:rPr>
      </w:pPr>
    </w:p>
    <w:p w14:paraId="7068E0D0">
      <w:pPr>
        <w:pStyle w:val="13"/>
        <w:rPr>
          <w:rFonts w:hint="eastAsia" w:ascii="宋体" w:hAnsi="宋体" w:eastAsia="宋体" w:cs="宋体"/>
          <w:color w:val="auto"/>
          <w:sz w:val="44"/>
          <w:szCs w:val="44"/>
          <w:highlight w:val="none"/>
        </w:rPr>
      </w:pPr>
    </w:p>
    <w:p w14:paraId="68E07F0D">
      <w:pPr>
        <w:pStyle w:val="14"/>
        <w:rPr>
          <w:rFonts w:hint="eastAsia" w:ascii="宋体" w:hAnsi="宋体" w:eastAsia="宋体" w:cs="宋体"/>
          <w:color w:val="auto"/>
          <w:highlight w:val="none"/>
        </w:rPr>
      </w:pPr>
    </w:p>
    <w:p w14:paraId="0F469B8B">
      <w:pPr>
        <w:rPr>
          <w:rFonts w:hint="eastAsia" w:ascii="宋体" w:hAnsi="宋体" w:eastAsia="宋体" w:cs="宋体"/>
          <w:color w:val="auto"/>
          <w:sz w:val="44"/>
          <w:szCs w:val="44"/>
          <w:highlight w:val="none"/>
        </w:rPr>
      </w:pPr>
    </w:p>
    <w:bookmarkEnd w:id="1"/>
    <w:p w14:paraId="31F7E354">
      <w:pPr>
        <w:adjustRightInd w:val="0"/>
        <w:snapToGrid w:val="0"/>
        <w:spacing w:line="288" w:lineRule="auto"/>
        <w:ind w:left="1630" w:hanging="1630" w:hangingChars="500"/>
        <w:jc w:val="left"/>
        <w:rPr>
          <w:rFonts w:hint="eastAsia" w:ascii="宋体" w:hAnsi="宋体" w:eastAsia="宋体" w:cs="宋体"/>
          <w:color w:val="auto"/>
          <w:spacing w:val="-17"/>
          <w:sz w:val="36"/>
          <w:szCs w:val="36"/>
          <w:highlight w:val="none"/>
          <w:u w:val="single"/>
          <w:lang w:val="en-US"/>
        </w:rPr>
      </w:pPr>
      <w:r>
        <w:rPr>
          <w:rFonts w:hint="eastAsia" w:ascii="宋体" w:hAnsi="宋体" w:eastAsia="宋体" w:cs="宋体"/>
          <w:color w:val="auto"/>
          <w:spacing w:val="-17"/>
          <w:sz w:val="36"/>
          <w:szCs w:val="36"/>
          <w:highlight w:val="none"/>
        </w:rPr>
        <w:t>项目名称</w:t>
      </w:r>
      <w:r>
        <w:rPr>
          <w:rFonts w:hint="eastAsia" w:ascii="宋体" w:hAnsi="宋体" w:eastAsia="宋体" w:cs="宋体"/>
          <w:color w:val="auto"/>
          <w:spacing w:val="-17"/>
          <w:sz w:val="36"/>
          <w:szCs w:val="36"/>
          <w:highlight w:val="none"/>
          <w:lang w:eastAsia="zh-CN"/>
        </w:rPr>
        <w:t>：</w:t>
      </w:r>
      <w:r>
        <w:rPr>
          <w:rFonts w:hint="eastAsia" w:ascii="宋体" w:hAnsi="宋体" w:eastAsia="宋体" w:cs="宋体"/>
          <w:color w:val="auto"/>
          <w:sz w:val="36"/>
          <w:szCs w:val="36"/>
          <w:highlight w:val="none"/>
          <w:u w:val="single"/>
          <w:lang w:val="en-US" w:eastAsia="zh-CN"/>
        </w:rPr>
        <w:t>鸡西市第三净水厂升级改造工程（重新报批）</w:t>
      </w:r>
    </w:p>
    <w:p w14:paraId="754EAA46">
      <w:pPr>
        <w:adjustRightInd w:val="0"/>
        <w:snapToGrid w:val="0"/>
        <w:spacing w:line="288" w:lineRule="auto"/>
        <w:ind w:left="1800" w:hanging="1800" w:hangingChars="500"/>
        <w:rPr>
          <w:rFonts w:hint="eastAsia" w:ascii="宋体" w:hAnsi="宋体" w:eastAsia="宋体" w:cs="宋体"/>
          <w:color w:val="auto"/>
          <w:sz w:val="36"/>
          <w:szCs w:val="36"/>
          <w:highlight w:val="none"/>
          <w:u w:val="single"/>
          <w:lang w:val="en-US" w:eastAsia="zh-CN"/>
        </w:rPr>
      </w:pPr>
      <w:r>
        <w:rPr>
          <w:rFonts w:hint="eastAsia" w:ascii="宋体" w:hAnsi="宋体" w:eastAsia="宋体" w:cs="宋体"/>
          <w:color w:val="auto"/>
          <w:sz w:val="36"/>
          <w:szCs w:val="36"/>
          <w:highlight w:val="none"/>
        </w:rPr>
        <w:t>建设单位：</w:t>
      </w:r>
      <w:r>
        <w:rPr>
          <w:rFonts w:hint="eastAsia" w:ascii="宋体" w:hAnsi="宋体" w:eastAsia="宋体" w:cs="宋体"/>
          <w:color w:val="auto"/>
          <w:sz w:val="36"/>
          <w:szCs w:val="36"/>
          <w:highlight w:val="none"/>
          <w:u w:val="single"/>
          <w:lang w:val="en-US" w:eastAsia="zh-CN"/>
        </w:rPr>
        <w:t xml:space="preserve">   </w:t>
      </w:r>
      <w:r>
        <w:rPr>
          <w:rFonts w:hint="eastAsia" w:ascii="宋体" w:hAnsi="宋体" w:cs="宋体"/>
          <w:color w:val="auto"/>
          <w:sz w:val="36"/>
          <w:szCs w:val="36"/>
          <w:highlight w:val="none"/>
          <w:u w:val="single"/>
          <w:lang w:val="en-US" w:eastAsia="zh-CN"/>
        </w:rPr>
        <w:t xml:space="preserve">   </w:t>
      </w:r>
      <w:r>
        <w:rPr>
          <w:rFonts w:hint="eastAsia" w:ascii="宋体" w:hAnsi="宋体" w:eastAsia="宋体" w:cs="宋体"/>
          <w:color w:val="auto"/>
          <w:sz w:val="36"/>
          <w:szCs w:val="36"/>
          <w:highlight w:val="none"/>
          <w:u w:val="single"/>
          <w:lang w:val="en-US" w:eastAsia="zh-CN"/>
        </w:rPr>
        <w:t xml:space="preserve">鸡西市供水有限公司              </w:t>
      </w:r>
    </w:p>
    <w:p w14:paraId="22265EB5">
      <w:pPr>
        <w:adjustRightInd w:val="0"/>
        <w:snapToGrid w:val="0"/>
        <w:spacing w:line="288" w:lineRule="auto"/>
        <w:rPr>
          <w:rFonts w:hint="eastAsia" w:ascii="宋体" w:hAnsi="宋体" w:eastAsia="宋体" w:cs="宋体"/>
          <w:color w:val="auto"/>
          <w:sz w:val="36"/>
          <w:szCs w:val="36"/>
          <w:highlight w:val="none"/>
          <w:u w:val="single"/>
        </w:rPr>
      </w:pPr>
      <w:r>
        <w:rPr>
          <w:rFonts w:hint="eastAsia" w:ascii="宋体" w:hAnsi="宋体" w:eastAsia="宋体" w:cs="宋体"/>
          <w:color w:val="auto"/>
          <w:sz w:val="36"/>
          <w:szCs w:val="36"/>
          <w:highlight w:val="none"/>
        </w:rPr>
        <w:t>编制日期：</w:t>
      </w:r>
      <w:r>
        <w:rPr>
          <w:rFonts w:hint="eastAsia" w:ascii="宋体" w:hAnsi="宋体" w:eastAsia="宋体" w:cs="宋体"/>
          <w:color w:val="auto"/>
          <w:sz w:val="36"/>
          <w:szCs w:val="36"/>
          <w:highlight w:val="none"/>
          <w:u w:val="single"/>
          <w:lang w:val="en-US" w:eastAsia="zh-CN"/>
        </w:rPr>
        <w:t xml:space="preserve">             </w:t>
      </w:r>
      <w:r>
        <w:rPr>
          <w:rFonts w:hint="default" w:ascii="Times New Roman" w:hAnsi="Times New Roman" w:eastAsia="宋体" w:cs="Times New Roman"/>
          <w:color w:val="auto"/>
          <w:sz w:val="36"/>
          <w:szCs w:val="36"/>
          <w:highlight w:val="none"/>
          <w:u w:val="single"/>
        </w:rPr>
        <w:t>202</w:t>
      </w:r>
      <w:r>
        <w:rPr>
          <w:rFonts w:hint="default" w:ascii="Times New Roman" w:hAnsi="Times New Roman" w:eastAsia="宋体" w:cs="Times New Roman"/>
          <w:color w:val="auto"/>
          <w:sz w:val="36"/>
          <w:szCs w:val="36"/>
          <w:highlight w:val="none"/>
          <w:u w:val="single"/>
          <w:lang w:val="en-US" w:eastAsia="zh-CN"/>
        </w:rPr>
        <w:t>5</w:t>
      </w:r>
      <w:r>
        <w:rPr>
          <w:rFonts w:hint="default" w:ascii="Times New Roman" w:hAnsi="Times New Roman" w:eastAsia="宋体" w:cs="Times New Roman"/>
          <w:color w:val="auto"/>
          <w:sz w:val="36"/>
          <w:szCs w:val="36"/>
          <w:highlight w:val="none"/>
          <w:u w:val="single"/>
        </w:rPr>
        <w:t>年</w:t>
      </w:r>
      <w:r>
        <w:rPr>
          <w:rFonts w:hint="eastAsia" w:cs="Times New Roman"/>
          <w:color w:val="auto"/>
          <w:sz w:val="36"/>
          <w:szCs w:val="36"/>
          <w:highlight w:val="none"/>
          <w:u w:val="single"/>
          <w:lang w:val="en-US" w:eastAsia="zh-CN"/>
        </w:rPr>
        <w:t>7</w:t>
      </w:r>
      <w:r>
        <w:rPr>
          <w:rFonts w:hint="default" w:ascii="Times New Roman" w:hAnsi="Times New Roman" w:eastAsia="宋体" w:cs="Times New Roman"/>
          <w:color w:val="auto"/>
          <w:sz w:val="36"/>
          <w:szCs w:val="36"/>
          <w:highlight w:val="none"/>
          <w:u w:val="single"/>
        </w:rPr>
        <w:t xml:space="preserve">月  </w:t>
      </w:r>
      <w:r>
        <w:rPr>
          <w:rFonts w:hint="eastAsia" w:ascii="宋体" w:hAnsi="宋体" w:eastAsia="宋体" w:cs="宋体"/>
          <w:color w:val="auto"/>
          <w:sz w:val="36"/>
          <w:szCs w:val="36"/>
          <w:highlight w:val="none"/>
          <w:u w:val="single"/>
        </w:rPr>
        <w:t xml:space="preserve">  </w:t>
      </w:r>
      <w:r>
        <w:rPr>
          <w:rFonts w:hint="eastAsia" w:ascii="宋体" w:hAnsi="宋体" w:eastAsia="宋体" w:cs="宋体"/>
          <w:color w:val="auto"/>
          <w:sz w:val="36"/>
          <w:szCs w:val="36"/>
          <w:highlight w:val="none"/>
          <w:u w:val="single"/>
          <w:lang w:val="en-US" w:eastAsia="zh-CN"/>
        </w:rPr>
        <w:t xml:space="preserve">     </w:t>
      </w:r>
      <w:r>
        <w:rPr>
          <w:rFonts w:hint="eastAsia" w:ascii="宋体" w:hAnsi="宋体" w:eastAsia="宋体" w:cs="宋体"/>
          <w:color w:val="auto"/>
          <w:sz w:val="36"/>
          <w:szCs w:val="36"/>
          <w:highlight w:val="none"/>
          <w:u w:val="single"/>
        </w:rPr>
        <w:t xml:space="preserve"> </w:t>
      </w:r>
      <w:r>
        <w:rPr>
          <w:rFonts w:hint="eastAsia" w:ascii="宋体" w:hAnsi="宋体" w:eastAsia="宋体" w:cs="宋体"/>
          <w:color w:val="auto"/>
          <w:sz w:val="36"/>
          <w:szCs w:val="36"/>
          <w:highlight w:val="none"/>
          <w:u w:val="single"/>
          <w:lang w:val="en-US" w:eastAsia="zh-CN"/>
        </w:rPr>
        <w:t xml:space="preserve">   </w:t>
      </w:r>
      <w:r>
        <w:rPr>
          <w:rFonts w:hint="eastAsia" w:ascii="宋体" w:hAnsi="宋体" w:eastAsia="宋体" w:cs="宋体"/>
          <w:color w:val="auto"/>
          <w:sz w:val="36"/>
          <w:szCs w:val="36"/>
          <w:highlight w:val="none"/>
          <w:u w:val="single"/>
        </w:rPr>
        <w:t xml:space="preserve"> </w:t>
      </w:r>
      <w:r>
        <w:rPr>
          <w:rFonts w:hint="eastAsia" w:ascii="宋体" w:hAnsi="宋体" w:eastAsia="宋体" w:cs="宋体"/>
          <w:color w:val="auto"/>
          <w:sz w:val="36"/>
          <w:szCs w:val="36"/>
          <w:highlight w:val="none"/>
          <w:u w:val="single"/>
          <w:lang w:val="en-US" w:eastAsia="zh-CN"/>
        </w:rPr>
        <w:t xml:space="preserve"> </w:t>
      </w:r>
      <w:r>
        <w:rPr>
          <w:rFonts w:hint="eastAsia" w:ascii="宋体" w:hAnsi="宋体" w:eastAsia="宋体" w:cs="宋体"/>
          <w:color w:val="auto"/>
          <w:sz w:val="36"/>
          <w:szCs w:val="36"/>
          <w:highlight w:val="none"/>
          <w:u w:val="single"/>
        </w:rPr>
        <w:t xml:space="preserve"> </w:t>
      </w:r>
    </w:p>
    <w:p w14:paraId="27383FD7">
      <w:pPr>
        <w:adjustRightInd w:val="0"/>
        <w:snapToGrid w:val="0"/>
        <w:spacing w:line="288" w:lineRule="auto"/>
        <w:ind w:firstLine="1040"/>
        <w:rPr>
          <w:rFonts w:hint="eastAsia" w:ascii="宋体" w:hAnsi="宋体" w:eastAsia="宋体" w:cs="宋体"/>
          <w:color w:val="auto"/>
          <w:sz w:val="36"/>
          <w:szCs w:val="36"/>
          <w:highlight w:val="none"/>
          <w:u w:val="single"/>
        </w:rPr>
      </w:pPr>
    </w:p>
    <w:p w14:paraId="0AFC2B0D">
      <w:pPr>
        <w:adjustRightInd w:val="0"/>
        <w:snapToGrid w:val="0"/>
        <w:spacing w:line="288" w:lineRule="auto"/>
        <w:ind w:firstLine="1040"/>
        <w:rPr>
          <w:rFonts w:hint="eastAsia" w:ascii="宋体" w:hAnsi="宋体" w:eastAsia="宋体" w:cs="宋体"/>
          <w:color w:val="auto"/>
          <w:sz w:val="36"/>
          <w:szCs w:val="36"/>
          <w:highlight w:val="none"/>
        </w:rPr>
      </w:pPr>
    </w:p>
    <w:p w14:paraId="541B34C1">
      <w:pPr>
        <w:adjustRightInd w:val="0"/>
        <w:snapToGrid w:val="0"/>
        <w:spacing w:line="288" w:lineRule="auto"/>
        <w:rPr>
          <w:rFonts w:hint="eastAsia" w:ascii="宋体" w:hAnsi="宋体" w:eastAsia="宋体" w:cs="宋体"/>
          <w:color w:val="auto"/>
          <w:sz w:val="36"/>
          <w:szCs w:val="36"/>
          <w:highlight w:val="none"/>
        </w:rPr>
      </w:pPr>
    </w:p>
    <w:p w14:paraId="13F75276">
      <w:pPr>
        <w:adjustRightInd w:val="0"/>
        <w:snapToGrid w:val="0"/>
        <w:spacing w:line="288" w:lineRule="auto"/>
        <w:ind w:firstLine="1040"/>
        <w:rPr>
          <w:rFonts w:hint="eastAsia" w:ascii="宋体" w:hAnsi="宋体" w:eastAsia="宋体" w:cs="宋体"/>
          <w:color w:val="auto"/>
          <w:sz w:val="36"/>
          <w:szCs w:val="36"/>
          <w:highlight w:val="none"/>
        </w:rPr>
      </w:pPr>
    </w:p>
    <w:p w14:paraId="13A16D53">
      <w:pPr>
        <w:adjustRightInd w:val="0"/>
        <w:snapToGrid w:val="0"/>
        <w:spacing w:line="288" w:lineRule="auto"/>
        <w:jc w:val="center"/>
        <w:rPr>
          <w:rFonts w:hint="eastAsia" w:ascii="宋体" w:hAnsi="宋体" w:eastAsia="宋体" w:cs="宋体"/>
          <w:color w:val="auto"/>
          <w:sz w:val="36"/>
          <w:szCs w:val="36"/>
          <w:highlight w:val="none"/>
        </w:rPr>
        <w:sectPr>
          <w:footerReference r:id="rId3" w:type="default"/>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rFonts w:hint="eastAsia" w:ascii="宋体" w:hAnsi="宋体" w:eastAsia="宋体" w:cs="宋体"/>
          <w:color w:val="auto"/>
          <w:sz w:val="36"/>
          <w:szCs w:val="36"/>
          <w:highlight w:val="none"/>
        </w:rPr>
        <w:t>中华人民共和国生态环境部</w:t>
      </w:r>
    </w:p>
    <w:p w14:paraId="5450B16D">
      <w:pPr>
        <w:pStyle w:val="32"/>
        <w:spacing w:before="0" w:beforeAutospacing="0" w:after="156" w:afterLines="50" w:afterAutospacing="0"/>
        <w:jc w:val="both"/>
        <w:outlineLvl w:val="0"/>
        <w:rPr>
          <w:rFonts w:hint="default" w:ascii="Times New Roman" w:hAnsi="Times New Roman" w:eastAsia="黑体" w:cs="Times New Roman"/>
          <w:snapToGrid w:val="0"/>
          <w:color w:val="auto"/>
          <w:kern w:val="21"/>
          <w:sz w:val="30"/>
          <w:szCs w:val="30"/>
          <w:highlight w:val="none"/>
        </w:rPr>
      </w:pPr>
      <w:bookmarkStart w:id="2" w:name="_Toc16950"/>
      <w:r>
        <w:rPr>
          <w:color w:val="auto"/>
        </w:rPr>
        <w:drawing>
          <wp:inline distT="0" distB="0" distL="114300" distR="114300">
            <wp:extent cx="5737225" cy="7657465"/>
            <wp:effectExtent l="0" t="0" r="15875" b="635"/>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pic:cNvPicPr>
                      <a:picLocks noChangeAspect="1"/>
                    </pic:cNvPicPr>
                  </pic:nvPicPr>
                  <pic:blipFill>
                    <a:blip r:embed="rId8"/>
                    <a:stretch>
                      <a:fillRect/>
                    </a:stretch>
                  </pic:blipFill>
                  <pic:spPr>
                    <a:xfrm>
                      <a:off x="0" y="0"/>
                      <a:ext cx="5737225" cy="7657465"/>
                    </a:xfrm>
                    <a:prstGeom prst="rect">
                      <a:avLst/>
                    </a:prstGeom>
                    <a:noFill/>
                    <a:ln>
                      <a:noFill/>
                    </a:ln>
                  </pic:spPr>
                </pic:pic>
              </a:graphicData>
            </a:graphic>
          </wp:inline>
        </w:drawing>
      </w:r>
    </w:p>
    <w:p w14:paraId="7D471E5A">
      <w:pPr>
        <w:pStyle w:val="32"/>
        <w:spacing w:before="0" w:beforeAutospacing="0" w:after="156" w:afterLines="50" w:afterAutospacing="0"/>
        <w:jc w:val="center"/>
        <w:outlineLvl w:val="0"/>
        <w:rPr>
          <w:rFonts w:hint="default" w:ascii="Times New Roman" w:hAnsi="Times New Roman" w:eastAsia="黑体" w:cs="Times New Roman"/>
          <w:snapToGrid w:val="0"/>
          <w:color w:val="auto"/>
          <w:kern w:val="21"/>
          <w:sz w:val="30"/>
          <w:szCs w:val="30"/>
          <w:highlight w:val="none"/>
        </w:rPr>
      </w:pPr>
    </w:p>
    <w:p w14:paraId="101F2021">
      <w:pPr>
        <w:pStyle w:val="32"/>
        <w:spacing w:before="0" w:beforeAutospacing="0" w:after="156"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1"/>
          <w:sz w:val="30"/>
          <w:szCs w:val="30"/>
          <w:highlight w:val="none"/>
        </w:rPr>
        <w:t>一、建设项目基本情况</w:t>
      </w:r>
      <w:bookmarkEnd w:id="2"/>
    </w:p>
    <w:tbl>
      <w:tblPr>
        <w:tblStyle w:val="37"/>
        <w:tblW w:w="51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5"/>
        <w:gridCol w:w="2141"/>
        <w:gridCol w:w="2147"/>
        <w:gridCol w:w="3165"/>
      </w:tblGrid>
      <w:tr w14:paraId="4FECFF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3462C1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建设项目名称</w:t>
            </w:r>
          </w:p>
        </w:tc>
        <w:tc>
          <w:tcPr>
            <w:tcW w:w="4104" w:type="pct"/>
            <w:gridSpan w:val="3"/>
            <w:vAlign w:val="center"/>
          </w:tcPr>
          <w:p w14:paraId="4144E9B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eastAsia"/>
                <w:color w:val="auto"/>
                <w:highlight w:val="none"/>
                <w:lang w:val="en-US" w:eastAsia="zh-CN"/>
              </w:rPr>
              <w:t>鸡西市第三净水厂升级改造工程（重新报批）</w:t>
            </w:r>
          </w:p>
        </w:tc>
      </w:tr>
      <w:tr w14:paraId="238C4D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B60F74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项目代码</w:t>
            </w:r>
          </w:p>
        </w:tc>
        <w:tc>
          <w:tcPr>
            <w:tcW w:w="4104" w:type="pct"/>
            <w:gridSpan w:val="3"/>
            <w:vAlign w:val="center"/>
          </w:tcPr>
          <w:p w14:paraId="3AA795C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spacing w:val="4"/>
                <w:sz w:val="21"/>
                <w:szCs w:val="21"/>
                <w:highlight w:val="none"/>
                <w:lang w:val="en-US" w:eastAsia="zh-CN"/>
              </w:rPr>
              <w:t>无</w:t>
            </w:r>
          </w:p>
        </w:tc>
      </w:tr>
      <w:tr w14:paraId="2D8AD4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6F617B4B">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建设单位联系人</w:t>
            </w:r>
          </w:p>
        </w:tc>
        <w:tc>
          <w:tcPr>
            <w:tcW w:w="1179" w:type="pct"/>
            <w:vAlign w:val="center"/>
          </w:tcPr>
          <w:p w14:paraId="0F438DB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eastAsia"/>
                <w:color w:val="auto"/>
                <w:highlight w:val="none"/>
                <w:lang w:val="en-US" w:eastAsia="zh-CN"/>
              </w:rPr>
              <w:t>程建华</w:t>
            </w:r>
          </w:p>
        </w:tc>
        <w:tc>
          <w:tcPr>
            <w:tcW w:w="1182" w:type="pct"/>
            <w:vAlign w:val="center"/>
          </w:tcPr>
          <w:p w14:paraId="73177AD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联系方式</w:t>
            </w:r>
          </w:p>
        </w:tc>
        <w:tc>
          <w:tcPr>
            <w:tcW w:w="1743" w:type="pct"/>
            <w:vAlign w:val="center"/>
          </w:tcPr>
          <w:p w14:paraId="04D2745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lang w:val="en-US"/>
              </w:rPr>
            </w:pPr>
            <w:r>
              <w:rPr>
                <w:rFonts w:hint="eastAsia"/>
                <w:color w:val="auto"/>
                <w:highlight w:val="none"/>
                <w:lang w:val="en-US" w:eastAsia="zh-CN"/>
              </w:rPr>
              <w:t>13796454899</w:t>
            </w:r>
          </w:p>
        </w:tc>
      </w:tr>
      <w:tr w14:paraId="748E30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ED8C87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建设地点</w:t>
            </w:r>
          </w:p>
        </w:tc>
        <w:tc>
          <w:tcPr>
            <w:tcW w:w="4104" w:type="pct"/>
            <w:gridSpan w:val="3"/>
            <w:vAlign w:val="center"/>
          </w:tcPr>
          <w:p w14:paraId="1C856D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1"/>
                <w:szCs w:val="21"/>
                <w:highlight w:val="none"/>
                <w:lang w:val="en-US" w:eastAsia="zh-CN"/>
              </w:rPr>
            </w:pPr>
            <w:r>
              <w:rPr>
                <w:rFonts w:hint="eastAsia"/>
                <w:color w:val="auto"/>
                <w:highlight w:val="none"/>
                <w:lang w:val="en-US" w:eastAsia="zh-CN"/>
              </w:rPr>
              <w:t>鸡西市鸡冠区西郊乡</w:t>
            </w:r>
          </w:p>
        </w:tc>
      </w:tr>
      <w:tr w14:paraId="2E4482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95" w:type="pct"/>
            <w:tcMar>
              <w:top w:w="16" w:type="dxa"/>
              <w:left w:w="16" w:type="dxa"/>
              <w:right w:w="16" w:type="dxa"/>
            </w:tcMar>
            <w:vAlign w:val="center"/>
          </w:tcPr>
          <w:p w14:paraId="375E5EF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地理坐标</w:t>
            </w:r>
          </w:p>
        </w:tc>
        <w:tc>
          <w:tcPr>
            <w:tcW w:w="4104" w:type="pct"/>
            <w:gridSpan w:val="3"/>
            <w:vAlign w:val="center"/>
          </w:tcPr>
          <w:p w14:paraId="2ED267A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color w:val="auto"/>
                <w:szCs w:val="21"/>
                <w:highlight w:val="none"/>
              </w:rPr>
              <w:t>（</w:t>
            </w:r>
            <w:r>
              <w:rPr>
                <w:rFonts w:hint="default"/>
                <w:color w:val="auto"/>
                <w:szCs w:val="21"/>
                <w:highlight w:val="none"/>
                <w:u w:val="single"/>
              </w:rPr>
              <w:t>1</w:t>
            </w:r>
            <w:r>
              <w:rPr>
                <w:rFonts w:hint="eastAsia"/>
                <w:color w:val="auto"/>
                <w:szCs w:val="21"/>
                <w:highlight w:val="none"/>
                <w:u w:val="single"/>
                <w:lang w:val="en-US" w:eastAsia="zh-CN"/>
              </w:rPr>
              <w:t>30</w:t>
            </w:r>
            <w:r>
              <w:rPr>
                <w:rFonts w:hint="default"/>
                <w:color w:val="auto"/>
                <w:szCs w:val="21"/>
                <w:highlight w:val="none"/>
              </w:rPr>
              <w:t>度</w:t>
            </w:r>
            <w:r>
              <w:rPr>
                <w:rFonts w:hint="eastAsia"/>
                <w:color w:val="auto"/>
                <w:szCs w:val="21"/>
                <w:highlight w:val="none"/>
                <w:u w:val="single"/>
                <w:lang w:val="en-US" w:eastAsia="zh-CN"/>
              </w:rPr>
              <w:t>56</w:t>
            </w:r>
            <w:r>
              <w:rPr>
                <w:rFonts w:hint="default"/>
                <w:color w:val="auto"/>
                <w:szCs w:val="21"/>
                <w:highlight w:val="none"/>
              </w:rPr>
              <w:t>分</w:t>
            </w:r>
            <w:r>
              <w:rPr>
                <w:rFonts w:hint="eastAsia"/>
                <w:color w:val="auto"/>
                <w:szCs w:val="21"/>
                <w:highlight w:val="none"/>
                <w:u w:val="single"/>
                <w:lang w:val="en-US" w:eastAsia="zh-CN"/>
              </w:rPr>
              <w:t>47</w:t>
            </w:r>
            <w:r>
              <w:rPr>
                <w:rFonts w:hint="default"/>
                <w:color w:val="auto"/>
                <w:szCs w:val="21"/>
                <w:highlight w:val="none"/>
                <w:u w:val="single"/>
              </w:rPr>
              <w:t>.</w:t>
            </w:r>
            <w:r>
              <w:rPr>
                <w:rFonts w:hint="eastAsia"/>
                <w:color w:val="auto"/>
                <w:szCs w:val="21"/>
                <w:highlight w:val="none"/>
                <w:u w:val="single"/>
                <w:lang w:val="en-US" w:eastAsia="zh-CN"/>
              </w:rPr>
              <w:t>210</w:t>
            </w:r>
            <w:r>
              <w:rPr>
                <w:rFonts w:hint="default"/>
                <w:color w:val="auto"/>
                <w:szCs w:val="21"/>
                <w:highlight w:val="none"/>
              </w:rPr>
              <w:t>秒，</w:t>
            </w:r>
            <w:r>
              <w:rPr>
                <w:rFonts w:hint="default"/>
                <w:color w:val="auto"/>
                <w:szCs w:val="21"/>
                <w:highlight w:val="none"/>
                <w:u w:val="single"/>
              </w:rPr>
              <w:t>4</w:t>
            </w:r>
            <w:r>
              <w:rPr>
                <w:rFonts w:hint="eastAsia"/>
                <w:color w:val="auto"/>
                <w:szCs w:val="21"/>
                <w:highlight w:val="none"/>
                <w:u w:val="single"/>
                <w:lang w:val="en-US" w:eastAsia="zh-CN"/>
              </w:rPr>
              <w:t>5</w:t>
            </w:r>
            <w:r>
              <w:rPr>
                <w:rFonts w:hint="default"/>
                <w:color w:val="auto"/>
                <w:szCs w:val="21"/>
                <w:highlight w:val="none"/>
              </w:rPr>
              <w:t>度</w:t>
            </w:r>
            <w:r>
              <w:rPr>
                <w:rFonts w:hint="eastAsia"/>
                <w:color w:val="auto"/>
                <w:szCs w:val="21"/>
                <w:highlight w:val="none"/>
                <w:u w:val="single"/>
                <w:lang w:val="en-US" w:eastAsia="zh-CN"/>
              </w:rPr>
              <w:t>18</w:t>
            </w:r>
            <w:r>
              <w:rPr>
                <w:rFonts w:hint="default"/>
                <w:color w:val="auto"/>
                <w:szCs w:val="21"/>
                <w:highlight w:val="none"/>
              </w:rPr>
              <w:t>分</w:t>
            </w:r>
            <w:r>
              <w:rPr>
                <w:rFonts w:hint="eastAsia"/>
                <w:color w:val="auto"/>
                <w:szCs w:val="21"/>
                <w:highlight w:val="none"/>
                <w:u w:val="single"/>
                <w:lang w:val="en-US" w:eastAsia="zh-CN"/>
              </w:rPr>
              <w:t>46</w:t>
            </w:r>
            <w:r>
              <w:rPr>
                <w:rFonts w:hint="default"/>
                <w:color w:val="auto"/>
                <w:szCs w:val="21"/>
                <w:highlight w:val="none"/>
                <w:u w:val="single"/>
              </w:rPr>
              <w:t>.</w:t>
            </w:r>
            <w:r>
              <w:rPr>
                <w:rFonts w:hint="eastAsia"/>
                <w:color w:val="auto"/>
                <w:szCs w:val="21"/>
                <w:highlight w:val="none"/>
                <w:u w:val="single"/>
                <w:lang w:val="en-US" w:eastAsia="zh-CN"/>
              </w:rPr>
              <w:t>170</w:t>
            </w:r>
            <w:r>
              <w:rPr>
                <w:rFonts w:hint="default"/>
                <w:color w:val="auto"/>
                <w:szCs w:val="21"/>
                <w:highlight w:val="none"/>
              </w:rPr>
              <w:t>秒）</w:t>
            </w:r>
          </w:p>
        </w:tc>
      </w:tr>
      <w:tr w14:paraId="454BD9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05B9DA8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国民经济</w:t>
            </w:r>
          </w:p>
          <w:p w14:paraId="0812339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2141" w:type="dxa"/>
            <w:vAlign w:val="center"/>
          </w:tcPr>
          <w:p w14:paraId="424DEC2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4610自来水生产和供应</w:t>
            </w:r>
          </w:p>
        </w:tc>
        <w:tc>
          <w:tcPr>
            <w:tcW w:w="1182" w:type="pct"/>
            <w:vAlign w:val="center"/>
          </w:tcPr>
          <w:p w14:paraId="663F1D8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建设项目</w:t>
            </w:r>
          </w:p>
          <w:p w14:paraId="4DB3EA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行业类别</w:t>
            </w:r>
          </w:p>
        </w:tc>
        <w:tc>
          <w:tcPr>
            <w:tcW w:w="3165" w:type="dxa"/>
            <w:vAlign w:val="center"/>
          </w:tcPr>
          <w:p w14:paraId="3164ED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四十三、水的生产和供应业461自来水生产和供应（不含供应工程；不含村庄供应工程）</w:t>
            </w:r>
          </w:p>
        </w:tc>
      </w:tr>
      <w:tr w14:paraId="0F8DAC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55BD2AA">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建设性质</w:t>
            </w:r>
          </w:p>
        </w:tc>
        <w:tc>
          <w:tcPr>
            <w:tcW w:w="1179" w:type="pct"/>
            <w:vAlign w:val="center"/>
          </w:tcPr>
          <w:p w14:paraId="7B426E9F">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新建（迁建）</w:t>
            </w:r>
          </w:p>
          <w:p w14:paraId="6B127AD8">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改建</w:t>
            </w:r>
          </w:p>
          <w:p w14:paraId="13EF7EAB">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扩建</w:t>
            </w:r>
          </w:p>
          <w:p w14:paraId="4E617F47">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技术改造</w:t>
            </w:r>
          </w:p>
        </w:tc>
        <w:tc>
          <w:tcPr>
            <w:tcW w:w="1182" w:type="pct"/>
            <w:vAlign w:val="center"/>
          </w:tcPr>
          <w:p w14:paraId="06B602F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2AC1E9F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申报情形</w:t>
            </w:r>
          </w:p>
        </w:tc>
        <w:tc>
          <w:tcPr>
            <w:tcW w:w="1743" w:type="pct"/>
            <w:vAlign w:val="center"/>
          </w:tcPr>
          <w:p w14:paraId="5FA3BC9C">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首次申报项目</w:t>
            </w:r>
          </w:p>
          <w:p w14:paraId="0CBB3086">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不予批准后再次申报项目</w:t>
            </w:r>
          </w:p>
          <w:p w14:paraId="696B3E6F">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超五年重新审核项目</w:t>
            </w:r>
          </w:p>
          <w:p w14:paraId="5A2B16DA">
            <w:pPr>
              <w:keepNext w:val="0"/>
              <w:keepLines w:val="0"/>
              <w:suppressLineNumbers w:val="0"/>
              <w:spacing w:before="0" w:beforeAutospacing="0" w:after="0" w:afterAutospacing="0"/>
              <w:ind w:left="0" w:right="0"/>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重大变动重新报批项目</w:t>
            </w:r>
          </w:p>
        </w:tc>
      </w:tr>
      <w:tr w14:paraId="74E26D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1A702B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73027A1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备案）部门（选填）</w:t>
            </w:r>
          </w:p>
        </w:tc>
        <w:tc>
          <w:tcPr>
            <w:tcW w:w="1179" w:type="pct"/>
            <w:vAlign w:val="center"/>
          </w:tcPr>
          <w:p w14:paraId="403AF7A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c>
          <w:tcPr>
            <w:tcW w:w="1182" w:type="pct"/>
            <w:vAlign w:val="center"/>
          </w:tcPr>
          <w:p w14:paraId="04DF01F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4923756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备案）文号（选填）</w:t>
            </w:r>
          </w:p>
        </w:tc>
        <w:tc>
          <w:tcPr>
            <w:tcW w:w="1743" w:type="pct"/>
            <w:vAlign w:val="center"/>
          </w:tcPr>
          <w:p w14:paraId="2A8E036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r>
      <w:tr w14:paraId="73E544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6F88987C">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总投资（万元）</w:t>
            </w:r>
          </w:p>
        </w:tc>
        <w:tc>
          <w:tcPr>
            <w:tcW w:w="1179" w:type="pct"/>
            <w:vAlign w:val="center"/>
          </w:tcPr>
          <w:p w14:paraId="068A4518">
            <w:pPr>
              <w:pStyle w:val="89"/>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sz w:val="21"/>
                <w:szCs w:val="21"/>
                <w:highlight w:val="none"/>
                <w:lang w:val="en-US" w:eastAsia="zh-CN"/>
              </w:rPr>
            </w:pPr>
            <w:r>
              <w:rPr>
                <w:rFonts w:hint="eastAsia"/>
                <w:color w:val="auto"/>
                <w:sz w:val="21"/>
                <w:szCs w:val="21"/>
                <w:highlight w:val="none"/>
                <w:lang w:val="en-US" w:eastAsia="zh-CN"/>
              </w:rPr>
              <w:t>12813.91</w:t>
            </w:r>
          </w:p>
        </w:tc>
        <w:tc>
          <w:tcPr>
            <w:tcW w:w="1182" w:type="pct"/>
            <w:tcMar>
              <w:top w:w="16" w:type="dxa"/>
              <w:left w:w="16" w:type="dxa"/>
              <w:right w:w="16" w:type="dxa"/>
            </w:tcMar>
            <w:vAlign w:val="center"/>
          </w:tcPr>
          <w:p w14:paraId="250AE4F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环保投资（万元）</w:t>
            </w:r>
          </w:p>
        </w:tc>
        <w:tc>
          <w:tcPr>
            <w:tcW w:w="1743" w:type="pct"/>
            <w:vAlign w:val="center"/>
          </w:tcPr>
          <w:p w14:paraId="15844F16">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1"/>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12</w:t>
            </w:r>
          </w:p>
        </w:tc>
      </w:tr>
      <w:tr w14:paraId="06EC79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C7F20F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环保投资占比（%）</w:t>
            </w:r>
          </w:p>
        </w:tc>
        <w:tc>
          <w:tcPr>
            <w:tcW w:w="1179" w:type="pct"/>
            <w:vAlign w:val="center"/>
          </w:tcPr>
          <w:p w14:paraId="090CC3A0">
            <w:pPr>
              <w:pStyle w:val="89"/>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kern w:val="21"/>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0.09</w:t>
            </w:r>
          </w:p>
        </w:tc>
        <w:tc>
          <w:tcPr>
            <w:tcW w:w="1182" w:type="pct"/>
            <w:tcMar>
              <w:top w:w="16" w:type="dxa"/>
              <w:left w:w="16" w:type="dxa"/>
              <w:right w:w="16" w:type="dxa"/>
            </w:tcMar>
            <w:vAlign w:val="center"/>
          </w:tcPr>
          <w:p w14:paraId="470A152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施工工期</w:t>
            </w:r>
          </w:p>
        </w:tc>
        <w:tc>
          <w:tcPr>
            <w:tcW w:w="1743" w:type="pct"/>
            <w:vAlign w:val="center"/>
          </w:tcPr>
          <w:p w14:paraId="3FFD3C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 w:val="21"/>
                <w:szCs w:val="21"/>
                <w:highlight w:val="none"/>
                <w:lang w:val="en-US" w:eastAsia="zh-CN"/>
              </w:rPr>
            </w:pPr>
            <w:r>
              <w:rPr>
                <w:rFonts w:hint="eastAsia"/>
                <w:color w:val="auto"/>
                <w:sz w:val="21"/>
                <w:szCs w:val="21"/>
                <w:highlight w:val="none"/>
                <w:lang w:val="en-US" w:eastAsia="zh-CN"/>
              </w:rPr>
              <w:t>2025年8月-10月</w:t>
            </w:r>
          </w:p>
        </w:tc>
      </w:tr>
      <w:tr w14:paraId="3FD274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8233E2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是否开工建设</w:t>
            </w:r>
          </w:p>
        </w:tc>
        <w:tc>
          <w:tcPr>
            <w:tcW w:w="1179" w:type="pct"/>
            <w:vAlign w:val="center"/>
          </w:tcPr>
          <w:p w14:paraId="273B17DC">
            <w:pPr>
              <w:keepNext w:val="0"/>
              <w:keepLines w:val="0"/>
              <w:suppressLineNumbers w:val="0"/>
              <w:spacing w:before="0" w:beforeAutospacing="0" w:after="0" w:afterAutospacing="0"/>
              <w:ind w:left="0" w:right="0" w:firstLine="105"/>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否</w:t>
            </w:r>
          </w:p>
          <w:p w14:paraId="0EB6781C">
            <w:pPr>
              <w:keepNext w:val="0"/>
              <w:keepLines w:val="0"/>
              <w:suppressLineNumbers w:val="0"/>
              <w:spacing w:before="0" w:beforeAutospacing="0" w:after="0" w:afterAutospacing="0"/>
              <w:ind w:left="0" w:right="0" w:firstLine="92"/>
              <w:jc w:val="left"/>
              <w:rPr>
                <w:rFonts w:hint="default" w:ascii="Times New Roman" w:hAnsi="Times New Roman" w:eastAsia="宋体" w:cs="Times New Roman"/>
                <w:color w:val="auto"/>
                <w:kern w:val="21"/>
                <w:szCs w:val="21"/>
                <w:highlight w:val="none"/>
                <w:u w:val="none"/>
                <w:lang w:val="en-US" w:eastAsia="zh-CN"/>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是</w:t>
            </w:r>
            <w:r>
              <w:rPr>
                <w:rFonts w:hint="default" w:ascii="Times New Roman" w:hAnsi="Times New Roman" w:cs="Times New Roman"/>
                <w:color w:val="auto"/>
                <w:kern w:val="21"/>
                <w:szCs w:val="21"/>
                <w:highlight w:val="none"/>
                <w:u w:val="single"/>
              </w:rPr>
              <w:t>：</w:t>
            </w:r>
            <w:r>
              <w:rPr>
                <w:rFonts w:hint="eastAsia" w:cs="Times New Roman"/>
                <w:color w:val="auto"/>
                <w:kern w:val="21"/>
                <w:szCs w:val="21"/>
                <w:highlight w:val="none"/>
                <w:u w:val="single"/>
                <w:lang w:val="en-US" w:eastAsia="zh-CN"/>
              </w:rPr>
              <w:t>原有净水系统老化设备更换已建设完成开始运行，深度处理车间建设完成后在试运行阶段未投产，建设内容与原环评一致，因废水排放方式发生变化申请重新报批，本次工程对加氯间进行改造。</w:t>
            </w:r>
          </w:p>
        </w:tc>
        <w:tc>
          <w:tcPr>
            <w:tcW w:w="1182" w:type="pct"/>
            <w:vAlign w:val="center"/>
          </w:tcPr>
          <w:p w14:paraId="060DFDC4">
            <w:pPr>
              <w:keepNext w:val="0"/>
              <w:keepLines w:val="0"/>
              <w:suppressLineNumbers w:val="0"/>
              <w:spacing w:before="0" w:beforeAutospacing="0" w:after="0" w:afterAutospacing="0"/>
              <w:ind w:left="0" w:right="0" w:firstLine="92"/>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用地（用海）面积（m</w:t>
            </w:r>
            <w:r>
              <w:rPr>
                <w:rFonts w:hint="default" w:ascii="Times New Roman" w:hAnsi="Times New Roman" w:cs="Times New Roman"/>
                <w:color w:val="auto"/>
                <w:kern w:val="21"/>
                <w:szCs w:val="21"/>
                <w:highlight w:val="none"/>
                <w:vertAlign w:val="superscript"/>
              </w:rPr>
              <w:t>2</w:t>
            </w:r>
            <w:r>
              <w:rPr>
                <w:rFonts w:hint="default" w:ascii="Times New Roman" w:hAnsi="Times New Roman" w:cs="Times New Roman"/>
                <w:color w:val="auto"/>
                <w:kern w:val="21"/>
                <w:szCs w:val="21"/>
                <w:highlight w:val="none"/>
              </w:rPr>
              <w:t>）</w:t>
            </w:r>
          </w:p>
        </w:tc>
        <w:tc>
          <w:tcPr>
            <w:tcW w:w="1743" w:type="pct"/>
            <w:vAlign w:val="center"/>
          </w:tcPr>
          <w:p w14:paraId="4A74B924">
            <w:pPr>
              <w:pStyle w:val="5"/>
              <w:keepLines w:val="0"/>
              <w:suppressLineNumbers w:val="0"/>
              <w:spacing w:beforeAutospacing="0" w:afterAutospacing="0" w:line="240" w:lineRule="auto"/>
              <w:ind w:right="0"/>
              <w:jc w:val="center"/>
              <w:rPr>
                <w:rFonts w:hint="default" w:ascii="Times New Roman" w:hAnsi="Times New Roman" w:eastAsia="宋体" w:cs="Times New Roman"/>
                <w:color w:val="auto"/>
                <w:kern w:val="21"/>
                <w:sz w:val="21"/>
                <w:szCs w:val="21"/>
                <w:highlight w:val="none"/>
                <w:lang w:val="en-US" w:eastAsia="zh-CN"/>
              </w:rPr>
            </w:pPr>
            <w:r>
              <w:rPr>
                <w:rFonts w:hint="eastAsia" w:eastAsia="宋体" w:cs="Times New Roman"/>
                <w:b w:val="0"/>
                <w:bCs w:val="0"/>
                <w:color w:val="auto"/>
                <w:kern w:val="21"/>
                <w:sz w:val="21"/>
                <w:szCs w:val="21"/>
                <w:highlight w:val="none"/>
                <w:lang w:val="en-US" w:eastAsia="zh-CN"/>
              </w:rPr>
              <w:t>25500</w:t>
            </w:r>
            <w:bookmarkStart w:id="22" w:name="_GoBack"/>
            <w:bookmarkEnd w:id="22"/>
          </w:p>
        </w:tc>
      </w:tr>
      <w:tr w14:paraId="0446D5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398593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专项评价设置情况</w:t>
            </w:r>
          </w:p>
        </w:tc>
        <w:tc>
          <w:tcPr>
            <w:tcW w:w="4104" w:type="pct"/>
            <w:gridSpan w:val="3"/>
            <w:tcMar>
              <w:top w:w="16" w:type="dxa"/>
              <w:left w:w="16" w:type="dxa"/>
              <w:right w:w="16" w:type="dxa"/>
            </w:tcMar>
            <w:vAlign w:val="center"/>
          </w:tcPr>
          <w:p w14:paraId="07177DAD">
            <w:pPr>
              <w:keepNext w:val="0"/>
              <w:keepLines w:val="0"/>
              <w:widowControl/>
              <w:suppressLineNumbers w:val="0"/>
              <w:snapToGrid/>
              <w:spacing w:before="0" w:beforeAutospacing="0" w:after="0" w:afterAutospacing="0" w:line="360" w:lineRule="auto"/>
              <w:ind w:left="0" w:right="0" w:firstLine="420" w:firstLineChars="200"/>
              <w:rPr>
                <w:rFonts w:hint="default"/>
                <w:color w:val="auto"/>
                <w:highlight w:val="none"/>
              </w:rPr>
            </w:pPr>
            <w:r>
              <w:rPr>
                <w:rFonts w:hint="default"/>
                <w:color w:val="auto"/>
                <w:szCs w:val="21"/>
                <w:highlight w:val="none"/>
              </w:rPr>
              <w:t>根据《建设项目环境影响报告表</w:t>
            </w:r>
            <w:r>
              <w:rPr>
                <w:rFonts w:hint="eastAsia"/>
                <w:color w:val="auto"/>
                <w:szCs w:val="21"/>
                <w:highlight w:val="none"/>
              </w:rPr>
              <w:t>编制</w:t>
            </w:r>
            <w:r>
              <w:rPr>
                <w:rFonts w:hint="default"/>
                <w:color w:val="auto"/>
                <w:szCs w:val="21"/>
                <w:highlight w:val="none"/>
              </w:rPr>
              <w:t>技术指南（污染影响类）》可知，土壤、声环境</w:t>
            </w:r>
            <w:r>
              <w:rPr>
                <w:rFonts w:hint="eastAsia"/>
                <w:color w:val="auto"/>
                <w:szCs w:val="21"/>
                <w:highlight w:val="none"/>
                <w:lang w:val="en-US" w:eastAsia="zh-CN"/>
              </w:rPr>
              <w:t>及</w:t>
            </w:r>
            <w:r>
              <w:rPr>
                <w:rFonts w:hint="default"/>
                <w:color w:val="auto"/>
                <w:szCs w:val="21"/>
                <w:highlight w:val="none"/>
              </w:rPr>
              <w:t>地下水不开展专项评价，本项目大气、地表水、环境风险、生态和海洋专项评价设置情况详见</w:t>
            </w:r>
            <w:r>
              <w:rPr>
                <w:rFonts w:hint="eastAsia"/>
                <w:color w:val="auto"/>
                <w:szCs w:val="21"/>
                <w:highlight w:val="none"/>
              </w:rPr>
              <w:t>下</w:t>
            </w:r>
            <w:r>
              <w:rPr>
                <w:rFonts w:hint="default"/>
                <w:color w:val="auto"/>
                <w:szCs w:val="21"/>
                <w:highlight w:val="none"/>
              </w:rPr>
              <w:t>表1-1。</w:t>
            </w:r>
          </w:p>
          <w:p w14:paraId="44953F82">
            <w:pPr>
              <w:keepNext w:val="0"/>
              <w:keepLines w:val="0"/>
              <w:widowControl/>
              <w:suppressLineNumbers w:val="0"/>
              <w:snapToGrid/>
              <w:spacing w:before="0" w:beforeAutospacing="0" w:after="0" w:afterAutospacing="0"/>
              <w:ind w:left="0" w:right="0"/>
              <w:jc w:val="center"/>
              <w:rPr>
                <w:rFonts w:hint="default"/>
                <w:b/>
                <w:color w:val="auto"/>
                <w:kern w:val="0"/>
                <w:sz w:val="21"/>
                <w:szCs w:val="21"/>
                <w:highlight w:val="none"/>
              </w:rPr>
            </w:pPr>
            <w:r>
              <w:rPr>
                <w:rFonts w:hint="eastAsia"/>
                <w:b/>
                <w:color w:val="auto"/>
                <w:kern w:val="0"/>
                <w:sz w:val="21"/>
                <w:szCs w:val="21"/>
                <w:highlight w:val="none"/>
              </w:rPr>
              <w:t>表1-1本项目专项评价设置情况</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3"/>
              <w:gridCol w:w="4048"/>
            </w:tblGrid>
            <w:tr w14:paraId="45F166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4F16BB87">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设置原则</w:t>
                  </w:r>
                </w:p>
              </w:tc>
              <w:tc>
                <w:tcPr>
                  <w:tcW w:w="2727" w:type="pct"/>
                  <w:tcBorders>
                    <w:tl2br w:val="nil"/>
                    <w:tr2bl w:val="nil"/>
                  </w:tcBorders>
                  <w:noWrap w:val="0"/>
                  <w:vAlign w:val="center"/>
                </w:tcPr>
                <w:p w14:paraId="2AA680D9">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本项目设置情况</w:t>
                  </w:r>
                </w:p>
              </w:tc>
            </w:tr>
            <w:tr w14:paraId="18A107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3C01DA8D">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排放废气含有毒有害污染物、二噁英、苯并[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]芘、氰化物、氯气且厂界外500米</w:t>
                  </w:r>
                  <w:r>
                    <w:rPr>
                      <w:rFonts w:hint="eastAsia" w:ascii="Times New Roman" w:hAnsi="Times New Roman"/>
                      <w:color w:val="auto"/>
                      <w:sz w:val="18"/>
                      <w:szCs w:val="18"/>
                      <w:highlight w:val="none"/>
                    </w:rPr>
                    <w:t>范</w:t>
                  </w:r>
                  <w:r>
                    <w:rPr>
                      <w:rFonts w:hint="default" w:ascii="Times New Roman" w:hAnsi="Times New Roman"/>
                      <w:color w:val="auto"/>
                      <w:sz w:val="18"/>
                      <w:szCs w:val="18"/>
                      <w:highlight w:val="none"/>
                    </w:rPr>
                    <w:t>围内有环境空气保护目标的建设项</w:t>
                  </w:r>
                  <w:r>
                    <w:rPr>
                      <w:rFonts w:hint="eastAsia" w:ascii="Times New Roman" w:hAnsi="Times New Roman"/>
                      <w:color w:val="auto"/>
                      <w:sz w:val="18"/>
                      <w:szCs w:val="18"/>
                      <w:highlight w:val="none"/>
                    </w:rPr>
                    <w:t>目</w:t>
                  </w:r>
                </w:p>
              </w:tc>
              <w:tc>
                <w:tcPr>
                  <w:tcW w:w="2727" w:type="pct"/>
                  <w:tcBorders>
                    <w:tl2br w:val="nil"/>
                    <w:tr2bl w:val="nil"/>
                  </w:tcBorders>
                  <w:noWrap w:val="0"/>
                  <w:vAlign w:val="center"/>
                </w:tcPr>
                <w:p w14:paraId="02BB1C21">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本项目排放废气中不含有毒有害污染物、</w:t>
                  </w:r>
                  <w:r>
                    <w:rPr>
                      <w:rFonts w:hint="default" w:ascii="Times New Roman" w:hAnsi="Times New Roman"/>
                      <w:color w:val="auto"/>
                      <w:sz w:val="18"/>
                      <w:szCs w:val="18"/>
                      <w:highlight w:val="none"/>
                    </w:rPr>
                    <w:t>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w:t>
                  </w:r>
                  <w:r>
                    <w:rPr>
                      <w:rFonts w:hint="eastAsia" w:ascii="Times New Roman" w:hAnsi="Times New Roman"/>
                      <w:color w:val="auto"/>
                      <w:sz w:val="18"/>
                      <w:szCs w:val="18"/>
                      <w:highlight w:val="none"/>
                    </w:rPr>
                    <w:t>，不需设置大气专项评价。</w:t>
                  </w:r>
                </w:p>
              </w:tc>
            </w:tr>
            <w:tr w14:paraId="10CE82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37E092A8">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新增工业废水直排建设项目（槽罐车外送污水处理厂的除外）；新增废水直排的污水集中处理厂</w:t>
                  </w:r>
                </w:p>
              </w:tc>
              <w:tc>
                <w:tcPr>
                  <w:tcW w:w="2727" w:type="pct"/>
                  <w:tcBorders>
                    <w:tl2br w:val="nil"/>
                    <w:tr2bl w:val="nil"/>
                  </w:tcBorders>
                  <w:noWrap w:val="0"/>
                  <w:vAlign w:val="center"/>
                </w:tcPr>
                <w:p w14:paraId="6DE0E25E">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本项目属于新增工业废水直排建设项目，需设置地表水专项评价。</w:t>
                  </w:r>
                </w:p>
              </w:tc>
            </w:tr>
            <w:tr w14:paraId="679416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5B7F173B">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有毒有害和易燃易爆危险物质存储量超过临界量的建设项目</w:t>
                  </w:r>
                </w:p>
              </w:tc>
              <w:tc>
                <w:tcPr>
                  <w:tcW w:w="2727" w:type="pct"/>
                  <w:tcBorders>
                    <w:tl2br w:val="nil"/>
                    <w:tr2bl w:val="nil"/>
                  </w:tcBorders>
                  <w:noWrap w:val="0"/>
                  <w:vAlign w:val="center"/>
                </w:tcPr>
                <w:p w14:paraId="6FB1DFFD">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s="Times New Roman"/>
                      <w:b w:val="0"/>
                      <w:bCs w:val="0"/>
                      <w:color w:val="auto"/>
                      <w:spacing w:val="0"/>
                      <w:kern w:val="21"/>
                      <w:sz w:val="18"/>
                      <w:szCs w:val="18"/>
                      <w:highlight w:val="none"/>
                      <w:lang w:val="en-US" w:eastAsia="zh-CN"/>
                    </w:rPr>
                    <w:t>本项目风险物质储存量未超出临界量，</w:t>
                  </w:r>
                  <w:r>
                    <w:rPr>
                      <w:rFonts w:hint="eastAsia" w:ascii="Times New Roman" w:hAnsi="Times New Roman" w:cs="Times New Roman"/>
                      <w:color w:val="auto"/>
                      <w:kern w:val="0"/>
                      <w:sz w:val="18"/>
                      <w:szCs w:val="18"/>
                      <w:highlight w:val="none"/>
                      <w:lang w:val="en-US" w:eastAsia="zh-CN"/>
                    </w:rPr>
                    <w:t>因此不设置</w:t>
                  </w:r>
                  <w:r>
                    <w:rPr>
                      <w:rFonts w:hint="default" w:ascii="Times New Roman" w:hAnsi="Times New Roman" w:eastAsia="宋体" w:cs="Times New Roman"/>
                      <w:color w:val="auto"/>
                      <w:kern w:val="0"/>
                      <w:sz w:val="18"/>
                      <w:szCs w:val="18"/>
                      <w:highlight w:val="none"/>
                      <w:lang w:val="en-US" w:eastAsia="zh-CN"/>
                    </w:rPr>
                    <w:t>环境风险专项评价</w:t>
                  </w:r>
                  <w:r>
                    <w:rPr>
                      <w:rFonts w:hint="eastAsia" w:ascii="Times New Roman" w:hAnsi="Times New Roman" w:eastAsia="宋体" w:cs="Times New Roman"/>
                      <w:color w:val="auto"/>
                      <w:kern w:val="0"/>
                      <w:sz w:val="18"/>
                      <w:szCs w:val="18"/>
                      <w:highlight w:val="none"/>
                      <w:lang w:val="en-US" w:eastAsia="zh-CN"/>
                    </w:rPr>
                    <w:t>。</w:t>
                  </w:r>
                </w:p>
              </w:tc>
            </w:tr>
            <w:tr w14:paraId="159B09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027D66DC">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p>
              </w:tc>
              <w:tc>
                <w:tcPr>
                  <w:tcW w:w="2727" w:type="pct"/>
                  <w:tcBorders>
                    <w:tl2br w:val="nil"/>
                    <w:tr2bl w:val="nil"/>
                  </w:tcBorders>
                  <w:noWrap w:val="0"/>
                  <w:vAlign w:val="center"/>
                </w:tcPr>
                <w:p w14:paraId="0CE7EF26">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lang w:val="en-US" w:eastAsia="zh-CN"/>
                    </w:rPr>
                    <w:t>本项目不涉及河道取水</w:t>
                  </w:r>
                  <w:r>
                    <w:rPr>
                      <w:rFonts w:hint="default" w:ascii="Times New Roman" w:hAnsi="Times New Roman"/>
                      <w:color w:val="auto"/>
                      <w:sz w:val="18"/>
                      <w:szCs w:val="18"/>
                      <w:highlight w:val="none"/>
                    </w:rPr>
                    <w:t>，不需设置生态专项评价。</w:t>
                  </w:r>
                </w:p>
              </w:tc>
            </w:tr>
            <w:tr w14:paraId="1C171E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2C363E91">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直接向海排放污染物的海洋工程建设项目</w:t>
                  </w:r>
                </w:p>
              </w:tc>
              <w:tc>
                <w:tcPr>
                  <w:tcW w:w="2727" w:type="pct"/>
                  <w:tcBorders>
                    <w:tl2br w:val="nil"/>
                    <w:tr2bl w:val="nil"/>
                  </w:tcBorders>
                  <w:noWrap w:val="0"/>
                  <w:vAlign w:val="center"/>
                </w:tcPr>
                <w:p w14:paraId="5070F1C3">
                  <w:pPr>
                    <w:pStyle w:val="28"/>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本项目不属于海洋工程，不需设置海洋专项评价。</w:t>
                  </w:r>
                </w:p>
              </w:tc>
            </w:tr>
          </w:tbl>
          <w:p w14:paraId="5D710F1E">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p>
        </w:tc>
      </w:tr>
      <w:tr w14:paraId="025420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3CEC82A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规划情况</w:t>
            </w:r>
          </w:p>
        </w:tc>
        <w:tc>
          <w:tcPr>
            <w:tcW w:w="7452" w:type="dxa"/>
            <w:gridSpan w:val="3"/>
            <w:tcMar>
              <w:top w:w="16" w:type="dxa"/>
              <w:left w:w="16" w:type="dxa"/>
              <w:right w:w="16" w:type="dxa"/>
            </w:tcMar>
            <w:vAlign w:val="center"/>
          </w:tcPr>
          <w:p w14:paraId="7E2408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eastAsia" w:cs="Times New Roman"/>
                <w:color w:val="auto"/>
                <w:kern w:val="21"/>
                <w:sz w:val="21"/>
                <w:szCs w:val="21"/>
                <w:highlight w:val="none"/>
                <w:lang w:val="en-US" w:eastAsia="zh-CN"/>
              </w:rPr>
              <w:t>无</w:t>
            </w:r>
          </w:p>
        </w:tc>
      </w:tr>
      <w:tr w14:paraId="4B8892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9F4806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规划环境影响</w:t>
            </w:r>
          </w:p>
          <w:p w14:paraId="6097D47C">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评价情况</w:t>
            </w:r>
          </w:p>
        </w:tc>
        <w:tc>
          <w:tcPr>
            <w:tcW w:w="7452" w:type="dxa"/>
            <w:gridSpan w:val="3"/>
            <w:tcMar>
              <w:top w:w="16" w:type="dxa"/>
              <w:left w:w="16" w:type="dxa"/>
              <w:right w:w="16" w:type="dxa"/>
            </w:tcMar>
            <w:vAlign w:val="center"/>
          </w:tcPr>
          <w:p w14:paraId="3930D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eastAsia" w:cs="Times New Roman"/>
                <w:color w:val="auto"/>
                <w:kern w:val="21"/>
                <w:sz w:val="21"/>
                <w:szCs w:val="21"/>
                <w:highlight w:val="none"/>
                <w:lang w:val="en-US" w:eastAsia="zh-CN"/>
              </w:rPr>
              <w:t>无</w:t>
            </w:r>
          </w:p>
        </w:tc>
      </w:tr>
      <w:tr w14:paraId="2646D3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7AF09D30">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规划及规划环境影响评价符合性分析</w:t>
            </w:r>
          </w:p>
        </w:tc>
        <w:tc>
          <w:tcPr>
            <w:tcW w:w="7452" w:type="dxa"/>
            <w:gridSpan w:val="3"/>
            <w:tcMar>
              <w:top w:w="16" w:type="dxa"/>
              <w:left w:w="16" w:type="dxa"/>
              <w:right w:w="16" w:type="dxa"/>
            </w:tcMar>
            <w:vAlign w:val="center"/>
          </w:tcPr>
          <w:p w14:paraId="20C35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color w:val="auto"/>
                <w:highlight w:val="none"/>
                <w:lang w:val="en-US" w:eastAsia="zh-CN"/>
              </w:rPr>
            </w:pPr>
            <w:r>
              <w:rPr>
                <w:rFonts w:hint="eastAsia"/>
                <w:color w:val="auto"/>
                <w:highlight w:val="none"/>
                <w:lang w:val="en-US" w:eastAsia="zh-CN"/>
              </w:rPr>
              <w:t>无</w:t>
            </w:r>
          </w:p>
        </w:tc>
      </w:tr>
      <w:tr w14:paraId="030AC8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74" w:hRule="atLeast"/>
          <w:jc w:val="center"/>
        </w:trPr>
        <w:tc>
          <w:tcPr>
            <w:tcW w:w="895" w:type="pct"/>
            <w:tcMar>
              <w:top w:w="16" w:type="dxa"/>
              <w:left w:w="16" w:type="dxa"/>
              <w:right w:w="16" w:type="dxa"/>
            </w:tcMar>
            <w:vAlign w:val="center"/>
          </w:tcPr>
          <w:p w14:paraId="79B6325F">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Cs w:val="21"/>
                <w:highlight w:val="none"/>
              </w:rPr>
            </w:pPr>
            <w:bookmarkStart w:id="3" w:name="_Hlk56690880"/>
            <w:r>
              <w:rPr>
                <w:rFonts w:hint="default" w:ascii="Times New Roman" w:hAnsi="Times New Roman" w:cs="Times New Roman"/>
                <w:color w:val="auto"/>
                <w:kern w:val="21"/>
                <w:szCs w:val="21"/>
                <w:highlight w:val="none"/>
              </w:rPr>
              <w:t>其他符合性分析</w:t>
            </w:r>
          </w:p>
        </w:tc>
        <w:tc>
          <w:tcPr>
            <w:tcW w:w="4104" w:type="pct"/>
            <w:gridSpan w:val="3"/>
            <w:tcMar>
              <w:top w:w="16" w:type="dxa"/>
              <w:left w:w="16" w:type="dxa"/>
              <w:right w:w="16" w:type="dxa"/>
            </w:tcMar>
            <w:vAlign w:val="center"/>
          </w:tcPr>
          <w:p w14:paraId="5C3D0A04">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firstLine="422" w:firstLineChars="200"/>
              <w:textAlignment w:val="auto"/>
              <w:rPr>
                <w:rFonts w:hint="default"/>
                <w:b/>
                <w:bCs/>
                <w:color w:val="auto"/>
                <w:kern w:val="0"/>
                <w:sz w:val="21"/>
                <w:szCs w:val="21"/>
                <w:highlight w:val="none"/>
              </w:rPr>
            </w:pPr>
            <w:r>
              <w:rPr>
                <w:rFonts w:hint="eastAsia"/>
                <w:b/>
                <w:bCs/>
                <w:color w:val="auto"/>
                <w:kern w:val="0"/>
                <w:sz w:val="21"/>
                <w:szCs w:val="21"/>
                <w:highlight w:val="none"/>
                <w:lang w:val="en-US" w:eastAsia="zh-CN"/>
              </w:rPr>
              <w:t>1、</w:t>
            </w:r>
            <w:r>
              <w:rPr>
                <w:rFonts w:hint="eastAsia"/>
                <w:b/>
                <w:bCs/>
                <w:color w:val="auto"/>
                <w:kern w:val="0"/>
                <w:sz w:val="21"/>
                <w:szCs w:val="21"/>
                <w:highlight w:val="none"/>
                <w:lang w:eastAsia="zh-CN"/>
              </w:rPr>
              <w:t>生态环境分区管控</w:t>
            </w:r>
            <w:r>
              <w:rPr>
                <w:rFonts w:hint="eastAsia"/>
                <w:b/>
                <w:bCs/>
                <w:color w:val="auto"/>
                <w:kern w:val="0"/>
                <w:sz w:val="21"/>
                <w:szCs w:val="21"/>
                <w:highlight w:val="none"/>
              </w:rPr>
              <w:t>符合性分析</w:t>
            </w:r>
          </w:p>
          <w:p w14:paraId="2A908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bidi="ar"/>
              </w:rPr>
              <w:t>本项目位于</w:t>
            </w:r>
            <w:r>
              <w:rPr>
                <w:rFonts w:hint="eastAsia" w:cs="Times New Roman"/>
                <w:color w:val="auto"/>
                <w:sz w:val="21"/>
                <w:szCs w:val="21"/>
                <w:highlight w:val="none"/>
                <w:lang w:val="en-US" w:eastAsia="zh-CN"/>
              </w:rPr>
              <w:t>黑龙江省鸡西市鸡东县平阳镇平阳村</w:t>
            </w:r>
            <w:r>
              <w:rPr>
                <w:rFonts w:hint="default" w:ascii="Times New Roman" w:hAnsi="Times New Roman" w:cs="Times New Roman"/>
                <w:color w:val="auto"/>
                <w:sz w:val="21"/>
                <w:szCs w:val="21"/>
                <w:highlight w:val="none"/>
              </w:rPr>
              <w:t>，根据</w:t>
            </w:r>
            <w:r>
              <w:rPr>
                <w:rFonts w:hint="default" w:ascii="Times New Roman" w:hAnsi="Times New Roman" w:cs="Times New Roman"/>
                <w:color w:val="auto"/>
                <w:kern w:val="0"/>
                <w:sz w:val="21"/>
                <w:szCs w:val="21"/>
                <w:highlight w:val="none"/>
                <w:lang w:bidi="ar"/>
              </w:rPr>
              <w:t>《黑龙江省人民政府关于实施</w:t>
            </w:r>
            <w:r>
              <w:rPr>
                <w:rFonts w:hint="eastAsia" w:ascii="宋体" w:hAnsi="宋体" w:eastAsia="宋体" w:cs="宋体"/>
                <w:color w:val="auto"/>
                <w:kern w:val="0"/>
                <w:sz w:val="21"/>
                <w:szCs w:val="21"/>
                <w:highlight w:val="none"/>
                <w:lang w:bidi="ar"/>
              </w:rPr>
              <w:t>“三线一单”生</w:t>
            </w:r>
            <w:r>
              <w:rPr>
                <w:rFonts w:hint="default" w:ascii="Times New Roman" w:hAnsi="Times New Roman" w:cs="Times New Roman"/>
                <w:color w:val="auto"/>
                <w:kern w:val="0"/>
                <w:sz w:val="21"/>
                <w:szCs w:val="21"/>
                <w:highlight w:val="none"/>
                <w:lang w:bidi="ar"/>
              </w:rPr>
              <w:t>态环境分区管控的意见》（黑政发〔2020〕14号）、《</w:t>
            </w:r>
            <w:r>
              <w:rPr>
                <w:rFonts w:hint="default" w:ascii="Times New Roman" w:hAnsi="Times New Roman"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w:t>
            </w:r>
            <w:r>
              <w:rPr>
                <w:rFonts w:hint="eastAsia" w:ascii="宋体" w:hAnsi="宋体" w:eastAsia="宋体" w:cs="宋体"/>
                <w:color w:val="auto"/>
                <w:kern w:val="0"/>
                <w:sz w:val="21"/>
                <w:szCs w:val="21"/>
                <w:highlight w:val="none"/>
                <w:lang w:bidi="ar"/>
              </w:rPr>
              <w:t>施“三线一单”生</w:t>
            </w:r>
            <w:r>
              <w:rPr>
                <w:rFonts w:hint="default" w:ascii="Times New Roman" w:hAnsi="Times New Roman" w:cs="Times New Roman"/>
                <w:color w:val="auto"/>
                <w:kern w:val="0"/>
                <w:sz w:val="21"/>
                <w:szCs w:val="21"/>
                <w:highlight w:val="none"/>
                <w:lang w:bidi="ar"/>
              </w:rPr>
              <w:t>态环境分区管控的意见》（</w:t>
            </w:r>
            <w:r>
              <w:rPr>
                <w:rFonts w:hint="default" w:ascii="Times New Roman" w:hAnsi="Times New Roman"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default" w:ascii="Times New Roman" w:hAnsi="Times New Roman"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default" w:ascii="Times New Roman" w:hAnsi="Times New Roman" w:cs="Times New Roman"/>
                <w:color w:val="auto"/>
                <w:kern w:val="0"/>
                <w:sz w:val="21"/>
                <w:szCs w:val="21"/>
                <w:highlight w:val="none"/>
                <w:lang w:eastAsia="zh-CN" w:bidi="ar"/>
              </w:rPr>
              <w:t>和《鸡西市第三净水厂升级改造工程（重新报批）生态环境</w:t>
            </w:r>
            <w:r>
              <w:rPr>
                <w:rFonts w:hint="eastAsia" w:cs="Times New Roman"/>
                <w:color w:val="auto"/>
                <w:kern w:val="0"/>
                <w:sz w:val="21"/>
                <w:szCs w:val="21"/>
                <w:highlight w:val="none"/>
                <w:lang w:eastAsia="zh-CN" w:bidi="ar"/>
              </w:rPr>
              <w:t>分区管控分析报告》（见附件）</w:t>
            </w:r>
            <w:r>
              <w:rPr>
                <w:rFonts w:hint="default" w:ascii="Times New Roman" w:hAnsi="Times New Roman" w:cs="Times New Roman"/>
                <w:color w:val="auto"/>
                <w:kern w:val="0"/>
                <w:sz w:val="21"/>
                <w:szCs w:val="21"/>
                <w:highlight w:val="none"/>
                <w:lang w:bidi="ar"/>
              </w:rPr>
              <w:t>，</w:t>
            </w:r>
            <w:r>
              <w:rPr>
                <w:rFonts w:hint="eastAsia" w:cs="Times New Roman"/>
                <w:color w:val="auto"/>
                <w:kern w:val="0"/>
                <w:sz w:val="21"/>
                <w:szCs w:val="21"/>
                <w:highlight w:val="none"/>
                <w:lang w:eastAsia="zh-CN" w:bidi="ar"/>
              </w:rPr>
              <w:t>本项目与“生态环境分区管控”符合性如下：</w:t>
            </w:r>
          </w:p>
          <w:p w14:paraId="45BA23DF">
            <w:pPr>
              <w:pStyle w:val="28"/>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leftChars="0" w:right="0" w:firstLine="420" w:firstLineChars="200"/>
              <w:textAlignment w:val="auto"/>
              <w:rPr>
                <w:rFonts w:hint="eastAsia"/>
                <w:color w:val="auto"/>
                <w:sz w:val="21"/>
                <w:szCs w:val="21"/>
                <w:lang w:eastAsia="zh-CN"/>
              </w:rPr>
            </w:pPr>
            <w:r>
              <w:rPr>
                <w:rFonts w:hint="eastAsia" w:ascii="Calibri" w:hAnsi="Calibri"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1</w:t>
            </w:r>
            <w:r>
              <w:rPr>
                <w:rFonts w:hint="eastAsia" w:ascii="Calibri" w:hAnsi="Calibri" w:eastAsia="宋体" w:cs="Times New Roman"/>
                <w:color w:val="auto"/>
                <w:kern w:val="2"/>
                <w:sz w:val="21"/>
                <w:szCs w:val="21"/>
                <w:lang w:val="en-US" w:eastAsia="zh-CN" w:bidi="ar-SA"/>
              </w:rPr>
              <w:t>）</w:t>
            </w:r>
            <w:r>
              <w:rPr>
                <w:rFonts w:hint="eastAsia"/>
                <w:color w:val="auto"/>
                <w:sz w:val="21"/>
                <w:szCs w:val="21"/>
                <w:lang w:eastAsia="zh-CN"/>
              </w:rPr>
              <w:t>“一图”</w:t>
            </w:r>
          </w:p>
          <w:p w14:paraId="0E17FB87">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val="en-US" w:eastAsia="zh-CN" w:bidi="ar"/>
              </w:rPr>
            </w:pPr>
            <w:r>
              <w:rPr>
                <w:rFonts w:hint="eastAsia"/>
                <w:color w:val="auto"/>
                <w:sz w:val="21"/>
                <w:szCs w:val="21"/>
                <w:lang w:eastAsia="zh-CN"/>
              </w:rPr>
              <w:t>根据</w:t>
            </w:r>
            <w:r>
              <w:rPr>
                <w:rFonts w:hint="eastAsia"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eastAsia="zh-CN" w:bidi="ar"/>
              </w:rPr>
              <w:t>鸡西市第三净水厂升级改造工程（重新报批）生态环境分区管控分析报告》，项目与环境管控单元叠加图见图</w:t>
            </w:r>
            <w:r>
              <w:rPr>
                <w:rFonts w:hint="eastAsia" w:cs="Times New Roman"/>
                <w:color w:val="auto"/>
                <w:kern w:val="0"/>
                <w:sz w:val="21"/>
                <w:szCs w:val="21"/>
                <w:highlight w:val="none"/>
                <w:lang w:val="en-US" w:eastAsia="zh-CN" w:bidi="ar"/>
              </w:rPr>
              <w:t>1-1。</w:t>
            </w:r>
          </w:p>
          <w:p w14:paraId="56914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kern w:val="0"/>
                <w:sz w:val="21"/>
                <w:szCs w:val="21"/>
                <w:highlight w:val="none"/>
              </w:rPr>
            </w:pPr>
            <w:r>
              <w:rPr>
                <w:rFonts w:hint="default"/>
                <w:color w:val="auto"/>
              </w:rPr>
              <w:drawing>
                <wp:inline distT="0" distB="0" distL="114300" distR="114300">
                  <wp:extent cx="4712335" cy="2390775"/>
                  <wp:effectExtent l="0" t="0" r="12065" b="9525"/>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9"/>
                          <a:stretch>
                            <a:fillRect/>
                          </a:stretch>
                        </pic:blipFill>
                        <pic:spPr>
                          <a:xfrm>
                            <a:off x="0" y="0"/>
                            <a:ext cx="4712335" cy="2390775"/>
                          </a:xfrm>
                          <a:prstGeom prst="rect">
                            <a:avLst/>
                          </a:prstGeom>
                          <a:noFill/>
                          <a:ln>
                            <a:noFill/>
                          </a:ln>
                        </pic:spPr>
                      </pic:pic>
                    </a:graphicData>
                  </a:graphic>
                </wp:inline>
              </w:drawing>
            </w:r>
          </w:p>
          <w:p w14:paraId="1E05D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eastAsia" w:ascii="宋体" w:hAnsi="宋体" w:eastAsia="宋体" w:cs="宋体"/>
                <w:b/>
                <w:bCs/>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eastAsia="zh-CN"/>
              </w:rPr>
              <w:t>图</w:t>
            </w:r>
            <w:r>
              <w:rPr>
                <w:rFonts w:hint="eastAsia" w:ascii="宋体" w:hAnsi="宋体" w:eastAsia="宋体" w:cs="宋体"/>
                <w:b/>
                <w:bCs/>
                <w:color w:val="auto"/>
                <w:kern w:val="0"/>
                <w:sz w:val="21"/>
                <w:szCs w:val="21"/>
                <w:highlight w:val="none"/>
                <w:lang w:val="en-US" w:eastAsia="zh-CN"/>
              </w:rPr>
              <w:t>1-1与生态环境分区管控叠加图</w:t>
            </w:r>
          </w:p>
          <w:p w14:paraId="07F4930B">
            <w:pPr>
              <w:pStyle w:val="153"/>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一表”</w:t>
            </w:r>
          </w:p>
          <w:p w14:paraId="346552CF">
            <w:pPr>
              <w:pStyle w:val="153"/>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本项目与生态环境准入清单符合性情况见表1-2。</w:t>
            </w:r>
          </w:p>
          <w:p w14:paraId="30B4B2A4">
            <w:pPr>
              <w:keepNext w:val="0"/>
              <w:keepLines w:val="0"/>
              <w:suppressLineNumbers w:val="0"/>
              <w:bidi w:val="0"/>
              <w:spacing w:before="0" w:beforeAutospacing="0" w:after="0" w:afterAutospacing="0"/>
              <w:ind w:left="0" w:right="0"/>
              <w:jc w:val="center"/>
              <w:rPr>
                <w:rFonts w:hint="default"/>
                <w:b/>
                <w:bCs/>
                <w:color w:val="auto"/>
                <w:sz w:val="21"/>
                <w:szCs w:val="21"/>
                <w:highlight w:val="none"/>
              </w:rPr>
            </w:pPr>
            <w:r>
              <w:rPr>
                <w:rFonts w:hint="default"/>
                <w:b/>
                <w:bCs/>
                <w:color w:val="auto"/>
                <w:sz w:val="21"/>
                <w:szCs w:val="21"/>
                <w:highlight w:val="none"/>
              </w:rPr>
              <w:t>表1-</w:t>
            </w:r>
            <w:r>
              <w:rPr>
                <w:rFonts w:hint="eastAsia"/>
                <w:b/>
                <w:bCs/>
                <w:color w:val="auto"/>
                <w:sz w:val="21"/>
                <w:szCs w:val="21"/>
                <w:highlight w:val="none"/>
                <w:lang w:val="en-US" w:eastAsia="zh-CN"/>
              </w:rPr>
              <w:t xml:space="preserve">2   </w:t>
            </w:r>
            <w:r>
              <w:rPr>
                <w:rFonts w:hint="default"/>
                <w:b/>
                <w:bCs/>
                <w:color w:val="auto"/>
                <w:sz w:val="21"/>
                <w:szCs w:val="21"/>
                <w:highlight w:val="none"/>
              </w:rPr>
              <w:t>生态环境准入清单符合性分析</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208"/>
              <w:gridCol w:w="4342"/>
              <w:gridCol w:w="1632"/>
            </w:tblGrid>
            <w:tr w14:paraId="1D97E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bottom w:val="single" w:color="auto" w:sz="4" w:space="0"/>
                  </w:tcBorders>
                  <w:noWrap w:val="0"/>
                  <w:vAlign w:val="center"/>
                </w:tcPr>
                <w:p w14:paraId="00BD1867">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一、生态保护红线</w:t>
                  </w:r>
                </w:p>
              </w:tc>
            </w:tr>
            <w:tr w14:paraId="1CAD5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132C3D2D">
                  <w:pPr>
                    <w:pStyle w:val="173"/>
                    <w:keepNext w:val="0"/>
                    <w:keepLines w:val="0"/>
                    <w:suppressLineNumbers w:val="0"/>
                    <w:spacing w:before="0" w:beforeAutospacing="0" w:after="0" w:afterAutospacing="0" w:line="240" w:lineRule="auto"/>
                    <w:ind w:left="0" w:right="0" w:firstLine="420"/>
                    <w:rPr>
                      <w:rFonts w:hint="default"/>
                      <w:color w:val="auto"/>
                      <w:sz w:val="21"/>
                      <w:szCs w:val="21"/>
                      <w:highlight w:val="none"/>
                    </w:rPr>
                  </w:pPr>
                  <w:r>
                    <w:rPr>
                      <w:rFonts w:hint="eastAsia"/>
                      <w:color w:val="auto"/>
                      <w:sz w:val="21"/>
                      <w:szCs w:val="21"/>
                      <w:lang w:val="en-US" w:eastAsia="zh-CN"/>
                    </w:rPr>
                    <w:t>根据</w:t>
                  </w:r>
                  <w:r>
                    <w:rPr>
                      <w:rFonts w:hint="eastAsia" w:ascii="Times New Roman" w:hAnsi="Times New Roman" w:cs="Times New Roman"/>
                      <w:color w:val="auto"/>
                      <w:sz w:val="21"/>
                      <w:szCs w:val="21"/>
                      <w:lang w:val="en-US" w:eastAsia="zh-CN"/>
                    </w:rPr>
                    <w:t>《</w:t>
                  </w:r>
                  <w:r>
                    <w:rPr>
                      <w:rFonts w:hint="eastAsia" w:cs="Times New Roman"/>
                      <w:color w:val="auto"/>
                      <w:kern w:val="0"/>
                      <w:sz w:val="21"/>
                      <w:szCs w:val="21"/>
                      <w:highlight w:val="none"/>
                      <w:lang w:eastAsia="zh-CN" w:bidi="ar"/>
                    </w:rPr>
                    <w:t>鸡西市第三净水厂升级改造工程（重新报批）生态环境分区管控分析报告</w:t>
                  </w:r>
                  <w:r>
                    <w:rPr>
                      <w:rFonts w:hint="eastAsia" w:ascii="Times New Roman" w:hAnsi="Times New Roman" w:cs="Times New Roman"/>
                      <w:color w:val="auto"/>
                      <w:sz w:val="21"/>
                      <w:szCs w:val="21"/>
                      <w:lang w:val="en-US" w:eastAsia="zh-CN"/>
                    </w:rPr>
                    <w:t>》，本项目不涉及生态保护红线。</w:t>
                  </w:r>
                </w:p>
              </w:tc>
            </w:tr>
            <w:tr w14:paraId="095A4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6F5BC949">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二、环境质量底线</w:t>
                  </w:r>
                </w:p>
              </w:tc>
            </w:tr>
            <w:tr w14:paraId="09AF0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30A370CA">
                  <w:pPr>
                    <w:pStyle w:val="174"/>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环境质量底线是国家和地方设置的大气、水和土壤环境质量目标，也是改</w:t>
                  </w:r>
                  <w:r>
                    <w:rPr>
                      <w:rFonts w:hint="default" w:ascii="Times New Roman" w:hAnsi="Times New Roman" w:eastAsia="宋体" w:cs="Times New Roman"/>
                      <w:color w:val="auto"/>
                      <w:kern w:val="0"/>
                      <w:sz w:val="21"/>
                      <w:szCs w:val="21"/>
                      <w:lang w:val="en-US" w:eastAsia="zh-CN" w:bidi="ar-SA"/>
                    </w:rPr>
                    <w:t>善环境质量的基准线。项目环境影响评价应对照区域环境质量目标，深入分析预测项目建设对环境质量的影响，强化污染防治措施和污染物排放控制要求。</w:t>
                  </w:r>
                </w:p>
                <w:p w14:paraId="5F59A4C8">
                  <w:pPr>
                    <w:pStyle w:val="174"/>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1、大气环境</w:t>
                  </w:r>
                </w:p>
                <w:p w14:paraId="624DF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2"/>
                      <w:sz w:val="21"/>
                      <w:szCs w:val="24"/>
                      <w:highlight w:val="none"/>
                      <w:lang w:val="en-US" w:eastAsia="zh-CN"/>
                    </w:rPr>
                  </w:pPr>
                  <w:r>
                    <w:rPr>
                      <w:rFonts w:hint="default" w:ascii="Times New Roman" w:hAnsi="Times New Roman" w:cs="Times New Roman"/>
                      <w:color w:val="auto"/>
                      <w:kern w:val="2"/>
                      <w:sz w:val="21"/>
                      <w:szCs w:val="24"/>
                      <w:highlight w:val="none"/>
                    </w:rPr>
                    <w:t>根据</w:t>
                  </w:r>
                  <w:r>
                    <w:rPr>
                      <w:rFonts w:hint="default" w:ascii="Times New Roman" w:hAnsi="Times New Roman" w:cs="Times New Roman"/>
                      <w:color w:val="auto"/>
                      <w:szCs w:val="21"/>
                      <w:highlight w:val="none"/>
                    </w:rPr>
                    <w:t>《202</w:t>
                  </w:r>
                  <w:r>
                    <w:rPr>
                      <w:rFonts w:hint="default" w:ascii="Times New Roman" w:hAnsi="Times New Roman" w:cs="Times New Roman"/>
                      <w:color w:val="auto"/>
                      <w:szCs w:val="21"/>
                      <w:highlight w:val="none"/>
                      <w:lang w:val="en-US" w:eastAsia="zh-CN"/>
                    </w:rPr>
                    <w:t>4</w:t>
                  </w:r>
                  <w:r>
                    <w:rPr>
                      <w:rFonts w:hint="default" w:ascii="Times New Roman" w:hAnsi="Times New Roman" w:cs="Times New Roman"/>
                      <w:color w:val="auto"/>
                      <w:szCs w:val="21"/>
                      <w:highlight w:val="none"/>
                    </w:rPr>
                    <w:t>年</w:t>
                  </w:r>
                  <w:r>
                    <w:rPr>
                      <w:rFonts w:hint="default" w:ascii="Times New Roman" w:hAnsi="Times New Roman" w:cs="Times New Roman"/>
                      <w:color w:val="auto"/>
                      <w:szCs w:val="21"/>
                      <w:highlight w:val="none"/>
                      <w:lang w:val="en-US" w:eastAsia="zh-CN"/>
                    </w:rPr>
                    <w:t>黑龙江省生态环境质量状况</w:t>
                  </w:r>
                  <w:r>
                    <w:rPr>
                      <w:rFonts w:hint="default" w:ascii="Times New Roman" w:hAnsi="Times New Roman" w:cs="Times New Roman"/>
                      <w:color w:val="auto"/>
                      <w:szCs w:val="21"/>
                      <w:highlight w:val="none"/>
                    </w:rPr>
                    <w:t>》</w:t>
                  </w:r>
                  <w:r>
                    <w:rPr>
                      <w:rFonts w:hint="default" w:ascii="Times New Roman" w:hAnsi="Times New Roman" w:cs="Times New Roman"/>
                      <w:color w:val="auto"/>
                      <w:sz w:val="21"/>
                      <w:highlight w:val="none"/>
                      <w:lang w:eastAsia="zh-CN"/>
                    </w:rPr>
                    <w:t>，</w:t>
                  </w:r>
                  <w:r>
                    <w:rPr>
                      <w:rFonts w:hint="default" w:ascii="Times New Roman" w:hAnsi="Times New Roman" w:cs="Times New Roman"/>
                      <w:color w:val="auto"/>
                      <w:sz w:val="21"/>
                      <w:szCs w:val="21"/>
                      <w:highlight w:val="none"/>
                      <w:lang w:val="en-US" w:eastAsia="zh-CN"/>
                    </w:rPr>
                    <w:t>2024年鸡西市空气基本污染物中</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vertAlign w:val="baseline"/>
                      <w:lang w:val="en-US" w:eastAsia="zh-CN"/>
                    </w:rPr>
                    <w:t>年平均质量浓度</w:t>
                  </w:r>
                  <w:r>
                    <w:rPr>
                      <w:rFonts w:hint="default" w:ascii="Times New Roman" w:hAnsi="Times New Roman" w:cs="Times New Roman"/>
                      <w:color w:val="auto"/>
                      <w:sz w:val="21"/>
                      <w:szCs w:val="21"/>
                      <w:highlight w:val="none"/>
                      <w:vertAlign w:val="baseline"/>
                      <w:lang w:val="en-US" w:eastAsia="zh-CN"/>
                    </w:rPr>
                    <w:t>及</w:t>
                  </w:r>
                  <w:r>
                    <w:rPr>
                      <w:rFonts w:hint="default" w:ascii="Times New Roman" w:hAnsi="Times New Roman" w:eastAsia="宋体" w:cs="Times New Roman"/>
                      <w:color w:val="auto"/>
                      <w:sz w:val="21"/>
                      <w:szCs w:val="21"/>
                      <w:highlight w:val="none"/>
                    </w:rPr>
                    <w:t>CO</w:t>
                  </w:r>
                  <w:r>
                    <w:rPr>
                      <w:rFonts w:hint="default" w:ascii="Times New Roman" w:hAnsi="Times New Roman" w:cs="Times New Roman"/>
                      <w:color w:val="auto"/>
                      <w:sz w:val="21"/>
                      <w:szCs w:val="21"/>
                      <w:highlight w:val="none"/>
                      <w:lang w:val="en-US" w:eastAsia="zh-CN"/>
                    </w:rPr>
                    <w:t>第95百分位数日平均浓度、O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第90</w:t>
                  </w:r>
                  <w:r>
                    <w:rPr>
                      <w:rFonts w:hint="default" w:ascii="Times New Roman" w:hAnsi="Times New Roman" w:eastAsia="宋体" w:cs="Times New Roman"/>
                      <w:color w:val="auto"/>
                      <w:sz w:val="21"/>
                      <w:szCs w:val="21"/>
                      <w:highlight w:val="none"/>
                    </w:rPr>
                    <w:t>百分位数8h平均</w:t>
                  </w:r>
                  <w:r>
                    <w:rPr>
                      <w:rFonts w:hint="default" w:ascii="Times New Roman" w:hAnsi="Times New Roman" w:cs="Times New Roman"/>
                      <w:color w:val="auto"/>
                      <w:sz w:val="21"/>
                      <w:szCs w:val="21"/>
                      <w:highlight w:val="none"/>
                      <w:lang w:val="en-US" w:eastAsia="zh-CN"/>
                    </w:rPr>
                    <w:t>质量</w:t>
                  </w:r>
                  <w:r>
                    <w:rPr>
                      <w:rFonts w:hint="default" w:ascii="Times New Roman" w:hAnsi="Times New Roman" w:eastAsia="宋体" w:cs="Times New Roman"/>
                      <w:color w:val="auto"/>
                      <w:sz w:val="21"/>
                      <w:szCs w:val="21"/>
                      <w:highlight w:val="none"/>
                    </w:rPr>
                    <w:t>浓度</w:t>
                  </w:r>
                  <w:r>
                    <w:rPr>
                      <w:rFonts w:hint="default" w:ascii="Times New Roman" w:hAnsi="Times New Roman" w:eastAsia="宋体" w:cs="Times New Roman"/>
                      <w:color w:val="auto"/>
                      <w:sz w:val="21"/>
                      <w:szCs w:val="21"/>
                      <w:highlight w:val="none"/>
                      <w:lang w:val="en-US" w:eastAsia="zh-CN"/>
                    </w:rPr>
                    <w:t>均</w:t>
                  </w:r>
                  <w:r>
                    <w:rPr>
                      <w:rFonts w:hint="default" w:ascii="Times New Roman" w:hAnsi="Times New Roman" w:eastAsia="宋体" w:cs="Times New Roman"/>
                      <w:color w:val="auto"/>
                      <w:sz w:val="21"/>
                      <w:szCs w:val="21"/>
                      <w:highlight w:val="none"/>
                      <w:vertAlign w:val="baseline"/>
                      <w:lang w:val="en-US" w:eastAsia="zh-CN"/>
                    </w:rPr>
                    <w:t>满足</w:t>
                  </w:r>
                  <w:r>
                    <w:rPr>
                      <w:rFonts w:hint="default" w:ascii="Times New Roman" w:hAnsi="Times New Roman" w:cs="Times New Roman"/>
                      <w:color w:val="auto"/>
                      <w:kern w:val="0"/>
                      <w:sz w:val="21"/>
                      <w:szCs w:val="21"/>
                      <w:highlight w:val="none"/>
                    </w:rPr>
                    <w:t>《环境空气质量标准》（GB3095-2012）中的二级标准</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因此判定本项目区域环境空气质量为达标区</w:t>
                  </w:r>
                  <w:r>
                    <w:rPr>
                      <w:rFonts w:hint="default" w:ascii="Times New Roman" w:hAnsi="Times New Roman" w:cs="Times New Roman"/>
                      <w:color w:val="auto"/>
                      <w:kern w:val="2"/>
                      <w:sz w:val="21"/>
                      <w:szCs w:val="24"/>
                      <w:highlight w:val="none"/>
                      <w:lang w:val="en-US" w:eastAsia="zh-CN"/>
                    </w:rPr>
                    <w:t>。</w:t>
                  </w:r>
                </w:p>
                <w:p w14:paraId="198A2ED0">
                  <w:pPr>
                    <w:pStyle w:val="174"/>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rPr>
                    <w:t>本项目为净水厂项目，主要废气为净水厂污泥间产生的</w:t>
                  </w:r>
                  <w:r>
                    <w:rPr>
                      <w:rFonts w:hint="eastAsia" w:cs="Times New Roman"/>
                      <w:color w:val="auto"/>
                      <w:kern w:val="0"/>
                      <w:sz w:val="21"/>
                      <w:szCs w:val="21"/>
                      <w:highlight w:val="none"/>
                      <w:lang w:val="en-US" w:eastAsia="zh-CN"/>
                    </w:rPr>
                    <w:t>臭气</w:t>
                  </w:r>
                  <w:r>
                    <w:rPr>
                      <w:rFonts w:hint="default" w:ascii="Times New Roman" w:hAnsi="Times New Roman" w:eastAsia="宋体" w:cs="Times New Roman"/>
                      <w:color w:val="auto"/>
                      <w:kern w:val="0"/>
                      <w:sz w:val="21"/>
                      <w:szCs w:val="21"/>
                      <w:highlight w:val="none"/>
                      <w:lang w:val="en-US" w:eastAsia="zh-CN"/>
                    </w:rPr>
                    <w:t>，由于产生浓度较小，无组织排放，</w:t>
                  </w:r>
                  <w:r>
                    <w:rPr>
                      <w:rFonts w:hint="default" w:ascii="Times New Roman" w:hAnsi="Times New Roman" w:cs="Times New Roman"/>
                      <w:color w:val="auto"/>
                      <w:kern w:val="0"/>
                      <w:sz w:val="21"/>
                      <w:szCs w:val="21"/>
                      <w:highlight w:val="none"/>
                      <w:lang w:val="en-US" w:eastAsia="zh-CN"/>
                    </w:rPr>
                    <w:t>污泥间采取加强通风，日产日清等措施，</w:t>
                  </w:r>
                  <w:r>
                    <w:rPr>
                      <w:rFonts w:hint="default" w:ascii="Times New Roman" w:hAnsi="Times New Roman" w:eastAsia="宋体" w:cs="Times New Roman"/>
                      <w:color w:val="auto"/>
                      <w:kern w:val="0"/>
                      <w:sz w:val="21"/>
                      <w:szCs w:val="21"/>
                      <w:highlight w:val="none"/>
                      <w:lang w:val="en-US" w:eastAsia="zh-CN"/>
                    </w:rPr>
                    <w:t>对周围环境影响较小，</w:t>
                  </w:r>
                  <w:r>
                    <w:rPr>
                      <w:rFonts w:hint="default" w:ascii="Times New Roman" w:hAnsi="Times New Roman" w:cs="Times New Roman"/>
                      <w:color w:val="auto"/>
                      <w:sz w:val="21"/>
                      <w:szCs w:val="21"/>
                      <w:highlight w:val="none"/>
                    </w:rPr>
                    <w:t>不会改变区域大气环境质量现状，因此，符合大气环境质量底线要求。</w:t>
                  </w:r>
                </w:p>
                <w:p w14:paraId="41732AC3">
                  <w:pPr>
                    <w:pStyle w:val="174"/>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lang w:val="en-US" w:eastAsia="zh-CN" w:bidi="ar-SA"/>
                    </w:rPr>
                    <w:t>2、水环境</w:t>
                  </w:r>
                </w:p>
                <w:p w14:paraId="15DCFE9B">
                  <w:pPr>
                    <w:keepNext w:val="0"/>
                    <w:keepLines w:val="0"/>
                    <w:widowControl/>
                    <w:numPr>
                      <w:ilvl w:val="0"/>
                      <w:numId w:val="0"/>
                    </w:numPr>
                    <w:suppressLineNumbers w:val="0"/>
                    <w:spacing w:before="0" w:beforeAutospacing="0" w:after="0" w:afterAutospacing="0" w:line="360" w:lineRule="auto"/>
                    <w:ind w:left="0" w:leftChars="0" w:right="0" w:rightChars="0" w:firstLine="420" w:firstLineChars="200"/>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lang w:val="en-US" w:eastAsia="zh-CN"/>
                    </w:rPr>
                    <w:t>本项目区域地表水体为穆棱河。</w:t>
                  </w:r>
                  <w:r>
                    <w:rPr>
                      <w:rFonts w:hint="eastAsia"/>
                      <w:color w:val="auto"/>
                      <w:sz w:val="21"/>
                      <w:szCs w:val="21"/>
                      <w:highlight w:val="none"/>
                    </w:rPr>
                    <w:t>根据</w:t>
                  </w:r>
                  <w:r>
                    <w:rPr>
                      <w:rFonts w:hint="default" w:ascii="Times New Roman" w:hAnsi="Times New Roman" w:cs="Times New Roman" w:eastAsiaTheme="minorEastAsia"/>
                      <w:color w:val="auto"/>
                      <w:sz w:val="21"/>
                      <w:highlight w:val="none"/>
                    </w:rPr>
                    <w:t>《黑龙江省生态环境厅 黑龙江省财政厅关于 印发《黑龙江省水环境生态补偿办法》的通知》（黑环发〔2024〕22 号）</w:t>
                  </w:r>
                  <w:r>
                    <w:rPr>
                      <w:rFonts w:hint="eastAsia"/>
                      <w:bCs/>
                      <w:color w:val="auto"/>
                      <w:sz w:val="21"/>
                      <w:szCs w:val="21"/>
                      <w:highlight w:val="none"/>
                    </w:rPr>
                    <w:t>，穆棱河</w:t>
                  </w:r>
                  <w:r>
                    <w:rPr>
                      <w:rFonts w:hint="eastAsia"/>
                      <w:bCs/>
                      <w:color w:val="auto"/>
                      <w:sz w:val="21"/>
                      <w:szCs w:val="21"/>
                      <w:highlight w:val="none"/>
                      <w:lang w:val="en-US" w:eastAsia="zh-CN"/>
                    </w:rPr>
                    <w:t>碱场桥、</w:t>
                  </w:r>
                  <w:r>
                    <w:rPr>
                      <w:rFonts w:hint="eastAsia"/>
                      <w:bCs/>
                      <w:color w:val="auto"/>
                      <w:sz w:val="21"/>
                      <w:szCs w:val="21"/>
                      <w:highlight w:val="none"/>
                    </w:rPr>
                    <w:t>知一桥、穆棱河河口内断面</w:t>
                  </w:r>
                  <w:r>
                    <w:rPr>
                      <w:rFonts w:hint="eastAsia"/>
                      <w:bCs/>
                      <w:color w:val="auto"/>
                      <w:sz w:val="21"/>
                      <w:szCs w:val="21"/>
                      <w:highlight w:val="none"/>
                      <w:lang w:val="en-US" w:eastAsia="zh-CN"/>
                    </w:rPr>
                    <w:t>均</w:t>
                  </w:r>
                  <w:r>
                    <w:rPr>
                      <w:rFonts w:hint="eastAsia"/>
                      <w:bCs/>
                      <w:color w:val="auto"/>
                      <w:sz w:val="21"/>
                      <w:szCs w:val="21"/>
                      <w:highlight w:val="none"/>
                    </w:rPr>
                    <w:t>达到</w:t>
                  </w:r>
                  <w:r>
                    <w:rPr>
                      <w:rFonts w:hint="eastAsia" w:ascii="宋体" w:hAnsi="宋体" w:cs="宋体"/>
                      <w:bCs/>
                      <w:color w:val="auto"/>
                      <w:sz w:val="21"/>
                      <w:szCs w:val="21"/>
                      <w:highlight w:val="none"/>
                    </w:rPr>
                    <w:t>Ⅲ</w:t>
                  </w:r>
                  <w:r>
                    <w:rPr>
                      <w:rFonts w:hint="eastAsia"/>
                      <w:bCs/>
                      <w:color w:val="auto"/>
                      <w:sz w:val="21"/>
                      <w:szCs w:val="21"/>
                      <w:highlight w:val="none"/>
                    </w:rPr>
                    <w:t>类水质类别标准</w:t>
                  </w:r>
                  <w:r>
                    <w:rPr>
                      <w:rFonts w:hint="default" w:ascii="Times New Roman" w:hAnsi="Times New Roman" w:eastAsia="宋体" w:cs="Times New Roman"/>
                      <w:color w:val="auto"/>
                      <w:sz w:val="21"/>
                      <w:szCs w:val="21"/>
                      <w:highlight w:val="none"/>
                    </w:rPr>
                    <w:t>。</w:t>
                  </w:r>
                </w:p>
                <w:p w14:paraId="316F070D">
                  <w:pPr>
                    <w:pStyle w:val="3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pacing w:val="0"/>
                      <w:sz w:val="21"/>
                      <w:szCs w:val="21"/>
                      <w:highlight w:val="none"/>
                    </w:rPr>
                    <w:t>本项目废水包括员工的生活污水、生产废水</w:t>
                  </w:r>
                  <w:r>
                    <w:rPr>
                      <w:rFonts w:hint="default" w:ascii="Times New Roman" w:hAnsi="Times New Roman" w:cs="Times New Roman"/>
                      <w:color w:val="auto"/>
                      <w:spacing w:val="0"/>
                      <w:sz w:val="21"/>
                      <w:szCs w:val="21"/>
                      <w:highlight w:val="none"/>
                      <w:lang w:eastAsia="zh-CN"/>
                    </w:rPr>
                    <w:t>（</w:t>
                  </w:r>
                  <w:r>
                    <w:rPr>
                      <w:rFonts w:hint="default" w:ascii="Times New Roman" w:hAnsi="Times New Roman" w:cs="Times New Roman"/>
                      <w:color w:val="auto"/>
                      <w:spacing w:val="0"/>
                      <w:sz w:val="21"/>
                      <w:szCs w:val="21"/>
                      <w:highlight w:val="none"/>
                      <w:lang w:val="en-US" w:eastAsia="zh-CN"/>
                    </w:rPr>
                    <w:t>反冲洗废水、排泥水</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厂区生活污水收集至化粪池，处理后满足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（GB8978-1996）三级标准及</w:t>
                  </w:r>
                  <w:r>
                    <w:rPr>
                      <w:rFonts w:hint="default" w:cs="Times New Roman"/>
                      <w:color w:val="auto"/>
                      <w:sz w:val="21"/>
                      <w:szCs w:val="21"/>
                      <w:highlight w:val="none"/>
                      <w:lang w:val="en-US" w:eastAsia="zh-CN"/>
                    </w:rPr>
                    <w:t>鸡西市</w:t>
                  </w:r>
                  <w:r>
                    <w:rPr>
                      <w:rFonts w:hint="eastAsia" w:cs="Times New Roman"/>
                      <w:color w:val="auto"/>
                      <w:sz w:val="21"/>
                      <w:szCs w:val="21"/>
                      <w:highlight w:val="none"/>
                      <w:lang w:val="en-US" w:eastAsia="zh-CN"/>
                    </w:rPr>
                    <w:t>鸡冠区</w:t>
                  </w:r>
                  <w:r>
                    <w:rPr>
                      <w:rFonts w:hint="default" w:cs="Times New Roman"/>
                      <w:color w:val="auto"/>
                      <w:sz w:val="21"/>
                      <w:szCs w:val="21"/>
                      <w:highlight w:val="none"/>
                      <w:lang w:val="en-US" w:eastAsia="zh-CN"/>
                    </w:rPr>
                    <w:t>污水处理厂</w:t>
                  </w:r>
                  <w:r>
                    <w:rPr>
                      <w:rFonts w:hint="eastAsia" w:cs="Times New Roman"/>
                      <w:color w:val="auto"/>
                      <w:sz w:val="21"/>
                      <w:szCs w:val="21"/>
                      <w:highlight w:val="none"/>
                      <w:lang w:val="en-US" w:eastAsia="zh-CN"/>
                    </w:rPr>
                    <w:t>进水标准，</w:t>
                  </w:r>
                  <w:r>
                    <w:rPr>
                      <w:rFonts w:hint="default" w:cs="Times New Roman"/>
                      <w:color w:val="auto"/>
                      <w:sz w:val="21"/>
                      <w:szCs w:val="21"/>
                      <w:highlight w:val="none"/>
                      <w:lang w:val="en-US" w:eastAsia="zh-CN"/>
                    </w:rPr>
                    <w:t>排入污</w:t>
                  </w:r>
                  <w:r>
                    <w:rPr>
                      <w:rFonts w:hint="default" w:ascii="Times New Roman" w:hAnsi="Times New Roman" w:cs="Times New Roman"/>
                      <w:color w:val="auto"/>
                      <w:sz w:val="21"/>
                      <w:szCs w:val="21"/>
                      <w:highlight w:val="none"/>
                      <w:lang w:val="en-US" w:eastAsia="zh-CN"/>
                    </w:rPr>
                    <w:t>水管网</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经鸡西市</w:t>
                  </w:r>
                  <w:r>
                    <w:rPr>
                      <w:rFonts w:hint="eastAsia" w:cs="Times New Roman"/>
                      <w:color w:val="auto"/>
                      <w:sz w:val="21"/>
                      <w:szCs w:val="21"/>
                      <w:highlight w:val="none"/>
                      <w:lang w:val="en-US" w:eastAsia="zh-CN"/>
                    </w:rPr>
                    <w:t>鸡冠区</w:t>
                  </w:r>
                  <w:r>
                    <w:rPr>
                      <w:rFonts w:hint="default" w:ascii="Times New Roman" w:hAnsi="Times New Roman" w:cs="Times New Roman"/>
                      <w:color w:val="auto"/>
                      <w:sz w:val="21"/>
                      <w:szCs w:val="21"/>
                      <w:highlight w:val="none"/>
                      <w:lang w:val="en-US" w:eastAsia="zh-CN"/>
                    </w:rPr>
                    <w:t>污水处理厂处理后排入穆棱河。反冲洗废水经废水收集池沉淀后返回配水间与原水混合处理，排泥池上清</w:t>
                  </w:r>
                  <w:r>
                    <w:rPr>
                      <w:rFonts w:hint="default" w:ascii="Times New Roman" w:hAnsi="Times New Roman" w:eastAsia="宋体" w:cs="Times New Roman"/>
                      <w:color w:val="auto"/>
                      <w:sz w:val="21"/>
                      <w:szCs w:val="21"/>
                      <w:highlight w:val="none"/>
                      <w:lang w:val="en-US" w:eastAsia="zh-CN"/>
                    </w:rPr>
                    <w:t>液</w:t>
                  </w:r>
                  <w:r>
                    <w:rPr>
                      <w:rFonts w:hint="default" w:ascii="Times New Roman" w:hAnsi="Times New Roman" w:cs="Times New Roman"/>
                      <w:color w:val="auto"/>
                      <w:sz w:val="21"/>
                      <w:szCs w:val="21"/>
                      <w:highlight w:val="none"/>
                      <w:lang w:val="en-US" w:eastAsia="zh-CN"/>
                    </w:rPr>
                    <w:t>经絮凝、压滤处理后满足</w:t>
                  </w:r>
                  <w:r>
                    <w:rPr>
                      <w:rFonts w:hint="eastAsia" w:cs="Times New Roman"/>
                      <w:color w:val="auto"/>
                      <w:spacing w:val="0"/>
                      <w:sz w:val="21"/>
                      <w:szCs w:val="21"/>
                      <w:highlight w:val="none"/>
                      <w:lang w:val="en-US" w:eastAsia="zh-CN"/>
                    </w:rPr>
                    <w:t>《地表水环境质量标准》（GB3838-2002）表1中三类标准，悬浮物满足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（GB8978-1996）一级标准</w:t>
                  </w:r>
                  <w:r>
                    <w:rPr>
                      <w:rFonts w:hint="eastAsia" w:cs="Times New Roman"/>
                      <w:color w:val="auto"/>
                      <w:spacing w:val="0"/>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排入穆棱河</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不会对地表水和地下水环境造成影响，符合水环境质量底线要求。</w:t>
                  </w:r>
                </w:p>
                <w:p w14:paraId="43B2AA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3、声环境</w:t>
                  </w:r>
                </w:p>
                <w:p w14:paraId="5435631E">
                  <w:pPr>
                    <w:keepNext w:val="0"/>
                    <w:keepLines w:val="0"/>
                    <w:widowControl/>
                    <w:numPr>
                      <w:ilvl w:val="0"/>
                      <w:numId w:val="0"/>
                    </w:numPr>
                    <w:suppressLineNumbers w:val="0"/>
                    <w:autoSpaceDE/>
                    <w:autoSpaceDN/>
                    <w:adjustRightInd/>
                    <w:snapToGrid/>
                    <w:spacing w:before="0" w:beforeAutospacing="0" w:after="0" w:afterAutospacing="0" w:line="360" w:lineRule="auto"/>
                    <w:ind w:left="0" w:leftChars="0" w:right="0" w:rightChars="0" w:firstLine="420" w:firstLineChars="200"/>
                    <w:rPr>
                      <w:rFonts w:hint="default" w:ascii="Times New Roman" w:hAnsi="Times New Roman" w:cs="Times New Roman" w:eastAsiaTheme="minorEastAsia"/>
                      <w:color w:val="auto"/>
                      <w:kern w:val="0"/>
                      <w:sz w:val="21"/>
                      <w:szCs w:val="21"/>
                      <w:highlight w:val="none"/>
                      <w:lang w:val="en-US" w:eastAsia="zh-CN" w:bidi="ar"/>
                    </w:rPr>
                  </w:pPr>
                  <w:r>
                    <w:rPr>
                      <w:rFonts w:hint="default" w:ascii="Times New Roman" w:hAnsi="Times New Roman" w:cs="Times New Roman"/>
                      <w:color w:val="auto"/>
                      <w:kern w:val="0"/>
                      <w:szCs w:val="21"/>
                      <w:highlight w:val="none"/>
                      <w:lang w:val="en-US" w:eastAsia="zh-CN"/>
                    </w:rPr>
                    <w:t>根据</w:t>
                  </w:r>
                  <w:r>
                    <w:rPr>
                      <w:rFonts w:hint="default" w:ascii="Times New Roman" w:hAnsi="Times New Roman" w:eastAsia="宋体" w:cs="Times New Roman"/>
                      <w:color w:val="auto"/>
                      <w:sz w:val="21"/>
                      <w:szCs w:val="21"/>
                      <w:highlight w:val="none"/>
                    </w:rPr>
                    <w:t>《202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sz w:val="21"/>
                      <w:szCs w:val="21"/>
                      <w:highlight w:val="none"/>
                      <w:lang w:val="en-US" w:eastAsia="zh-CN"/>
                    </w:rPr>
                    <w:t>黑龙江省生态环境质量状况</w:t>
                  </w:r>
                  <w:r>
                    <w:rPr>
                      <w:rFonts w:hint="default" w:ascii="Times New Roman" w:hAnsi="Times New Roman" w:eastAsia="宋体" w:cs="Times New Roman"/>
                      <w:color w:val="auto"/>
                      <w:sz w:val="21"/>
                      <w:szCs w:val="21"/>
                      <w:highlight w:val="none"/>
                    </w:rPr>
                    <w:t>》数据可知，202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kern w:val="0"/>
                      <w:sz w:val="21"/>
                      <w:szCs w:val="21"/>
                      <w:highlight w:val="none"/>
                      <w:lang w:val="en-US" w:eastAsia="zh-CN" w:bidi="ar"/>
                    </w:rPr>
                    <w:t>鸡西市区域昼间声环境质量为二级，等效声级为5</w:t>
                  </w:r>
                  <w:r>
                    <w:rPr>
                      <w:rFonts w:hint="default" w:ascii="Times New Roman" w:hAnsi="Times New Roman" w:cs="Times New Roman"/>
                      <w:color w:val="auto"/>
                      <w:kern w:val="0"/>
                      <w:sz w:val="21"/>
                      <w:szCs w:val="21"/>
                      <w:highlight w:val="none"/>
                      <w:lang w:val="en-US" w:eastAsia="zh-CN" w:bidi="ar"/>
                    </w:rPr>
                    <w:t>3.6</w:t>
                  </w:r>
                  <w:r>
                    <w:rPr>
                      <w:rFonts w:hint="default" w:ascii="Times New Roman" w:hAnsi="Times New Roman" w:eastAsia="宋体" w:cs="Times New Roman"/>
                      <w:color w:val="auto"/>
                      <w:kern w:val="0"/>
                      <w:sz w:val="21"/>
                      <w:szCs w:val="21"/>
                      <w:highlight w:val="none"/>
                      <w:lang w:val="en-US" w:eastAsia="zh-CN" w:bidi="ar"/>
                    </w:rPr>
                    <w:t>dB(A)</w:t>
                  </w:r>
                  <w:r>
                    <w:rPr>
                      <w:rFonts w:hint="default" w:ascii="Times New Roman" w:hAnsi="Times New Roman"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道路交通昼间声环境质量为一级，等效声级为6</w:t>
                  </w:r>
                  <w:r>
                    <w:rPr>
                      <w:rFonts w:hint="default" w:ascii="Times New Roman" w:hAnsi="Times New Roman" w:cs="Times New Roman"/>
                      <w:color w:val="auto"/>
                      <w:kern w:val="0"/>
                      <w:sz w:val="21"/>
                      <w:szCs w:val="21"/>
                      <w:highlight w:val="none"/>
                      <w:lang w:val="en-US" w:eastAsia="zh-CN" w:bidi="ar"/>
                    </w:rPr>
                    <w:t>5.8</w:t>
                  </w:r>
                  <w:r>
                    <w:rPr>
                      <w:rFonts w:hint="default" w:ascii="Times New Roman" w:hAnsi="Times New Roman" w:eastAsia="宋体" w:cs="Times New Roman"/>
                      <w:color w:val="auto"/>
                      <w:kern w:val="0"/>
                      <w:sz w:val="21"/>
                      <w:szCs w:val="21"/>
                      <w:highlight w:val="none"/>
                      <w:lang w:val="en-US" w:eastAsia="zh-CN" w:bidi="ar"/>
                    </w:rPr>
                    <w:t>dB(A)。</w:t>
                  </w:r>
                </w:p>
                <w:p w14:paraId="14328A2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厂界外50米范围内声环境保护目标</w:t>
                  </w:r>
                  <w:r>
                    <w:rPr>
                      <w:rFonts w:hint="default" w:ascii="Times New Roman" w:hAnsi="Times New Roman" w:cs="Times New Roman"/>
                      <w:color w:val="auto"/>
                      <w:kern w:val="0"/>
                      <w:sz w:val="21"/>
                      <w:szCs w:val="21"/>
                      <w:highlight w:val="none"/>
                      <w:lang w:val="en-US" w:eastAsia="zh-CN"/>
                    </w:rPr>
                    <w:t>为东侧居民区</w:t>
                  </w:r>
                  <w:r>
                    <w:rPr>
                      <w:rFonts w:hint="default" w:ascii="Times New Roman" w:hAnsi="Times New Roman" w:eastAsia="宋体" w:cs="Times New Roman"/>
                      <w:color w:val="auto"/>
                      <w:kern w:val="0"/>
                      <w:sz w:val="21"/>
                      <w:szCs w:val="21"/>
                      <w:highlight w:val="none"/>
                    </w:rPr>
                    <w:t>。</w:t>
                  </w:r>
                  <w:r>
                    <w:rPr>
                      <w:rFonts w:hint="default" w:ascii="Times New Roman" w:hAnsi="Times New Roman" w:cs="Times New Roman"/>
                      <w:color w:val="auto"/>
                      <w:sz w:val="21"/>
                      <w:szCs w:val="21"/>
                      <w:highlight w:val="none"/>
                    </w:rPr>
                    <w:t>本项目采用低噪声设备、厂房隔声、基础减振</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安装消声器</w:t>
                  </w:r>
                  <w:r>
                    <w:rPr>
                      <w:rFonts w:hint="default" w:ascii="Times New Roman" w:hAnsi="Times New Roman" w:cs="Times New Roman"/>
                      <w:color w:val="auto"/>
                      <w:sz w:val="21"/>
                      <w:szCs w:val="21"/>
                      <w:highlight w:val="none"/>
                    </w:rPr>
                    <w:t>等措施。</w:t>
                  </w:r>
                  <w:r>
                    <w:rPr>
                      <w:rFonts w:hint="default" w:ascii="Times New Roman" w:hAnsi="Times New Roman" w:cs="Times New Roman"/>
                      <w:color w:val="auto"/>
                      <w:sz w:val="21"/>
                      <w:szCs w:val="21"/>
                      <w:highlight w:val="none"/>
                      <w:lang w:val="en-US" w:eastAsia="zh-CN"/>
                    </w:rPr>
                    <w:t>不会对周边声环境造成影响，因此符合声环境质量底线要求。</w:t>
                  </w:r>
                </w:p>
                <w:p w14:paraId="121E2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kern w:val="0"/>
                      <w:sz w:val="21"/>
                      <w:szCs w:val="21"/>
                      <w:highlight w:val="none"/>
                    </w:rPr>
                    <w:t>本项目运营期各类污染物经环境保护措施治理后均可达标排放，对区域环境造成的不利影响较小，不会改变区域环境质量现状，因此，</w:t>
                  </w:r>
                  <w:r>
                    <w:rPr>
                      <w:rFonts w:hint="eastAsia"/>
                      <w:color w:val="auto"/>
                      <w:kern w:val="0"/>
                      <w:sz w:val="21"/>
                      <w:szCs w:val="21"/>
                      <w:highlight w:val="none"/>
                      <w:lang w:val="en-US" w:eastAsia="zh-CN"/>
                    </w:rPr>
                    <w:t>本项目</w:t>
                  </w:r>
                  <w:r>
                    <w:rPr>
                      <w:rFonts w:hint="default"/>
                      <w:color w:val="auto"/>
                      <w:kern w:val="0"/>
                      <w:sz w:val="21"/>
                      <w:szCs w:val="21"/>
                      <w:highlight w:val="none"/>
                    </w:rPr>
                    <w:t>符合环境质量底线要求。</w:t>
                  </w:r>
                </w:p>
              </w:tc>
            </w:tr>
            <w:tr w14:paraId="203BF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09074620">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三、资源利用上线</w:t>
                  </w:r>
                </w:p>
              </w:tc>
            </w:tr>
            <w:tr w14:paraId="35804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536FAF4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color w:val="auto"/>
                      <w:sz w:val="21"/>
                      <w:szCs w:val="21"/>
                      <w:highlight w:val="none"/>
                    </w:rPr>
                  </w:pPr>
                  <w:r>
                    <w:rPr>
                      <w:rFonts w:hint="default"/>
                      <w:color w:val="auto"/>
                      <w:kern w:val="0"/>
                      <w:szCs w:val="21"/>
                      <w:highlight w:val="none"/>
                    </w:rPr>
                    <w:t>本项目</w:t>
                  </w:r>
                  <w:r>
                    <w:rPr>
                      <w:rFonts w:hint="eastAsia"/>
                      <w:color w:val="auto"/>
                      <w:kern w:val="0"/>
                      <w:szCs w:val="21"/>
                      <w:highlight w:val="none"/>
                      <w:lang w:val="en-US" w:eastAsia="zh-CN"/>
                    </w:rPr>
                    <w:t>为自来水供应项目，水资源消耗主要用于城市供应，项目运行中会消耗一定的水资源和电力资源，</w:t>
                  </w:r>
                  <w:r>
                    <w:rPr>
                      <w:rFonts w:hint="default"/>
                      <w:color w:val="auto"/>
                      <w:kern w:val="0"/>
                      <w:szCs w:val="21"/>
                      <w:highlight w:val="none"/>
                    </w:rPr>
                    <w:t>不会突破区域的资源利用上线</w:t>
                  </w:r>
                  <w:r>
                    <w:rPr>
                      <w:rFonts w:hint="eastAsia"/>
                      <w:color w:val="auto"/>
                      <w:kern w:val="0"/>
                      <w:szCs w:val="21"/>
                      <w:highlight w:val="none"/>
                      <w:lang w:eastAsia="zh-CN"/>
                    </w:rPr>
                    <w:t>，</w:t>
                  </w:r>
                  <w:r>
                    <w:rPr>
                      <w:rFonts w:hint="eastAsia"/>
                      <w:color w:val="auto"/>
                      <w:kern w:val="0"/>
                      <w:szCs w:val="21"/>
                      <w:highlight w:val="none"/>
                      <w:lang w:val="en-US" w:eastAsia="zh-CN"/>
                    </w:rPr>
                    <w:t>本项目</w:t>
                  </w:r>
                  <w:r>
                    <w:rPr>
                      <w:rFonts w:hint="default"/>
                      <w:color w:val="auto"/>
                      <w:kern w:val="0"/>
                      <w:szCs w:val="21"/>
                      <w:highlight w:val="none"/>
                    </w:rPr>
                    <w:t>符合资源利用上线要求。</w:t>
                  </w:r>
                </w:p>
              </w:tc>
            </w:tr>
            <w:tr w14:paraId="71B05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4"/>
                  <w:tcBorders>
                    <w:top w:val="single" w:color="auto" w:sz="4" w:space="0"/>
                    <w:bottom w:val="single" w:color="auto" w:sz="4" w:space="0"/>
                  </w:tcBorders>
                  <w:noWrap w:val="0"/>
                  <w:vAlign w:val="center"/>
                </w:tcPr>
                <w:p w14:paraId="2D732A3F">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四、环境准入清单</w:t>
                  </w:r>
                </w:p>
              </w:tc>
            </w:tr>
            <w:tr w14:paraId="2AD1E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42D57838">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环境管控单元名称</w:t>
                  </w:r>
                </w:p>
              </w:tc>
              <w:tc>
                <w:tcPr>
                  <w:tcW w:w="6177" w:type="dxa"/>
                  <w:gridSpan w:val="3"/>
                  <w:tcBorders>
                    <w:top w:val="single" w:color="auto" w:sz="4" w:space="0"/>
                    <w:left w:val="single" w:color="auto" w:sz="4" w:space="0"/>
                    <w:bottom w:val="single" w:color="auto" w:sz="4" w:space="0"/>
                  </w:tcBorders>
                  <w:noWrap w:val="0"/>
                  <w:vAlign w:val="center"/>
                </w:tcPr>
                <w:p w14:paraId="376FA482">
                  <w:pPr>
                    <w:keepNext w:val="0"/>
                    <w:keepLines w:val="0"/>
                    <w:widowControl/>
                    <w:suppressLineNumbers w:val="0"/>
                    <w:spacing w:before="0" w:beforeAutospacing="0" w:after="0" w:afterAutospacing="0"/>
                    <w:ind w:left="0" w:leftChars="0" w:right="0" w:rightChars="0"/>
                    <w:jc w:val="center"/>
                    <w:rPr>
                      <w:rFonts w:hint="eastAsia"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鸡冠水环境工业污染重点管控区</w:t>
                  </w:r>
                </w:p>
              </w:tc>
            </w:tr>
            <w:tr w14:paraId="5CC80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F1AA667">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环境管控单元编码</w:t>
                  </w:r>
                </w:p>
              </w:tc>
              <w:tc>
                <w:tcPr>
                  <w:tcW w:w="4165" w:type="pct"/>
                  <w:gridSpan w:val="3"/>
                  <w:tcBorders>
                    <w:top w:val="single" w:color="auto" w:sz="4" w:space="0"/>
                    <w:left w:val="single" w:color="auto" w:sz="4" w:space="0"/>
                    <w:bottom w:val="single" w:color="auto" w:sz="4" w:space="0"/>
                  </w:tcBorders>
                  <w:noWrap w:val="0"/>
                  <w:vAlign w:val="center"/>
                </w:tcPr>
                <w:p w14:paraId="59DB8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ZH23030220004</w:t>
                  </w:r>
                </w:p>
              </w:tc>
            </w:tr>
            <w:tr w14:paraId="39D42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0CCF947A">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管控单元类别</w:t>
                  </w:r>
                </w:p>
              </w:tc>
              <w:tc>
                <w:tcPr>
                  <w:tcW w:w="4165" w:type="pct"/>
                  <w:gridSpan w:val="3"/>
                  <w:tcBorders>
                    <w:top w:val="single" w:color="auto" w:sz="4" w:space="0"/>
                    <w:left w:val="single" w:color="auto" w:sz="4" w:space="0"/>
                    <w:bottom w:val="single" w:color="auto" w:sz="4" w:space="0"/>
                  </w:tcBorders>
                  <w:noWrap w:val="0"/>
                  <w:vAlign w:val="center"/>
                </w:tcPr>
                <w:p w14:paraId="17AB8621">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eastAsia"/>
                      <w:color w:val="auto"/>
                      <w:sz w:val="21"/>
                      <w:szCs w:val="21"/>
                      <w:highlight w:val="none"/>
                      <w:lang w:val="en-US" w:eastAsia="zh-CN"/>
                    </w:rPr>
                    <w:t>重点管控</w:t>
                  </w:r>
                  <w:r>
                    <w:rPr>
                      <w:rFonts w:hint="default"/>
                      <w:color w:val="auto"/>
                      <w:sz w:val="21"/>
                      <w:szCs w:val="21"/>
                      <w:highlight w:val="none"/>
                    </w:rPr>
                    <w:t>单元</w:t>
                  </w:r>
                </w:p>
              </w:tc>
            </w:tr>
            <w:tr w14:paraId="21530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noWrap w:val="0"/>
                  <w:vAlign w:val="center"/>
                </w:tcPr>
                <w:p w14:paraId="4822EF97">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管控要求</w:t>
                  </w:r>
                </w:p>
              </w:tc>
              <w:tc>
                <w:tcPr>
                  <w:tcW w:w="1099" w:type="pct"/>
                  <w:tcBorders>
                    <w:top w:val="single" w:color="auto" w:sz="4" w:space="0"/>
                    <w:left w:val="single" w:color="auto" w:sz="4" w:space="0"/>
                    <w:bottom w:val="single" w:color="auto" w:sz="4" w:space="0"/>
                  </w:tcBorders>
                  <w:noWrap w:val="0"/>
                  <w:vAlign w:val="center"/>
                </w:tcPr>
                <w:p w14:paraId="4F240D21">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项目符合性分析</w:t>
                  </w:r>
                </w:p>
              </w:tc>
            </w:tr>
            <w:tr w14:paraId="16E9F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96E3E20">
                  <w:pPr>
                    <w:keepNext w:val="0"/>
                    <w:keepLines w:val="0"/>
                    <w:suppressLineNumbers w:val="0"/>
                    <w:spacing w:before="0" w:beforeAutospacing="0" w:after="0" w:afterAutospacing="0" w:line="240" w:lineRule="auto"/>
                    <w:ind w:left="0" w:right="0"/>
                    <w:jc w:val="center"/>
                    <w:rPr>
                      <w:rFonts w:hint="default"/>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4546"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14:paraId="78AFF4CB">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18"/>
                      <w:szCs w:val="18"/>
                      <w:lang w:val="en-US" w:eastAsia="zh-CN" w:bidi="ar"/>
                    </w:rPr>
                    <w:t>1.同时执行：（1）区域内严格控制高耗水、高污染行业发展。（2）加快淘汰落后产能，大力推进产业结构调整和优化升级。（3）根据水资源和水环境承载能力，以水定城、以水定地、以水定人、以水定产。2.大气环境布局敏感重点管控区同时执行（1）严</w:t>
                  </w:r>
                  <w:r>
                    <w:rPr>
                      <w:rFonts w:hint="eastAsia" w:ascii="宋体" w:hAnsi="宋体" w:eastAsia="宋体" w:cs="宋体"/>
                      <w:color w:val="auto"/>
                      <w:kern w:val="0"/>
                      <w:sz w:val="18"/>
                      <w:szCs w:val="18"/>
                      <w:lang w:val="en-US" w:eastAsia="zh-CN" w:bidi="ar"/>
                    </w:rPr>
                    <w:t>控“ 两高”行</w:t>
                  </w:r>
                  <w:r>
                    <w:rPr>
                      <w:rFonts w:hint="default" w:ascii="Times New Roman" w:hAnsi="Times New Roman" w:eastAsia="宋体" w:cs="Times New Roman"/>
                      <w:color w:val="auto"/>
                      <w:kern w:val="0"/>
                      <w:sz w:val="18"/>
                      <w:szCs w:val="18"/>
                      <w:lang w:val="en-US" w:eastAsia="zh-CN" w:bidi="ar"/>
                    </w:rPr>
                    <w:t>业产能。严格执行钢铁、水泥、平板玻璃等行业产能置换实施办法。（2）利用水泥窑协同处置城市生活垃圾、危险废弃物、电石渣等固废伴生水泥项 目，必须依托现有 新型干法水泥熟料生产线进行不扩产能改造。</w:t>
                  </w:r>
                </w:p>
              </w:tc>
              <w:tc>
                <w:tcPr>
                  <w:tcW w:w="1631" w:type="dxa"/>
                  <w:tcBorders>
                    <w:top w:val="single" w:color="auto" w:sz="4" w:space="0"/>
                    <w:left w:val="single" w:color="auto" w:sz="4" w:space="0"/>
                    <w:bottom w:val="single" w:color="auto" w:sz="4" w:space="0"/>
                  </w:tcBorders>
                  <w:noWrap w:val="0"/>
                  <w:vAlign w:val="center"/>
                </w:tcPr>
                <w:p w14:paraId="277E6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18"/>
                      <w:szCs w:val="18"/>
                      <w:highlight w:val="none"/>
                      <w:lang w:val="en-US" w:eastAsia="zh-CN"/>
                    </w:rPr>
                    <w:t>本项目为自来水供应项目，不属于空间布局约束中管控的行业类别。</w:t>
                  </w:r>
                </w:p>
              </w:tc>
            </w:tr>
            <w:tr w14:paraId="4E873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529A4DE9">
                  <w:pPr>
                    <w:keepNext w:val="0"/>
                    <w:keepLines w:val="0"/>
                    <w:suppressLineNumbers w:val="0"/>
                    <w:spacing w:before="0" w:beforeAutospacing="0" w:after="0" w:afterAutospacing="0" w:line="240" w:lineRule="auto"/>
                    <w:ind w:left="0" w:right="0"/>
                    <w:jc w:val="center"/>
                    <w:rPr>
                      <w:rFonts w:hint="default"/>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4546" w:type="dxa"/>
                  <w:gridSpan w:val="2"/>
                  <w:tcBorders>
                    <w:top w:val="single" w:color="auto" w:sz="4" w:space="0"/>
                    <w:left w:val="single" w:color="auto" w:sz="4" w:space="0"/>
                    <w:bottom w:val="single" w:color="auto" w:sz="4" w:space="0"/>
                    <w:right w:val="single" w:color="auto" w:sz="4" w:space="0"/>
                  </w:tcBorders>
                  <w:noWrap w:val="0"/>
                  <w:vAlign w:val="center"/>
                </w:tcPr>
                <w:p w14:paraId="5A0DE061">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18"/>
                      <w:szCs w:val="18"/>
                      <w:lang w:val="en-US" w:eastAsia="zh-CN" w:bidi="ar"/>
                    </w:rPr>
                    <w:t>1.同时执行：（1）新建、改建和扩建项目应当优先采用资源利用率高以及污染物产生量少的清洁生产技术、工艺 和设备。（2）集中治理工业集聚区内工业废水，区内工业废水必须经预处理达到集中处理要求后，方可进入污水集中处理设施。新建、升级工业集聚区应同步规划和建设污水、垃圾集中处理等污染治理设施。2.大气环境布局敏感重点管控区同时执行（1）对以煤、石焦油、渣油、重油等为燃料的锅炉和工业炉窑 ，加快使用清洁低碳能源以及工厂余 热、电力热力等进行替代。（2）到2025年，在用65蒸吨/小时以上的燃煤锅炉（含电力）实现超低排放，钢铁企业基本实现超低排放。</w:t>
                  </w:r>
                </w:p>
              </w:tc>
              <w:tc>
                <w:tcPr>
                  <w:tcW w:w="1631" w:type="dxa"/>
                  <w:tcBorders>
                    <w:top w:val="single" w:color="auto" w:sz="4" w:space="0"/>
                    <w:left w:val="single" w:color="auto" w:sz="4" w:space="0"/>
                    <w:bottom w:val="single" w:color="auto" w:sz="4" w:space="0"/>
                  </w:tcBorders>
                  <w:noWrap w:val="0"/>
                  <w:vAlign w:val="center"/>
                </w:tcPr>
                <w:p w14:paraId="4109B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18"/>
                      <w:szCs w:val="18"/>
                      <w:highlight w:val="none"/>
                      <w:lang w:val="en-US" w:eastAsia="zh-CN"/>
                    </w:rPr>
                    <w:t>本项目不涉及燃料使用，排泥水经絮凝、压滤处理后排放。</w:t>
                  </w:r>
                </w:p>
              </w:tc>
            </w:tr>
            <w:tr w14:paraId="64BEA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26242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 xml:space="preserve">环境风险 </w:t>
                  </w:r>
                </w:p>
                <w:p w14:paraId="0E741C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lang w:val="en-US" w:eastAsia="zh-CN" w:bidi="ar"/>
                    </w:rPr>
                    <w:t>防控</w:t>
                  </w:r>
                </w:p>
              </w:tc>
              <w:tc>
                <w:tcPr>
                  <w:tcW w:w="4546"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14:paraId="6581127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1.排放《有毒有害水污染物名录》所列有毒有害水污染物的企业事业单位和其他生产经营者，应当对 排污 口和周边环境进行监测，评估环境风险，排查环境安全隐患，并公开有毒有害水污染物信息，采 取有效措施防范环境风险。</w:t>
                  </w:r>
                </w:p>
                <w:p w14:paraId="2865C5D2">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18"/>
                      <w:szCs w:val="18"/>
                      <w:lang w:val="en-US" w:eastAsia="zh-CN" w:bidi="ar"/>
                    </w:rPr>
                    <w:t>2.大气环境布局敏感重点管控区同时执行禁止在居民区、学校、医疗和养老机构等周边新建有色金属 冶炼、焦化等行业企业。</w:t>
                  </w:r>
                </w:p>
              </w:tc>
              <w:tc>
                <w:tcPr>
                  <w:tcW w:w="1631" w:type="dxa"/>
                  <w:tcBorders>
                    <w:top w:val="single" w:color="auto" w:sz="4" w:space="0"/>
                    <w:left w:val="single" w:color="auto" w:sz="4" w:space="0"/>
                    <w:bottom w:val="single" w:color="auto" w:sz="4" w:space="0"/>
                  </w:tcBorders>
                  <w:noWrap w:val="0"/>
                  <w:vAlign w:val="center"/>
                </w:tcPr>
                <w:p w14:paraId="5E9D48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lang w:eastAsia="zh-CN"/>
                    </w:rPr>
                    <w:t>不涉及</w:t>
                  </w:r>
                </w:p>
              </w:tc>
            </w:tr>
            <w:tr w14:paraId="6C869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37706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资源利用</w:t>
                  </w:r>
                </w:p>
                <w:p w14:paraId="79D54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lang w:val="en-US" w:eastAsia="zh-CN" w:bidi="ar"/>
                    </w:rPr>
                    <w:t>效率要求</w:t>
                  </w:r>
                </w:p>
              </w:tc>
              <w:tc>
                <w:tcPr>
                  <w:tcW w:w="4546" w:type="dxa"/>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14:paraId="5589E94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1.高污染燃料禁燃区同时执行（1）在禁燃区内，禁止销售、燃用高污染燃料；禁止新建、扩建燃用高污染燃料的设施， 已建成的， 应当在城市人民政府规定的期限内改用天然气、页岩气、液化石油气、电或者其他清洁能源。</w:t>
                  </w:r>
                </w:p>
                <w:p w14:paraId="70C53470">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18"/>
                      <w:szCs w:val="18"/>
                      <w:lang w:val="en-US" w:eastAsia="zh-CN" w:bidi="ar"/>
                    </w:rPr>
                    <w:t>（2）城市建设应当统筹规划，在燃煤供热地区，推进热电联产和集中供热。在集中供热管网覆盖地  区，禁止新建、扩建分散燃煤供热锅炉；已建成的不能达标排放的燃煤供热锅炉，应当在城市人民政 府规定的期限内拆除</w:t>
                  </w:r>
                </w:p>
              </w:tc>
              <w:tc>
                <w:tcPr>
                  <w:tcW w:w="1631" w:type="dxa"/>
                  <w:tcBorders>
                    <w:top w:val="single" w:color="auto" w:sz="4" w:space="0"/>
                    <w:left w:val="single" w:color="auto" w:sz="4" w:space="0"/>
                    <w:bottom w:val="single" w:color="auto" w:sz="4" w:space="0"/>
                  </w:tcBorders>
                  <w:noWrap w:val="0"/>
                  <w:vAlign w:val="center"/>
                </w:tcPr>
                <w:p w14:paraId="52F80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18"/>
                      <w:szCs w:val="18"/>
                      <w:highlight w:val="none"/>
                      <w:lang w:val="en-US" w:eastAsia="zh-CN"/>
                    </w:rPr>
                    <w:t>本项目燃煤锅炉已拆除，不涉及燃料使用。</w:t>
                  </w:r>
                </w:p>
              </w:tc>
            </w:tr>
            <w:tr w14:paraId="468A9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6BD58CC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b/>
                      <w:bCs/>
                      <w:color w:val="auto"/>
                      <w:sz w:val="21"/>
                      <w:szCs w:val="21"/>
                      <w:highlight w:val="none"/>
                    </w:rPr>
                    <w:t>环境管控单元名称</w:t>
                  </w:r>
                </w:p>
              </w:tc>
              <w:tc>
                <w:tcPr>
                  <w:tcW w:w="4165" w:type="pct"/>
                  <w:gridSpan w:val="3"/>
                  <w:tcBorders>
                    <w:top w:val="single" w:color="auto" w:sz="4" w:space="0"/>
                    <w:left w:val="single" w:color="auto" w:sz="4" w:space="0"/>
                    <w:bottom w:val="single" w:color="auto" w:sz="4" w:space="0"/>
                  </w:tcBorders>
                  <w:shd w:val="clear" w:color="auto" w:fill="auto"/>
                  <w:noWrap w:val="0"/>
                  <w:vAlign w:val="center"/>
                </w:tcPr>
                <w:p w14:paraId="70B241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18"/>
                      <w:szCs w:val="18"/>
                      <w:lang w:val="en-US" w:eastAsia="zh-CN" w:bidi="ar"/>
                    </w:rPr>
                    <w:t>鸡冠区城镇空间</w:t>
                  </w:r>
                </w:p>
              </w:tc>
            </w:tr>
            <w:tr w14:paraId="64809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29DF685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b/>
                      <w:bCs/>
                      <w:color w:val="auto"/>
                      <w:sz w:val="21"/>
                      <w:szCs w:val="21"/>
                      <w:highlight w:val="none"/>
                    </w:rPr>
                    <w:t>环境管控单元编码</w:t>
                  </w:r>
                </w:p>
              </w:tc>
              <w:tc>
                <w:tcPr>
                  <w:tcW w:w="4165" w:type="pct"/>
                  <w:gridSpan w:val="3"/>
                  <w:tcBorders>
                    <w:top w:val="single" w:color="auto" w:sz="4" w:space="0"/>
                    <w:left w:val="single" w:color="auto" w:sz="4" w:space="0"/>
                    <w:bottom w:val="single" w:color="auto" w:sz="4" w:space="0"/>
                  </w:tcBorders>
                  <w:shd w:val="clear" w:color="auto" w:fill="auto"/>
                  <w:noWrap w:val="0"/>
                  <w:vAlign w:val="center"/>
                </w:tcPr>
                <w:p w14:paraId="12130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18"/>
                      <w:szCs w:val="18"/>
                      <w:lang w:val="en-US" w:eastAsia="zh-CN" w:bidi="ar"/>
                    </w:rPr>
                    <w:t>ZH23030220002</w:t>
                  </w:r>
                </w:p>
              </w:tc>
            </w:tr>
            <w:tr w14:paraId="6A4F5F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0612DB9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b/>
                      <w:bCs/>
                      <w:color w:val="auto"/>
                      <w:sz w:val="21"/>
                      <w:szCs w:val="21"/>
                      <w:highlight w:val="none"/>
                    </w:rPr>
                    <w:t>管控单元类别</w:t>
                  </w:r>
                </w:p>
              </w:tc>
              <w:tc>
                <w:tcPr>
                  <w:tcW w:w="4165" w:type="pct"/>
                  <w:gridSpan w:val="3"/>
                  <w:tcBorders>
                    <w:top w:val="single" w:color="auto" w:sz="4" w:space="0"/>
                    <w:left w:val="single" w:color="auto" w:sz="4" w:space="0"/>
                    <w:bottom w:val="single" w:color="auto" w:sz="4" w:space="0"/>
                  </w:tcBorders>
                  <w:shd w:val="clear" w:color="auto" w:fill="auto"/>
                  <w:noWrap w:val="0"/>
                  <w:vAlign w:val="center"/>
                </w:tcPr>
                <w:p w14:paraId="129C33AE">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重点管控</w:t>
                  </w:r>
                  <w:r>
                    <w:rPr>
                      <w:rFonts w:hint="default"/>
                      <w:color w:val="auto"/>
                      <w:sz w:val="21"/>
                      <w:szCs w:val="21"/>
                      <w:highlight w:val="none"/>
                    </w:rPr>
                    <w:t>单元</w:t>
                  </w:r>
                </w:p>
              </w:tc>
            </w:tr>
            <w:tr w14:paraId="35E515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shd w:val="clear" w:color="auto" w:fill="auto"/>
                  <w:noWrap w:val="0"/>
                  <w:vAlign w:val="center"/>
                </w:tcPr>
                <w:p w14:paraId="36F3EDA3">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default"/>
                      <w:b/>
                      <w:bCs/>
                      <w:color w:val="auto"/>
                      <w:sz w:val="21"/>
                      <w:szCs w:val="21"/>
                      <w:highlight w:val="none"/>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12F748B9">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default"/>
                      <w:b/>
                      <w:bCs/>
                      <w:color w:val="auto"/>
                      <w:sz w:val="21"/>
                      <w:szCs w:val="21"/>
                      <w:highlight w:val="none"/>
                    </w:rPr>
                    <w:t>项目符合性分析</w:t>
                  </w:r>
                </w:p>
              </w:tc>
            </w:tr>
            <w:tr w14:paraId="21BFB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2486D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空间布局约束</w:t>
                  </w:r>
                </w:p>
              </w:tc>
              <w:tc>
                <w:tcPr>
                  <w:tcW w:w="4338" w:type="dxa"/>
                  <w:tcBorders>
                    <w:top w:val="single" w:color="auto" w:sz="4" w:space="0"/>
                    <w:bottom w:val="single" w:color="auto" w:sz="4" w:space="0"/>
                    <w:right w:val="single" w:color="auto" w:sz="4" w:space="0"/>
                  </w:tcBorders>
                  <w:shd w:val="clear" w:color="auto" w:fill="auto"/>
                  <w:noWrap w:val="0"/>
                  <w:vAlign w:val="center"/>
                </w:tcPr>
                <w:p w14:paraId="604398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1.区域准入要求执行（1）严禁在人口密集区新建危险化学品生产项目，城镇人口密集区危险化学品生产企业应搬迁改造。（2）禁止在城镇居民区、文化教育科学研究区等人口集中区域建设畜禽养殖场、养殖小区。2.水环境工业污染重点管控区同时执行（1）区域内严格控制高耗水、高污染行业发展。（2）加快淘汰落后产能，大力推进产业结构调整和优化升级。（3）根据水资源和水环境承载能力，以水定城、以水定地、以水定人、以水定产。3.水环境城镇生活污染重点管控区同时执行除干旱地区外，新建城区应全面实行雨污分流，鼓励对初期雨水进行收集、处理和资源化利用。 4.大气环境布局敏感重点管控区同时执行（1）严</w:t>
                  </w:r>
                  <w:r>
                    <w:rPr>
                      <w:rFonts w:hint="eastAsia" w:ascii="宋体" w:hAnsi="宋体" w:eastAsia="宋体" w:cs="宋体"/>
                      <w:color w:val="auto"/>
                      <w:kern w:val="0"/>
                      <w:sz w:val="18"/>
                      <w:szCs w:val="18"/>
                      <w:highlight w:val="none"/>
                      <w:lang w:val="en-US" w:eastAsia="zh-CN" w:bidi="ar"/>
                    </w:rPr>
                    <w:t>控“</w:t>
                  </w:r>
                  <w:r>
                    <w:rPr>
                      <w:rFonts w:hint="default" w:ascii="Times New Roman" w:hAnsi="Times New Roman" w:eastAsia="宋体" w:cs="Times New Roman"/>
                      <w:color w:val="auto"/>
                      <w:kern w:val="0"/>
                      <w:sz w:val="18"/>
                      <w:szCs w:val="18"/>
                      <w:highlight w:val="none"/>
                      <w:lang w:val="en-US" w:eastAsia="zh-CN" w:bidi="ar"/>
                    </w:rPr>
                    <w:t>两</w:t>
                  </w:r>
                  <w:r>
                    <w:rPr>
                      <w:rFonts w:hint="eastAsia" w:ascii="宋体" w:hAnsi="宋体" w:eastAsia="宋体" w:cs="宋体"/>
                      <w:color w:val="auto"/>
                      <w:kern w:val="0"/>
                      <w:sz w:val="18"/>
                      <w:szCs w:val="18"/>
                      <w:highlight w:val="none"/>
                      <w:lang w:val="en-US" w:eastAsia="zh-CN" w:bidi="ar"/>
                    </w:rPr>
                    <w:t>高”行业</w:t>
                  </w:r>
                  <w:r>
                    <w:rPr>
                      <w:rFonts w:hint="default" w:ascii="Times New Roman" w:hAnsi="Times New Roman" w:eastAsia="宋体" w:cs="Times New Roman"/>
                      <w:color w:val="auto"/>
                      <w:kern w:val="0"/>
                      <w:sz w:val="18"/>
                      <w:szCs w:val="18"/>
                      <w:highlight w:val="none"/>
                      <w:lang w:val="en-US" w:eastAsia="zh-CN" w:bidi="ar"/>
                    </w:rPr>
                    <w:t>产能。严格执行钢铁、水泥、平板玻璃等行业产能置换实施办法。（2）利用水泥窑协同处置城市生活垃圾、危险废弃物、电石渣等固废伴生水泥项目，必须依托现有新型干法水泥熟料生产线进行不扩产能改造。</w:t>
                  </w:r>
                </w:p>
              </w:tc>
              <w:tc>
                <w:tcPr>
                  <w:tcW w:w="1631" w:type="dxa"/>
                  <w:tcBorders>
                    <w:top w:val="single" w:color="auto" w:sz="4" w:space="0"/>
                    <w:left w:val="single" w:color="auto" w:sz="4" w:space="0"/>
                    <w:bottom w:val="single" w:color="auto" w:sz="4" w:space="0"/>
                  </w:tcBorders>
                  <w:shd w:val="clear" w:color="auto" w:fill="auto"/>
                  <w:noWrap w:val="0"/>
                  <w:vAlign w:val="center"/>
                </w:tcPr>
                <w:p w14:paraId="47216FCE">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18"/>
                      <w:szCs w:val="18"/>
                      <w:highlight w:val="none"/>
                      <w:lang w:val="en-US" w:eastAsia="zh-CN"/>
                    </w:rPr>
                    <w:t>本项目为自来水供应项目，不属于空间布局约束中管控的行业类别。</w:t>
                  </w:r>
                </w:p>
              </w:tc>
            </w:tr>
            <w:tr w14:paraId="405B3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0207E3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污染物排放管控</w:t>
                  </w:r>
                </w:p>
              </w:tc>
              <w:tc>
                <w:tcPr>
                  <w:tcW w:w="4338" w:type="dxa"/>
                  <w:tcBorders>
                    <w:top w:val="single" w:color="auto" w:sz="4" w:space="0"/>
                    <w:bottom w:val="single" w:color="auto" w:sz="4" w:space="0"/>
                    <w:right w:val="single" w:color="auto" w:sz="4" w:space="0"/>
                  </w:tcBorders>
                  <w:shd w:val="clear" w:color="auto" w:fill="auto"/>
                  <w:noWrap w:val="0"/>
                  <w:vAlign w:val="center"/>
                </w:tcPr>
                <w:p w14:paraId="177590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1.同时执行：加快 65t/h 以上燃煤锅炉（含电力）超低排放改造。2.水环境工业污染重点管控区同时执行 （1）新建、改建和扩建项目应当优先采用资源利用率高以及污染物产生量少的清洁生产技术、工艺和设备。 （2）集中治理工业集聚区内工业废水，区内工业废水必须经预处理达到集中处理要求后，方可进入污水集中处理设施。新建、升级工业集聚区应同步规划和建设污水、垃圾集中处理等污染治理设施。3.水环境城镇生活污染重点管控区同时执行（1）新区污水管网规划建设应当与城市开发同步推进，除干旱地区外均实行雨污分流。（2）强化城中村、老旧城区和城乡结合部污水截流、收集。（3）推进合流制排水系统雨污分流改造，难以改造的，应采取截流、调蓄和治理等措施；推进现有污水处理设施配套管网建设；进一步提高城市、县城生活污水收集处理效能。（4）县级以上人民政府应当合理确定城镇排水与污水处理设施建设标准，统筹安排管网、泵站、污水处理厂以及污泥处理处置、再生水利用、雨水调蓄和排放等排水与污水处理设施建设和改造，提高城镇污水收集率和处理率。 4.大气环境布局敏感重点管控区同时执行 （1）对以煤、石焦油、渣油、重油等为燃料的锅炉和工业炉窑，加快使用清洁低碳能源以及工厂余热、电力热力等进行替代。（2）到2025年，在用 65 蒸吨/小时以上的燃煤锅炉（含电力）实现超低排放，钢铁企业基本实现超低排放。</w:t>
                  </w:r>
                </w:p>
              </w:tc>
              <w:tc>
                <w:tcPr>
                  <w:tcW w:w="1631" w:type="dxa"/>
                  <w:tcBorders>
                    <w:top w:val="single" w:color="auto" w:sz="4" w:space="0"/>
                    <w:left w:val="single" w:color="auto" w:sz="4" w:space="0"/>
                    <w:bottom w:val="single" w:color="auto" w:sz="4" w:space="0"/>
                  </w:tcBorders>
                  <w:shd w:val="clear" w:color="auto" w:fill="auto"/>
                  <w:noWrap w:val="0"/>
                  <w:vAlign w:val="center"/>
                </w:tcPr>
                <w:p w14:paraId="0E8110BE">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18"/>
                      <w:szCs w:val="18"/>
                      <w:highlight w:val="none"/>
                      <w:lang w:val="en-US" w:eastAsia="zh-CN"/>
                    </w:rPr>
                    <w:t>本项目厂区生活污水收集至化粪池，处理后满足</w:t>
                  </w:r>
                  <w:r>
                    <w:rPr>
                      <w:rFonts w:hint="default" w:cs="Times New Roman"/>
                      <w:color w:val="auto"/>
                      <w:sz w:val="18"/>
                      <w:szCs w:val="18"/>
                      <w:highlight w:val="none"/>
                      <w:lang w:val="en-US" w:eastAsia="zh-CN"/>
                    </w:rPr>
                    <w:t>《污水综合排放标准》</w:t>
                  </w:r>
                  <w:r>
                    <w:rPr>
                      <w:rFonts w:hint="eastAsia" w:cs="Times New Roman"/>
                      <w:color w:val="auto"/>
                      <w:sz w:val="18"/>
                      <w:szCs w:val="18"/>
                      <w:highlight w:val="none"/>
                      <w:lang w:val="en-US" w:eastAsia="zh-CN"/>
                    </w:rPr>
                    <w:t>（GB8978-1996）三级标准</w:t>
                  </w:r>
                  <w:r>
                    <w:rPr>
                      <w:rFonts w:hint="eastAsia" w:cs="Times New Roman"/>
                      <w:color w:val="auto"/>
                      <w:spacing w:val="0"/>
                      <w:sz w:val="18"/>
                      <w:szCs w:val="18"/>
                      <w:highlight w:val="none"/>
                      <w:lang w:val="en-US" w:eastAsia="zh-CN"/>
                    </w:rPr>
                    <w:t>及</w:t>
                  </w:r>
                  <w:r>
                    <w:rPr>
                      <w:rFonts w:hint="default" w:cs="Times New Roman"/>
                      <w:color w:val="auto"/>
                      <w:spacing w:val="0"/>
                      <w:sz w:val="18"/>
                      <w:szCs w:val="18"/>
                      <w:highlight w:val="none"/>
                      <w:lang w:val="en-US" w:eastAsia="zh-CN"/>
                    </w:rPr>
                    <w:t>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w:t>
                  </w:r>
                  <w:r>
                    <w:rPr>
                      <w:rFonts w:hint="eastAsia" w:cs="Times New Roman"/>
                      <w:color w:val="auto"/>
                      <w:spacing w:val="0"/>
                      <w:sz w:val="18"/>
                      <w:szCs w:val="18"/>
                      <w:highlight w:val="none"/>
                      <w:lang w:val="en-US" w:eastAsia="zh-CN"/>
                    </w:rPr>
                    <w:t>进水标准</w:t>
                  </w:r>
                  <w:r>
                    <w:rPr>
                      <w:rFonts w:hint="eastAsia" w:cs="Times New Roman"/>
                      <w:color w:val="auto"/>
                      <w:sz w:val="18"/>
                      <w:szCs w:val="18"/>
                      <w:highlight w:val="none"/>
                      <w:lang w:val="en-US" w:eastAsia="zh-CN"/>
                    </w:rPr>
                    <w:t>，</w:t>
                  </w:r>
                  <w:r>
                    <w:rPr>
                      <w:rFonts w:hint="default" w:cs="Times New Roman"/>
                      <w:color w:val="auto"/>
                      <w:sz w:val="18"/>
                      <w:szCs w:val="18"/>
                      <w:highlight w:val="none"/>
                      <w:lang w:val="en-US" w:eastAsia="zh-CN"/>
                    </w:rPr>
                    <w:t>排入污水管网</w:t>
                  </w:r>
                  <w:r>
                    <w:rPr>
                      <w:rFonts w:hint="eastAsia" w:cs="Times New Roman"/>
                      <w:color w:val="auto"/>
                      <w:sz w:val="18"/>
                      <w:szCs w:val="18"/>
                      <w:highlight w:val="none"/>
                      <w:lang w:val="en-US" w:eastAsia="zh-CN"/>
                    </w:rPr>
                    <w:t>，</w:t>
                  </w:r>
                  <w:r>
                    <w:rPr>
                      <w:rFonts w:hint="default" w:cs="Times New Roman"/>
                      <w:color w:val="auto"/>
                      <w:sz w:val="18"/>
                      <w:szCs w:val="18"/>
                      <w:highlight w:val="none"/>
                      <w:lang w:val="en-US" w:eastAsia="zh-CN"/>
                    </w:rPr>
                    <w:t>经鸡西市</w:t>
                  </w:r>
                  <w:r>
                    <w:rPr>
                      <w:rFonts w:hint="eastAsia" w:cs="Times New Roman"/>
                      <w:color w:val="auto"/>
                      <w:sz w:val="18"/>
                      <w:szCs w:val="18"/>
                      <w:highlight w:val="none"/>
                      <w:lang w:val="en-US" w:eastAsia="zh-CN"/>
                    </w:rPr>
                    <w:t>鸡冠区</w:t>
                  </w:r>
                  <w:r>
                    <w:rPr>
                      <w:rFonts w:hint="default" w:cs="Times New Roman"/>
                      <w:color w:val="auto"/>
                      <w:sz w:val="18"/>
                      <w:szCs w:val="18"/>
                      <w:highlight w:val="none"/>
                      <w:lang w:val="en-US" w:eastAsia="zh-CN"/>
                    </w:rPr>
                    <w:t>污水处理厂处理后排入穆棱河</w:t>
                  </w:r>
                  <w:r>
                    <w:rPr>
                      <w:rFonts w:hint="eastAsia" w:cs="Times New Roman"/>
                      <w:color w:val="auto"/>
                      <w:sz w:val="18"/>
                      <w:szCs w:val="18"/>
                      <w:highlight w:val="none"/>
                      <w:lang w:val="en-US" w:eastAsia="zh-CN"/>
                    </w:rPr>
                    <w:t>，滤池反冲洗废水回收至配水间与原水混合利用，排泥水经絮凝、压滤处理后达标排放。</w:t>
                  </w:r>
                </w:p>
              </w:tc>
            </w:tr>
            <w:tr w14:paraId="19897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1D4B0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环境风险</w:t>
                  </w:r>
                </w:p>
                <w:p w14:paraId="0841F3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lang w:val="en-US" w:eastAsia="zh-CN" w:bidi="ar"/>
                    </w:rPr>
                    <w:t>防控</w:t>
                  </w:r>
                </w:p>
              </w:tc>
              <w:tc>
                <w:tcPr>
                  <w:tcW w:w="4338" w:type="dxa"/>
                  <w:tcBorders>
                    <w:top w:val="single" w:color="auto" w:sz="4" w:space="0"/>
                    <w:bottom w:val="single" w:color="auto" w:sz="4" w:space="0"/>
                    <w:right w:val="single" w:color="auto" w:sz="4" w:space="0"/>
                  </w:tcBorders>
                  <w:shd w:val="clear" w:color="auto" w:fill="auto"/>
                  <w:noWrap w:val="0"/>
                  <w:vAlign w:val="center"/>
                </w:tcPr>
                <w:p w14:paraId="2FFBA7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1.化工园区与城市建成区、人员密集场所、重要设施、敏感目标等应当保持规定的安全距离，相对封闭，不应保留常住居民，非关联企业和产业要逐步搬迁或退出，妥善防范化</w:t>
                  </w:r>
                  <w:r>
                    <w:rPr>
                      <w:rFonts w:hint="eastAsia" w:ascii="宋体" w:hAnsi="宋体" w:eastAsia="宋体" w:cs="宋体"/>
                      <w:color w:val="auto"/>
                      <w:kern w:val="0"/>
                      <w:sz w:val="18"/>
                      <w:szCs w:val="18"/>
                      <w:highlight w:val="none"/>
                      <w:lang w:val="en-US" w:eastAsia="zh-CN" w:bidi="ar"/>
                    </w:rPr>
                    <w:t>解“邻避”问题</w:t>
                  </w:r>
                  <w:r>
                    <w:rPr>
                      <w:rFonts w:hint="default" w:ascii="Times New Roman" w:hAnsi="Times New Roman" w:eastAsia="宋体" w:cs="Times New Roman"/>
                      <w:color w:val="auto"/>
                      <w:kern w:val="0"/>
                      <w:sz w:val="18"/>
                      <w:szCs w:val="18"/>
                      <w:highlight w:val="none"/>
                      <w:lang w:val="en-US" w:eastAsia="zh-CN" w:bidi="ar"/>
                    </w:rPr>
                    <w:t>。严禁在松花江干流及一级支流沿岸1公里范围内布局化工园区。2.水环境工业污染重点管控区同时执行排放《有毒有害水污染物名录》所列有毒有害水污染物的企业事业单位和其他生产经营者，应当对排污口和周边环境进行监测，评估环境风险，排查环境安全隐患，并公开有毒有害水污染物信息，采取有效措施防范环境风险。3.大气环境布局敏感重点管控区同时执行（1）严控</w:t>
                  </w:r>
                  <w:r>
                    <w:rPr>
                      <w:rFonts w:hint="eastAsia" w:ascii="宋体" w:hAnsi="宋体" w:eastAsia="宋体" w:cs="宋体"/>
                      <w:color w:val="auto"/>
                      <w:kern w:val="0"/>
                      <w:sz w:val="18"/>
                      <w:szCs w:val="18"/>
                      <w:highlight w:val="none"/>
                      <w:lang w:val="en-US" w:eastAsia="zh-CN" w:bidi="ar"/>
                    </w:rPr>
                    <w:t>“两高”行业产能。严格执行钢铁、水</w:t>
                  </w:r>
                  <w:r>
                    <w:rPr>
                      <w:rFonts w:hint="default" w:ascii="Times New Roman" w:hAnsi="Times New Roman" w:eastAsia="宋体" w:cs="Times New Roman"/>
                      <w:color w:val="auto"/>
                      <w:kern w:val="0"/>
                      <w:sz w:val="18"/>
                      <w:szCs w:val="18"/>
                      <w:highlight w:val="none"/>
                      <w:lang w:val="en-US" w:eastAsia="zh-CN" w:bidi="ar"/>
                    </w:rPr>
                    <w:t>泥、平板玻璃等行业产能置换实施办法。 （2）利用水泥窑协同处置城市生活垃圾、危险废弃物、电石渣等固废伴生水泥项目，必须依托现有新型干法水泥熟料生产线进行不扩产能改造。</w:t>
                  </w:r>
                </w:p>
              </w:tc>
              <w:tc>
                <w:tcPr>
                  <w:tcW w:w="1631" w:type="dxa"/>
                  <w:tcBorders>
                    <w:top w:val="single" w:color="auto" w:sz="4" w:space="0"/>
                    <w:left w:val="single" w:color="auto" w:sz="4" w:space="0"/>
                    <w:bottom w:val="single" w:color="auto" w:sz="4" w:space="0"/>
                  </w:tcBorders>
                  <w:shd w:val="clear" w:color="auto" w:fill="auto"/>
                  <w:noWrap w:val="0"/>
                  <w:vAlign w:val="center"/>
                </w:tcPr>
                <w:p w14:paraId="3A691370">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18"/>
                      <w:szCs w:val="18"/>
                      <w:highlight w:val="none"/>
                      <w:lang w:val="en-US" w:eastAsia="zh-CN"/>
                    </w:rPr>
                    <w:t>本项目为自来水供应项目，排泥水经絮凝、压滤处理后排放，不涉及有毒有害水污染物排放。</w:t>
                  </w:r>
                </w:p>
              </w:tc>
            </w:tr>
            <w:tr w14:paraId="702423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66917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18"/>
                      <w:szCs w:val="18"/>
                      <w:highlight w:val="none"/>
                      <w:lang w:val="en-US" w:eastAsia="zh-CN" w:bidi="ar"/>
                    </w:rPr>
                    <w:t>资源开发效率要求</w:t>
                  </w:r>
                </w:p>
              </w:tc>
              <w:tc>
                <w:tcPr>
                  <w:tcW w:w="4338" w:type="dxa"/>
                  <w:tcBorders>
                    <w:top w:val="single" w:color="auto" w:sz="4" w:space="0"/>
                    <w:bottom w:val="single" w:color="auto" w:sz="4" w:space="0"/>
                    <w:right w:val="single" w:color="auto" w:sz="4" w:space="0"/>
                  </w:tcBorders>
                  <w:shd w:val="clear" w:color="auto" w:fill="auto"/>
                  <w:noWrap w:val="0"/>
                  <w:vAlign w:val="center"/>
                </w:tcPr>
                <w:p w14:paraId="160CD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 xml:space="preserve">1.同时执行（1）推进污水再生利用设施建设。（2）公共建筑必须采用节水器具，限期淘汰公共建筑中不符合节水标准的水嘴、便器水箱等生活用水器具。2.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 </w:t>
                  </w:r>
                </w:p>
                <w:p w14:paraId="51F910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供热。在集中供热管网覆盖地区，禁止新建、扩建分散燃煤供热锅炉；已建成的不能达标排放的燃煤供热锅炉，应当在城市人民政府规定的期限内拆除。</w:t>
                  </w:r>
                </w:p>
              </w:tc>
              <w:tc>
                <w:tcPr>
                  <w:tcW w:w="1631" w:type="dxa"/>
                  <w:tcBorders>
                    <w:top w:val="single" w:color="auto" w:sz="4" w:space="0"/>
                    <w:left w:val="single" w:color="auto" w:sz="4" w:space="0"/>
                    <w:bottom w:val="single" w:color="auto" w:sz="4" w:space="0"/>
                  </w:tcBorders>
                  <w:shd w:val="clear" w:color="auto" w:fill="auto"/>
                  <w:noWrap w:val="0"/>
                  <w:vAlign w:val="center"/>
                </w:tcPr>
                <w:p w14:paraId="23CABA1F">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18"/>
                      <w:szCs w:val="18"/>
                      <w:highlight w:val="none"/>
                      <w:lang w:val="en-US" w:eastAsia="zh-CN"/>
                    </w:rPr>
                    <w:t>本项目滤池反冲洗废水回收至配水间与原水混合回用，厂区供暖采用电锅炉。</w:t>
                  </w:r>
                </w:p>
              </w:tc>
            </w:tr>
            <w:tr w14:paraId="4D9C8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389D830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环境管控区名称</w:t>
                  </w:r>
                </w:p>
              </w:tc>
              <w:tc>
                <w:tcPr>
                  <w:tcW w:w="4024" w:type="pct"/>
                  <w:gridSpan w:val="2"/>
                  <w:tcBorders>
                    <w:top w:val="single" w:color="auto" w:sz="4" w:space="0"/>
                    <w:bottom w:val="single" w:color="auto" w:sz="4" w:space="0"/>
                  </w:tcBorders>
                  <w:shd w:val="clear" w:color="auto" w:fill="auto"/>
                  <w:noWrap w:val="0"/>
                  <w:vAlign w:val="center"/>
                </w:tcPr>
                <w:p w14:paraId="778EF899">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kern w:val="0"/>
                      <w:sz w:val="21"/>
                      <w:szCs w:val="21"/>
                      <w:lang w:val="en-US" w:eastAsia="zh-CN" w:bidi="ar"/>
                    </w:rPr>
                    <w:t>鸡冠区</w:t>
                  </w:r>
                  <w:r>
                    <w:rPr>
                      <w:rFonts w:hint="eastAsia" w:ascii="宋体" w:hAnsi="宋体" w:eastAsia="宋体" w:cs="宋体"/>
                      <w:color w:val="auto"/>
                      <w:kern w:val="0"/>
                      <w:sz w:val="21"/>
                      <w:szCs w:val="21"/>
                      <w:lang w:val="en-US" w:eastAsia="zh-CN" w:bidi="ar"/>
                    </w:rPr>
                    <w:t>地下水环境一般管控区</w:t>
                  </w:r>
                </w:p>
              </w:tc>
            </w:tr>
            <w:tr w14:paraId="4CB3C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1EA8888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环境管控区编码</w:t>
                  </w:r>
                </w:p>
              </w:tc>
              <w:tc>
                <w:tcPr>
                  <w:tcW w:w="4024" w:type="pct"/>
                  <w:gridSpan w:val="2"/>
                  <w:tcBorders>
                    <w:top w:val="single" w:color="auto" w:sz="4" w:space="0"/>
                    <w:bottom w:val="single" w:color="auto" w:sz="4" w:space="0"/>
                  </w:tcBorders>
                  <w:shd w:val="clear" w:color="auto" w:fill="auto"/>
                  <w:noWrap w:val="0"/>
                  <w:vAlign w:val="center"/>
                </w:tcPr>
                <w:p w14:paraId="7C5B576D">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YS2303</w:t>
                  </w:r>
                  <w:r>
                    <w:rPr>
                      <w:rFonts w:hint="default" w:ascii="Times New Roman" w:hAnsi="Times New Roman" w:cs="Times New Roman"/>
                      <w:color w:val="auto"/>
                      <w:kern w:val="0"/>
                      <w:sz w:val="21"/>
                      <w:szCs w:val="21"/>
                      <w:lang w:val="en-US" w:eastAsia="zh-CN" w:bidi="ar"/>
                    </w:rPr>
                    <w:t>02</w:t>
                  </w:r>
                  <w:r>
                    <w:rPr>
                      <w:rFonts w:hint="default" w:ascii="Times New Roman" w:hAnsi="Times New Roman" w:eastAsia="宋体" w:cs="Times New Roman"/>
                      <w:color w:val="auto"/>
                      <w:kern w:val="0"/>
                      <w:sz w:val="21"/>
                      <w:szCs w:val="21"/>
                      <w:lang w:val="en-US" w:eastAsia="zh-CN" w:bidi="ar"/>
                    </w:rPr>
                    <w:t>6310001</w:t>
                  </w:r>
                </w:p>
              </w:tc>
            </w:tr>
            <w:tr w14:paraId="23CBC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5" w:type="pct"/>
                  <w:gridSpan w:val="2"/>
                  <w:tcBorders>
                    <w:top w:val="single" w:color="auto" w:sz="4" w:space="0"/>
                    <w:bottom w:val="single" w:color="auto" w:sz="4" w:space="0"/>
                    <w:right w:val="single" w:color="auto" w:sz="4" w:space="0"/>
                  </w:tcBorders>
                  <w:shd w:val="clear" w:color="auto" w:fill="auto"/>
                  <w:noWrap w:val="0"/>
                  <w:vAlign w:val="center"/>
                </w:tcPr>
                <w:p w14:paraId="2014170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管控区类型</w:t>
                  </w:r>
                </w:p>
              </w:tc>
              <w:tc>
                <w:tcPr>
                  <w:tcW w:w="4024" w:type="pct"/>
                  <w:gridSpan w:val="2"/>
                  <w:tcBorders>
                    <w:top w:val="single" w:color="auto" w:sz="4" w:space="0"/>
                    <w:bottom w:val="single" w:color="auto" w:sz="4" w:space="0"/>
                  </w:tcBorders>
                  <w:shd w:val="clear" w:color="auto" w:fill="auto"/>
                  <w:noWrap w:val="0"/>
                  <w:vAlign w:val="center"/>
                </w:tcPr>
                <w:p w14:paraId="3A6E5EFE">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一般管控区</w:t>
                  </w:r>
                </w:p>
              </w:tc>
            </w:tr>
            <w:tr w14:paraId="49558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shd w:val="clear" w:color="auto" w:fill="auto"/>
                  <w:noWrap w:val="0"/>
                  <w:vAlign w:val="center"/>
                </w:tcPr>
                <w:p w14:paraId="63478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4EE7E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r>
            <w:tr w14:paraId="51B0E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3"/>
                  <w:tcBorders>
                    <w:top w:val="single" w:color="auto" w:sz="4" w:space="0"/>
                    <w:bottom w:val="single" w:color="auto" w:sz="4" w:space="0"/>
                    <w:right w:val="single" w:color="auto" w:sz="4" w:space="0"/>
                  </w:tcBorders>
                  <w:shd w:val="clear" w:color="auto" w:fill="auto"/>
                  <w:noWrap w:val="0"/>
                  <w:vAlign w:val="center"/>
                </w:tcPr>
                <w:p w14:paraId="1C13019E">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环境风险管控</w:t>
                  </w:r>
                </w:p>
                <w:p w14:paraId="744A47F2">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1.土壤污染重点监管单位应当履行下列义务：（一）严格控</w:t>
                  </w:r>
                </w:p>
                <w:p w14:paraId="195DC716">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制有毒有害物质排放，并按年度向生态环境主管部门报告排放情况；（二）建立土壤污染隐患排查制度，保证持续有效防止有毒有害物质渗漏、流失、扬散；（三）制定、实施自</w:t>
                  </w:r>
                </w:p>
                <w:p w14:paraId="2646368E">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行监测方案，并将监测数据报生态环境主管部门。 2.重点单位新、改、扩建项目地下储罐储存有毒有害物质的，应当在项目投入生产或者使用之前，将地下储罐的信息报所在地设</w:t>
                  </w:r>
                </w:p>
                <w:p w14:paraId="7DC46F8E">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区的市级生态环境主管部门备案。 3.重点单位应当建立土壤和地下水污染隐患排查治理制度，定期对重点区域、重点设施开展隐患排查。发现污染隐患的，应当制定整改方案，及</w:t>
                  </w:r>
                </w:p>
                <w:p w14:paraId="49D50CE1">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时采取技术、管理措施消除隐患。隐患排查、治理情况应当如实记录并建立档案。重点区域包括涉及有毒有害物质的生产区，原材料及固体废物的堆存区、储放区和转运区等；重</w:t>
                  </w:r>
                </w:p>
                <w:p w14:paraId="65DB03B8">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99" w:type="pct"/>
                  <w:tcBorders>
                    <w:top w:val="single" w:color="auto" w:sz="4" w:space="0"/>
                    <w:left w:val="single" w:color="auto" w:sz="4" w:space="0"/>
                    <w:bottom w:val="single" w:color="auto" w:sz="4" w:space="0"/>
                  </w:tcBorders>
                  <w:shd w:val="clear" w:color="auto" w:fill="auto"/>
                  <w:noWrap w:val="0"/>
                  <w:vAlign w:val="center"/>
                </w:tcPr>
                <w:p w14:paraId="3907C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本项目不属于土壤污染重点监管单位。</w:t>
                  </w:r>
                </w:p>
              </w:tc>
            </w:tr>
          </w:tbl>
          <w:p w14:paraId="4F7FF270">
            <w:pPr>
              <w:pStyle w:val="15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3）“一说明”</w:t>
            </w:r>
          </w:p>
          <w:p w14:paraId="15E403DE">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由上述分析可知，本项目的建设符合《</w:t>
            </w:r>
            <w:r>
              <w:rPr>
                <w:rFonts w:hint="eastAsia" w:cs="Times New Roman"/>
                <w:color w:val="auto"/>
                <w:kern w:val="0"/>
                <w:sz w:val="21"/>
                <w:szCs w:val="21"/>
                <w:highlight w:val="none"/>
                <w:lang w:eastAsia="zh-CN" w:bidi="ar"/>
              </w:rPr>
              <w:t>鸡西市第三净水厂升级改造工程（重新报批）生态环境分区管控分析报告</w:t>
            </w:r>
            <w:r>
              <w:rPr>
                <w:rFonts w:hint="eastAsia" w:ascii="宋体" w:hAnsi="宋体" w:eastAsia="宋体" w:cs="宋体"/>
                <w:color w:val="auto"/>
                <w:kern w:val="0"/>
                <w:sz w:val="21"/>
                <w:szCs w:val="21"/>
                <w:lang w:val="en-US" w:eastAsia="zh-CN" w:bidi="ar-SA"/>
              </w:rPr>
              <w:t>》中的要求。</w:t>
            </w:r>
          </w:p>
          <w:p w14:paraId="7921DFF0">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根据黑龙江省生态环境分区管控数据应用平台查询的《生态环境分区管控分析报告》（分析报告见附件）：</w:t>
            </w:r>
          </w:p>
          <w:p w14:paraId="6E55E07A">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本项目与生态保护红线交集面积为0.00平方公里，占项目占地面积的0.00%。</w:t>
            </w:r>
          </w:p>
          <w:p w14:paraId="44C6DA80">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与自然保护地整合优化方案数据交集面积为0.00平方公里，占项目占地面积的0.00%。保护地涉及等类型。与自然保护地(现状管理数据)交集面积为0.00平方公里，占项目占地面积的0.00%。保护地涉及等类型。</w:t>
            </w:r>
          </w:p>
          <w:p w14:paraId="31366073">
            <w:pPr>
              <w:pStyle w:val="15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与饮用水水源保护区交集面积为0.00平方公里，占项目占地面积的0.00%。与国家级水产种质资源保护区交集面积为0.00平方公里，占项目占地面积的0.00%。</w:t>
            </w:r>
          </w:p>
          <w:p w14:paraId="6EE3A27A">
            <w:pPr>
              <w:pStyle w:val="15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与环境管控单元优先保护单元交集面积为0.00平方公里，占项目占地面积的0.00%；与重点管控单元交集面积为0.02平方公里，占项目占地面积的100.00%；一般管控单元交集面积为0.00平方公里，占项目占地面积的0.00%。</w:t>
            </w:r>
          </w:p>
          <w:p w14:paraId="30BB1DE7">
            <w:pPr>
              <w:pStyle w:val="15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lang w:val="en-US" w:eastAsia="zh-CN" w:bidi="ar-SA"/>
              </w:rPr>
              <w:t>与地下水环境优先保护区交集面积为0.00平方公里，占项目占地面积的0.00%；与地下水环境重点管控区交集面积为0.00 平方公里，占项目占地面积的0.00%，与地下水环境一般管控区交集面积为0.11平方公里，占项目占地面积的100.00%。</w:t>
            </w:r>
          </w:p>
          <w:p w14:paraId="7C527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Cs w:val="21"/>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shd w:val="clear"/>
              </w:rPr>
              <w:t>采取了有效、可行的污染治理措施，各项污染物均可达标排放，本项目建设对周围环境影响较小，因此本项目符合</w:t>
            </w:r>
            <w:r>
              <w:rPr>
                <w:rFonts w:hint="default" w:ascii="Times New Roman" w:hAnsi="Times New Roman" w:cs="Times New Roman"/>
                <w:color w:val="auto"/>
                <w:kern w:val="0"/>
                <w:sz w:val="21"/>
                <w:szCs w:val="21"/>
                <w:highlight w:val="none"/>
              </w:rPr>
              <w:t>《鸡西市人民政府关于实施</w:t>
            </w:r>
            <w:r>
              <w:rPr>
                <w:rFonts w:hint="eastAsia" w:ascii="宋体" w:hAnsi="宋体" w:eastAsia="宋体" w:cs="宋体"/>
                <w:color w:val="auto"/>
                <w:kern w:val="0"/>
                <w:sz w:val="21"/>
                <w:szCs w:val="21"/>
                <w:highlight w:val="none"/>
              </w:rPr>
              <w:t>“三线一单”</w:t>
            </w:r>
            <w:r>
              <w:rPr>
                <w:rFonts w:hint="default" w:ascii="Times New Roman" w:hAnsi="Times New Roman" w:cs="Times New Roman"/>
                <w:color w:val="auto"/>
                <w:kern w:val="0"/>
                <w:sz w:val="21"/>
                <w:szCs w:val="21"/>
                <w:highlight w:val="none"/>
              </w:rPr>
              <w:t>生态环境分区管控的意见》（鸡政发〔2021〕7号文件）</w:t>
            </w:r>
            <w:r>
              <w:rPr>
                <w:rFonts w:hint="default" w:ascii="Times New Roman" w:hAnsi="Times New Roman" w:cs="Times New Roman"/>
                <w:color w:val="auto"/>
                <w:highlight w:val="none"/>
              </w:rPr>
              <w:t>中要求。</w:t>
            </w:r>
          </w:p>
          <w:p w14:paraId="5BB0B5F0">
            <w:pPr>
              <w:keepNext w:val="0"/>
              <w:keepLines w:val="0"/>
              <w:widowControl/>
              <w:suppressLineNumbers w:val="0"/>
              <w:autoSpaceDE/>
              <w:autoSpaceDN/>
              <w:adjustRightInd/>
              <w:snapToGrid/>
              <w:spacing w:before="0" w:beforeAutospacing="0" w:after="0" w:afterAutospacing="0" w:line="360" w:lineRule="auto"/>
              <w:ind w:left="0" w:right="0" w:firstLine="422" w:firstLineChars="200"/>
              <w:rPr>
                <w:rFonts w:hint="eastAsia"/>
                <w:b/>
                <w:bCs/>
                <w:color w:val="auto"/>
                <w:kern w:val="0"/>
                <w:szCs w:val="21"/>
                <w:highlight w:val="none"/>
              </w:rPr>
            </w:pPr>
            <w:r>
              <w:rPr>
                <w:rFonts w:hint="eastAsia"/>
                <w:b/>
                <w:bCs/>
                <w:color w:val="auto"/>
                <w:kern w:val="0"/>
                <w:szCs w:val="21"/>
                <w:highlight w:val="none"/>
                <w:lang w:val="en-US" w:eastAsia="zh-CN"/>
              </w:rPr>
              <w:t>2</w:t>
            </w:r>
            <w:r>
              <w:rPr>
                <w:rFonts w:hint="eastAsia"/>
                <w:b/>
                <w:bCs/>
                <w:color w:val="auto"/>
                <w:kern w:val="0"/>
                <w:szCs w:val="21"/>
                <w:highlight w:val="none"/>
              </w:rPr>
              <w:t>、选址合理性分析</w:t>
            </w:r>
          </w:p>
          <w:p w14:paraId="0BBCD77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color w:val="auto"/>
                <w:kern w:val="0"/>
                <w:szCs w:val="21"/>
                <w:highlight w:val="none"/>
              </w:rPr>
            </w:pPr>
            <w:r>
              <w:rPr>
                <w:rFonts w:hint="eastAsia"/>
                <w:color w:val="auto"/>
                <w:kern w:val="0"/>
                <w:szCs w:val="21"/>
                <w:highlight w:val="none"/>
                <w:lang w:val="en-US" w:eastAsia="zh-CN"/>
              </w:rPr>
              <w:t>鸡西市第三净水厂于1993年建成后投产使用，厂区东侧为铁路、西郊村居民，南侧为兴国西路、修理厂，西侧为汽车修理厂及厂房，北侧为空地</w:t>
            </w:r>
            <w:r>
              <w:rPr>
                <w:rFonts w:hint="eastAsia"/>
                <w:b w:val="0"/>
                <w:bCs w:val="0"/>
                <w:color w:val="auto"/>
                <w:sz w:val="21"/>
                <w:szCs w:val="21"/>
                <w:highlight w:val="none"/>
                <w:lang w:eastAsia="zh-CN"/>
              </w:rPr>
              <w:t>。</w:t>
            </w:r>
            <w:r>
              <w:rPr>
                <w:rFonts w:hint="eastAsia"/>
                <w:color w:val="auto"/>
                <w:kern w:val="0"/>
                <w:szCs w:val="21"/>
                <w:highlight w:val="none"/>
              </w:rPr>
              <w:t>本项目所在地地势平坦，厂区地理位置交通便利，基础设施齐全，与周边环境协调。项目不在风景名胜区、自然保护区、水源保护区及其他需要特别保护的区域内，没有明显的环境制约因素，项目选址合理。</w:t>
            </w:r>
          </w:p>
          <w:p w14:paraId="7B3A48A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color w:val="auto"/>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w:t>
            </w:r>
            <w:r>
              <w:rPr>
                <w:rFonts w:hint="eastAsia" w:cs="Times New Roman"/>
                <w:color w:val="auto"/>
                <w:kern w:val="0"/>
                <w:sz w:val="21"/>
                <w:szCs w:val="21"/>
                <w:highlight w:val="none"/>
                <w:lang w:val="en-US" w:eastAsia="zh-CN"/>
              </w:rPr>
              <w:t>废气主要为污泥处理间产生的少量臭气，为无组织排放，通过加强通风、日产日清等措施，对周边环境影响较小。</w:t>
            </w:r>
            <w:r>
              <w:rPr>
                <w:rFonts w:hint="default" w:ascii="Times New Roman" w:hAnsi="Times New Roman" w:eastAsia="宋体" w:cs="Times New Roman"/>
                <w:color w:val="auto"/>
                <w:spacing w:val="0"/>
                <w:sz w:val="21"/>
                <w:szCs w:val="21"/>
                <w:highlight w:val="none"/>
              </w:rPr>
              <w:t>本项目废水包括员工的生活污水、生产废水</w:t>
            </w:r>
            <w:r>
              <w:rPr>
                <w:rFonts w:hint="eastAsia" w:cs="Times New Roman"/>
                <w:color w:val="auto"/>
                <w:spacing w:val="0"/>
                <w:sz w:val="21"/>
                <w:szCs w:val="21"/>
                <w:highlight w:val="none"/>
                <w:lang w:eastAsia="zh-CN"/>
              </w:rPr>
              <w:t>（</w:t>
            </w:r>
            <w:r>
              <w:rPr>
                <w:rFonts w:hint="eastAsia" w:cs="Times New Roman"/>
                <w:color w:val="auto"/>
                <w:spacing w:val="0"/>
                <w:sz w:val="21"/>
                <w:szCs w:val="21"/>
                <w:highlight w:val="none"/>
                <w:lang w:val="en-US" w:eastAsia="zh-CN"/>
              </w:rPr>
              <w:t>滤池反冲洗废水、排泥水</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pacing w:val="0"/>
                <w:sz w:val="21"/>
                <w:szCs w:val="21"/>
                <w:highlight w:val="none"/>
              </w:rPr>
              <w:t>、</w:t>
            </w:r>
            <w:r>
              <w:rPr>
                <w:rFonts w:hint="eastAsia" w:cs="Times New Roman"/>
                <w:color w:val="auto"/>
                <w:sz w:val="21"/>
                <w:szCs w:val="21"/>
                <w:highlight w:val="none"/>
                <w:lang w:val="en-US" w:eastAsia="zh-CN"/>
              </w:rPr>
              <w:t>厂区生活污水收集至化粪池，处理后满足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（GB8978-1996）三级标准及</w:t>
            </w:r>
            <w:r>
              <w:rPr>
                <w:rFonts w:hint="default" w:cs="Times New Roman"/>
                <w:color w:val="auto"/>
                <w:sz w:val="21"/>
                <w:szCs w:val="21"/>
                <w:highlight w:val="none"/>
                <w:lang w:val="en-US" w:eastAsia="zh-CN"/>
              </w:rPr>
              <w:t>鸡西市</w:t>
            </w:r>
            <w:r>
              <w:rPr>
                <w:rFonts w:hint="eastAsia" w:cs="Times New Roman"/>
                <w:color w:val="auto"/>
                <w:sz w:val="21"/>
                <w:szCs w:val="21"/>
                <w:highlight w:val="none"/>
                <w:lang w:val="en-US" w:eastAsia="zh-CN"/>
              </w:rPr>
              <w:t>鸡冠区</w:t>
            </w:r>
            <w:r>
              <w:rPr>
                <w:rFonts w:hint="default" w:cs="Times New Roman"/>
                <w:color w:val="auto"/>
                <w:sz w:val="21"/>
                <w:szCs w:val="21"/>
                <w:highlight w:val="none"/>
                <w:lang w:val="en-US" w:eastAsia="zh-CN"/>
              </w:rPr>
              <w:t>污水处理厂</w:t>
            </w:r>
            <w:r>
              <w:rPr>
                <w:rFonts w:hint="eastAsia" w:cs="Times New Roman"/>
                <w:color w:val="auto"/>
                <w:sz w:val="21"/>
                <w:szCs w:val="21"/>
                <w:highlight w:val="none"/>
                <w:lang w:val="en-US" w:eastAsia="zh-CN"/>
              </w:rPr>
              <w:t>进水标准，</w:t>
            </w:r>
            <w:r>
              <w:rPr>
                <w:rFonts w:hint="default" w:cs="Times New Roman"/>
                <w:color w:val="auto"/>
                <w:sz w:val="21"/>
                <w:szCs w:val="21"/>
                <w:highlight w:val="none"/>
                <w:lang w:val="en-US" w:eastAsia="zh-CN"/>
              </w:rPr>
              <w:t>排入污水管网</w:t>
            </w:r>
            <w:r>
              <w:rPr>
                <w:rFonts w:hint="eastAsia" w:cs="Times New Roman"/>
                <w:color w:val="auto"/>
                <w:sz w:val="21"/>
                <w:szCs w:val="21"/>
                <w:highlight w:val="none"/>
                <w:lang w:val="en-US" w:eastAsia="zh-CN"/>
              </w:rPr>
              <w:t>，</w:t>
            </w:r>
            <w:r>
              <w:rPr>
                <w:rFonts w:hint="default" w:cs="Times New Roman"/>
                <w:color w:val="auto"/>
                <w:sz w:val="21"/>
                <w:szCs w:val="21"/>
                <w:highlight w:val="none"/>
                <w:lang w:val="en-US" w:eastAsia="zh-CN"/>
              </w:rPr>
              <w:t>经鸡西市</w:t>
            </w:r>
            <w:r>
              <w:rPr>
                <w:rFonts w:hint="eastAsia" w:cs="Times New Roman"/>
                <w:color w:val="auto"/>
                <w:sz w:val="21"/>
                <w:szCs w:val="21"/>
                <w:highlight w:val="none"/>
                <w:lang w:val="en-US" w:eastAsia="zh-CN"/>
              </w:rPr>
              <w:t>鸡冠区</w:t>
            </w:r>
            <w:r>
              <w:rPr>
                <w:rFonts w:hint="default" w:cs="Times New Roman"/>
                <w:color w:val="auto"/>
                <w:sz w:val="21"/>
                <w:szCs w:val="21"/>
                <w:highlight w:val="none"/>
                <w:lang w:val="en-US" w:eastAsia="zh-CN"/>
              </w:rPr>
              <w:t>污水处理厂处理后排</w:t>
            </w:r>
            <w:r>
              <w:rPr>
                <w:rFonts w:hint="default" w:ascii="Times New Roman" w:hAnsi="Times New Roman" w:cs="Times New Roman"/>
                <w:color w:val="auto"/>
                <w:sz w:val="21"/>
                <w:szCs w:val="21"/>
                <w:highlight w:val="none"/>
                <w:lang w:val="en-US" w:eastAsia="zh-CN"/>
              </w:rPr>
              <w:t>入穆棱河</w:t>
            </w:r>
            <w:r>
              <w:rPr>
                <w:rFonts w:hint="eastAsia" w:cs="Times New Roman"/>
                <w:color w:val="auto"/>
                <w:sz w:val="21"/>
                <w:szCs w:val="21"/>
                <w:highlight w:val="none"/>
                <w:lang w:val="en-US" w:eastAsia="zh-CN"/>
              </w:rPr>
              <w:t>。滤池反冲洗废水回收至配水间于原水混合回用，排泥水经絮凝、压滤处理后满足</w:t>
            </w:r>
            <w:r>
              <w:rPr>
                <w:rFonts w:hint="eastAsia" w:cs="Times New Roman"/>
                <w:color w:val="auto"/>
                <w:spacing w:val="0"/>
                <w:sz w:val="21"/>
                <w:szCs w:val="21"/>
                <w:highlight w:val="none"/>
                <w:lang w:val="en-US" w:eastAsia="zh-CN"/>
              </w:rPr>
              <w:t>《地表水环境质量标准》（GB3838-2002）表1中三类标准、悬浮物满足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（GB8978-1996）一级标准，排入穆棱河</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根据现状监测结果，各车间内设备在采取基础减震、厂房隔声等措施后，</w:t>
            </w:r>
            <w:r>
              <w:rPr>
                <w:rFonts w:hint="default" w:ascii="Times New Roman" w:hAnsi="Times New Roman" w:cs="Times New Roman"/>
                <w:color w:val="auto"/>
                <w:sz w:val="21"/>
                <w:szCs w:val="21"/>
                <w:highlight w:val="none"/>
              </w:rPr>
              <w:t>厂界噪声满足《工业企业厂界环境噪声排放标准》（GB12348-2008）表1中2类标准要求；</w:t>
            </w:r>
            <w:r>
              <w:rPr>
                <w:rFonts w:hint="eastAsia" w:ascii="宋体" w:hAnsi="宋体" w:cs="宋体"/>
                <w:bCs/>
                <w:color w:val="auto"/>
                <w:sz w:val="21"/>
                <w:szCs w:val="21"/>
                <w:highlight w:val="none"/>
              </w:rPr>
              <w:t>本项目</w:t>
            </w:r>
            <w:r>
              <w:rPr>
                <w:rFonts w:hint="eastAsia" w:ascii="宋体" w:hAnsi="宋体" w:cs="宋体"/>
                <w:color w:val="auto"/>
                <w:sz w:val="21"/>
                <w:szCs w:val="21"/>
                <w:highlight w:val="none"/>
              </w:rPr>
              <w:t>生活垃圾</w:t>
            </w:r>
            <w:r>
              <w:rPr>
                <w:rFonts w:hint="eastAsia" w:ascii="宋体" w:hAnsi="宋体" w:cs="宋体"/>
                <w:color w:val="auto"/>
                <w:sz w:val="21"/>
                <w:szCs w:val="21"/>
                <w:highlight w:val="none"/>
                <w:lang w:val="en-US" w:eastAsia="zh-CN"/>
              </w:rPr>
              <w:t>由环卫部门统一处置，</w:t>
            </w:r>
            <w:r>
              <w:rPr>
                <w:rFonts w:hint="eastAsia" w:ascii="Times New Roman" w:hAnsi="Times New Roman" w:cs="Times New Roman"/>
                <w:color w:val="auto"/>
                <w:sz w:val="21"/>
                <w:szCs w:val="21"/>
                <w:highlight w:val="none"/>
                <w:lang w:val="en-US" w:eastAsia="zh-CN"/>
              </w:rPr>
              <w:t>脱水污泥外运</w:t>
            </w:r>
            <w:r>
              <w:rPr>
                <w:rFonts w:hint="eastAsia" w:cs="Times New Roman"/>
                <w:color w:val="auto"/>
                <w:sz w:val="21"/>
                <w:szCs w:val="21"/>
                <w:highlight w:val="none"/>
                <w:lang w:val="en-US" w:eastAsia="zh-CN"/>
              </w:rPr>
              <w:t>委托有资质单位处理。废石英砂、卵石等外售综合利用</w:t>
            </w:r>
            <w:r>
              <w:rPr>
                <w:rFonts w:hint="eastAsia" w:ascii="宋体" w:hAnsi="宋体" w:cs="宋体"/>
                <w:color w:val="auto"/>
                <w:sz w:val="21"/>
                <w:szCs w:val="21"/>
                <w:highlight w:val="none"/>
                <w:lang w:val="en-US" w:eastAsia="zh-CN"/>
              </w:rPr>
              <w:t>，废包装袋、废活性炭由厂家更换后回收，</w:t>
            </w:r>
            <w:r>
              <w:rPr>
                <w:rFonts w:hint="eastAsia" w:ascii="Times New Roman" w:hAnsi="Times New Roman" w:eastAsia="宋体" w:cs="Times New Roman"/>
                <w:color w:val="auto"/>
                <w:kern w:val="2"/>
                <w:sz w:val="21"/>
                <w:szCs w:val="21"/>
                <w:highlight w:val="none"/>
                <w:lang w:val="en-US" w:eastAsia="zh-CN" w:bidi="ar-SA"/>
              </w:rPr>
              <w:t>本项目化验室药剂不涉及危险物品</w:t>
            </w:r>
            <w:r>
              <w:rPr>
                <w:rFonts w:hint="default" w:ascii="Times New Roman" w:hAnsi="Times New Roman" w:eastAsia="宋体" w:cs="Times New Roman"/>
                <w:color w:val="auto"/>
                <w:kern w:val="2"/>
                <w:sz w:val="21"/>
                <w:szCs w:val="21"/>
                <w:highlight w:val="none"/>
                <w:lang w:val="en-US" w:eastAsia="zh-CN" w:bidi="ar-SA"/>
              </w:rPr>
              <w:t>，无危险废物产生</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化验室产生的</w:t>
            </w:r>
            <w:r>
              <w:rPr>
                <w:rFonts w:hint="eastAsia" w:ascii="Times New Roman" w:hAnsi="Times New Roman" w:eastAsia="宋体" w:cs="Times New Roman"/>
                <w:color w:val="auto"/>
                <w:kern w:val="2"/>
                <w:sz w:val="21"/>
                <w:szCs w:val="21"/>
                <w:highlight w:val="none"/>
                <w:lang w:val="en-US" w:eastAsia="zh-CN" w:bidi="ar-SA"/>
              </w:rPr>
              <w:t>废包装</w:t>
            </w:r>
            <w:r>
              <w:rPr>
                <w:rFonts w:hint="eastAsia" w:cs="Times New Roman"/>
                <w:color w:val="auto"/>
                <w:kern w:val="2"/>
                <w:sz w:val="21"/>
                <w:szCs w:val="21"/>
                <w:highlight w:val="none"/>
                <w:lang w:val="en-US" w:eastAsia="zh-CN" w:bidi="ar-SA"/>
              </w:rPr>
              <w:t>委托环卫部门统一处理</w:t>
            </w:r>
            <w:r>
              <w:rPr>
                <w:rFonts w:hint="eastAsia" w:ascii="宋体" w:hAnsi="宋体" w:cs="宋体"/>
                <w:color w:val="auto"/>
                <w:sz w:val="21"/>
                <w:szCs w:val="21"/>
                <w:highlight w:val="none"/>
              </w:rPr>
              <w:t>。</w:t>
            </w:r>
            <w:r>
              <w:rPr>
                <w:rFonts w:hint="default" w:ascii="Times New Roman" w:hAnsi="Times New Roman" w:cs="Times New Roman"/>
                <w:color w:val="auto"/>
                <w:sz w:val="21"/>
                <w:szCs w:val="21"/>
                <w:highlight w:val="none"/>
              </w:rPr>
              <w:t>固体废物贮存、处置符合《一般工业固体废物贮存、处置场污染控制标准》(GB 18599-2020)</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本项目各项污染物经过有效的污染治理措施后对环境影响较小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从环保的角度分析本项目的选址是合理的</w:t>
            </w:r>
            <w:r>
              <w:rPr>
                <w:rFonts w:hint="default" w:ascii="Times New Roman" w:hAnsi="Times New Roman" w:cs="Times New Roman"/>
                <w:color w:val="auto"/>
                <w:kern w:val="0"/>
                <w:sz w:val="21"/>
                <w:szCs w:val="21"/>
                <w:highlight w:val="none"/>
              </w:rPr>
              <w:t>。</w:t>
            </w:r>
          </w:p>
          <w:p w14:paraId="4460887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2" w:firstLineChars="200"/>
              <w:textAlignment w:val="auto"/>
              <w:rPr>
                <w:rFonts w:hint="default"/>
                <w:color w:val="auto"/>
                <w:highlight w:val="none"/>
              </w:rPr>
            </w:pPr>
            <w:r>
              <w:rPr>
                <w:rFonts w:hint="eastAsia"/>
                <w:b/>
                <w:bCs/>
                <w:color w:val="auto"/>
                <w:kern w:val="0"/>
                <w:szCs w:val="21"/>
                <w:highlight w:val="none"/>
                <w:lang w:val="en-US" w:eastAsia="zh-CN"/>
              </w:rPr>
              <w:t>3</w:t>
            </w:r>
            <w:r>
              <w:rPr>
                <w:rFonts w:hint="eastAsia"/>
                <w:b/>
                <w:bCs/>
                <w:color w:val="auto"/>
                <w:kern w:val="0"/>
                <w:szCs w:val="21"/>
                <w:highlight w:val="none"/>
              </w:rPr>
              <w:t>、产业政策符合性</w:t>
            </w:r>
          </w:p>
          <w:p w14:paraId="4437E5F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本项目属于《国民经济行业类别》（</w:t>
            </w:r>
            <w:r>
              <w:rPr>
                <w:rFonts w:hint="default" w:ascii="Times New Roman" w:hAnsi="Times New Roman" w:cs="Times New Roman"/>
                <w:color w:val="auto"/>
                <w:sz w:val="21"/>
                <w:szCs w:val="21"/>
                <w:highlight w:val="none"/>
                <w:lang w:val="en-US" w:eastAsia="zh-CN"/>
              </w:rPr>
              <w:t>GB/T4754-2017</w:t>
            </w:r>
            <w:r>
              <w:rPr>
                <w:rFonts w:hint="eastAsia" w:ascii="Times New Roman" w:hAnsi="Times New Roman" w:cs="Times New Roman"/>
                <w:color w:val="auto"/>
                <w:sz w:val="21"/>
                <w:szCs w:val="21"/>
                <w:highlight w:val="none"/>
                <w:lang w:val="en-US" w:eastAsia="zh-CN"/>
              </w:rPr>
              <w:t>）分类中的“</w:t>
            </w:r>
            <w:r>
              <w:rPr>
                <w:rFonts w:hint="default" w:ascii="Times New Roman" w:hAnsi="Times New Roman" w:cs="Times New Roman"/>
                <w:color w:val="auto"/>
                <w:sz w:val="21"/>
                <w:szCs w:val="21"/>
                <w:highlight w:val="none"/>
                <w:lang w:val="en-US" w:eastAsia="zh-CN"/>
              </w:rPr>
              <w:t>D4610</w:t>
            </w:r>
            <w:r>
              <w:rPr>
                <w:rFonts w:hint="eastAsia" w:ascii="Times New Roman" w:hAnsi="Times New Roman" w:cs="Times New Roman"/>
                <w:color w:val="auto"/>
                <w:sz w:val="21"/>
                <w:szCs w:val="21"/>
                <w:highlight w:val="none"/>
                <w:lang w:val="en-US" w:eastAsia="zh-CN"/>
              </w:rPr>
              <w:t>自来水生产和供应”。根据《产业结构调整指导目录》（</w:t>
            </w:r>
            <w:r>
              <w:rPr>
                <w:rFonts w:hint="default" w:ascii="Times New Roman" w:hAnsi="Times New Roman" w:cs="Times New Roman"/>
                <w:color w:val="auto"/>
                <w:sz w:val="21"/>
                <w:szCs w:val="21"/>
                <w:highlight w:val="none"/>
                <w:lang w:val="en-US" w:eastAsia="zh-CN"/>
              </w:rPr>
              <w:t>2024</w:t>
            </w:r>
            <w:r>
              <w:rPr>
                <w:rFonts w:hint="eastAsia" w:ascii="Times New Roman" w:hAnsi="Times New Roman" w:cs="Times New Roman"/>
                <w:color w:val="auto"/>
                <w:sz w:val="21"/>
                <w:szCs w:val="21"/>
                <w:highlight w:val="none"/>
                <w:lang w:val="en-US" w:eastAsia="zh-CN"/>
              </w:rPr>
              <w:t>年本），本项目属于“鼓励类：二十二、城镇基础设施</w:t>
            </w:r>
            <w:r>
              <w:rPr>
                <w:rFonts w:hint="default" w:ascii="Times New Roman" w:hAnsi="Times New Roman"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val="en-US" w:eastAsia="zh-CN"/>
              </w:rPr>
              <w:t>、市政基础设施</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lang w:val="en-US" w:eastAsia="zh-CN"/>
              </w:rPr>
              <w:t>城镇供排水工程及相关设备生产</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因此本项目与产业政策相符。</w:t>
            </w:r>
          </w:p>
          <w:p w14:paraId="5AFEA0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4、与</w:t>
            </w:r>
            <w:r>
              <w:rPr>
                <w:rFonts w:hint="default" w:ascii="Times New Roman" w:hAnsi="Times New Roman" w:cs="Times New Roman"/>
                <w:b/>
                <w:bCs/>
                <w:color w:val="auto"/>
                <w:sz w:val="21"/>
                <w:szCs w:val="21"/>
                <w:highlight w:val="none"/>
                <w:lang w:val="en-US" w:eastAsia="zh-CN"/>
              </w:rPr>
              <w:t>饮用水水源保护区污染防治管理规定（（89）环管字第201号）</w:t>
            </w:r>
          </w:p>
          <w:p w14:paraId="3DC0EC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根据《饮用水水源保护区污染防治管理规定》第十九条要求，一级保护区内禁止建设与取水设施无关的建筑物；禁止从事农牧业活动；禁止倾倒、堆放工业废渣及城市垃圾、粪便和其它有害废弃物；禁止输送污水的渠道、管道及输油管道通过本区；禁止建设油库；禁止建立墓地。二级保护区内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禁止承压水和潜水的混合开采，作好潜水的止水措施。本项目为自来水厂，属于取水、供水设施。不属于从事农牧业活动、化工、电镀、皮革、造纸、制浆、冶炼、放射性、印染、染料、炼焦、炼油及其它有严重污染的企业。同时项目无倾倒、堆放工业废渣及城市垃圾、粪便和其它有害废弃物、建立输送污水的渠道、管道及输油管道道、设置城市垃圾、粪便和易溶、有毒有害废弃物堆放场和转运站的行为。项目不涉及化工原料、矿物油类及有毒有害矿产品的堆放。项目不涉及承压水的开采。综上，项目符合《饮用水水源保护区污染防治管理规定》的要求。</w:t>
            </w:r>
          </w:p>
          <w:p w14:paraId="0D17B025">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rightChars="0" w:firstLine="422" w:firstLineChars="200"/>
              <w:jc w:val="left"/>
              <w:rPr>
                <w:rFonts w:hint="eastAsia" w:ascii="宋体" w:hAnsi="宋体" w:cs="宋体"/>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5</w:t>
            </w:r>
            <w:r>
              <w:rPr>
                <w:rFonts w:hint="eastAsia" w:ascii="宋体" w:hAnsi="宋体" w:eastAsia="宋体" w:cs="宋体"/>
                <w:b/>
                <w:bCs/>
                <w:color w:val="auto"/>
                <w:kern w:val="0"/>
                <w:sz w:val="21"/>
                <w:szCs w:val="21"/>
                <w:highlight w:val="none"/>
                <w:lang w:val="en-US" w:eastAsia="zh-CN" w:bidi="ar"/>
              </w:rPr>
              <w:t>、</w:t>
            </w:r>
            <w:r>
              <w:rPr>
                <w:rFonts w:hint="eastAsia" w:ascii="宋体" w:hAnsi="宋体" w:cs="宋体"/>
                <w:b/>
                <w:bCs/>
                <w:color w:val="auto"/>
                <w:kern w:val="0"/>
                <w:sz w:val="21"/>
                <w:szCs w:val="21"/>
                <w:highlight w:val="none"/>
                <w:lang w:val="en-US" w:eastAsia="zh-CN" w:bidi="ar"/>
              </w:rPr>
              <w:t>与</w:t>
            </w:r>
            <w:r>
              <w:rPr>
                <w:rFonts w:hint="default" w:ascii="Times New Roman" w:hAnsi="Times New Roman" w:eastAsia="宋体" w:cs="Times New Roman"/>
                <w:b/>
                <w:bCs/>
                <w:color w:val="auto"/>
                <w:lang w:val="en-US" w:eastAsia="zh-CN"/>
              </w:rPr>
              <w:t>《黑龙江省水污染防治条例》</w:t>
            </w:r>
            <w:r>
              <w:rPr>
                <w:rFonts w:hint="eastAsia" w:ascii="宋体" w:hAnsi="宋体" w:cs="宋体"/>
                <w:b/>
                <w:bCs/>
                <w:color w:val="auto"/>
                <w:kern w:val="0"/>
                <w:sz w:val="21"/>
                <w:szCs w:val="21"/>
                <w:highlight w:val="none"/>
                <w:lang w:val="en-US" w:eastAsia="zh-CN" w:bidi="ar"/>
              </w:rPr>
              <w:t>符合性分析</w:t>
            </w:r>
          </w:p>
          <w:p w14:paraId="04AABC5B">
            <w:pPr>
              <w:pStyle w:val="47"/>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第十一条 新建、改建、扩建直接或者间接向水体排放污染物的建设项目和其他水上设施，应当依法进行环境影响评价，并符合国家、省、市（地）有关生态保护红线、环境质量底线、资源利用上线和生态环境准入清单的要求。</w:t>
            </w:r>
            <w:r>
              <w:rPr>
                <w:rFonts w:hint="default" w:ascii="Helvetica" w:hAnsi="Helvetica" w:eastAsia="Helvetica" w:cs="Helvetica"/>
                <w:b w:val="0"/>
                <w:bCs w:val="0"/>
                <w:i w:val="0"/>
                <w:iCs w:val="0"/>
                <w:caps w:val="0"/>
                <w:color w:val="auto"/>
                <w:spacing w:val="0"/>
                <w:sz w:val="21"/>
                <w:szCs w:val="21"/>
                <w:highlight w:val="none"/>
                <w:shd w:val="clear" w:fill="FFFFFF"/>
              </w:rPr>
              <w:t>第三十三条排放工业废水的企业应当采取有效措施，收集和处理产生的全部废水，防止污染环境。含有毒有害水污染物的工业废水应当分类收集和处理，不得稀释排放。</w:t>
            </w:r>
            <w:r>
              <w:rPr>
                <w:rFonts w:hint="eastAsia" w:ascii="Times New Roman" w:hAnsi="Times New Roman" w:eastAsia="宋体" w:cs="Times New Roman"/>
                <w:b w:val="0"/>
                <w:bCs w:val="0"/>
                <w:color w:val="auto"/>
                <w:kern w:val="2"/>
                <w:sz w:val="21"/>
                <w:szCs w:val="21"/>
                <w:highlight w:val="none"/>
                <w:lang w:val="en-US" w:eastAsia="zh-CN" w:bidi="ar-SA"/>
              </w:rPr>
              <w:t>第四十八条 禁止在饮用水水源一级保护区内新建、改建、扩建与供水设施和保护水源无关的建设项目；已建成的与供水设施和保护水源无关的建设项目，依照法律规定处理。</w:t>
            </w:r>
          </w:p>
          <w:p w14:paraId="31F7D925">
            <w:pPr>
              <w:pStyle w:val="35"/>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rPr>
              <w:t>本项目废水包括员工的生活污水、生产废水</w:t>
            </w:r>
            <w:r>
              <w:rPr>
                <w:rFonts w:hint="default" w:ascii="Times New Roman" w:hAnsi="Times New Roman" w:cs="Times New Roman"/>
                <w:b w:val="0"/>
                <w:bCs w:val="0"/>
                <w:color w:val="auto"/>
                <w:spacing w:val="0"/>
                <w:sz w:val="21"/>
                <w:szCs w:val="21"/>
                <w:highlight w:val="none"/>
                <w:lang w:eastAsia="zh-CN"/>
              </w:rPr>
              <w:t>（</w:t>
            </w:r>
            <w:r>
              <w:rPr>
                <w:rFonts w:hint="default" w:ascii="Times New Roman" w:hAnsi="Times New Roman" w:cs="Times New Roman"/>
                <w:b w:val="0"/>
                <w:bCs w:val="0"/>
                <w:color w:val="auto"/>
                <w:spacing w:val="0"/>
                <w:sz w:val="21"/>
                <w:szCs w:val="21"/>
                <w:highlight w:val="none"/>
                <w:lang w:val="en-US" w:eastAsia="zh-CN"/>
              </w:rPr>
              <w:t>反冲洗废水、排泥水</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w:t>
            </w:r>
            <w:r>
              <w:rPr>
                <w:rFonts w:hint="eastAsia" w:cs="Times New Roman"/>
                <w:color w:val="auto"/>
                <w:sz w:val="21"/>
                <w:szCs w:val="21"/>
                <w:highlight w:val="none"/>
                <w:lang w:val="en-US" w:eastAsia="zh-CN"/>
              </w:rPr>
              <w:t>厂区生活污水收集至化粪池，处理后满足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w:t>
            </w:r>
            <w:r>
              <w:rPr>
                <w:rFonts w:hint="eastAsia" w:ascii="Times New Roman" w:hAnsi="Times New Roman" w:cs="Times New Roman"/>
                <w:b w:val="0"/>
                <w:bCs w:val="0"/>
                <w:color w:val="auto"/>
                <w:sz w:val="21"/>
                <w:szCs w:val="21"/>
                <w:highlight w:val="none"/>
                <w:lang w:val="en-US" w:eastAsia="zh-CN"/>
              </w:rPr>
              <w:t>三级标准及</w:t>
            </w:r>
            <w:r>
              <w:rPr>
                <w:rFonts w:hint="default" w:ascii="Times New Roman" w:hAnsi="Times New Roman" w:cs="Times New Roman"/>
                <w:b w:val="0"/>
                <w:bCs w:val="0"/>
                <w:color w:val="auto"/>
                <w:sz w:val="21"/>
                <w:szCs w:val="21"/>
                <w:highlight w:val="none"/>
                <w:lang w:val="en-US" w:eastAsia="zh-CN"/>
              </w:rPr>
              <w:t>鸡西市</w:t>
            </w:r>
            <w:r>
              <w:rPr>
                <w:rFonts w:hint="eastAsia" w:ascii="Times New Roman" w:hAnsi="Times New Roman" w:cs="Times New Roman"/>
                <w:b w:val="0"/>
                <w:bCs w:val="0"/>
                <w:color w:val="auto"/>
                <w:sz w:val="21"/>
                <w:szCs w:val="21"/>
                <w:highlight w:val="none"/>
                <w:lang w:val="en-US" w:eastAsia="zh-CN"/>
              </w:rPr>
              <w:t>鸡冠区</w:t>
            </w:r>
            <w:r>
              <w:rPr>
                <w:rFonts w:hint="default" w:ascii="Times New Roman" w:hAnsi="Times New Roman" w:cs="Times New Roman"/>
                <w:b w:val="0"/>
                <w:bCs w:val="0"/>
                <w:color w:val="auto"/>
                <w:sz w:val="21"/>
                <w:szCs w:val="21"/>
                <w:highlight w:val="none"/>
                <w:lang w:val="en-US" w:eastAsia="zh-CN"/>
              </w:rPr>
              <w:t>污水处理厂</w:t>
            </w:r>
            <w:r>
              <w:rPr>
                <w:rFonts w:hint="eastAsia" w:ascii="Times New Roman" w:hAnsi="Times New Roman" w:cs="Times New Roman"/>
                <w:b w:val="0"/>
                <w:bCs w:val="0"/>
                <w:color w:val="auto"/>
                <w:sz w:val="21"/>
                <w:szCs w:val="21"/>
                <w:highlight w:val="none"/>
                <w:lang w:val="en-US" w:eastAsia="zh-CN"/>
              </w:rPr>
              <w:t>进水标准，</w:t>
            </w:r>
            <w:r>
              <w:rPr>
                <w:rFonts w:hint="default" w:ascii="Times New Roman" w:hAnsi="Times New Roman" w:cs="Times New Roman"/>
                <w:b w:val="0"/>
                <w:bCs w:val="0"/>
                <w:color w:val="auto"/>
                <w:sz w:val="21"/>
                <w:szCs w:val="21"/>
                <w:highlight w:val="none"/>
                <w:lang w:val="en-US" w:eastAsia="zh-CN"/>
              </w:rPr>
              <w:t>排入污水管网</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经鸡西市</w:t>
            </w:r>
            <w:r>
              <w:rPr>
                <w:rFonts w:hint="eastAsia" w:ascii="Times New Roman" w:hAnsi="Times New Roman" w:cs="Times New Roman"/>
                <w:b w:val="0"/>
                <w:bCs w:val="0"/>
                <w:color w:val="auto"/>
                <w:sz w:val="21"/>
                <w:szCs w:val="21"/>
                <w:highlight w:val="none"/>
                <w:lang w:val="en-US" w:eastAsia="zh-CN"/>
              </w:rPr>
              <w:t>鸡冠</w:t>
            </w:r>
            <w:r>
              <w:rPr>
                <w:rFonts w:hint="eastAsia" w:cs="Times New Roman"/>
                <w:color w:val="auto"/>
                <w:sz w:val="21"/>
                <w:szCs w:val="21"/>
                <w:highlight w:val="none"/>
                <w:lang w:val="en-US" w:eastAsia="zh-CN"/>
              </w:rPr>
              <w:t>区</w:t>
            </w:r>
            <w:r>
              <w:rPr>
                <w:rFonts w:hint="default" w:ascii="Times New Roman" w:hAnsi="Times New Roman" w:cs="Times New Roman"/>
                <w:color w:val="auto"/>
                <w:sz w:val="21"/>
                <w:szCs w:val="21"/>
                <w:highlight w:val="none"/>
                <w:lang w:val="en-US" w:eastAsia="zh-CN"/>
              </w:rPr>
              <w:t>污水处理厂处理后排入穆棱河</w:t>
            </w:r>
            <w:r>
              <w:rPr>
                <w:rFonts w:hint="eastAsia" w:cs="Times New Roman"/>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反冲洗废水经废水收集池沉淀后返回配水间与原水混合处理，排泥池上清</w:t>
            </w:r>
            <w:r>
              <w:rPr>
                <w:rFonts w:hint="default" w:ascii="Times New Roman" w:hAnsi="Times New Roman" w:eastAsia="宋体" w:cs="Times New Roman"/>
                <w:b w:val="0"/>
                <w:bCs w:val="0"/>
                <w:color w:val="auto"/>
                <w:sz w:val="21"/>
                <w:szCs w:val="21"/>
                <w:highlight w:val="none"/>
                <w:lang w:val="en-US" w:eastAsia="zh-CN"/>
              </w:rPr>
              <w:t>液</w:t>
            </w:r>
            <w:r>
              <w:rPr>
                <w:rFonts w:hint="default" w:ascii="Times New Roman" w:hAnsi="Times New Roman" w:cs="Times New Roman"/>
                <w:b w:val="0"/>
                <w:bCs w:val="0"/>
                <w:color w:val="auto"/>
                <w:sz w:val="21"/>
                <w:szCs w:val="21"/>
                <w:highlight w:val="none"/>
                <w:lang w:val="en-US" w:eastAsia="zh-CN"/>
              </w:rPr>
              <w:t>经絮凝、压滤处理后满足</w:t>
            </w:r>
            <w:r>
              <w:rPr>
                <w:rFonts w:hint="eastAsia" w:cs="Times New Roman"/>
                <w:color w:val="auto"/>
                <w:spacing w:val="0"/>
                <w:sz w:val="21"/>
                <w:szCs w:val="21"/>
                <w:highlight w:val="none"/>
                <w:lang w:val="en-US" w:eastAsia="zh-CN"/>
              </w:rPr>
              <w:t>《地表水环境质量标准》（GB3838-2002）表1中三类标准、悬浮物满足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（GB8978-1996）一级标准，</w:t>
            </w:r>
            <w:r>
              <w:rPr>
                <w:rFonts w:hint="default" w:ascii="Times New Roman" w:hAnsi="Times New Roman" w:eastAsia="宋体" w:cs="Times New Roman"/>
                <w:b w:val="0"/>
                <w:bCs w:val="0"/>
                <w:color w:val="auto"/>
                <w:sz w:val="21"/>
                <w:szCs w:val="21"/>
                <w:highlight w:val="none"/>
                <w:lang w:val="en-US" w:eastAsia="zh-CN"/>
              </w:rPr>
              <w:t>排入穆棱河</w:t>
            </w:r>
            <w:r>
              <w:rPr>
                <w:rFonts w:hint="default"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rPr>
              <w:t>不会对地表水和地下水环境造成影响</w:t>
            </w:r>
            <w:r>
              <w:rPr>
                <w:rFonts w:hint="eastAsia" w:ascii="Times New Roman" w:hAnsi="Times New Roman" w:cs="Times New Roman"/>
                <w:b w:val="0"/>
                <w:bCs w:val="0"/>
                <w:color w:val="auto"/>
                <w:sz w:val="21"/>
                <w:szCs w:val="21"/>
                <w:highlight w:val="none"/>
                <w:lang w:eastAsia="zh-CN"/>
              </w:rPr>
              <w:t>。</w:t>
            </w:r>
            <w:r>
              <w:rPr>
                <w:rFonts w:hint="eastAsia" w:ascii="Times New Roman" w:hAnsi="Times New Roman" w:cs="Times New Roman"/>
                <w:b w:val="0"/>
                <w:bCs w:val="0"/>
                <w:color w:val="auto"/>
                <w:sz w:val="21"/>
                <w:szCs w:val="21"/>
                <w:highlight w:val="none"/>
                <w:lang w:val="en-US" w:eastAsia="zh-CN"/>
              </w:rPr>
              <w:t>本项目厂区为</w:t>
            </w:r>
            <w:r>
              <w:rPr>
                <w:rFonts w:hint="eastAsia" w:ascii="Times New Roman" w:hAnsi="Times New Roman" w:eastAsia="宋体" w:cs="Times New Roman"/>
                <w:b w:val="0"/>
                <w:bCs w:val="0"/>
                <w:color w:val="auto"/>
                <w:kern w:val="2"/>
                <w:sz w:val="21"/>
                <w:szCs w:val="21"/>
                <w:highlight w:val="none"/>
                <w:lang w:val="en-US" w:eastAsia="zh-CN" w:bidi="ar-SA"/>
              </w:rPr>
              <w:t>饮用水水源一级保护区，排污口设置不在厂区内，符合</w:t>
            </w:r>
            <w:r>
              <w:rPr>
                <w:rFonts w:hint="eastAsia" w:ascii="宋体" w:hAnsi="宋体" w:cs="宋体"/>
                <w:b w:val="0"/>
                <w:bCs w:val="0"/>
                <w:color w:val="auto"/>
                <w:kern w:val="0"/>
                <w:sz w:val="21"/>
                <w:szCs w:val="21"/>
                <w:highlight w:val="none"/>
                <w:lang w:val="en-US" w:eastAsia="zh-CN" w:bidi="ar"/>
              </w:rPr>
              <w:t>黑龙江省水污染防治条例中的要求。</w:t>
            </w:r>
          </w:p>
          <w:p w14:paraId="357D0272">
            <w:pPr>
              <w:keepNext w:val="0"/>
              <w:keepLines w:val="0"/>
              <w:suppressLineNumbers w:val="0"/>
              <w:bidi w:val="0"/>
              <w:spacing w:before="0" w:beforeAutospacing="0" w:after="0" w:afterAutospacing="0"/>
              <w:ind w:left="0" w:right="0" w:firstLine="422" w:firstLineChars="200"/>
              <w:rPr>
                <w:rFonts w:hint="eastAsia"/>
                <w:b/>
                <w:bCs/>
                <w:color w:val="auto"/>
                <w:sz w:val="21"/>
                <w:szCs w:val="21"/>
                <w:lang w:val="en-US" w:eastAsia="zh-CN"/>
              </w:rPr>
            </w:pPr>
            <w:r>
              <w:rPr>
                <w:rFonts w:hint="default"/>
                <w:b/>
                <w:bCs/>
                <w:color w:val="auto"/>
                <w:sz w:val="21"/>
                <w:szCs w:val="21"/>
                <w:lang w:val="en-US" w:eastAsia="zh-CN"/>
              </w:rPr>
              <w:t>6</w:t>
            </w:r>
            <w:r>
              <w:rPr>
                <w:rFonts w:hint="eastAsia"/>
                <w:b/>
                <w:bCs/>
                <w:color w:val="auto"/>
                <w:sz w:val="21"/>
                <w:szCs w:val="21"/>
                <w:lang w:val="en-US" w:eastAsia="zh-CN"/>
              </w:rPr>
              <w:t>、与《中华人民共和国水污染防治法》符合性分析</w:t>
            </w:r>
          </w:p>
          <w:p w14:paraId="7DBF110F">
            <w:pPr>
              <w:keepNext w:val="0"/>
              <w:keepLines w:val="0"/>
              <w:widowControl/>
              <w:suppressLineNumbers w:val="0"/>
              <w:shd w:val="clear" w:color="auto"/>
              <w:spacing w:before="0" w:beforeAutospacing="0" w:after="0" w:afterAutospacing="0"/>
              <w:ind w:left="0" w:right="0"/>
              <w:jc w:val="center"/>
              <w:rPr>
                <w:rFonts w:hint="default"/>
                <w:color w:val="auto"/>
                <w:lang w:val="en-US" w:eastAsia="zh-CN"/>
              </w:rPr>
            </w:pPr>
            <w:r>
              <w:rPr>
                <w:rFonts w:hint="default" w:ascii="Times New Roman" w:hAnsi="Times New Roman" w:cs="Times New Roman"/>
                <w:b/>
                <w:bCs/>
                <w:color w:val="auto"/>
                <w:sz w:val="21"/>
                <w:szCs w:val="21"/>
                <w:highlight w:val="none"/>
              </w:rPr>
              <w:t>表1-</w:t>
            </w:r>
            <w:r>
              <w:rPr>
                <w:rFonts w:hint="eastAsia" w:cs="Times New Roman"/>
                <w:b/>
                <w:bCs/>
                <w:color w:val="auto"/>
                <w:sz w:val="21"/>
                <w:szCs w:val="21"/>
                <w:highlight w:val="none"/>
                <w:lang w:val="en-US" w:eastAsia="zh-CN"/>
              </w:rPr>
              <w:t>3</w:t>
            </w:r>
            <w:r>
              <w:rPr>
                <w:rFonts w:hint="eastAsia"/>
                <w:b/>
                <w:bCs/>
                <w:color w:val="auto"/>
                <w:sz w:val="21"/>
                <w:szCs w:val="21"/>
                <w:lang w:val="en-US" w:eastAsia="zh-CN"/>
              </w:rPr>
              <w:t>与《中华人民共和国水污染防治法》符合性分析</w:t>
            </w:r>
          </w:p>
          <w:tbl>
            <w:tblPr>
              <w:tblStyle w:val="38"/>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9"/>
              <w:gridCol w:w="3583"/>
              <w:gridCol w:w="2715"/>
              <w:gridCol w:w="684"/>
            </w:tblGrid>
            <w:tr w14:paraId="0987FA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14:paraId="6EE5090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b/>
                      <w:bCs/>
                      <w:color w:val="auto"/>
                      <w:kern w:val="0"/>
                      <w:sz w:val="18"/>
                      <w:szCs w:val="18"/>
                      <w:lang w:val="en-US" w:eastAsia="zh-CN" w:bidi="ar"/>
                    </w:rPr>
                    <w:t>序号</w:t>
                  </w:r>
                </w:p>
              </w:tc>
              <w:tc>
                <w:tcPr>
                  <w:tcW w:w="3583" w:type="dxa"/>
                  <w:vAlign w:val="center"/>
                </w:tcPr>
                <w:p w14:paraId="46C79B9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b/>
                      <w:bCs/>
                      <w:color w:val="auto"/>
                      <w:kern w:val="0"/>
                      <w:sz w:val="18"/>
                      <w:szCs w:val="18"/>
                      <w:lang w:val="en-US" w:eastAsia="zh-CN" w:bidi="ar"/>
                    </w:rPr>
                    <w:t>相关要求</w:t>
                  </w:r>
                </w:p>
              </w:tc>
              <w:tc>
                <w:tcPr>
                  <w:tcW w:w="2715" w:type="dxa"/>
                  <w:vAlign w:val="center"/>
                </w:tcPr>
                <w:p w14:paraId="6B54AF6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b/>
                      <w:bCs/>
                      <w:color w:val="auto"/>
                      <w:kern w:val="0"/>
                      <w:sz w:val="18"/>
                      <w:szCs w:val="18"/>
                      <w:lang w:val="en-US" w:eastAsia="zh-CN" w:bidi="ar"/>
                    </w:rPr>
                    <w:t>项目情况</w:t>
                  </w:r>
                </w:p>
              </w:tc>
              <w:tc>
                <w:tcPr>
                  <w:tcW w:w="684" w:type="dxa"/>
                  <w:vAlign w:val="center"/>
                </w:tcPr>
                <w:p w14:paraId="28B5189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b/>
                      <w:bCs/>
                      <w:color w:val="auto"/>
                      <w:kern w:val="0"/>
                      <w:sz w:val="18"/>
                      <w:szCs w:val="18"/>
                      <w:lang w:val="en-US" w:eastAsia="zh-CN" w:bidi="ar"/>
                    </w:rPr>
                    <w:t>是否符合</w:t>
                  </w:r>
                </w:p>
              </w:tc>
            </w:tr>
            <w:tr w14:paraId="5D3858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14:paraId="3AC482FC">
                  <w:pPr>
                    <w:pStyle w:val="47"/>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cs="Times New Roman"/>
                      <w:color w:val="auto"/>
                      <w:kern w:val="0"/>
                      <w:sz w:val="18"/>
                      <w:szCs w:val="18"/>
                      <w:vertAlign w:val="baseline"/>
                      <w:lang w:val="en-US" w:eastAsia="zh-CN" w:bidi="ar"/>
                    </w:rPr>
                    <w:t>1</w:t>
                  </w:r>
                </w:p>
              </w:tc>
              <w:tc>
                <w:tcPr>
                  <w:tcW w:w="3583" w:type="dxa"/>
                  <w:vAlign w:val="center"/>
                </w:tcPr>
                <w:p w14:paraId="2E4BE20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color w:val="auto"/>
                      <w:kern w:val="0"/>
                      <w:sz w:val="18"/>
                      <w:szCs w:val="18"/>
                      <w:lang w:val="en-US" w:eastAsia="zh-CN" w:bidi="ar"/>
                    </w:rPr>
                    <w:t>第六十四条：在饮用水水源保护区内，禁止设置排污口。</w:t>
                  </w:r>
                </w:p>
              </w:tc>
              <w:tc>
                <w:tcPr>
                  <w:tcW w:w="2715" w:type="dxa"/>
                  <w:vAlign w:val="center"/>
                </w:tcPr>
                <w:p w14:paraId="36A9A2BD">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color w:val="auto"/>
                      <w:kern w:val="0"/>
                      <w:sz w:val="18"/>
                      <w:szCs w:val="18"/>
                      <w:lang w:val="en-US" w:eastAsia="zh-CN" w:bidi="ar"/>
                    </w:rPr>
                    <w:t>项目净水厂厂区不设置排污口</w:t>
                  </w:r>
                  <w:r>
                    <w:rPr>
                      <w:rFonts w:hint="eastAsia" w:ascii="Times New Roman" w:hAnsi="Times New Roman" w:eastAsia="宋体" w:cs="Times New Roman"/>
                      <w:color w:val="auto"/>
                      <w:kern w:val="0"/>
                      <w:sz w:val="18"/>
                      <w:szCs w:val="18"/>
                      <w:lang w:val="en-US" w:eastAsia="zh-CN" w:bidi="ar"/>
                    </w:rPr>
                    <w:t>。</w:t>
                  </w:r>
                </w:p>
              </w:tc>
              <w:tc>
                <w:tcPr>
                  <w:tcW w:w="684" w:type="dxa"/>
                  <w:vAlign w:val="center"/>
                </w:tcPr>
                <w:p w14:paraId="3D39595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color w:val="auto"/>
                      <w:kern w:val="0"/>
                      <w:sz w:val="18"/>
                      <w:szCs w:val="18"/>
                      <w:lang w:val="en-US" w:eastAsia="zh-CN" w:bidi="ar"/>
                    </w:rPr>
                    <w:t>符合</w:t>
                  </w:r>
                </w:p>
              </w:tc>
            </w:tr>
            <w:tr w14:paraId="745D23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14:paraId="6017369C">
                  <w:pPr>
                    <w:pStyle w:val="47"/>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cs="Times New Roman"/>
                      <w:color w:val="auto"/>
                      <w:kern w:val="0"/>
                      <w:sz w:val="18"/>
                      <w:szCs w:val="18"/>
                      <w:vertAlign w:val="baseline"/>
                      <w:lang w:val="en-US" w:eastAsia="zh-CN" w:bidi="ar"/>
                    </w:rPr>
                    <w:t>2</w:t>
                  </w:r>
                </w:p>
              </w:tc>
              <w:tc>
                <w:tcPr>
                  <w:tcW w:w="3583" w:type="dxa"/>
                  <w:vAlign w:val="center"/>
                </w:tcPr>
                <w:p w14:paraId="75EABD9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color w:val="auto"/>
                      <w:kern w:val="0"/>
                      <w:sz w:val="18"/>
                      <w:szCs w:val="18"/>
                      <w:lang w:val="en-US" w:eastAsia="zh-CN" w:bidi="ar"/>
                    </w:rPr>
                    <w:t>第六十五条：禁止在饮用水水源一级保护区内新建、改建、扩建与供水设施和保护水源无关的建设项目；已建成的与供水设施和保护水源无关的建设项目，由县级以上人民政府责令拆除或者关闭。禁止在饮用水水源一级保护区内从事网箱养殖、旅游、游泳、垂钓或者其他可能污染饮用水水体的活动。</w:t>
                  </w:r>
                </w:p>
              </w:tc>
              <w:tc>
                <w:tcPr>
                  <w:tcW w:w="2715" w:type="dxa"/>
                  <w:vAlign w:val="center"/>
                </w:tcPr>
                <w:p w14:paraId="2DBC27A9">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color w:val="auto"/>
                      <w:kern w:val="0"/>
                      <w:sz w:val="18"/>
                      <w:szCs w:val="18"/>
                      <w:lang w:val="en-US" w:eastAsia="zh-CN" w:bidi="ar"/>
                    </w:rPr>
                    <w:t>项目属于自来水生产和供应工程，属于供水设施</w:t>
                  </w:r>
                  <w:r>
                    <w:rPr>
                      <w:rFonts w:hint="eastAsia" w:cs="Times New Roman"/>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项目不属于网箱养殖、旅游、游泳、垂钓或者其他可能污染饮用水水体的活动。</w:t>
                  </w:r>
                </w:p>
              </w:tc>
              <w:tc>
                <w:tcPr>
                  <w:tcW w:w="684" w:type="dxa"/>
                  <w:vAlign w:val="center"/>
                </w:tcPr>
                <w:p w14:paraId="2DFF07C8">
                  <w:pPr>
                    <w:pStyle w:val="47"/>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color w:val="auto"/>
                      <w:kern w:val="0"/>
                      <w:sz w:val="18"/>
                      <w:szCs w:val="18"/>
                      <w:lang w:val="en-US" w:eastAsia="zh-CN" w:bidi="ar"/>
                    </w:rPr>
                    <w:t>符合</w:t>
                  </w:r>
                </w:p>
              </w:tc>
            </w:tr>
            <w:tr w14:paraId="12B0F5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14:paraId="3BE270F7">
                  <w:pPr>
                    <w:pStyle w:val="47"/>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cs="Times New Roman"/>
                      <w:color w:val="auto"/>
                      <w:kern w:val="0"/>
                      <w:sz w:val="18"/>
                      <w:szCs w:val="18"/>
                      <w:vertAlign w:val="baseline"/>
                      <w:lang w:val="en-US" w:eastAsia="zh-CN" w:bidi="ar"/>
                    </w:rPr>
                    <w:t>3</w:t>
                  </w:r>
                </w:p>
              </w:tc>
              <w:tc>
                <w:tcPr>
                  <w:tcW w:w="3583" w:type="dxa"/>
                  <w:vAlign w:val="center"/>
                </w:tcPr>
                <w:p w14:paraId="570B8A7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color w:val="auto"/>
                      <w:kern w:val="0"/>
                      <w:sz w:val="18"/>
                      <w:szCs w:val="18"/>
                      <w:lang w:val="en-US" w:eastAsia="zh-CN" w:bidi="ar"/>
                    </w:rPr>
                    <w:t>第六十六条：禁止在饮用水水源二级保护区内新建、改建、扩建排放污染物的建设项目；已建成的排放污染物的建设项目，由县级以上人民政府责令拆除或者关闭。在饮用水水源二级保护区内从事网箱养殖、旅游等活动的，应当按照规定采取措施，防止污染饮用水水体。</w:t>
                  </w:r>
                </w:p>
              </w:tc>
              <w:tc>
                <w:tcPr>
                  <w:tcW w:w="2715" w:type="dxa"/>
                  <w:vAlign w:val="center"/>
                </w:tcPr>
                <w:p w14:paraId="62AE768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本项目为自来水供应项目，排污口位置不在饮用水水源保护区内</w:t>
                  </w:r>
                  <w:r>
                    <w:rPr>
                      <w:rFonts w:hint="eastAsia" w:ascii="Times New Roman" w:hAnsi="Times New Roman" w:eastAsia="宋体" w:cs="Times New Roman"/>
                      <w:color w:val="auto"/>
                      <w:kern w:val="0"/>
                      <w:sz w:val="18"/>
                      <w:szCs w:val="18"/>
                      <w:lang w:val="en-US" w:eastAsia="zh-CN" w:bidi="ar"/>
                    </w:rPr>
                    <w:t>。</w:t>
                  </w:r>
                </w:p>
                <w:p w14:paraId="5712D2E3">
                  <w:pPr>
                    <w:pStyle w:val="47"/>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jc w:val="center"/>
                    <w:rPr>
                      <w:rFonts w:hint="default" w:ascii="Times New Roman" w:hAnsi="Times New Roman" w:eastAsia="宋体" w:cs="Times New Roman"/>
                      <w:color w:val="auto"/>
                      <w:kern w:val="0"/>
                      <w:sz w:val="18"/>
                      <w:szCs w:val="18"/>
                      <w:vertAlign w:val="baseline"/>
                      <w:lang w:val="en-US" w:eastAsia="zh-CN" w:bidi="ar"/>
                    </w:rPr>
                  </w:pPr>
                </w:p>
              </w:tc>
              <w:tc>
                <w:tcPr>
                  <w:tcW w:w="684" w:type="dxa"/>
                  <w:vAlign w:val="center"/>
                </w:tcPr>
                <w:p w14:paraId="61E56ED5">
                  <w:pPr>
                    <w:pStyle w:val="47"/>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jc w:val="center"/>
                    <w:rPr>
                      <w:rFonts w:hint="default" w:ascii="Times New Roman" w:hAnsi="Times New Roman" w:eastAsia="宋体" w:cs="Times New Roman"/>
                      <w:color w:val="auto"/>
                      <w:kern w:val="0"/>
                      <w:sz w:val="18"/>
                      <w:szCs w:val="18"/>
                      <w:vertAlign w:val="baseline"/>
                      <w:lang w:val="en-US" w:eastAsia="zh-CN" w:bidi="ar"/>
                    </w:rPr>
                  </w:pPr>
                  <w:r>
                    <w:rPr>
                      <w:rFonts w:hint="default" w:ascii="Times New Roman" w:hAnsi="Times New Roman" w:eastAsia="宋体" w:cs="Times New Roman"/>
                      <w:color w:val="auto"/>
                      <w:kern w:val="0"/>
                      <w:sz w:val="18"/>
                      <w:szCs w:val="18"/>
                      <w:lang w:val="en-US" w:eastAsia="zh-CN" w:bidi="ar"/>
                    </w:rPr>
                    <w:t>符合</w:t>
                  </w:r>
                </w:p>
              </w:tc>
            </w:tr>
          </w:tbl>
          <w:p w14:paraId="21259412">
            <w:pPr>
              <w:keepNext w:val="0"/>
              <w:keepLines w:val="0"/>
              <w:pageBreakBefore w:val="0"/>
              <w:numPr>
                <w:ilvl w:val="0"/>
                <w:numId w:val="0"/>
              </w:numPr>
              <w:suppressLineNumbers w:val="0"/>
              <w:kinsoku/>
              <w:wordWrap/>
              <w:overflowPunct/>
              <w:topLinePunct w:val="0"/>
              <w:autoSpaceDE/>
              <w:autoSpaceDN/>
              <w:bidi w:val="0"/>
              <w:adjustRightIn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kern w:val="2"/>
                <w:sz w:val="21"/>
                <w:szCs w:val="24"/>
                <w:lang w:val="en-US" w:eastAsia="zh-CN" w:bidi="ar-SA"/>
              </w:rPr>
              <w:t>7、</w:t>
            </w:r>
            <w:r>
              <w:rPr>
                <w:rFonts w:hint="default" w:ascii="Times New Roman" w:hAnsi="Times New Roman" w:eastAsia="宋体" w:cs="Times New Roman"/>
                <w:b/>
                <w:bCs/>
                <w:color w:val="auto"/>
                <w:lang w:val="en-US" w:eastAsia="zh-CN"/>
              </w:rPr>
              <w:t>与《</w:t>
            </w:r>
            <w:r>
              <w:rPr>
                <w:rFonts w:hint="eastAsia" w:ascii="宋体" w:hAnsi="宋体" w:eastAsia="宋体" w:cs="宋体"/>
                <w:b/>
                <w:bCs/>
                <w:color w:val="auto"/>
                <w:lang w:val="en-US" w:eastAsia="zh-CN"/>
              </w:rPr>
              <w:t>鸡西市“十四五”生态环境保护规划</w:t>
            </w:r>
            <w:r>
              <w:rPr>
                <w:rFonts w:hint="default" w:ascii="Times New Roman" w:hAnsi="Times New Roman" w:eastAsia="宋体" w:cs="Times New Roman"/>
                <w:b/>
                <w:bCs/>
                <w:color w:val="auto"/>
                <w:lang w:val="en-US" w:eastAsia="zh-CN"/>
              </w:rPr>
              <w:t>》</w:t>
            </w:r>
            <w:r>
              <w:rPr>
                <w:rFonts w:hint="eastAsia" w:ascii="Times New Roman" w:hAnsi="Times New Roman" w:eastAsia="宋体" w:cs="Times New Roman"/>
                <w:b/>
                <w:bCs/>
                <w:color w:val="auto"/>
                <w:lang w:val="en-US" w:eastAsia="zh-CN"/>
              </w:rPr>
              <w:t>符合性分析</w:t>
            </w:r>
          </w:p>
          <w:p w14:paraId="4412BEBF">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360" w:lineRule="auto"/>
              <w:ind w:left="0" w:right="0" w:firstLine="482"/>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val="0"/>
                <w:bCs w:val="0"/>
                <w:color w:val="auto"/>
                <w:lang w:val="en-US" w:eastAsia="zh-CN"/>
              </w:rPr>
              <w:t>鸡西</w:t>
            </w:r>
            <w:r>
              <w:rPr>
                <w:rFonts w:hint="eastAsia" w:ascii="宋体" w:hAnsi="宋体" w:eastAsia="宋体" w:cs="宋体"/>
                <w:b w:val="0"/>
                <w:bCs w:val="0"/>
                <w:color w:val="auto"/>
                <w:lang w:val="en-US" w:eastAsia="zh-CN"/>
              </w:rPr>
              <w:t>市“十四五”生态环境</w:t>
            </w:r>
            <w:r>
              <w:rPr>
                <w:rFonts w:hint="default" w:ascii="Times New Roman" w:hAnsi="Times New Roman" w:eastAsia="宋体" w:cs="Times New Roman"/>
                <w:b w:val="0"/>
                <w:bCs w:val="0"/>
                <w:color w:val="auto"/>
                <w:lang w:val="en-US" w:eastAsia="zh-CN"/>
              </w:rPr>
              <w:t>保护规划</w:t>
            </w:r>
            <w:r>
              <w:rPr>
                <w:rFonts w:hint="eastAsia" w:ascii="Times New Roman" w:hAnsi="Times New Roman" w:eastAsia="宋体" w:cs="Times New Roman"/>
                <w:b w:val="0"/>
                <w:bCs w:val="0"/>
                <w:color w:val="auto"/>
                <w:lang w:val="en-US" w:eastAsia="zh-CN"/>
              </w:rPr>
              <w:t>中提出：</w:t>
            </w:r>
            <w:r>
              <w:rPr>
                <w:rFonts w:hint="default" w:ascii="Times New Roman" w:hAnsi="Times New Roman" w:eastAsia="宋体" w:cs="Times New Roman"/>
                <w:b w:val="0"/>
                <w:bCs w:val="0"/>
                <w:color w:val="auto"/>
              </w:rPr>
              <w:t>构</w:t>
            </w:r>
            <w:r>
              <w:rPr>
                <w:rFonts w:hint="default" w:ascii="Times New Roman" w:hAnsi="Times New Roman" w:eastAsia="宋体" w:cs="Times New Roman"/>
                <w:color w:val="auto"/>
              </w:rPr>
              <w:t>建清洁低碳能源体系</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实施终端用能清洁化替代。重点削减小型燃煤锅炉、民用散煤与农业用煤消费量</w:t>
            </w:r>
            <w:r>
              <w:rPr>
                <w:rFonts w:hint="default"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持续深化水污染治理。开展重点流域入河排污口排查整治。全面开展“一江、一湖、两库、三河”排污口排查（一江：乌苏里江，一湖：兴凯湖，两库：团山水库和哈达水库，三河：穆棱河、七虎林河、松阿察河），按照“取缔一批、规范一批、合并一批”工作原则，分类推进入河排污口规范整治，争取利用2—3年时间解决排污口超标或不稳定</w:t>
            </w:r>
            <w:r>
              <w:rPr>
                <w:rFonts w:hint="eastAsia" w:ascii="Times New Roman" w:hAnsi="Times New Roman" w:eastAsia="宋体" w:cs="Times New Roman"/>
                <w:color w:val="auto"/>
                <w:highlight w:val="none"/>
                <w:lang w:val="en-US" w:eastAsia="zh-CN"/>
              </w:rPr>
              <w:t>达标问题。</w:t>
            </w:r>
          </w:p>
          <w:p w14:paraId="78578589">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b w:val="0"/>
                <w:bCs w:val="0"/>
                <w:color w:val="auto"/>
                <w:szCs w:val="21"/>
                <w:highlight w:val="none"/>
                <w:lang w:val="en-US" w:eastAsia="zh-CN"/>
              </w:rPr>
              <w:t>本项目拆除原有燃煤锅炉，改为电取暖，符合规划中提出的“</w:t>
            </w:r>
            <w:r>
              <w:rPr>
                <w:rFonts w:hint="default" w:ascii="Times New Roman" w:hAnsi="Times New Roman" w:eastAsia="宋体" w:cs="Times New Roman"/>
                <w:b w:val="0"/>
                <w:bCs w:val="0"/>
                <w:color w:val="auto"/>
                <w:highlight w:val="none"/>
              </w:rPr>
              <w:t>构</w:t>
            </w:r>
            <w:r>
              <w:rPr>
                <w:rFonts w:hint="default" w:ascii="Times New Roman" w:hAnsi="Times New Roman" w:eastAsia="宋体" w:cs="Times New Roman"/>
                <w:color w:val="auto"/>
                <w:highlight w:val="none"/>
              </w:rPr>
              <w:t>建清洁低碳能源体系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实施终端用能清洁化替代</w:t>
            </w:r>
            <w:r>
              <w:rPr>
                <w:rFonts w:hint="eastAsia" w:ascii="Times New Roman" w:hAnsi="Times New Roman" w:eastAsia="宋体" w:cs="Times New Roman"/>
                <w:color w:val="auto"/>
                <w:highlight w:val="none"/>
                <w:lang w:eastAsia="zh-CN"/>
              </w:rPr>
              <w:t>”要求。项目排污口设置规范，排泥水上清液经处理后满足</w:t>
            </w:r>
            <w:r>
              <w:rPr>
                <w:rFonts w:hint="eastAsia" w:cs="Times New Roman"/>
                <w:color w:val="auto"/>
                <w:spacing w:val="0"/>
                <w:sz w:val="21"/>
                <w:szCs w:val="21"/>
                <w:highlight w:val="none"/>
                <w:lang w:val="en-US" w:eastAsia="zh-CN"/>
              </w:rPr>
              <w:t>《地表水环境质量标准》（GB3838-2002）表1中三类标准、悬浮物满足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（GB8978-1996）一级标准</w:t>
            </w:r>
            <w:r>
              <w:rPr>
                <w:rFonts w:hint="eastAsia" w:ascii="Times New Roman" w:hAnsi="Times New Roman" w:eastAsia="宋体" w:cs="Times New Roman"/>
                <w:color w:val="auto"/>
                <w:sz w:val="21"/>
                <w:szCs w:val="21"/>
                <w:highlight w:val="none"/>
                <w:lang w:val="en-US" w:eastAsia="zh-CN"/>
              </w:rPr>
              <w:t>后排放。</w:t>
            </w:r>
          </w:p>
          <w:p w14:paraId="27894FD7">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firstLine="422" w:firstLineChars="20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kern w:val="2"/>
                <w:sz w:val="21"/>
                <w:szCs w:val="24"/>
                <w:highlight w:val="none"/>
                <w:lang w:val="en-US" w:eastAsia="zh-CN" w:bidi="ar-SA"/>
              </w:rPr>
              <w:t>8、</w:t>
            </w:r>
            <w:r>
              <w:rPr>
                <w:rFonts w:hint="default" w:ascii="Times New Roman" w:hAnsi="Times New Roman" w:eastAsia="宋体" w:cs="Times New Roman"/>
                <w:b/>
                <w:bCs/>
                <w:color w:val="auto"/>
                <w:highlight w:val="none"/>
                <w:lang w:val="en-US" w:eastAsia="zh-CN"/>
              </w:rPr>
              <w:t>《关于加强城市供水安</w:t>
            </w:r>
            <w:r>
              <w:rPr>
                <w:rFonts w:hint="default" w:ascii="Times New Roman" w:hAnsi="Times New Roman" w:eastAsia="宋体" w:cs="Times New Roman"/>
                <w:b/>
                <w:bCs/>
                <w:color w:val="auto"/>
                <w:lang w:val="en-US" w:eastAsia="zh-CN"/>
              </w:rPr>
              <w:t>全保障工作的通知》（建办城〔2022〕41号）符合性分析</w:t>
            </w:r>
          </w:p>
          <w:p w14:paraId="291F7752">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《关于加强城市供水安全保障工作的通知》（建办城〔2022〕41号）</w:t>
            </w:r>
            <w:r>
              <w:rPr>
                <w:rFonts w:hint="eastAsia" w:ascii="Times New Roman" w:hAnsi="Times New Roman" w:eastAsia="宋体" w:cs="Times New Roman"/>
                <w:color w:val="auto"/>
                <w:lang w:val="en-US" w:eastAsia="zh-CN"/>
              </w:rPr>
              <w:t>中提出：</w:t>
            </w:r>
            <w:r>
              <w:rPr>
                <w:rFonts w:hint="eastAsia" w:ascii="Times New Roman" w:hAnsi="Times New Roman" w:eastAsia="宋体" w:cs="Times New Roman"/>
                <w:color w:val="auto"/>
                <w:lang w:eastAsia="zh-CN"/>
              </w:rPr>
              <w:t>自2023年4月1日起，城市供水全面执行《生活饮用水卫生标准》（GB 5749-2022）建立较为完善的城市供水全流程保障体系和基本健全的城市供水应急体系。</w:t>
            </w:r>
            <w:r>
              <w:rPr>
                <w:rFonts w:hint="default" w:ascii="Times New Roman" w:hAnsi="Times New Roman" w:eastAsia="宋体" w:cs="Times New Roman"/>
                <w:color w:val="auto"/>
                <w:lang w:val="en-US" w:eastAsia="zh-CN"/>
              </w:rPr>
              <w:t>各地要组织城市供水企业对照《生活饮用水卫生标准》（GB 5749-2022）要求，开展水厂净水工艺和出水水质达标能力复核。需要改造的，要按照国家和行业工程建设标准、卫生规范要求有序实施升级改造。要重点关注感官指标、消毒副产物指标、新增指标、限值加严指标以及水源水质潜在风险指标，当水源水质不能稳定达标或存在臭和味等不在水源水质标准内但会影响供水达标的物质时，应协调相关部门调整水源或根据需要增加预处理或深度处理工艺。</w:t>
            </w:r>
          </w:p>
          <w:p w14:paraId="0078EA2F">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lang w:val="en-US" w:eastAsia="zh-CN"/>
              </w:rPr>
              <w:t>本项</w:t>
            </w:r>
            <w:r>
              <w:rPr>
                <w:rFonts w:hint="default" w:ascii="Times New Roman" w:hAnsi="Times New Roman" w:eastAsia="宋体" w:cs="Times New Roman"/>
                <w:color w:val="auto"/>
                <w:lang w:val="en-US" w:eastAsia="zh-CN"/>
              </w:rPr>
              <w:t>目新增1套处</w:t>
            </w:r>
            <w:r>
              <w:rPr>
                <w:rFonts w:hint="eastAsia" w:ascii="Times New Roman" w:hAnsi="Times New Roman" w:eastAsia="宋体" w:cs="Times New Roman"/>
                <w:color w:val="auto"/>
                <w:lang w:val="en-US" w:eastAsia="zh-CN"/>
              </w:rPr>
              <w:t>理能力8万m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/的深度处理系统，采用臭氧、活性炭吸附工艺，</w:t>
            </w:r>
            <w:r>
              <w:rPr>
                <w:rFonts w:hint="default" w:ascii="Times New Roman" w:hAnsi="Times New Roman" w:eastAsia="宋体" w:cs="Times New Roman"/>
                <w:color w:val="auto"/>
                <w:lang w:val="en-US" w:eastAsia="zh-CN"/>
              </w:rPr>
              <w:t>当水源水质不能稳定达标或存在臭和味等不在水源水质标准内但会影响供水达标的物质时</w:t>
            </w:r>
            <w:r>
              <w:rPr>
                <w:rFonts w:hint="eastAsia" w:ascii="Times New Roman" w:hAnsi="Times New Roman" w:eastAsia="宋体" w:cs="Times New Roman"/>
                <w:color w:val="auto"/>
                <w:lang w:val="en-US" w:eastAsia="zh-CN"/>
              </w:rPr>
              <w:t>，采用深度处理工艺后可满足</w:t>
            </w:r>
            <w:r>
              <w:rPr>
                <w:rFonts w:hint="default" w:ascii="Times New Roman" w:hAnsi="Times New Roman" w:eastAsia="宋体" w:cs="Times New Roman"/>
                <w:color w:val="auto"/>
                <w:lang w:val="en-US" w:eastAsia="zh-CN"/>
              </w:rPr>
              <w:t>《生活饮用水卫生标准》（GB 574</w:t>
            </w:r>
            <w:r>
              <w:rPr>
                <w:rFonts w:hint="default" w:ascii="Times New Roman" w:hAnsi="Times New Roman" w:eastAsia="宋体" w:cs="Times New Roman"/>
                <w:color w:val="auto"/>
                <w:highlight w:val="none"/>
                <w:lang w:val="en-US" w:eastAsia="zh-CN"/>
              </w:rPr>
              <w:t>9-2022）</w:t>
            </w:r>
            <w:r>
              <w:rPr>
                <w:rFonts w:hint="eastAsia" w:ascii="Times New Roman" w:hAnsi="Times New Roman" w:eastAsia="宋体" w:cs="Times New Roman"/>
                <w:color w:val="auto"/>
                <w:highlight w:val="none"/>
                <w:lang w:val="en-US" w:eastAsia="zh-CN"/>
              </w:rPr>
              <w:t>，本项目的建设符合</w:t>
            </w:r>
            <w:r>
              <w:rPr>
                <w:rFonts w:hint="default" w:ascii="Times New Roman" w:hAnsi="Times New Roman" w:eastAsia="宋体" w:cs="Times New Roman"/>
                <w:color w:val="auto"/>
                <w:highlight w:val="none"/>
                <w:lang w:val="en-US" w:eastAsia="zh-CN"/>
              </w:rPr>
              <w:t>《关于加强城市供水安全保障工作的通知》（建办城〔2022〕41号）</w:t>
            </w:r>
            <w:r>
              <w:rPr>
                <w:rFonts w:hint="eastAsia" w:ascii="Times New Roman" w:hAnsi="Times New Roman" w:eastAsia="宋体" w:cs="Times New Roman"/>
                <w:color w:val="auto"/>
                <w:highlight w:val="none"/>
                <w:lang w:val="en-US" w:eastAsia="zh-CN"/>
              </w:rPr>
              <w:t>中的要求。</w:t>
            </w:r>
          </w:p>
          <w:p w14:paraId="2E5C5B37">
            <w:pPr>
              <w:pStyle w:val="3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9、与</w:t>
            </w:r>
            <w:r>
              <w:rPr>
                <w:rFonts w:hint="default" w:ascii="Times New Roman" w:hAnsi="Times New Roman" w:cs="Times New Roman" w:eastAsiaTheme="minorEastAsia"/>
                <w:b/>
                <w:bCs/>
                <w:color w:val="auto"/>
                <w:sz w:val="21"/>
                <w:szCs w:val="21"/>
                <w:highlight w:val="none"/>
              </w:rPr>
              <w:t>《鸡西市国土空间总体规划（2021—2035年）》符合性分析</w:t>
            </w:r>
          </w:p>
          <w:p w14:paraId="51B70554">
            <w:pPr>
              <w:keepNext w:val="0"/>
              <w:keepLines w:val="0"/>
              <w:pageBreakBefore w:val="0"/>
              <w:widowControl/>
              <w:suppressLineNumbers w:val="0"/>
              <w:tabs>
                <w:tab w:val="left" w:pos="6480"/>
              </w:tabs>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w:t>
            </w:r>
            <w:r>
              <w:rPr>
                <w:rFonts w:hint="default" w:ascii="Times New Roman" w:hAnsi="Times New Roman" w:cs="Times New Roman"/>
                <w:color w:val="auto"/>
                <w:sz w:val="21"/>
                <w:szCs w:val="21"/>
                <w:highlight w:val="none"/>
                <w:lang w:eastAsia="zh-CN"/>
              </w:rPr>
              <w:t>鸡西市国土空间总体规划</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2021-2035</w:t>
            </w:r>
            <w:r>
              <w:rPr>
                <w:rFonts w:hint="default" w:ascii="Times New Roman" w:hAnsi="Times New Roman" w:eastAsia="宋体" w:cs="Times New Roman"/>
                <w:color w:val="auto"/>
                <w:sz w:val="21"/>
                <w:szCs w:val="21"/>
                <w:highlight w:val="none"/>
              </w:rPr>
              <w:t>）中</w:t>
            </w:r>
            <w:r>
              <w:rPr>
                <w:rFonts w:hint="default" w:ascii="Times New Roman" w:hAnsi="Times New Roman" w:cs="Times New Roman"/>
                <w:color w:val="auto"/>
                <w:sz w:val="21"/>
                <w:szCs w:val="21"/>
                <w:highlight w:val="none"/>
                <w:lang w:val="en-US" w:eastAsia="zh-CN"/>
              </w:rPr>
              <w:t>科学</w:t>
            </w:r>
            <w:r>
              <w:rPr>
                <w:rFonts w:hint="default" w:ascii="Times New Roman" w:hAnsi="Times New Roman" w:cs="Times New Roman"/>
                <w:color w:val="auto"/>
                <w:sz w:val="21"/>
                <w:szCs w:val="21"/>
                <w:highlight w:val="none"/>
                <w:lang w:eastAsia="zh-CN"/>
              </w:rPr>
              <w:t>划定</w:t>
            </w:r>
            <w:r>
              <w:rPr>
                <w:rFonts w:hint="eastAsia" w:ascii="宋体" w:hAnsi="宋体" w:eastAsia="宋体" w:cs="宋体"/>
                <w:color w:val="auto"/>
                <w:sz w:val="21"/>
                <w:szCs w:val="21"/>
                <w:highlight w:val="none"/>
                <w:lang w:eastAsia="zh-CN"/>
              </w:rPr>
              <w:t>“三区三线”</w:t>
            </w:r>
            <w:r>
              <w:rPr>
                <w:rFonts w:hint="default" w:ascii="Times New Roman" w:hAnsi="Times New Roman" w:eastAsia="宋体" w:cs="Times New Roman"/>
                <w:color w:val="auto"/>
                <w:sz w:val="21"/>
                <w:szCs w:val="21"/>
                <w:highlight w:val="none"/>
              </w:rPr>
              <w:t>情况，本项目与</w:t>
            </w:r>
            <w:r>
              <w:rPr>
                <w:rFonts w:hint="default" w:ascii="Times New Roman" w:hAnsi="Times New Roman" w:cs="Times New Roman"/>
                <w:color w:val="auto"/>
                <w:sz w:val="21"/>
                <w:szCs w:val="21"/>
                <w:highlight w:val="none"/>
                <w:lang w:eastAsia="zh-CN"/>
              </w:rPr>
              <w:t>国土空间规划</w:t>
            </w:r>
            <w:r>
              <w:rPr>
                <w:rFonts w:hint="default" w:ascii="Times New Roman" w:hAnsi="Times New Roman" w:eastAsia="宋体" w:cs="Times New Roman"/>
                <w:color w:val="auto"/>
                <w:sz w:val="21"/>
                <w:szCs w:val="21"/>
                <w:highlight w:val="none"/>
              </w:rPr>
              <w:t>符合性分析见</w:t>
            </w:r>
            <w:r>
              <w:rPr>
                <w:rFonts w:hint="default" w:ascii="Times New Roman" w:hAnsi="Times New Roman" w:eastAsia="宋体"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rPr>
              <w:t>表。</w:t>
            </w:r>
          </w:p>
          <w:p w14:paraId="70C09424">
            <w:pPr>
              <w:pStyle w:val="7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表1-</w:t>
            </w:r>
            <w:r>
              <w:rPr>
                <w:rFonts w:hint="default" w:ascii="Times New Roman" w:hAnsi="Times New Roman" w:eastAsia="宋体" w:cs="Times New Roman"/>
                <w:b/>
                <w:bCs/>
                <w:color w:val="auto"/>
                <w:sz w:val="21"/>
                <w:szCs w:val="21"/>
                <w:highlight w:val="none"/>
                <w:lang w:val="en-US" w:eastAsia="zh-CN"/>
              </w:rPr>
              <w:t>4与</w:t>
            </w:r>
            <w:r>
              <w:rPr>
                <w:rFonts w:hint="default" w:ascii="Times New Roman" w:hAnsi="Times New Roman" w:eastAsia="宋体" w:cs="Times New Roman"/>
                <w:b/>
                <w:bCs/>
                <w:color w:val="auto"/>
                <w:sz w:val="21"/>
                <w:szCs w:val="21"/>
                <w:highlight w:val="none"/>
                <w:lang w:eastAsia="zh-CN"/>
              </w:rPr>
              <w:t>鸡西市国土空间总体规划</w:t>
            </w:r>
            <w:r>
              <w:rPr>
                <w:rFonts w:hint="default" w:ascii="Times New Roman" w:hAnsi="Times New Roman" w:eastAsia="宋体" w:cs="Times New Roman"/>
                <w:b/>
                <w:bCs/>
                <w:color w:val="auto"/>
                <w:sz w:val="21"/>
                <w:szCs w:val="21"/>
                <w:highlight w:val="none"/>
              </w:rPr>
              <w:t>符合性分析</w:t>
            </w:r>
          </w:p>
          <w:tbl>
            <w:tblPr>
              <w:tblStyle w:val="3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99"/>
              <w:gridCol w:w="1912"/>
              <w:gridCol w:w="1210"/>
            </w:tblGrid>
            <w:tr w14:paraId="457C95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9" w:type="dxa"/>
                  <w:tcBorders>
                    <w:tl2br w:val="nil"/>
                    <w:tr2bl w:val="nil"/>
                  </w:tcBorders>
                  <w:vAlign w:val="center"/>
                </w:tcPr>
                <w:p w14:paraId="0F20A085">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vertAlign w:val="baseline"/>
                      <w:lang w:eastAsia="zh-CN"/>
                    </w:rPr>
                  </w:pPr>
                  <w:r>
                    <w:rPr>
                      <w:rFonts w:hint="default" w:ascii="Times New Roman" w:hAnsi="Times New Roman" w:eastAsia="宋体" w:cs="Times New Roman"/>
                      <w:b/>
                      <w:bCs/>
                      <w:color w:val="auto"/>
                      <w:sz w:val="18"/>
                      <w:szCs w:val="18"/>
                      <w:highlight w:val="none"/>
                      <w:vertAlign w:val="baseline"/>
                      <w:lang w:eastAsia="zh-CN"/>
                    </w:rPr>
                    <w:t>规划成果</w:t>
                  </w:r>
                </w:p>
              </w:tc>
              <w:tc>
                <w:tcPr>
                  <w:tcW w:w="1912" w:type="dxa"/>
                  <w:tcBorders>
                    <w:tl2br w:val="nil"/>
                    <w:tr2bl w:val="nil"/>
                  </w:tcBorders>
                  <w:vAlign w:val="center"/>
                </w:tcPr>
                <w:p w14:paraId="4111A22B">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vertAlign w:val="baseline"/>
                      <w:lang w:eastAsia="zh-CN"/>
                    </w:rPr>
                  </w:pPr>
                  <w:r>
                    <w:rPr>
                      <w:rFonts w:hint="default" w:ascii="Times New Roman" w:hAnsi="Times New Roman" w:eastAsia="宋体" w:cs="Times New Roman"/>
                      <w:b/>
                      <w:bCs/>
                      <w:color w:val="auto"/>
                      <w:sz w:val="18"/>
                      <w:szCs w:val="18"/>
                      <w:highlight w:val="none"/>
                      <w:vertAlign w:val="baseline"/>
                      <w:lang w:eastAsia="zh-CN"/>
                    </w:rPr>
                    <w:t>项目内容</w:t>
                  </w:r>
                </w:p>
              </w:tc>
              <w:tc>
                <w:tcPr>
                  <w:tcW w:w="1210" w:type="dxa"/>
                  <w:tcBorders>
                    <w:tl2br w:val="nil"/>
                    <w:tr2bl w:val="nil"/>
                  </w:tcBorders>
                  <w:vAlign w:val="center"/>
                </w:tcPr>
                <w:p w14:paraId="141F7206">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vertAlign w:val="baseline"/>
                      <w:lang w:eastAsia="zh-CN"/>
                    </w:rPr>
                  </w:pPr>
                  <w:r>
                    <w:rPr>
                      <w:rFonts w:hint="default" w:ascii="Times New Roman" w:hAnsi="Times New Roman" w:eastAsia="宋体" w:cs="Times New Roman"/>
                      <w:b/>
                      <w:bCs/>
                      <w:color w:val="auto"/>
                      <w:sz w:val="18"/>
                      <w:szCs w:val="18"/>
                      <w:highlight w:val="none"/>
                      <w:vertAlign w:val="baseline"/>
                      <w:lang w:eastAsia="zh-CN"/>
                    </w:rPr>
                    <w:t>符合性</w:t>
                  </w:r>
                </w:p>
              </w:tc>
            </w:tr>
            <w:tr w14:paraId="14071D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9" w:type="dxa"/>
                  <w:tcBorders>
                    <w:tl2br w:val="nil"/>
                    <w:tr2bl w:val="nil"/>
                  </w:tcBorders>
                  <w:vAlign w:val="center"/>
                </w:tcPr>
                <w:p w14:paraId="60DF7D13">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优先划定耕地和永久基本农田保护红线</w:t>
                  </w: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落实国家下达的耕地和永久基本农田保护任务，以“应划尽划、应保尽保”为划定原则，将可以长期稳定利用耕地优先划入永久基本农田实行特殊保护。全市划定耕地保有量不低于10222.40平方公里（1533.36万亩），占全市国土面积45.45%。划定永久基本农田8473.33平方公里（1271.00万亩），占全市域国土面积的37.67%</w:t>
                  </w:r>
                  <w:r>
                    <w:rPr>
                      <w:rFonts w:hint="default" w:ascii="Times New Roman" w:hAnsi="Times New Roman" w:eastAsia="宋体" w:cs="Times New Roman"/>
                      <w:b w:val="0"/>
                      <w:bCs w:val="0"/>
                      <w:color w:val="auto"/>
                      <w:sz w:val="18"/>
                      <w:szCs w:val="18"/>
                      <w:highlight w:val="none"/>
                      <w:vertAlign w:val="baseline"/>
                    </w:rPr>
                    <w:t>。</w:t>
                  </w:r>
                </w:p>
              </w:tc>
              <w:tc>
                <w:tcPr>
                  <w:tcW w:w="1912" w:type="dxa"/>
                  <w:tcBorders>
                    <w:tl2br w:val="nil"/>
                    <w:tr2bl w:val="nil"/>
                  </w:tcBorders>
                  <w:vAlign w:val="center"/>
                </w:tcPr>
                <w:p w14:paraId="004AEFAF">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本项目用地</w:t>
                  </w:r>
                  <w:r>
                    <w:rPr>
                      <w:rFonts w:hint="eastAsia" w:ascii="Times New Roman" w:hAnsi="Times New Roman" w:eastAsia="宋体" w:cs="Times New Roman"/>
                      <w:b w:val="0"/>
                      <w:bCs w:val="0"/>
                      <w:color w:val="auto"/>
                      <w:sz w:val="18"/>
                      <w:szCs w:val="18"/>
                      <w:highlight w:val="none"/>
                      <w:vertAlign w:val="baseline"/>
                      <w:lang w:val="en-US" w:eastAsia="zh-CN"/>
                    </w:rPr>
                    <w:t>不涉及耕地及</w:t>
                  </w:r>
                  <w:r>
                    <w:rPr>
                      <w:rFonts w:hint="default" w:ascii="Times New Roman" w:hAnsi="Times New Roman" w:eastAsia="宋体" w:cs="Times New Roman"/>
                      <w:b w:val="0"/>
                      <w:bCs w:val="0"/>
                      <w:color w:val="auto"/>
                      <w:sz w:val="18"/>
                      <w:szCs w:val="18"/>
                      <w:highlight w:val="none"/>
                    </w:rPr>
                    <w:t>永久基本农田</w:t>
                  </w:r>
                  <w:r>
                    <w:rPr>
                      <w:rFonts w:hint="default" w:ascii="Times New Roman" w:hAnsi="Times New Roman" w:eastAsia="宋体" w:cs="Times New Roman"/>
                      <w:b w:val="0"/>
                      <w:bCs w:val="0"/>
                      <w:color w:val="auto"/>
                      <w:sz w:val="18"/>
                      <w:szCs w:val="18"/>
                      <w:highlight w:val="none"/>
                      <w:vertAlign w:val="baseline"/>
                      <w:lang w:eastAsia="zh-CN"/>
                    </w:rPr>
                    <w:t>，不会对农业造成影响。</w:t>
                  </w:r>
                </w:p>
              </w:tc>
              <w:tc>
                <w:tcPr>
                  <w:tcW w:w="1210" w:type="dxa"/>
                  <w:tcBorders>
                    <w:tl2br w:val="nil"/>
                    <w:tr2bl w:val="nil"/>
                  </w:tcBorders>
                  <w:vAlign w:val="center"/>
                </w:tcPr>
                <w:p w14:paraId="7E9037D6">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符合</w:t>
                  </w:r>
                </w:p>
              </w:tc>
            </w:tr>
            <w:tr w14:paraId="008355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9" w:type="dxa"/>
                  <w:tcBorders>
                    <w:tl2br w:val="nil"/>
                    <w:tr2bl w:val="nil"/>
                  </w:tcBorders>
                  <w:vAlign w:val="center"/>
                </w:tcPr>
                <w:p w14:paraId="20B16A18">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科学划定生态保护红线</w:t>
                  </w: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整合优化自然保护地、重要水源涵养、生物多样性维护、水土保持、防风固沙等生态系统服务功能极重要区域和水土流失、土地沙化等生态极脆弱区域，以及具有潜在重要生态价值的生态空间，划入生态保护红线范围内。全市划定生态保护红线5023.14平方公里，占市域总面积的22.33%</w:t>
                  </w:r>
                  <w:r>
                    <w:rPr>
                      <w:rFonts w:hint="default" w:ascii="Times New Roman" w:hAnsi="Times New Roman" w:eastAsia="宋体" w:cs="Times New Roman"/>
                      <w:b w:val="0"/>
                      <w:bCs w:val="0"/>
                      <w:color w:val="auto"/>
                      <w:sz w:val="18"/>
                      <w:szCs w:val="18"/>
                      <w:highlight w:val="none"/>
                      <w:vertAlign w:val="baseline"/>
                    </w:rPr>
                    <w:t>。</w:t>
                  </w:r>
                </w:p>
              </w:tc>
              <w:tc>
                <w:tcPr>
                  <w:tcW w:w="1912" w:type="dxa"/>
                  <w:tcBorders>
                    <w:tl2br w:val="nil"/>
                    <w:tr2bl w:val="nil"/>
                  </w:tcBorders>
                  <w:vAlign w:val="center"/>
                </w:tcPr>
                <w:p w14:paraId="5B71EF2C">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本项目用地未处于生态红线保护范围内，周围不存在自然保护区等生态敏感区。</w:t>
                  </w:r>
                </w:p>
              </w:tc>
              <w:tc>
                <w:tcPr>
                  <w:tcW w:w="1210" w:type="dxa"/>
                  <w:tcBorders>
                    <w:tl2br w:val="nil"/>
                    <w:tr2bl w:val="nil"/>
                  </w:tcBorders>
                  <w:vAlign w:val="center"/>
                </w:tcPr>
                <w:p w14:paraId="0D421A4B">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lang w:eastAsia="zh-CN"/>
                    </w:rPr>
                    <w:t>符合</w:t>
                  </w:r>
                </w:p>
              </w:tc>
            </w:tr>
            <w:tr w14:paraId="2ED54C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9" w:type="dxa"/>
                  <w:tcBorders>
                    <w:tl2br w:val="nil"/>
                    <w:tr2bl w:val="nil"/>
                  </w:tcBorders>
                  <w:vAlign w:val="center"/>
                </w:tcPr>
                <w:p w14:paraId="3B1394E3">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合理划定城镇开发边界</w:t>
                  </w: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在国土空间规划中城镇开发边界是一定时期内因城镇发展需要，可以集中进行城镇开发建设，完善城镇功能、提升空间品质的区域边界，涉及城市、建制镇以及各类开发区等。防止城镇无序建设与蔓延发展，促进城镇空间集约高效、紧凑布局</w:t>
                  </w:r>
                  <w:r>
                    <w:rPr>
                      <w:rFonts w:hint="default" w:ascii="Times New Roman" w:hAnsi="Times New Roman" w:eastAsia="宋体" w:cs="Times New Roman"/>
                      <w:b w:val="0"/>
                      <w:bCs w:val="0"/>
                      <w:color w:val="auto"/>
                      <w:sz w:val="18"/>
                      <w:szCs w:val="18"/>
                      <w:highlight w:val="none"/>
                      <w:lang w:eastAsia="zh-CN"/>
                    </w:rPr>
                    <w:t>。</w:t>
                  </w:r>
                  <w:r>
                    <w:rPr>
                      <w:rFonts w:hint="default" w:ascii="Times New Roman" w:hAnsi="Times New Roman" w:eastAsia="宋体" w:cs="Times New Roman"/>
                      <w:b w:val="0"/>
                      <w:bCs w:val="0"/>
                      <w:color w:val="auto"/>
                      <w:sz w:val="18"/>
                      <w:szCs w:val="18"/>
                      <w:highlight w:val="none"/>
                    </w:rPr>
                    <w:t>至2035年，全市落实上级下达的建设用地规模，结合城镇开发边界实际可建设空间合理框定全市建设用地总规模，总规模控制在195.30平方公里以内</w:t>
                  </w:r>
                  <w:r>
                    <w:rPr>
                      <w:rFonts w:hint="default" w:ascii="Times New Roman" w:hAnsi="Times New Roman" w:eastAsia="宋体" w:cs="Times New Roman"/>
                      <w:b w:val="0"/>
                      <w:bCs w:val="0"/>
                      <w:color w:val="auto"/>
                      <w:sz w:val="18"/>
                      <w:szCs w:val="18"/>
                      <w:highlight w:val="none"/>
                      <w:vertAlign w:val="baseline"/>
                    </w:rPr>
                    <w:t>。</w:t>
                  </w:r>
                </w:p>
              </w:tc>
              <w:tc>
                <w:tcPr>
                  <w:tcW w:w="1912" w:type="dxa"/>
                  <w:tcBorders>
                    <w:tl2br w:val="nil"/>
                    <w:tr2bl w:val="nil"/>
                  </w:tcBorders>
                  <w:vAlign w:val="center"/>
                </w:tcPr>
                <w:p w14:paraId="60E4D9BE">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本项目符合城镇发展需要。</w:t>
                  </w:r>
                </w:p>
              </w:tc>
              <w:tc>
                <w:tcPr>
                  <w:tcW w:w="1210" w:type="dxa"/>
                  <w:tcBorders>
                    <w:tl2br w:val="nil"/>
                    <w:tr2bl w:val="nil"/>
                  </w:tcBorders>
                  <w:vAlign w:val="center"/>
                </w:tcPr>
                <w:p w14:paraId="41FAE91B">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lang w:eastAsia="zh-CN"/>
                    </w:rPr>
                    <w:t>符合</w:t>
                  </w:r>
                </w:p>
              </w:tc>
            </w:tr>
          </w:tbl>
          <w:p w14:paraId="0F576B5B">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lang w:val="en-US" w:eastAsia="zh-CN"/>
              </w:rPr>
            </w:pPr>
          </w:p>
        </w:tc>
      </w:tr>
      <w:bookmarkEnd w:id="3"/>
    </w:tbl>
    <w:p w14:paraId="4AF76777">
      <w:pPr>
        <w:spacing w:line="360" w:lineRule="auto"/>
        <w:outlineLvl w:val="0"/>
        <w:rPr>
          <w:rFonts w:hint="default" w:ascii="Times New Roman" w:hAnsi="Times New Roman" w:eastAsia="黑体" w:cs="Times New Roman"/>
          <w:color w:val="auto"/>
          <w:sz w:val="30"/>
          <w:highlight w:val="none"/>
        </w:rPr>
        <w:sectPr>
          <w:footerReference r:id="rId4" w:type="default"/>
          <w:pgSz w:w="11850" w:h="16783"/>
          <w:pgMar w:top="1701" w:right="1531" w:bottom="1701" w:left="1531" w:header="851" w:footer="1077" w:gutter="0"/>
          <w:pgBorders>
            <w:top w:val="none" w:sz="0" w:space="0"/>
            <w:left w:val="none" w:sz="0" w:space="0"/>
            <w:bottom w:val="none" w:sz="0" w:space="0"/>
            <w:right w:val="none" w:sz="0" w:space="0"/>
          </w:pgBorders>
          <w:pgNumType w:fmt="numberInDash" w:start="1"/>
          <w:cols w:space="0" w:num="1"/>
          <w:docGrid w:type="lines" w:linePitch="312" w:charSpace="0"/>
        </w:sectPr>
      </w:pPr>
    </w:p>
    <w:p w14:paraId="2531B6A6">
      <w:pPr>
        <w:pStyle w:val="32"/>
        <w:spacing w:before="0" w:beforeAutospacing="0" w:after="0" w:afterAutospacing="0"/>
        <w:jc w:val="center"/>
        <w:outlineLvl w:val="0"/>
        <w:rPr>
          <w:rFonts w:hint="default" w:ascii="Times New Roman" w:hAnsi="Times New Roman" w:eastAsia="黑体" w:cs="Times New Roman"/>
          <w:snapToGrid w:val="0"/>
          <w:color w:val="auto"/>
          <w:kern w:val="21"/>
          <w:sz w:val="30"/>
          <w:szCs w:val="30"/>
          <w:highlight w:val="none"/>
        </w:rPr>
      </w:pPr>
      <w:bookmarkStart w:id="4" w:name="_Toc20676"/>
      <w:r>
        <w:rPr>
          <w:rFonts w:hint="default" w:ascii="Times New Roman" w:hAnsi="Times New Roman" w:eastAsia="黑体" w:cs="Times New Roman"/>
          <w:snapToGrid w:val="0"/>
          <w:color w:val="auto"/>
          <w:kern w:val="21"/>
          <w:sz w:val="30"/>
          <w:szCs w:val="30"/>
          <w:highlight w:val="none"/>
        </w:rPr>
        <w:t>二、建设项目工程分析</w:t>
      </w:r>
      <w:bookmarkEnd w:id="4"/>
    </w:p>
    <w:tbl>
      <w:tblPr>
        <w:tblStyle w:val="37"/>
        <w:tblW w:w="51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8"/>
        <w:gridCol w:w="8473"/>
      </w:tblGrid>
      <w:tr w14:paraId="29D3D7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76" w:hRule="atLeast"/>
          <w:jc w:val="center"/>
        </w:trPr>
        <w:tc>
          <w:tcPr>
            <w:tcW w:w="748" w:type="dxa"/>
            <w:vAlign w:val="center"/>
          </w:tcPr>
          <w:p w14:paraId="79805C5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 w:val="24"/>
                <w:szCs w:val="21"/>
                <w:highlight w:val="none"/>
              </w:rPr>
            </w:pPr>
            <w:r>
              <w:rPr>
                <w:rFonts w:hint="default" w:ascii="Times New Roman" w:hAnsi="Times New Roman" w:cs="Times New Roman"/>
                <w:color w:val="auto"/>
                <w:kern w:val="21"/>
                <w:szCs w:val="21"/>
                <w:highlight w:val="none"/>
              </w:rPr>
              <w:t>建设内容</w:t>
            </w:r>
          </w:p>
        </w:tc>
        <w:tc>
          <w:tcPr>
            <w:tcW w:w="8473" w:type="dxa"/>
            <w:vAlign w:val="center"/>
          </w:tcPr>
          <w:p w14:paraId="4A66722D">
            <w:pPr>
              <w:pStyle w:val="1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2" w:firstLineChars="200"/>
              <w:textAlignment w:val="auto"/>
              <w:rPr>
                <w:rFonts w:hint="default" w:ascii="Times New Roman" w:hAnsi="Times New Roman" w:eastAsia="宋体" w:cs="Times New Roman"/>
                <w:b/>
                <w:bCs/>
                <w:color w:val="auto"/>
                <w:kern w:val="21"/>
                <w:sz w:val="21"/>
                <w:szCs w:val="21"/>
                <w:highlight w:val="none"/>
                <w:lang w:val="en-US" w:eastAsia="zh-CN"/>
              </w:rPr>
            </w:pPr>
            <w:r>
              <w:rPr>
                <w:rFonts w:hint="eastAsia" w:cs="Times New Roman"/>
                <w:b/>
                <w:bCs/>
                <w:color w:val="auto"/>
                <w:kern w:val="21"/>
                <w:sz w:val="21"/>
                <w:szCs w:val="21"/>
                <w:highlight w:val="none"/>
                <w:lang w:val="en-US" w:eastAsia="zh-CN"/>
              </w:rPr>
              <w:t>1、项目由来</w:t>
            </w:r>
          </w:p>
          <w:p w14:paraId="1567EB2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鸡西市第三净水厂（西郊净水厂）老系统于1993年投产使用，经过多年运行后，设备老化严重，虽然在 2010年扩建了一组3万m</w:t>
            </w:r>
            <w:r>
              <w:rPr>
                <w:rFonts w:hint="eastAsia" w:ascii="Times New Roman" w:hAnsi="Times New Roman" w:eastAsia="宋体" w:cs="Times New Roman"/>
                <w:bCs/>
                <w:color w:val="auto"/>
                <w:kern w:val="0"/>
                <w:szCs w:val="21"/>
                <w:highlight w:val="none"/>
                <w:vertAlign w:val="superscript"/>
                <w:lang w:val="en-US" w:eastAsia="zh-CN"/>
              </w:rPr>
              <w:t>3</w:t>
            </w:r>
            <w:r>
              <w:rPr>
                <w:rFonts w:hint="eastAsia" w:ascii="Times New Roman" w:hAnsi="Times New Roman" w:eastAsia="宋体" w:cs="Times New Roman"/>
                <w:bCs/>
                <w:color w:val="auto"/>
                <w:kern w:val="0"/>
                <w:szCs w:val="21"/>
                <w:highlight w:val="none"/>
                <w:lang w:val="en-US" w:eastAsia="zh-CN"/>
              </w:rPr>
              <w:t>/d系统，但老系统生产能力逐年下降，随着城市建设的发展，城市用水量逐年增加，目前鸡西市供水存在较多问题，主要表现在:水资源缺乏，水厂处理程度不够，水质无法保证，城市供水现状从水量、水质上看，都远远不能满足人民生活和工业生产发展需要。</w:t>
            </w:r>
          </w:p>
          <w:p w14:paraId="5D3B6F9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bCs/>
                <w:color w:val="auto"/>
                <w:kern w:val="0"/>
                <w:szCs w:val="21"/>
                <w:highlight w:val="none"/>
                <w:lang w:val="en-US" w:eastAsia="zh-CN"/>
              </w:rPr>
            </w:pPr>
            <w:r>
              <w:rPr>
                <w:rFonts w:hint="eastAsia" w:ascii="Times New Roman" w:hAnsi="Times New Roman" w:eastAsia="宋体" w:cs="Times New Roman"/>
                <w:bCs/>
                <w:color w:val="auto"/>
                <w:kern w:val="0"/>
                <w:szCs w:val="21"/>
                <w:highlight w:val="none"/>
                <w:lang w:val="en-US" w:eastAsia="zh-CN"/>
              </w:rPr>
              <w:t>现有工程由鸡西市供水有限公司承建，鸡西市供水有限公司始建于1963年，根据《黑龙江省人民政府办公厅关于印发黑龙江省环境保护违法违规建设项目清理整顿工作方案的通知》(黑政办综[2015]26</w:t>
            </w:r>
            <w:r>
              <w:rPr>
                <w:rFonts w:hint="eastAsia" w:ascii="宋体" w:hAnsi="宋体" w:eastAsia="宋体" w:cs="宋体"/>
                <w:bCs/>
                <w:color w:val="auto"/>
                <w:kern w:val="0"/>
                <w:szCs w:val="21"/>
                <w:highlight w:val="none"/>
                <w:lang w:val="en-US" w:eastAsia="zh-CN"/>
              </w:rPr>
              <w:t>号)；《</w:t>
            </w:r>
            <w:r>
              <w:rPr>
                <w:rFonts w:hint="eastAsia" w:ascii="Times New Roman" w:hAnsi="Times New Roman" w:eastAsia="宋体" w:cs="Times New Roman"/>
                <w:bCs/>
                <w:color w:val="auto"/>
                <w:kern w:val="0"/>
                <w:szCs w:val="21"/>
                <w:highlight w:val="none"/>
                <w:lang w:val="en-US" w:eastAsia="zh-CN"/>
              </w:rPr>
              <w:t>鸡西市人民政府关于印发鸡西市环境保护违法违规建设项目清理整顿工作方案的通知》的要求，现有工程于2016年9月6日在鸡西市鸡冠生态环境局（原鸡西市鸡冠区环境保护局）备案(备案文件见附件)。</w:t>
            </w:r>
          </w:p>
          <w:p w14:paraId="283CFE9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both"/>
              <w:textAlignment w:val="auto"/>
              <w:rPr>
                <w:rFonts w:hint="eastAsia"/>
                <w:bCs/>
                <w:color w:val="auto"/>
                <w:kern w:val="0"/>
                <w:szCs w:val="21"/>
                <w:highlight w:val="none"/>
                <w:lang w:val="en-US" w:eastAsia="zh-CN"/>
              </w:rPr>
            </w:pPr>
            <w:r>
              <w:rPr>
                <w:rFonts w:hint="eastAsia" w:cs="Times New Roman"/>
                <w:bCs/>
                <w:color w:val="auto"/>
                <w:kern w:val="0"/>
                <w:szCs w:val="21"/>
                <w:highlight w:val="none"/>
                <w:lang w:val="en-US" w:eastAsia="zh-CN"/>
              </w:rPr>
              <w:t>1993年投产使用起，净水系统反冲洗废水经入河排水管线排入穆棱河，2017年进行升级改造工程，环评项目名称：《鸡西市第三净水厂升级改造工程建设项目环境影响报告表》，环评批复： 《关于鸡西市第三净水厂升级改造工程环境影响报告表的批复》（鸡西环审[2017]1号），改造后反冲洗废水和排泥水上清液改为回收利用。</w:t>
            </w:r>
            <w:r>
              <w:rPr>
                <w:rFonts w:hint="eastAsia" w:ascii="Times New Roman" w:hAnsi="Times New Roman" w:eastAsia="宋体" w:cs="Times New Roman"/>
                <w:bCs/>
                <w:color w:val="auto"/>
                <w:kern w:val="0"/>
                <w:szCs w:val="21"/>
                <w:highlight w:val="none"/>
                <w:lang w:val="en-US" w:eastAsia="zh-CN"/>
              </w:rPr>
              <w:t>但企业运行至今，污泥处理上清液回收利用后，直接影响净化效果，污泥处理上清液中的物质多是絮凝沉淀无法净化的，也就是说常规净化手段无法去除的物质，又重新回到净化系统，虽然在节水方面达到目的了，但由于难净化物质的增多、富集，又会造成投剂量、用电费用的增加，得不偿失。排泥水在处理过程中使用的药剂有聚丙烯酰胺，药剂在水中残留量比较大，尤其是聚丙烯酰胺，回收到稳压配水井后会与聚氯化铝直接反应，降低其净化效果，增加制水成本。故鸡西市供水有限公司西郊净水厂拟将反冲洗废水经污泥脱水工艺后的上清液排入市政管网最终排至鸡西市鸡冠区污水处理厂达到《城镇污水处理厂污染物排放标准》(GB18918-2002)中一级A标准后排入穆棱河，因排放水质COD、氨氮浓度较低，直接影响污水处理厂污水处理系统运行。故排泥水上清液依托原有排污口排放至穆棱河。因废水排放方式发生变化，属于重大变动，申请重新报批。</w:t>
            </w:r>
          </w:p>
          <w:p w14:paraId="265A5A2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left"/>
              <w:textAlignment w:val="auto"/>
              <w:rPr>
                <w:rFonts w:hint="eastAsia"/>
                <w:bCs/>
                <w:color w:val="auto"/>
                <w:kern w:val="0"/>
                <w:szCs w:val="21"/>
                <w:highlight w:val="none"/>
                <w:lang w:val="en-US" w:eastAsia="zh-CN"/>
              </w:rPr>
            </w:pPr>
            <w:r>
              <w:rPr>
                <w:rFonts w:hint="default"/>
                <w:bCs/>
                <w:color w:val="auto"/>
                <w:kern w:val="0"/>
                <w:szCs w:val="21"/>
                <w:highlight w:val="none"/>
              </w:rPr>
              <w:t>依据关于印发《污染影响类建设项目重大变动清单（试行）》的通知（环办环评函[2020]688号）</w:t>
            </w:r>
            <w:r>
              <w:rPr>
                <w:rFonts w:hint="eastAsia"/>
                <w:bCs/>
                <w:color w:val="auto"/>
                <w:kern w:val="0"/>
                <w:szCs w:val="21"/>
                <w:highlight w:val="none"/>
              </w:rPr>
              <w:t>，</w:t>
            </w:r>
            <w:r>
              <w:rPr>
                <w:rFonts w:hint="eastAsia"/>
                <w:bCs/>
                <w:color w:val="auto"/>
                <w:kern w:val="0"/>
                <w:szCs w:val="21"/>
                <w:highlight w:val="none"/>
                <w:lang w:eastAsia="zh-CN"/>
              </w:rPr>
              <w:t>“</w:t>
            </w:r>
            <w:r>
              <w:rPr>
                <w:rFonts w:hint="eastAsia"/>
                <w:bCs/>
                <w:color w:val="auto"/>
                <w:kern w:val="0"/>
                <w:szCs w:val="21"/>
                <w:highlight w:val="none"/>
                <w:lang w:val="en-US" w:eastAsia="zh-CN"/>
              </w:rPr>
              <w:t>新增废水直接排放口；废水由间接排放改为直接排放；废水直接排放口位置变化，导致不利环境影响加重的。”</w:t>
            </w:r>
          </w:p>
          <w:p w14:paraId="0C9DDF08">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表2-1《关于印发污染影响类建设项目重大变动清单（试行）的通知》</w:t>
            </w:r>
            <w:r>
              <w:rPr>
                <w:rFonts w:hint="eastAsia" w:cs="Times New Roman"/>
                <w:b/>
                <w:bCs/>
                <w:color w:val="auto"/>
                <w:kern w:val="0"/>
                <w:sz w:val="21"/>
                <w:szCs w:val="21"/>
                <w:highlight w:val="none"/>
                <w:lang w:val="en-US" w:eastAsia="zh-CN"/>
              </w:rPr>
              <w:t>及与本项目变动内容对照情况</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5"/>
              <w:gridCol w:w="4107"/>
              <w:gridCol w:w="3105"/>
            </w:tblGrid>
            <w:tr w14:paraId="7E940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tcBorders>
                    <w:tl2br w:val="nil"/>
                    <w:tr2bl w:val="nil"/>
                  </w:tcBorders>
                  <w:noWrap w:val="0"/>
                  <w:vAlign w:val="center"/>
                </w:tcPr>
                <w:p w14:paraId="5DCEAF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序号</w:t>
                  </w:r>
                </w:p>
              </w:tc>
              <w:tc>
                <w:tcPr>
                  <w:tcW w:w="2489" w:type="pct"/>
                  <w:tcBorders>
                    <w:tl2br w:val="nil"/>
                    <w:tr2bl w:val="nil"/>
                  </w:tcBorders>
                  <w:noWrap w:val="0"/>
                  <w:vAlign w:val="center"/>
                </w:tcPr>
                <w:p w14:paraId="25ACFE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重大变动清单</w:t>
                  </w:r>
                </w:p>
              </w:tc>
              <w:tc>
                <w:tcPr>
                  <w:tcW w:w="1882" w:type="pct"/>
                  <w:tcBorders>
                    <w:tl2br w:val="nil"/>
                    <w:tr2bl w:val="nil"/>
                  </w:tcBorders>
                  <w:noWrap w:val="0"/>
                  <w:vAlign w:val="center"/>
                </w:tcPr>
                <w:p w14:paraId="779B6D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本项目变动内容</w:t>
                  </w:r>
                </w:p>
              </w:tc>
            </w:tr>
            <w:tr w14:paraId="530DA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7" w:type="pct"/>
                  <w:tcBorders>
                    <w:tl2br w:val="nil"/>
                    <w:tr2bl w:val="nil"/>
                  </w:tcBorders>
                  <w:noWrap w:val="0"/>
                  <w:vAlign w:val="center"/>
                </w:tcPr>
                <w:p w14:paraId="32482D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1</w:t>
                  </w:r>
                </w:p>
              </w:tc>
              <w:tc>
                <w:tcPr>
                  <w:tcW w:w="2489" w:type="pct"/>
                  <w:tcBorders>
                    <w:tl2br w:val="nil"/>
                    <w:tr2bl w:val="nil"/>
                  </w:tcBorders>
                  <w:noWrap w:val="0"/>
                  <w:vAlign w:val="center"/>
                </w:tcPr>
                <w:p w14:paraId="4E6F83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建设项目开发、使用功能发生变化的</w:t>
                  </w:r>
                </w:p>
              </w:tc>
              <w:tc>
                <w:tcPr>
                  <w:tcW w:w="1882" w:type="pct"/>
                  <w:tcBorders>
                    <w:tl2br w:val="nil"/>
                    <w:tr2bl w:val="nil"/>
                  </w:tcBorders>
                  <w:noWrap w:val="0"/>
                  <w:vAlign w:val="center"/>
                </w:tcPr>
                <w:p w14:paraId="0A1D8E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r w14:paraId="40746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7" w:type="pct"/>
                  <w:tcBorders>
                    <w:tl2br w:val="nil"/>
                    <w:tr2bl w:val="nil"/>
                  </w:tcBorders>
                  <w:noWrap w:val="0"/>
                  <w:vAlign w:val="center"/>
                </w:tcPr>
                <w:p w14:paraId="390F7B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2</w:t>
                  </w:r>
                </w:p>
              </w:tc>
              <w:tc>
                <w:tcPr>
                  <w:tcW w:w="2489" w:type="pct"/>
                  <w:tcBorders>
                    <w:tl2br w:val="nil"/>
                    <w:tr2bl w:val="nil"/>
                  </w:tcBorders>
                  <w:noWrap w:val="0"/>
                  <w:vAlign w:val="center"/>
                </w:tcPr>
                <w:p w14:paraId="51D014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生产、处置或储存能力增大30%及以上的</w:t>
                  </w:r>
                </w:p>
              </w:tc>
              <w:tc>
                <w:tcPr>
                  <w:tcW w:w="1882" w:type="pct"/>
                  <w:tcBorders>
                    <w:tl2br w:val="nil"/>
                    <w:tr2bl w:val="nil"/>
                  </w:tcBorders>
                  <w:noWrap w:val="0"/>
                  <w:vAlign w:val="center"/>
                </w:tcPr>
                <w:p w14:paraId="326E2A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r w14:paraId="21758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7" w:type="pct"/>
                  <w:tcBorders>
                    <w:tl2br w:val="nil"/>
                    <w:tr2bl w:val="nil"/>
                  </w:tcBorders>
                  <w:noWrap w:val="0"/>
                  <w:vAlign w:val="center"/>
                </w:tcPr>
                <w:p w14:paraId="6EB9F4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3</w:t>
                  </w:r>
                </w:p>
              </w:tc>
              <w:tc>
                <w:tcPr>
                  <w:tcW w:w="2489" w:type="pct"/>
                  <w:tcBorders>
                    <w:tl2br w:val="nil"/>
                    <w:tr2bl w:val="nil"/>
                  </w:tcBorders>
                  <w:noWrap w:val="0"/>
                  <w:vAlign w:val="center"/>
                </w:tcPr>
                <w:p w14:paraId="3E5CC1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生产、处置或储存能力增大，导致废水第一类污染物排放量增加的</w:t>
                  </w:r>
                </w:p>
              </w:tc>
              <w:tc>
                <w:tcPr>
                  <w:tcW w:w="1882" w:type="pct"/>
                  <w:tcBorders>
                    <w:tl2br w:val="nil"/>
                    <w:tr2bl w:val="nil"/>
                  </w:tcBorders>
                  <w:noWrap w:val="0"/>
                  <w:vAlign w:val="center"/>
                </w:tcPr>
                <w:p w14:paraId="02767F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r w14:paraId="74B38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7" w:type="pct"/>
                  <w:tcBorders>
                    <w:tl2br w:val="nil"/>
                    <w:tr2bl w:val="nil"/>
                  </w:tcBorders>
                  <w:noWrap w:val="0"/>
                  <w:vAlign w:val="center"/>
                </w:tcPr>
                <w:p w14:paraId="28425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4</w:t>
                  </w:r>
                </w:p>
              </w:tc>
              <w:tc>
                <w:tcPr>
                  <w:tcW w:w="2489" w:type="pct"/>
                  <w:tcBorders>
                    <w:tl2br w:val="nil"/>
                    <w:tr2bl w:val="nil"/>
                  </w:tcBorders>
                  <w:noWrap w:val="0"/>
                  <w:vAlign w:val="top"/>
                </w:tcPr>
                <w:p w14:paraId="13923A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882" w:type="pct"/>
                  <w:tcBorders>
                    <w:tl2br w:val="nil"/>
                    <w:tr2bl w:val="nil"/>
                  </w:tcBorders>
                  <w:noWrap w:val="0"/>
                  <w:vAlign w:val="center"/>
                </w:tcPr>
                <w:p w14:paraId="4E5653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r w14:paraId="23538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7" w:type="pct"/>
                  <w:tcBorders>
                    <w:tl2br w:val="nil"/>
                    <w:tr2bl w:val="nil"/>
                  </w:tcBorders>
                  <w:noWrap w:val="0"/>
                  <w:vAlign w:val="center"/>
                </w:tcPr>
                <w:p w14:paraId="02496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5</w:t>
                  </w:r>
                </w:p>
              </w:tc>
              <w:tc>
                <w:tcPr>
                  <w:tcW w:w="2489" w:type="pct"/>
                  <w:tcBorders>
                    <w:tl2br w:val="nil"/>
                    <w:tr2bl w:val="nil"/>
                  </w:tcBorders>
                  <w:noWrap w:val="0"/>
                  <w:vAlign w:val="top"/>
                </w:tcPr>
                <w:p w14:paraId="1AE6E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重新选址；在原厂址附近调整（包括总平面布置变化）导致环境防护距离范围变化且新增敏感点的</w:t>
                  </w:r>
                </w:p>
              </w:tc>
              <w:tc>
                <w:tcPr>
                  <w:tcW w:w="1882" w:type="pct"/>
                  <w:tcBorders>
                    <w:tl2br w:val="nil"/>
                    <w:tr2bl w:val="nil"/>
                  </w:tcBorders>
                  <w:noWrap w:val="0"/>
                  <w:vAlign w:val="center"/>
                </w:tcPr>
                <w:p w14:paraId="5EE179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r w14:paraId="56FCE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tcBorders>
                    <w:tl2br w:val="nil"/>
                    <w:tr2bl w:val="nil"/>
                  </w:tcBorders>
                  <w:noWrap w:val="0"/>
                  <w:vAlign w:val="center"/>
                </w:tcPr>
                <w:p w14:paraId="09339D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6</w:t>
                  </w:r>
                </w:p>
              </w:tc>
              <w:tc>
                <w:tcPr>
                  <w:tcW w:w="2489" w:type="pct"/>
                  <w:tcBorders>
                    <w:tl2br w:val="nil"/>
                    <w:tr2bl w:val="nil"/>
                  </w:tcBorders>
                  <w:noWrap w:val="0"/>
                  <w:vAlign w:val="center"/>
                </w:tcPr>
                <w:p w14:paraId="5D152A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新增产品品种或生产工艺（含主要生产装置、设备及配套设施）、主要原辅材料、燃料变化，导致以下情形之一：</w:t>
                  </w:r>
                </w:p>
                <w:p w14:paraId="44ADB0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（1）新增排放污染物种类的（毒性、挥发性降低的除外）；</w:t>
                  </w:r>
                </w:p>
                <w:p w14:paraId="0DC0C3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（2）位于环境质量不达标区的建设项目相应污染物排放量增加的；</w:t>
                  </w:r>
                </w:p>
                <w:p w14:paraId="569D99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（3）废水第一类污染物排放量增加的；</w:t>
                  </w:r>
                </w:p>
                <w:p w14:paraId="58B150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（4）其他污染物排放量增加10%及以上的</w:t>
                  </w:r>
                </w:p>
              </w:tc>
              <w:tc>
                <w:tcPr>
                  <w:tcW w:w="1882" w:type="pct"/>
                  <w:tcBorders>
                    <w:tl2br w:val="nil"/>
                    <w:tr2bl w:val="nil"/>
                  </w:tcBorders>
                  <w:noWrap w:val="0"/>
                  <w:vAlign w:val="center"/>
                </w:tcPr>
                <w:p w14:paraId="0DD586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sz w:val="18"/>
                      <w:szCs w:val="18"/>
                      <w:highlight w:val="none"/>
                      <w:lang w:val="en-US" w:eastAsia="zh-CN"/>
                    </w:rPr>
                    <w:t>/</w:t>
                  </w:r>
                </w:p>
              </w:tc>
            </w:tr>
            <w:tr w14:paraId="31D71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tcBorders>
                    <w:tl2br w:val="nil"/>
                    <w:tr2bl w:val="nil"/>
                  </w:tcBorders>
                  <w:noWrap w:val="0"/>
                  <w:vAlign w:val="center"/>
                </w:tcPr>
                <w:p w14:paraId="335A99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7</w:t>
                  </w:r>
                </w:p>
              </w:tc>
              <w:tc>
                <w:tcPr>
                  <w:tcW w:w="2489" w:type="pct"/>
                  <w:tcBorders>
                    <w:tl2br w:val="nil"/>
                    <w:tr2bl w:val="nil"/>
                  </w:tcBorders>
                  <w:noWrap w:val="0"/>
                  <w:vAlign w:val="center"/>
                </w:tcPr>
                <w:p w14:paraId="7A4EAE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物料运输、装卸、贮存方式变化，导致大气污染物无组织排放量增加10%及以上的</w:t>
                  </w:r>
                </w:p>
              </w:tc>
              <w:tc>
                <w:tcPr>
                  <w:tcW w:w="1882" w:type="pct"/>
                  <w:tcBorders>
                    <w:tl2br w:val="nil"/>
                    <w:tr2bl w:val="nil"/>
                  </w:tcBorders>
                  <w:noWrap w:val="0"/>
                  <w:vAlign w:val="center"/>
                </w:tcPr>
                <w:p w14:paraId="2CCE11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r w14:paraId="0D157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tcBorders>
                    <w:tl2br w:val="nil"/>
                    <w:tr2bl w:val="nil"/>
                  </w:tcBorders>
                  <w:noWrap w:val="0"/>
                  <w:vAlign w:val="center"/>
                </w:tcPr>
                <w:p w14:paraId="0FAFFA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8</w:t>
                  </w:r>
                </w:p>
              </w:tc>
              <w:tc>
                <w:tcPr>
                  <w:tcW w:w="2489" w:type="pct"/>
                  <w:tcBorders>
                    <w:tl2br w:val="nil"/>
                    <w:tr2bl w:val="nil"/>
                  </w:tcBorders>
                  <w:noWrap w:val="0"/>
                  <w:vAlign w:val="center"/>
                </w:tcPr>
                <w:p w14:paraId="6375E9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废气、废水污染防治措施变化，导致第6条中所列情形之一（废气无组织排放改为有组织排放、污染防治措施强化或改进的除外）或大气污染物无组织排放量增加10%及以上的。</w:t>
                  </w:r>
                </w:p>
              </w:tc>
              <w:tc>
                <w:tcPr>
                  <w:tcW w:w="1882" w:type="pct"/>
                  <w:tcBorders>
                    <w:tl2br w:val="nil"/>
                    <w:tr2bl w:val="nil"/>
                  </w:tcBorders>
                  <w:noWrap w:val="0"/>
                  <w:vAlign w:val="center"/>
                </w:tcPr>
                <w:p w14:paraId="67A552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spacing w:val="0"/>
                      <w:sz w:val="18"/>
                      <w:szCs w:val="18"/>
                      <w:highlight w:val="none"/>
                      <w:lang w:val="en-US" w:eastAsia="zh-CN"/>
                    </w:rPr>
                    <w:t>/</w:t>
                  </w:r>
                </w:p>
              </w:tc>
            </w:tr>
            <w:tr w14:paraId="1CAB0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tcBorders>
                    <w:tl2br w:val="nil"/>
                    <w:tr2bl w:val="nil"/>
                  </w:tcBorders>
                  <w:noWrap w:val="0"/>
                  <w:vAlign w:val="center"/>
                </w:tcPr>
                <w:p w14:paraId="3AB166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9</w:t>
                  </w:r>
                </w:p>
              </w:tc>
              <w:tc>
                <w:tcPr>
                  <w:tcW w:w="2489" w:type="pct"/>
                  <w:tcBorders>
                    <w:tl2br w:val="nil"/>
                    <w:tr2bl w:val="nil"/>
                  </w:tcBorders>
                  <w:noWrap w:val="0"/>
                  <w:vAlign w:val="center"/>
                </w:tcPr>
                <w:p w14:paraId="775BDA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新增废水直接排放口；废水由间接排放改为直接排放；废水直接排放口位置变化，导致不利环境影响加重的</w:t>
                  </w:r>
                </w:p>
              </w:tc>
              <w:tc>
                <w:tcPr>
                  <w:tcW w:w="1882" w:type="pct"/>
                  <w:tcBorders>
                    <w:tl2br w:val="nil"/>
                    <w:tr2bl w:val="nil"/>
                  </w:tcBorders>
                  <w:noWrap w:val="0"/>
                  <w:vAlign w:val="center"/>
                </w:tcPr>
                <w:p w14:paraId="3FD284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排泥水改为外排至穆棱河</w:t>
                  </w:r>
                </w:p>
              </w:tc>
            </w:tr>
            <w:tr w14:paraId="4A1B9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tcBorders>
                    <w:tl2br w:val="nil"/>
                    <w:tr2bl w:val="nil"/>
                  </w:tcBorders>
                  <w:noWrap w:val="0"/>
                  <w:vAlign w:val="center"/>
                </w:tcPr>
                <w:p w14:paraId="629A2F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10</w:t>
                  </w:r>
                </w:p>
              </w:tc>
              <w:tc>
                <w:tcPr>
                  <w:tcW w:w="2489" w:type="pct"/>
                  <w:tcBorders>
                    <w:tl2br w:val="nil"/>
                    <w:tr2bl w:val="nil"/>
                  </w:tcBorders>
                  <w:noWrap w:val="0"/>
                  <w:vAlign w:val="center"/>
                </w:tcPr>
                <w:p w14:paraId="4C3E9B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新增废气主要排放口（废气无组织排放改为有组织排放的除外）；主要排放口排气筒高度降低10%及以上的</w:t>
                  </w:r>
                </w:p>
              </w:tc>
              <w:tc>
                <w:tcPr>
                  <w:tcW w:w="1882" w:type="pct"/>
                  <w:tcBorders>
                    <w:tl2br w:val="nil"/>
                    <w:tr2bl w:val="nil"/>
                  </w:tcBorders>
                  <w:noWrap w:val="0"/>
                  <w:vAlign w:val="center"/>
                </w:tcPr>
                <w:p w14:paraId="252A8C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r w14:paraId="08839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tcBorders>
                    <w:tl2br w:val="nil"/>
                    <w:tr2bl w:val="nil"/>
                  </w:tcBorders>
                  <w:noWrap w:val="0"/>
                  <w:vAlign w:val="center"/>
                </w:tcPr>
                <w:p w14:paraId="7F8506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11</w:t>
                  </w:r>
                </w:p>
              </w:tc>
              <w:tc>
                <w:tcPr>
                  <w:tcW w:w="2489" w:type="pct"/>
                  <w:tcBorders>
                    <w:tl2br w:val="nil"/>
                    <w:tr2bl w:val="nil"/>
                  </w:tcBorders>
                  <w:noWrap w:val="0"/>
                  <w:vAlign w:val="center"/>
                </w:tcPr>
                <w:p w14:paraId="4FDE57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噪声、土壤或地下水污染防治措施变化，导致不利环境影响加重的</w:t>
                  </w:r>
                </w:p>
              </w:tc>
              <w:tc>
                <w:tcPr>
                  <w:tcW w:w="1882" w:type="pct"/>
                  <w:tcBorders>
                    <w:tl2br w:val="nil"/>
                    <w:tr2bl w:val="nil"/>
                  </w:tcBorders>
                  <w:noWrap w:val="0"/>
                  <w:vAlign w:val="center"/>
                </w:tcPr>
                <w:p w14:paraId="414CCB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r w14:paraId="53F47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tcBorders>
                    <w:tl2br w:val="nil"/>
                    <w:tr2bl w:val="nil"/>
                  </w:tcBorders>
                  <w:noWrap w:val="0"/>
                  <w:vAlign w:val="center"/>
                </w:tcPr>
                <w:p w14:paraId="224989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12</w:t>
                  </w:r>
                </w:p>
              </w:tc>
              <w:tc>
                <w:tcPr>
                  <w:tcW w:w="2489" w:type="pct"/>
                  <w:tcBorders>
                    <w:tl2br w:val="nil"/>
                    <w:tr2bl w:val="nil"/>
                  </w:tcBorders>
                  <w:noWrap w:val="0"/>
                  <w:vAlign w:val="center"/>
                </w:tcPr>
                <w:p w14:paraId="47264B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固体废物利用处置方式由委托外单位利用处置改为自行利用处置的（自行利用处置设施单独开展环境影响评价的除外）；固体废物自行处置方式变化，导致不利环境影响加重的</w:t>
                  </w:r>
                </w:p>
              </w:tc>
              <w:tc>
                <w:tcPr>
                  <w:tcW w:w="1882" w:type="pct"/>
                  <w:tcBorders>
                    <w:tl2br w:val="nil"/>
                    <w:tr2bl w:val="nil"/>
                  </w:tcBorders>
                  <w:noWrap w:val="0"/>
                  <w:vAlign w:val="center"/>
                </w:tcPr>
                <w:p w14:paraId="650C40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r w14:paraId="38DC2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tcBorders>
                    <w:tl2br w:val="nil"/>
                    <w:tr2bl w:val="nil"/>
                  </w:tcBorders>
                  <w:noWrap w:val="0"/>
                  <w:vAlign w:val="center"/>
                </w:tcPr>
                <w:p w14:paraId="2C4A8B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13</w:t>
                  </w:r>
                </w:p>
              </w:tc>
              <w:tc>
                <w:tcPr>
                  <w:tcW w:w="2489" w:type="pct"/>
                  <w:tcBorders>
                    <w:tl2br w:val="nil"/>
                    <w:tr2bl w:val="nil"/>
                  </w:tcBorders>
                  <w:noWrap w:val="0"/>
                  <w:vAlign w:val="center"/>
                </w:tcPr>
                <w:p w14:paraId="6ABDDA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vertAlign w:val="baseline"/>
                      <w:lang w:val="en-US" w:eastAsia="zh-CN"/>
                    </w:rPr>
                    <w:t>事故废水暂存能力或拦截设施变化，导致环境风险防范能力弱化或降低的</w:t>
                  </w:r>
                </w:p>
              </w:tc>
              <w:tc>
                <w:tcPr>
                  <w:tcW w:w="1882" w:type="pct"/>
                  <w:tcBorders>
                    <w:tl2br w:val="nil"/>
                    <w:tr2bl w:val="nil"/>
                  </w:tcBorders>
                  <w:noWrap w:val="0"/>
                  <w:vAlign w:val="center"/>
                </w:tcPr>
                <w:p w14:paraId="12186A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w:t>
                  </w:r>
                </w:p>
              </w:tc>
            </w:tr>
          </w:tbl>
          <w:p w14:paraId="42F823C9">
            <w:pPr>
              <w:pStyle w:val="12"/>
              <w:keepNext w:val="0"/>
              <w:keepLines w:val="0"/>
              <w:widowControl/>
              <w:suppressLineNumbers w:val="0"/>
              <w:snapToGrid/>
              <w:spacing w:before="0" w:beforeAutospacing="0" w:after="0" w:afterAutospacing="0" w:line="360" w:lineRule="auto"/>
              <w:ind w:left="0" w:right="0" w:firstLine="422" w:firstLineChars="200"/>
              <w:rPr>
                <w:rFonts w:hint="eastAsia"/>
                <w:color w:val="auto"/>
                <w:highlight w:val="none"/>
              </w:rPr>
            </w:pPr>
            <w:r>
              <w:rPr>
                <w:rFonts w:hint="eastAsia" w:ascii="Times New Roman" w:hAnsi="Times New Roman" w:cs="Times New Roman"/>
                <w:b/>
                <w:bCs/>
                <w:color w:val="auto"/>
                <w:kern w:val="21"/>
                <w:sz w:val="21"/>
                <w:szCs w:val="21"/>
                <w:highlight w:val="none"/>
                <w:lang w:val="en-US" w:eastAsia="zh-CN"/>
              </w:rPr>
              <w:t>2</w:t>
            </w:r>
            <w:r>
              <w:rPr>
                <w:rFonts w:hint="default" w:ascii="Times New Roman" w:hAnsi="Times New Roman" w:cs="Times New Roman"/>
                <w:b/>
                <w:bCs/>
                <w:color w:val="auto"/>
                <w:kern w:val="21"/>
                <w:sz w:val="21"/>
                <w:szCs w:val="21"/>
                <w:highlight w:val="none"/>
              </w:rPr>
              <w:t>、建设内容及规模</w:t>
            </w:r>
          </w:p>
          <w:p w14:paraId="5936E3D5">
            <w:pPr>
              <w:keepNext w:val="0"/>
              <w:keepLines w:val="0"/>
              <w:widowControl/>
              <w:suppressLineNumbers w:val="0"/>
              <w:spacing w:before="0" w:beforeAutospacing="0" w:after="0" w:afterAutospacing="0" w:line="360" w:lineRule="auto"/>
              <w:ind w:left="0" w:right="0" w:firstLine="420" w:firstLineChars="200"/>
              <w:jc w:val="left"/>
              <w:rPr>
                <w:rFonts w:hint="eastAsia"/>
                <w:bCs/>
                <w:color w:val="auto"/>
                <w:kern w:val="0"/>
                <w:szCs w:val="21"/>
                <w:highlight w:val="none"/>
                <w:lang w:val="en-US" w:eastAsia="zh-CN"/>
              </w:rPr>
            </w:pPr>
            <w:r>
              <w:rPr>
                <w:rFonts w:hint="eastAsia"/>
                <w:bCs/>
                <w:color w:val="auto"/>
                <w:kern w:val="0"/>
                <w:szCs w:val="21"/>
                <w:highlight w:val="none"/>
                <w:lang w:val="en-US" w:eastAsia="zh-CN"/>
              </w:rPr>
              <w:t>现有工程占地面积25500m</w:t>
            </w:r>
            <w:r>
              <w:rPr>
                <w:rFonts w:hint="eastAsia"/>
                <w:bCs/>
                <w:color w:val="auto"/>
                <w:kern w:val="0"/>
                <w:szCs w:val="21"/>
                <w:highlight w:val="none"/>
                <w:vertAlign w:val="superscript"/>
                <w:lang w:val="en-US" w:eastAsia="zh-CN"/>
              </w:rPr>
              <w:t>2</w:t>
            </w:r>
            <w:r>
              <w:rPr>
                <w:rFonts w:hint="eastAsia"/>
                <w:bCs/>
                <w:color w:val="auto"/>
                <w:kern w:val="0"/>
                <w:szCs w:val="21"/>
                <w:highlight w:val="none"/>
                <w:lang w:val="en-US" w:eastAsia="zh-CN"/>
              </w:rPr>
              <w:t>，本次重新报批无新增用地，主要内容为对加氯车间进行设备改造，</w:t>
            </w:r>
            <w:r>
              <w:rPr>
                <w:rFonts w:hint="eastAsia" w:cs="Times New Roman"/>
                <w:color w:val="auto"/>
                <w:kern w:val="21"/>
                <w:sz w:val="21"/>
                <w:szCs w:val="21"/>
                <w:highlight w:val="none"/>
                <w:lang w:val="en-US" w:eastAsia="zh-CN"/>
              </w:rPr>
              <w:t>“新建4台次氯酸钠发生器，代替液氯用于净水消毒。取消原有供热用燃煤锅炉，改为电锅炉。滤池反冲洗废水回收至配水间与原水混合利用，沉淀池污泥水经絮凝处理后满足</w:t>
            </w:r>
            <w:r>
              <w:rPr>
                <w:rFonts w:hint="eastAsia" w:cs="Times New Roman"/>
                <w:color w:val="auto"/>
                <w:spacing w:val="0"/>
                <w:sz w:val="21"/>
                <w:szCs w:val="21"/>
                <w:highlight w:val="none"/>
                <w:lang w:val="en-US" w:eastAsia="zh-CN"/>
              </w:rPr>
              <w:t>《地表水环境质量标准》（GB3838-2002）表1中三类标准、悬浮物满足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（GB8978-1996）一级标准</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排入穆棱河。辅料取消罐装液氯，新增未加典精制盐、聚丙烯酰胺。</w:t>
            </w:r>
          </w:p>
          <w:p w14:paraId="5E4F9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bCs/>
                <w:color w:val="auto"/>
                <w:szCs w:val="21"/>
                <w:highlight w:val="none"/>
              </w:rPr>
            </w:pPr>
            <w:r>
              <w:rPr>
                <w:rFonts w:hint="eastAsia" w:ascii="Times New Roman" w:hAnsi="Times New Roman" w:cs="Times New Roman"/>
                <w:color w:val="auto"/>
                <w:kern w:val="0"/>
                <w:sz w:val="21"/>
                <w:szCs w:val="21"/>
                <w:highlight w:val="none"/>
                <w:lang w:val="en-US" w:eastAsia="zh-CN"/>
              </w:rPr>
              <w:t>本项目建成后</w:t>
            </w:r>
            <w:r>
              <w:rPr>
                <w:rFonts w:hint="eastAsia" w:cs="Times New Roman"/>
                <w:color w:val="auto"/>
                <w:kern w:val="0"/>
                <w:sz w:val="21"/>
                <w:szCs w:val="21"/>
                <w:highlight w:val="none"/>
                <w:lang w:val="en-US" w:eastAsia="zh-CN"/>
              </w:rPr>
              <w:t>设计处理量仍为8万m</w:t>
            </w:r>
            <w:r>
              <w:rPr>
                <w:rFonts w:hint="eastAsia" w:cs="Times New Roman"/>
                <w:color w:val="auto"/>
                <w:kern w:val="0"/>
                <w:sz w:val="21"/>
                <w:szCs w:val="21"/>
                <w:highlight w:val="none"/>
                <w:vertAlign w:val="superscript"/>
                <w:lang w:val="en-US" w:eastAsia="zh-CN"/>
              </w:rPr>
              <w:t>3</w:t>
            </w:r>
            <w:r>
              <w:rPr>
                <w:rFonts w:hint="eastAsia" w:cs="Times New Roman"/>
                <w:color w:val="auto"/>
                <w:kern w:val="0"/>
                <w:sz w:val="21"/>
                <w:szCs w:val="21"/>
                <w:highlight w:val="none"/>
                <w:lang w:val="en-US" w:eastAsia="zh-CN"/>
              </w:rPr>
              <w:t>/d</w:t>
            </w:r>
            <w:r>
              <w:rPr>
                <w:rFonts w:hint="default" w:ascii="Times New Roman" w:hAnsi="Times New Roman" w:cs="Times New Roman"/>
                <w:bCs/>
                <w:color w:val="auto"/>
                <w:szCs w:val="21"/>
                <w:highlight w:val="none"/>
              </w:rPr>
              <w:t>。变动情况见下表2-</w:t>
            </w:r>
            <w:r>
              <w:rPr>
                <w:rFonts w:hint="eastAsia"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，具体工程组成见下表2-</w:t>
            </w:r>
            <w:r>
              <w:rPr>
                <w:rFonts w:hint="eastAsia"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rPr>
              <w:t>。</w:t>
            </w:r>
          </w:p>
          <w:p w14:paraId="3025AED5">
            <w:pPr>
              <w:keepNext w:val="0"/>
              <w:keepLines w:val="0"/>
              <w:widowControl/>
              <w:suppressLineNumbers w:val="0"/>
              <w:spacing w:before="0" w:beforeAutospacing="0" w:after="0" w:afterAutospacing="0"/>
              <w:ind w:left="0" w:right="0" w:firstLine="422" w:firstLineChars="200"/>
              <w:jc w:val="center"/>
              <w:rPr>
                <w:rFonts w:hint="default"/>
                <w:bCs/>
                <w:color w:val="auto"/>
                <w:szCs w:val="21"/>
                <w:highlight w:val="none"/>
              </w:rPr>
            </w:pPr>
            <w:r>
              <w:rPr>
                <w:rFonts w:hint="default"/>
                <w:b/>
                <w:color w:val="auto"/>
                <w:szCs w:val="21"/>
                <w:highlight w:val="none"/>
              </w:rPr>
              <w:t>表2-</w:t>
            </w:r>
            <w:r>
              <w:rPr>
                <w:rFonts w:hint="eastAsia"/>
                <w:b/>
                <w:color w:val="auto"/>
                <w:szCs w:val="21"/>
                <w:highlight w:val="none"/>
                <w:lang w:val="en-US" w:eastAsia="zh-CN"/>
              </w:rPr>
              <w:t>2</w:t>
            </w:r>
            <w:r>
              <w:rPr>
                <w:rFonts w:hint="default"/>
                <w:b/>
                <w:color w:val="auto"/>
                <w:szCs w:val="21"/>
                <w:highlight w:val="none"/>
              </w:rPr>
              <w:t>项目</w:t>
            </w:r>
            <w:r>
              <w:rPr>
                <w:rFonts w:hint="eastAsia"/>
                <w:b/>
                <w:color w:val="auto"/>
                <w:szCs w:val="21"/>
                <w:highlight w:val="none"/>
                <w:lang w:val="en-US" w:eastAsia="zh-CN"/>
              </w:rPr>
              <w:t>变动情况</w:t>
            </w:r>
            <w:r>
              <w:rPr>
                <w:rFonts w:hint="default"/>
                <w:b/>
                <w:color w:val="auto"/>
                <w:szCs w:val="21"/>
                <w:highlight w:val="none"/>
              </w:rPr>
              <w:t>一览表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37"/>
              <w:gridCol w:w="3411"/>
              <w:gridCol w:w="1909"/>
            </w:tblGrid>
            <w:tr w14:paraId="09ED52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7" w:type="dxa"/>
                  <w:tcBorders>
                    <w:tl2br w:val="nil"/>
                    <w:tr2bl w:val="nil"/>
                  </w:tcBorders>
                  <w:vAlign w:val="center"/>
                </w:tcPr>
                <w:p w14:paraId="2A7DCFA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color w:val="auto"/>
                      <w:sz w:val="18"/>
                      <w:szCs w:val="18"/>
                      <w:highlight w:val="none"/>
                    </w:rPr>
                    <w:t>原批复情况</w:t>
                  </w:r>
                </w:p>
              </w:tc>
              <w:tc>
                <w:tcPr>
                  <w:tcW w:w="3411" w:type="dxa"/>
                  <w:tcBorders>
                    <w:tl2br w:val="nil"/>
                    <w:tr2bl w:val="nil"/>
                  </w:tcBorders>
                  <w:vAlign w:val="center"/>
                </w:tcPr>
                <w:p w14:paraId="10528F9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eastAsia"/>
                      <w:color w:val="auto"/>
                      <w:sz w:val="18"/>
                      <w:szCs w:val="18"/>
                      <w:highlight w:val="none"/>
                      <w:lang w:val="en-US" w:eastAsia="zh-CN"/>
                    </w:rPr>
                    <w:t>本项目</w:t>
                  </w:r>
                  <w:r>
                    <w:rPr>
                      <w:rFonts w:hint="default"/>
                      <w:color w:val="auto"/>
                      <w:sz w:val="18"/>
                      <w:szCs w:val="18"/>
                      <w:highlight w:val="none"/>
                    </w:rPr>
                    <w:t>建设情况</w:t>
                  </w:r>
                </w:p>
              </w:tc>
              <w:tc>
                <w:tcPr>
                  <w:tcW w:w="1909" w:type="dxa"/>
                  <w:tcBorders>
                    <w:tl2br w:val="nil"/>
                    <w:tr2bl w:val="nil"/>
                  </w:tcBorders>
                  <w:vAlign w:val="center"/>
                </w:tcPr>
                <w:p w14:paraId="477C4BB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宋体" w:hAnsi="宋体" w:cs="宋体"/>
                      <w:color w:val="auto"/>
                      <w:sz w:val="18"/>
                      <w:szCs w:val="18"/>
                      <w:highlight w:val="none"/>
                    </w:rPr>
                  </w:pPr>
                  <w:r>
                    <w:rPr>
                      <w:rFonts w:hint="default"/>
                      <w:color w:val="auto"/>
                      <w:sz w:val="18"/>
                      <w:szCs w:val="18"/>
                      <w:highlight w:val="none"/>
                    </w:rPr>
                    <w:t>变化情况</w:t>
                  </w:r>
                </w:p>
              </w:tc>
            </w:tr>
            <w:tr w14:paraId="0E79E3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7" w:type="dxa"/>
                  <w:tcBorders>
                    <w:tl2br w:val="nil"/>
                    <w:tr2bl w:val="nil"/>
                  </w:tcBorders>
                  <w:vAlign w:val="center"/>
                </w:tcPr>
                <w:p w14:paraId="1C7565F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lang w:val="en-US" w:eastAsia="zh-CN"/>
                    </w:rPr>
                    <w:t>更换现有取水系站一部分老化设备，提高取水安全性，恢复其取水能力</w:t>
                  </w:r>
                </w:p>
              </w:tc>
              <w:tc>
                <w:tcPr>
                  <w:tcW w:w="3411" w:type="dxa"/>
                  <w:tcBorders>
                    <w:tl2br w:val="nil"/>
                    <w:tr2bl w:val="nil"/>
                  </w:tcBorders>
                  <w:vAlign w:val="center"/>
                </w:tcPr>
                <w:p w14:paraId="31C473D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依托兴凯湖饮水工程哈达水库取水泵房</w:t>
                  </w:r>
                </w:p>
              </w:tc>
              <w:tc>
                <w:tcPr>
                  <w:tcW w:w="1909" w:type="dxa"/>
                  <w:tcBorders>
                    <w:tl2br w:val="nil"/>
                    <w:tr2bl w:val="nil"/>
                  </w:tcBorders>
                  <w:vAlign w:val="center"/>
                </w:tcPr>
                <w:p w14:paraId="03CB36E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原有取水泵站取消</w:t>
                  </w:r>
                </w:p>
              </w:tc>
            </w:tr>
            <w:tr w14:paraId="24E348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7" w:type="dxa"/>
                  <w:tcBorders>
                    <w:tl2br w:val="nil"/>
                    <w:tr2bl w:val="nil"/>
                  </w:tcBorders>
                  <w:shd w:val="clear" w:color="auto" w:fill="auto"/>
                  <w:vAlign w:val="center"/>
                </w:tcPr>
                <w:p w14:paraId="1E9AC8F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val="en-US" w:eastAsia="zh-CN"/>
                    </w:rPr>
                    <w:t>供热依托原有锅炉，安装布袋除尘器，通过1根30m高排气筒排放。</w:t>
                  </w:r>
                </w:p>
              </w:tc>
              <w:tc>
                <w:tcPr>
                  <w:tcW w:w="3411" w:type="dxa"/>
                  <w:tcBorders>
                    <w:tl2br w:val="nil"/>
                    <w:tr2bl w:val="nil"/>
                  </w:tcBorders>
                  <w:vAlign w:val="center"/>
                </w:tcPr>
                <w:p w14:paraId="480FFA6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厂区采用电锅炉供热</w:t>
                  </w:r>
                </w:p>
              </w:tc>
              <w:tc>
                <w:tcPr>
                  <w:tcW w:w="1909" w:type="dxa"/>
                  <w:tcBorders>
                    <w:tl2br w:val="nil"/>
                    <w:tr2bl w:val="nil"/>
                  </w:tcBorders>
                  <w:vAlign w:val="center"/>
                </w:tcPr>
                <w:p w14:paraId="1EBF2A9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燃煤锅炉更改为电锅炉</w:t>
                  </w:r>
                </w:p>
              </w:tc>
            </w:tr>
            <w:tr w14:paraId="20B9EE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7" w:type="dxa"/>
                  <w:tcBorders>
                    <w:tl2br w:val="nil"/>
                    <w:tr2bl w:val="nil"/>
                  </w:tcBorders>
                  <w:shd w:val="clear" w:color="auto" w:fill="auto"/>
                  <w:vAlign w:val="center"/>
                </w:tcPr>
                <w:p w14:paraId="21C6ED3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cs="Times New Roman"/>
                      <w:color w:val="auto"/>
                      <w:spacing w:val="0"/>
                      <w:kern w:val="0"/>
                      <w:sz w:val="18"/>
                      <w:szCs w:val="18"/>
                      <w:highlight w:val="none"/>
                    </w:rPr>
                  </w:pPr>
                  <w:r>
                    <w:rPr>
                      <w:rFonts w:hint="default" w:ascii="Times New Roman" w:hAnsi="Times New Roman" w:eastAsia="宋体" w:cs="Times New Roman"/>
                      <w:color w:val="auto"/>
                      <w:sz w:val="18"/>
                      <w:szCs w:val="18"/>
                      <w:highlight w:val="none"/>
                      <w:lang w:val="en-US" w:eastAsia="zh-CN"/>
                    </w:rPr>
                    <w:t>生活污水经化粪池</w:t>
                  </w:r>
                  <w:r>
                    <w:rPr>
                      <w:rFonts w:hint="eastAsia" w:cs="Times New Roman"/>
                      <w:color w:val="auto"/>
                      <w:sz w:val="18"/>
                      <w:szCs w:val="18"/>
                      <w:highlight w:val="none"/>
                      <w:lang w:val="en-US" w:eastAsia="zh-CN"/>
                    </w:rPr>
                    <w:t>处理后</w:t>
                  </w:r>
                  <w:r>
                    <w:rPr>
                      <w:rFonts w:hint="default" w:ascii="Times New Roman" w:hAnsi="Times New Roman" w:eastAsia="宋体" w:cs="Times New Roman"/>
                      <w:color w:val="auto"/>
                      <w:sz w:val="18"/>
                      <w:szCs w:val="18"/>
                      <w:highlight w:val="none"/>
                      <w:lang w:val="en-US" w:eastAsia="zh-CN"/>
                    </w:rPr>
                    <w:t>污水满足《污水综合排放标准》(GB8978-1996)中的三级标准</w:t>
                  </w:r>
                  <w:r>
                    <w:rPr>
                      <w:rFonts w:hint="eastAsia"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排入厂区收集池</w:t>
                  </w:r>
                  <w:r>
                    <w:rPr>
                      <w:rFonts w:hint="eastAsia"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近期先通过罐车运至城市污水处理厂处理</w:t>
                  </w:r>
                  <w:r>
                    <w:rPr>
                      <w:rFonts w:hint="eastAsia"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待污水管网敷设到厂址所在区域后排入污水管网</w:t>
                  </w:r>
                  <w:r>
                    <w:rPr>
                      <w:rFonts w:hint="eastAsia"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进入城市污水处理厂。</w:t>
                  </w:r>
                </w:p>
              </w:tc>
              <w:tc>
                <w:tcPr>
                  <w:tcW w:w="3411" w:type="dxa"/>
                  <w:tcBorders>
                    <w:tl2br w:val="nil"/>
                    <w:tr2bl w:val="nil"/>
                  </w:tcBorders>
                  <w:vAlign w:val="center"/>
                </w:tcPr>
                <w:p w14:paraId="0721A153">
                  <w:pPr>
                    <w:pStyle w:val="14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厂区生活污水收集至化粪池，处理后满足</w:t>
                  </w:r>
                  <w:r>
                    <w:rPr>
                      <w:rFonts w:hint="default" w:ascii="Times New Roman" w:hAnsi="Times New Roman" w:eastAsia="宋体" w:cs="Times New Roman"/>
                      <w:color w:val="auto"/>
                      <w:kern w:val="2"/>
                      <w:sz w:val="18"/>
                      <w:szCs w:val="18"/>
                      <w:highlight w:val="none"/>
                      <w:lang w:val="en-US" w:eastAsia="zh-CN" w:bidi="ar-SA"/>
                    </w:rPr>
                    <w:t>《污水综合排放标准》</w:t>
                  </w:r>
                  <w:r>
                    <w:rPr>
                      <w:rFonts w:hint="eastAsia" w:ascii="Times New Roman" w:hAnsi="Times New Roman" w:eastAsia="宋体" w:cs="Times New Roman"/>
                      <w:color w:val="auto"/>
                      <w:kern w:val="2"/>
                      <w:sz w:val="18"/>
                      <w:szCs w:val="18"/>
                      <w:highlight w:val="none"/>
                      <w:lang w:val="en-US" w:eastAsia="zh-CN" w:bidi="ar-SA"/>
                    </w:rPr>
                    <w:t>（GB8978-1996）三级标准</w:t>
                  </w:r>
                  <w:r>
                    <w:rPr>
                      <w:rFonts w:hint="eastAsia" w:cs="Times New Roman"/>
                      <w:color w:val="auto"/>
                      <w:spacing w:val="0"/>
                      <w:sz w:val="18"/>
                      <w:szCs w:val="18"/>
                      <w:highlight w:val="none"/>
                      <w:lang w:val="en-US" w:eastAsia="zh-CN"/>
                    </w:rPr>
                    <w:t>及</w:t>
                  </w:r>
                  <w:r>
                    <w:rPr>
                      <w:rFonts w:hint="default" w:cs="Times New Roman"/>
                      <w:color w:val="auto"/>
                      <w:spacing w:val="0"/>
                      <w:sz w:val="18"/>
                      <w:szCs w:val="18"/>
                      <w:highlight w:val="none"/>
                      <w:lang w:val="en-US" w:eastAsia="zh-CN"/>
                    </w:rPr>
                    <w:t>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w:t>
                  </w:r>
                  <w:r>
                    <w:rPr>
                      <w:rFonts w:hint="eastAsia" w:cs="Times New Roman"/>
                      <w:color w:val="auto"/>
                      <w:spacing w:val="0"/>
                      <w:sz w:val="18"/>
                      <w:szCs w:val="18"/>
                      <w:highlight w:val="none"/>
                      <w:lang w:val="en-US" w:eastAsia="zh-CN"/>
                    </w:rPr>
                    <w:t>进水标准</w:t>
                  </w:r>
                  <w:r>
                    <w:rPr>
                      <w:rFonts w:hint="eastAsia" w:ascii="Times New Roman" w:hAnsi="Times New Roman"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排入污水管网</w:t>
                  </w:r>
                  <w:r>
                    <w:rPr>
                      <w:rFonts w:hint="eastAsia" w:ascii="Times New Roman" w:hAnsi="Times New Roman"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经鸡西市</w:t>
                  </w:r>
                  <w:r>
                    <w:rPr>
                      <w:rFonts w:hint="eastAsia" w:ascii="Times New Roman" w:hAnsi="Times New Roman" w:eastAsia="宋体" w:cs="Times New Roman"/>
                      <w:color w:val="auto"/>
                      <w:kern w:val="2"/>
                      <w:sz w:val="18"/>
                      <w:szCs w:val="18"/>
                      <w:highlight w:val="none"/>
                      <w:lang w:val="en-US" w:eastAsia="zh-CN" w:bidi="ar-SA"/>
                    </w:rPr>
                    <w:t>鸡冠区</w:t>
                  </w:r>
                  <w:r>
                    <w:rPr>
                      <w:rFonts w:hint="default" w:ascii="Times New Roman" w:hAnsi="Times New Roman" w:eastAsia="宋体" w:cs="Times New Roman"/>
                      <w:color w:val="auto"/>
                      <w:kern w:val="2"/>
                      <w:sz w:val="18"/>
                      <w:szCs w:val="18"/>
                      <w:highlight w:val="none"/>
                      <w:lang w:val="en-US" w:eastAsia="zh-CN" w:bidi="ar-SA"/>
                    </w:rPr>
                    <w:t>污水处理厂处理后排入穆棱河</w:t>
                  </w:r>
                  <w:r>
                    <w:rPr>
                      <w:rFonts w:hint="eastAsia" w:ascii="Times New Roman" w:hAnsi="Times New Roman" w:eastAsia="宋体" w:cs="Times New Roman"/>
                      <w:color w:val="auto"/>
                      <w:kern w:val="2"/>
                      <w:sz w:val="18"/>
                      <w:szCs w:val="18"/>
                      <w:highlight w:val="none"/>
                      <w:lang w:val="en-US" w:eastAsia="zh-CN" w:bidi="ar-SA"/>
                    </w:rPr>
                    <w:t>。</w:t>
                  </w:r>
                </w:p>
              </w:tc>
              <w:tc>
                <w:tcPr>
                  <w:tcW w:w="1909" w:type="dxa"/>
                  <w:tcBorders>
                    <w:tl2br w:val="nil"/>
                    <w:tr2bl w:val="nil"/>
                  </w:tcBorders>
                  <w:vAlign w:val="center"/>
                </w:tcPr>
                <w:p w14:paraId="4E8621DE">
                  <w:pPr>
                    <w:pStyle w:val="14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厂区生活污水收集至化粪池，处理后满足</w:t>
                  </w:r>
                  <w:r>
                    <w:rPr>
                      <w:rFonts w:hint="default" w:ascii="Times New Roman" w:hAnsi="Times New Roman" w:eastAsia="宋体" w:cs="Times New Roman"/>
                      <w:color w:val="auto"/>
                      <w:kern w:val="2"/>
                      <w:sz w:val="18"/>
                      <w:szCs w:val="18"/>
                      <w:highlight w:val="none"/>
                      <w:lang w:val="en-US" w:eastAsia="zh-CN" w:bidi="ar-SA"/>
                    </w:rPr>
                    <w:t>《污水综合排放标准》</w:t>
                  </w:r>
                  <w:r>
                    <w:rPr>
                      <w:rFonts w:hint="eastAsia" w:ascii="Times New Roman" w:hAnsi="Times New Roman" w:eastAsia="宋体" w:cs="Times New Roman"/>
                      <w:color w:val="auto"/>
                      <w:kern w:val="2"/>
                      <w:sz w:val="18"/>
                      <w:szCs w:val="18"/>
                      <w:highlight w:val="none"/>
                      <w:lang w:val="en-US" w:eastAsia="zh-CN" w:bidi="ar-SA"/>
                    </w:rPr>
                    <w:t>（GB8978-1996）三级标准</w:t>
                  </w:r>
                  <w:r>
                    <w:rPr>
                      <w:rFonts w:hint="eastAsia" w:cs="Times New Roman"/>
                      <w:color w:val="auto"/>
                      <w:spacing w:val="0"/>
                      <w:sz w:val="18"/>
                      <w:szCs w:val="18"/>
                      <w:highlight w:val="none"/>
                      <w:lang w:val="en-US" w:eastAsia="zh-CN"/>
                    </w:rPr>
                    <w:t>及</w:t>
                  </w:r>
                  <w:r>
                    <w:rPr>
                      <w:rFonts w:hint="default" w:cs="Times New Roman"/>
                      <w:color w:val="auto"/>
                      <w:spacing w:val="0"/>
                      <w:sz w:val="18"/>
                      <w:szCs w:val="18"/>
                      <w:highlight w:val="none"/>
                      <w:lang w:val="en-US" w:eastAsia="zh-CN"/>
                    </w:rPr>
                    <w:t>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w:t>
                  </w:r>
                  <w:r>
                    <w:rPr>
                      <w:rFonts w:hint="eastAsia" w:cs="Times New Roman"/>
                      <w:color w:val="auto"/>
                      <w:spacing w:val="0"/>
                      <w:sz w:val="18"/>
                      <w:szCs w:val="18"/>
                      <w:highlight w:val="none"/>
                      <w:lang w:val="en-US" w:eastAsia="zh-CN"/>
                    </w:rPr>
                    <w:t>进水标准</w:t>
                  </w:r>
                  <w:r>
                    <w:rPr>
                      <w:rFonts w:hint="eastAsia" w:ascii="Times New Roman" w:hAnsi="Times New Roman"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排入污水管网</w:t>
                  </w:r>
                  <w:r>
                    <w:rPr>
                      <w:rFonts w:hint="eastAsia" w:ascii="Times New Roman" w:hAnsi="Times New Roman"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经鸡西市</w:t>
                  </w:r>
                  <w:r>
                    <w:rPr>
                      <w:rFonts w:hint="eastAsia" w:ascii="Times New Roman" w:hAnsi="Times New Roman" w:eastAsia="宋体" w:cs="Times New Roman"/>
                      <w:color w:val="auto"/>
                      <w:kern w:val="2"/>
                      <w:sz w:val="18"/>
                      <w:szCs w:val="18"/>
                      <w:highlight w:val="none"/>
                      <w:lang w:val="en-US" w:eastAsia="zh-CN" w:bidi="ar-SA"/>
                    </w:rPr>
                    <w:t>鸡冠区</w:t>
                  </w:r>
                  <w:r>
                    <w:rPr>
                      <w:rFonts w:hint="default" w:ascii="Times New Roman" w:hAnsi="Times New Roman" w:eastAsia="宋体" w:cs="Times New Roman"/>
                      <w:color w:val="auto"/>
                      <w:kern w:val="2"/>
                      <w:sz w:val="18"/>
                      <w:szCs w:val="18"/>
                      <w:highlight w:val="none"/>
                      <w:lang w:val="en-US" w:eastAsia="zh-CN" w:bidi="ar-SA"/>
                    </w:rPr>
                    <w:t>污水处理厂处理后排入穆棱河</w:t>
                  </w:r>
                  <w:r>
                    <w:rPr>
                      <w:rFonts w:hint="eastAsia" w:ascii="Times New Roman" w:hAnsi="Times New Roman" w:eastAsia="宋体" w:cs="Times New Roman"/>
                      <w:color w:val="auto"/>
                      <w:kern w:val="2"/>
                      <w:sz w:val="18"/>
                      <w:szCs w:val="18"/>
                      <w:highlight w:val="none"/>
                      <w:lang w:val="en-US" w:eastAsia="zh-CN" w:bidi="ar-SA"/>
                    </w:rPr>
                    <w:t>。</w:t>
                  </w:r>
                </w:p>
              </w:tc>
            </w:tr>
            <w:tr w14:paraId="7F4F63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7" w:type="dxa"/>
                  <w:tcBorders>
                    <w:tl2br w:val="nil"/>
                    <w:tr2bl w:val="nil"/>
                  </w:tcBorders>
                  <w:shd w:val="clear" w:color="auto" w:fill="auto"/>
                  <w:vAlign w:val="center"/>
                </w:tcPr>
                <w:p w14:paraId="00C63AA1">
                  <w:pPr>
                    <w:keepNext w:val="0"/>
                    <w:keepLines w:val="0"/>
                    <w:widowControl/>
                    <w:suppressLineNumbers w:val="0"/>
                    <w:spacing w:before="0" w:beforeAutospacing="0" w:after="0" w:afterAutospacing="0"/>
                    <w:ind w:left="0" w:right="0"/>
                    <w:jc w:val="center"/>
                    <w:rPr>
                      <w:rFonts w:hint="default"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lang w:val="en-US" w:eastAsia="zh-CN"/>
                    </w:rPr>
                    <w:t>滤池的反冲洗废水经回收水池沉淀</w:t>
                  </w:r>
                  <w:r>
                    <w:rPr>
                      <w:rFonts w:hint="eastAsia" w:cs="Times New Roman"/>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上清液用潜水泵集中收集回收至水厂前端配水井并与水厂原水混合后处理。</w:t>
                  </w:r>
                </w:p>
              </w:tc>
              <w:tc>
                <w:tcPr>
                  <w:tcW w:w="3411" w:type="dxa"/>
                  <w:tcBorders>
                    <w:tl2br w:val="nil"/>
                    <w:tr2bl w:val="nil"/>
                  </w:tcBorders>
                  <w:vAlign w:val="center"/>
                </w:tcPr>
                <w:p w14:paraId="6F59FFF9">
                  <w:pPr>
                    <w:pStyle w:val="14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滤池反冲洗废水回收至配水间与原水混合利用，排泥水经絮凝处理后排放至穆棱河。</w:t>
                  </w:r>
                </w:p>
              </w:tc>
              <w:tc>
                <w:tcPr>
                  <w:tcW w:w="1909" w:type="dxa"/>
                  <w:tcBorders>
                    <w:tl2br w:val="nil"/>
                    <w:tr2bl w:val="nil"/>
                  </w:tcBorders>
                  <w:vAlign w:val="center"/>
                </w:tcPr>
                <w:p w14:paraId="4E45C07F">
                  <w:pPr>
                    <w:pStyle w:val="148"/>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排泥水经絮凝处理后排放至穆棱河</w:t>
                  </w:r>
                </w:p>
              </w:tc>
            </w:tr>
            <w:tr w14:paraId="71B564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7" w:type="dxa"/>
                  <w:tcBorders>
                    <w:tl2br w:val="nil"/>
                    <w:tr2bl w:val="nil"/>
                  </w:tcBorders>
                  <w:shd w:val="clear" w:color="auto" w:fill="auto"/>
                  <w:vAlign w:val="center"/>
                </w:tcPr>
                <w:p w14:paraId="3B79FDAD">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消毒剂为液氯，原水经处理加氯消毒，液氯总储量4.5t</w:t>
                  </w:r>
                </w:p>
              </w:tc>
              <w:tc>
                <w:tcPr>
                  <w:tcW w:w="3411" w:type="dxa"/>
                  <w:tcBorders>
                    <w:tl2br w:val="nil"/>
                    <w:tr2bl w:val="nil"/>
                  </w:tcBorders>
                  <w:vAlign w:val="center"/>
                </w:tcPr>
                <w:p w14:paraId="6681F8B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本项目新建2台次氯酸钠发生器，辅料取消液氯，新增次氯酸钠溶液。</w:t>
                  </w:r>
                </w:p>
              </w:tc>
              <w:tc>
                <w:tcPr>
                  <w:tcW w:w="1909" w:type="dxa"/>
                  <w:tcBorders>
                    <w:tl2br w:val="nil"/>
                    <w:tr2bl w:val="nil"/>
                  </w:tcBorders>
                  <w:vAlign w:val="center"/>
                </w:tcPr>
                <w:p w14:paraId="65EED7C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消毒方式改为次氯酸钠发生器</w:t>
                  </w:r>
                </w:p>
              </w:tc>
            </w:tr>
          </w:tbl>
          <w:p w14:paraId="08CF8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b/>
                <w:color w:val="auto"/>
                <w:szCs w:val="21"/>
                <w:highlight w:val="none"/>
              </w:rPr>
            </w:pPr>
          </w:p>
          <w:p w14:paraId="6315BA27">
            <w:pPr>
              <w:keepNext w:val="0"/>
              <w:keepLines w:val="0"/>
              <w:widowControl/>
              <w:suppressLineNumbers w:val="0"/>
              <w:spacing w:before="0" w:beforeAutospacing="0" w:after="0" w:afterAutospacing="0"/>
              <w:ind w:left="0" w:right="0" w:firstLine="422" w:firstLineChars="200"/>
              <w:jc w:val="center"/>
              <w:rPr>
                <w:rFonts w:hint="default"/>
                <w:b/>
                <w:color w:val="auto"/>
                <w:szCs w:val="21"/>
                <w:highlight w:val="none"/>
              </w:rPr>
            </w:pPr>
            <w:r>
              <w:rPr>
                <w:rFonts w:hint="default"/>
                <w:b/>
                <w:color w:val="auto"/>
                <w:szCs w:val="21"/>
                <w:highlight w:val="none"/>
              </w:rPr>
              <w:t>表2-</w:t>
            </w:r>
            <w:r>
              <w:rPr>
                <w:rFonts w:hint="eastAsia"/>
                <w:b/>
                <w:color w:val="auto"/>
                <w:szCs w:val="21"/>
                <w:highlight w:val="none"/>
                <w:lang w:val="en-US" w:eastAsia="zh-CN"/>
              </w:rPr>
              <w:t>3本</w:t>
            </w:r>
            <w:r>
              <w:rPr>
                <w:rFonts w:hint="default"/>
                <w:b/>
                <w:color w:val="auto"/>
                <w:szCs w:val="21"/>
                <w:highlight w:val="none"/>
              </w:rPr>
              <w:t>项目</w:t>
            </w:r>
            <w:r>
              <w:rPr>
                <w:rFonts w:hint="eastAsia"/>
                <w:b/>
                <w:color w:val="auto"/>
                <w:szCs w:val="21"/>
                <w:highlight w:val="none"/>
                <w:lang w:val="en-US" w:eastAsia="zh-CN"/>
              </w:rPr>
              <w:t>工程组成</w:t>
            </w:r>
            <w:r>
              <w:rPr>
                <w:rFonts w:hint="default"/>
                <w:b/>
                <w:color w:val="auto"/>
                <w:szCs w:val="21"/>
                <w:highlight w:val="none"/>
              </w:rPr>
              <w:t>一览表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4"/>
              <w:gridCol w:w="1104"/>
              <w:gridCol w:w="4639"/>
              <w:gridCol w:w="1870"/>
            </w:tblGrid>
            <w:tr w14:paraId="35F830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pct"/>
                  <w:gridSpan w:val="2"/>
                  <w:tcBorders>
                    <w:tl2br w:val="nil"/>
                    <w:tr2bl w:val="nil"/>
                  </w:tcBorders>
                  <w:vAlign w:val="center"/>
                </w:tcPr>
                <w:p w14:paraId="09EAB44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建设内容</w:t>
                  </w:r>
                </w:p>
              </w:tc>
              <w:tc>
                <w:tcPr>
                  <w:tcW w:w="2809" w:type="pct"/>
                  <w:tcBorders>
                    <w:tl2br w:val="nil"/>
                    <w:tr2bl w:val="nil"/>
                  </w:tcBorders>
                  <w:vAlign w:val="center"/>
                </w:tcPr>
                <w:p w14:paraId="19ED568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建设规模及内容</w:t>
                  </w:r>
                </w:p>
              </w:tc>
              <w:tc>
                <w:tcPr>
                  <w:tcW w:w="1132" w:type="pct"/>
                  <w:tcBorders>
                    <w:tl2br w:val="nil"/>
                    <w:tr2bl w:val="nil"/>
                  </w:tcBorders>
                  <w:vAlign w:val="center"/>
                </w:tcPr>
                <w:p w14:paraId="5861718E">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备注</w:t>
                  </w:r>
                </w:p>
              </w:tc>
            </w:tr>
            <w:tr w14:paraId="052FBF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3" w:hRule="atLeast"/>
                <w:jc w:val="center"/>
              </w:trPr>
              <w:tc>
                <w:tcPr>
                  <w:tcW w:w="389" w:type="pct"/>
                  <w:vMerge w:val="restart"/>
                  <w:tcBorders>
                    <w:tl2br w:val="nil"/>
                    <w:tr2bl w:val="nil"/>
                  </w:tcBorders>
                  <w:shd w:val="clear" w:color="auto" w:fill="auto"/>
                  <w:vAlign w:val="center"/>
                </w:tcPr>
                <w:p w14:paraId="1B41953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主体工程</w:t>
                  </w:r>
                </w:p>
              </w:tc>
              <w:tc>
                <w:tcPr>
                  <w:tcW w:w="668" w:type="pct"/>
                  <w:tcBorders>
                    <w:tl2br w:val="nil"/>
                    <w:tr2bl w:val="nil"/>
                  </w:tcBorders>
                  <w:shd w:val="clear" w:color="auto" w:fill="auto"/>
                  <w:vAlign w:val="center"/>
                </w:tcPr>
                <w:p w14:paraId="116A6687">
                  <w:pPr>
                    <w:keepNext w:val="0"/>
                    <w:keepLines w:val="0"/>
                    <w:widowControl/>
                    <w:suppressLineNumbers w:val="0"/>
                    <w:spacing w:before="0" w:beforeAutospacing="0" w:after="0" w:afterAutospacing="0"/>
                    <w:ind w:left="0" w:leftChars="0" w:right="0" w:rightChars="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引水工程</w:t>
                  </w:r>
                </w:p>
              </w:tc>
              <w:tc>
                <w:tcPr>
                  <w:tcW w:w="2809" w:type="pct"/>
                  <w:tcBorders>
                    <w:tl2br w:val="nil"/>
                    <w:tr2bl w:val="nil"/>
                  </w:tcBorders>
                  <w:shd w:val="clear" w:color="auto" w:fill="auto"/>
                  <w:vAlign w:val="center"/>
                </w:tcPr>
                <w:p w14:paraId="77AB9E6E">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本项目原有水源为哈达水库水源，引水工程于1993年投入使用，</w:t>
                  </w:r>
                  <w:r>
                    <w:rPr>
                      <w:rFonts w:hint="default" w:ascii="Times New Roman" w:hAnsi="Times New Roman" w:eastAsia="宋体" w:cs="Times New Roman"/>
                      <w:color w:val="auto"/>
                      <w:kern w:val="0"/>
                      <w:sz w:val="18"/>
                      <w:szCs w:val="18"/>
                      <w:highlight w:val="none"/>
                      <w:lang w:val="en-US" w:eastAsia="zh-CN" w:bidi="ar"/>
                    </w:rPr>
                    <w:t>由DN800两根原水输水管线输送至水厂，输水管线总长25.8公里，</w:t>
                  </w:r>
                  <w:r>
                    <w:rPr>
                      <w:rFonts w:hint="eastAsia" w:ascii="Times New Roman" w:hAnsi="Times New Roman" w:eastAsia="宋体" w:cs="Times New Roman"/>
                      <w:color w:val="auto"/>
                      <w:kern w:val="0"/>
                      <w:sz w:val="18"/>
                      <w:szCs w:val="18"/>
                      <w:highlight w:val="none"/>
                      <w:lang w:val="en-US" w:eastAsia="zh-CN" w:bidi="ar"/>
                    </w:rPr>
                    <w:t>现水源为依托鸡西市市区引水工程，该工程2017年竣工后将兴凯湖水源引至哈达水库，本次项目依托原有引水工程。</w:t>
                  </w:r>
                </w:p>
              </w:tc>
              <w:tc>
                <w:tcPr>
                  <w:tcW w:w="1132" w:type="pct"/>
                  <w:tcBorders>
                    <w:tl2br w:val="nil"/>
                    <w:tr2bl w:val="nil"/>
                  </w:tcBorders>
                  <w:vAlign w:val="center"/>
                </w:tcPr>
                <w:p w14:paraId="1B4EC0D7">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34F629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389" w:type="pct"/>
                  <w:vMerge w:val="continue"/>
                  <w:tcBorders>
                    <w:tl2br w:val="nil"/>
                    <w:tr2bl w:val="nil"/>
                  </w:tcBorders>
                  <w:shd w:val="clear" w:color="auto" w:fill="auto"/>
                  <w:vAlign w:val="center"/>
                </w:tcPr>
                <w:p w14:paraId="2753A8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668" w:type="pct"/>
                  <w:tcBorders>
                    <w:tl2br w:val="nil"/>
                    <w:tr2bl w:val="nil"/>
                  </w:tcBorders>
                  <w:shd w:val="clear" w:color="auto" w:fill="auto"/>
                  <w:vAlign w:val="center"/>
                </w:tcPr>
                <w:p w14:paraId="4583C915">
                  <w:pPr>
                    <w:keepNext w:val="0"/>
                    <w:keepLines w:val="0"/>
                    <w:widowControl/>
                    <w:suppressLineNumbers w:val="0"/>
                    <w:spacing w:before="0" w:beforeAutospacing="0" w:after="0" w:afterAutospacing="0"/>
                    <w:ind w:left="0" w:leftChars="0" w:right="0" w:rightChars="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排水工程</w:t>
                  </w:r>
                </w:p>
              </w:tc>
              <w:tc>
                <w:tcPr>
                  <w:tcW w:w="2809" w:type="pct"/>
                  <w:tcBorders>
                    <w:tl2br w:val="nil"/>
                    <w:tr2bl w:val="nil"/>
                  </w:tcBorders>
                  <w:shd w:val="clear" w:color="auto" w:fill="auto"/>
                  <w:vAlign w:val="center"/>
                </w:tcPr>
                <w:p w14:paraId="7BAE5DC7">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排水工程为1993年建成后投入使用，排污口地理坐标为:经度为130.943382，纬度为45.326893。污水经长度约为1.55km管道排入干渠流入穆棱河。本次依托原有排水工程。</w:t>
                  </w:r>
                </w:p>
              </w:tc>
              <w:tc>
                <w:tcPr>
                  <w:tcW w:w="1132" w:type="pct"/>
                  <w:tcBorders>
                    <w:tl2br w:val="nil"/>
                    <w:tr2bl w:val="nil"/>
                  </w:tcBorders>
                  <w:vAlign w:val="center"/>
                </w:tcPr>
                <w:p w14:paraId="3AC53E6C">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62AD88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3" w:hRule="atLeast"/>
                <w:jc w:val="center"/>
              </w:trPr>
              <w:tc>
                <w:tcPr>
                  <w:tcW w:w="389" w:type="pct"/>
                  <w:vMerge w:val="continue"/>
                  <w:tcBorders>
                    <w:tl2br w:val="nil"/>
                    <w:tr2bl w:val="nil"/>
                  </w:tcBorders>
                  <w:shd w:val="clear" w:color="auto" w:fill="auto"/>
                  <w:vAlign w:val="center"/>
                </w:tcPr>
                <w:p w14:paraId="065007A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668" w:type="pct"/>
                  <w:vMerge w:val="restart"/>
                  <w:tcBorders>
                    <w:tl2br w:val="nil"/>
                    <w:tr2bl w:val="nil"/>
                  </w:tcBorders>
                  <w:shd w:val="clear" w:color="auto" w:fill="auto"/>
                  <w:vAlign w:val="center"/>
                </w:tcPr>
                <w:p w14:paraId="566166DD">
                  <w:pPr>
                    <w:keepNext w:val="0"/>
                    <w:keepLines w:val="0"/>
                    <w:widowControl/>
                    <w:suppressLineNumbers w:val="0"/>
                    <w:spacing w:before="0" w:beforeAutospacing="0" w:after="0" w:afterAutospacing="0"/>
                    <w:ind w:left="0" w:leftChars="0" w:right="0" w:rightChars="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净水系统</w:t>
                  </w:r>
                </w:p>
              </w:tc>
              <w:tc>
                <w:tcPr>
                  <w:tcW w:w="2809" w:type="pct"/>
                  <w:tcBorders>
                    <w:tl2br w:val="nil"/>
                    <w:tr2bl w:val="nil"/>
                  </w:tcBorders>
                  <w:shd w:val="clear" w:color="auto" w:fill="auto"/>
                  <w:vAlign w:val="center"/>
                </w:tcPr>
                <w:p w14:paraId="668F3BA2">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1993年净水系统，设计规模5万m</w:t>
                  </w:r>
                  <w:r>
                    <w:rPr>
                      <w:rFonts w:hint="default" w:ascii="Times New Roman" w:hAnsi="Times New Roman" w:eastAsia="宋体" w:cs="Times New Roman"/>
                      <w:color w:val="auto"/>
                      <w:kern w:val="0"/>
                      <w:sz w:val="18"/>
                      <w:szCs w:val="18"/>
                      <w:highlight w:val="none"/>
                      <w:vertAlign w:val="superscript"/>
                      <w:lang w:val="en-US" w:eastAsia="zh-CN" w:bidi="ar"/>
                    </w:rPr>
                    <w:t>3</w:t>
                  </w:r>
                  <w:r>
                    <w:rPr>
                      <w:rFonts w:hint="default" w:ascii="Times New Roman" w:hAnsi="Times New Roman" w:eastAsia="宋体" w:cs="Times New Roman"/>
                      <w:color w:val="auto"/>
                      <w:kern w:val="0"/>
                      <w:sz w:val="18"/>
                      <w:szCs w:val="18"/>
                      <w:highlight w:val="none"/>
                      <w:lang w:val="en-US" w:eastAsia="zh-CN" w:bidi="ar"/>
                    </w:rPr>
                    <w:t>/d，砖混结构2层建筑，占地面积2100m</w:t>
                  </w:r>
                  <w:r>
                    <w:rPr>
                      <w:rFonts w:hint="default" w:ascii="Times New Roman" w:hAnsi="Times New Roman" w:eastAsia="宋体" w:cs="Times New Roman"/>
                      <w:color w:val="auto"/>
                      <w:kern w:val="0"/>
                      <w:sz w:val="18"/>
                      <w:szCs w:val="18"/>
                      <w:highlight w:val="none"/>
                      <w:vertAlign w:val="superscript"/>
                      <w:lang w:val="en-US" w:eastAsia="zh-CN" w:bidi="ar"/>
                    </w:rPr>
                    <w:t>2</w:t>
                  </w:r>
                  <w:r>
                    <w:rPr>
                      <w:rFonts w:hint="default" w:ascii="Times New Roman" w:hAnsi="Times New Roman" w:eastAsia="宋体" w:cs="Times New Roman"/>
                      <w:color w:val="auto"/>
                      <w:kern w:val="0"/>
                      <w:sz w:val="18"/>
                      <w:szCs w:val="18"/>
                      <w:highlight w:val="none"/>
                      <w:lang w:val="en-US" w:eastAsia="zh-CN" w:bidi="ar"/>
                    </w:rPr>
                    <w:t>，高9m，车间内设置网格絮凝池、斜板沉淀池、双阀滤池，本次对老化设备进行更换。</w:t>
                  </w:r>
                  <w:r>
                    <w:rPr>
                      <w:rFonts w:hint="eastAsia" w:cs="Times New Roman"/>
                      <w:color w:val="auto"/>
                      <w:kern w:val="0"/>
                      <w:sz w:val="18"/>
                      <w:szCs w:val="18"/>
                      <w:highlight w:val="none"/>
                      <w:lang w:val="en-US" w:eastAsia="zh-CN" w:bidi="ar"/>
                    </w:rPr>
                    <w:t>更换内容见表2-5中序号1-45。</w:t>
                  </w:r>
                </w:p>
              </w:tc>
              <w:tc>
                <w:tcPr>
                  <w:tcW w:w="1132" w:type="pct"/>
                  <w:tcBorders>
                    <w:tl2br w:val="nil"/>
                    <w:tr2bl w:val="nil"/>
                  </w:tcBorders>
                  <w:vAlign w:val="center"/>
                </w:tcPr>
                <w:p w14:paraId="691FBB2A">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已建成</w:t>
                  </w:r>
                </w:p>
              </w:tc>
            </w:tr>
            <w:tr w14:paraId="5EA4BD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continue"/>
                  <w:tcBorders>
                    <w:tl2br w:val="nil"/>
                    <w:tr2bl w:val="nil"/>
                  </w:tcBorders>
                  <w:shd w:val="clear" w:color="auto" w:fill="auto"/>
                  <w:vAlign w:val="center"/>
                </w:tcPr>
                <w:p w14:paraId="3F2E132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8" w:type="pct"/>
                  <w:vMerge w:val="continue"/>
                  <w:tcBorders>
                    <w:tl2br w:val="nil"/>
                    <w:tr2bl w:val="nil"/>
                  </w:tcBorders>
                  <w:shd w:val="clear" w:color="auto" w:fill="auto"/>
                  <w:vAlign w:val="center"/>
                </w:tcPr>
                <w:p w14:paraId="1BE6098D">
                  <w:pPr>
                    <w:keepNext w:val="0"/>
                    <w:keepLines w:val="0"/>
                    <w:widowControl/>
                    <w:suppressLineNumbers w:val="0"/>
                    <w:spacing w:before="0" w:beforeAutospacing="0" w:after="0" w:afterAutospacing="0"/>
                    <w:ind w:left="0" w:leftChars="0" w:right="0" w:rightChars="0"/>
                    <w:jc w:val="center"/>
                    <w:rPr>
                      <w:rFonts w:hint="eastAsia" w:cs="Times New Roman"/>
                      <w:bCs/>
                      <w:color w:val="auto"/>
                      <w:sz w:val="18"/>
                      <w:szCs w:val="18"/>
                      <w:highlight w:val="none"/>
                      <w:lang w:val="en-US" w:eastAsia="zh-CN"/>
                    </w:rPr>
                  </w:pPr>
                </w:p>
              </w:tc>
              <w:tc>
                <w:tcPr>
                  <w:tcW w:w="2809" w:type="pct"/>
                  <w:tcBorders>
                    <w:tl2br w:val="nil"/>
                    <w:tr2bl w:val="nil"/>
                  </w:tcBorders>
                  <w:shd w:val="clear" w:color="auto" w:fill="auto"/>
                  <w:vAlign w:val="center"/>
                </w:tcPr>
                <w:p w14:paraId="72FA918A">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2010年净水系统，设计规模3万m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/d，占地面积2200m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，高9m，车间内设置折板絮凝池，斜管沉淀池，V型滤池。</w:t>
                  </w:r>
                </w:p>
              </w:tc>
              <w:tc>
                <w:tcPr>
                  <w:tcW w:w="1132" w:type="pct"/>
                  <w:tcBorders>
                    <w:tl2br w:val="nil"/>
                    <w:tr2bl w:val="nil"/>
                  </w:tcBorders>
                  <w:vAlign w:val="center"/>
                </w:tcPr>
                <w:p w14:paraId="610C60C3">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79343A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continue"/>
                  <w:tcBorders>
                    <w:tl2br w:val="nil"/>
                    <w:tr2bl w:val="nil"/>
                  </w:tcBorders>
                  <w:shd w:val="clear" w:color="auto" w:fill="auto"/>
                  <w:vAlign w:val="center"/>
                </w:tcPr>
                <w:p w14:paraId="3B88243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8" w:type="pct"/>
                  <w:tcBorders>
                    <w:tl2br w:val="nil"/>
                    <w:tr2bl w:val="nil"/>
                  </w:tcBorders>
                  <w:shd w:val="clear" w:color="auto" w:fill="auto"/>
                  <w:vAlign w:val="center"/>
                </w:tcPr>
                <w:p w14:paraId="02463609">
                  <w:pPr>
                    <w:pStyle w:val="148"/>
                    <w:keepNext w:val="0"/>
                    <w:keepLines w:val="0"/>
                    <w:suppressLineNumbers w:val="0"/>
                    <w:spacing w:before="0" w:beforeAutospacing="0" w:after="0" w:afterAutospacing="0"/>
                    <w:ind w:left="0" w:leftChars="0" w:right="0" w:rightChars="0"/>
                    <w:jc w:val="center"/>
                    <w:rPr>
                      <w:rFonts w:hint="default" w:cs="Times New Roman"/>
                      <w:bCs/>
                      <w:color w:val="auto"/>
                      <w:sz w:val="18"/>
                      <w:szCs w:val="18"/>
                      <w:highlight w:val="none"/>
                      <w:lang w:val="en-US" w:eastAsia="zh-CN"/>
                    </w:rPr>
                  </w:pPr>
                  <w:r>
                    <w:rPr>
                      <w:rFonts w:hint="eastAsia" w:cs="Times New Roman" w:eastAsiaTheme="minorEastAsia"/>
                      <w:color w:val="auto"/>
                      <w:kern w:val="0"/>
                      <w:sz w:val="18"/>
                      <w:szCs w:val="18"/>
                      <w:highlight w:val="none"/>
                      <w:lang w:val="en-US" w:eastAsia="zh-CN" w:bidi="ar"/>
                    </w:rPr>
                    <w:t>深度处理系统</w:t>
                  </w:r>
                </w:p>
              </w:tc>
              <w:tc>
                <w:tcPr>
                  <w:tcW w:w="2809" w:type="pct"/>
                  <w:tcBorders>
                    <w:tl2br w:val="nil"/>
                    <w:tr2bl w:val="nil"/>
                  </w:tcBorders>
                  <w:shd w:val="clear" w:color="auto" w:fill="auto"/>
                  <w:vAlign w:val="center"/>
                </w:tcPr>
                <w:p w14:paraId="204FACAB">
                  <w:pPr>
                    <w:keepNext w:val="0"/>
                    <w:keepLines w:val="0"/>
                    <w:widowControl/>
                    <w:suppressLineNumbers w:val="0"/>
                    <w:spacing w:before="0" w:beforeAutospacing="0" w:after="0" w:afterAutospacing="0"/>
                    <w:ind w:left="0" w:leftChars="0" w:right="0" w:rightChars="0"/>
                    <w:jc w:val="center"/>
                    <w:rPr>
                      <w:rFonts w:hint="default"/>
                      <w:color w:val="auto"/>
                      <w:spacing w:val="4"/>
                      <w:sz w:val="18"/>
                      <w:szCs w:val="18"/>
                      <w:highlight w:val="none"/>
                      <w:vertAlign w:val="baseline"/>
                      <w:lang w:val="en-US" w:eastAsia="zh-CN"/>
                    </w:rPr>
                  </w:pPr>
                  <w:r>
                    <w:rPr>
                      <w:rFonts w:hint="eastAsia" w:cs="Times New Roman" w:eastAsiaTheme="minorEastAsia"/>
                      <w:color w:val="auto"/>
                      <w:kern w:val="0"/>
                      <w:sz w:val="18"/>
                      <w:szCs w:val="18"/>
                      <w:highlight w:val="none"/>
                      <w:lang w:val="en-US" w:eastAsia="zh-CN" w:bidi="ar"/>
                    </w:rPr>
                    <w:t>新建1套深度处理系统，设计规模8万m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/d，砖混结构2层建筑，占地面积1800m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，高9m，车间内设置絮凝池、臭氧接触池、活性炭滤池、排泥池、废水回收池。</w:t>
                  </w:r>
                </w:p>
              </w:tc>
              <w:tc>
                <w:tcPr>
                  <w:tcW w:w="1132" w:type="pct"/>
                  <w:tcBorders>
                    <w:tl2br w:val="nil"/>
                    <w:tr2bl w:val="nil"/>
                  </w:tcBorders>
                  <w:vAlign w:val="center"/>
                </w:tcPr>
                <w:p w14:paraId="0FE261FB">
                  <w:pPr>
                    <w:keepNext w:val="0"/>
                    <w:keepLines w:val="0"/>
                    <w:suppressLineNumbers w:val="0"/>
                    <w:spacing w:before="0" w:beforeAutospacing="0" w:after="0" w:afterAutospacing="0"/>
                    <w:ind w:left="0" w:leftChars="0" w:right="0" w:rightChars="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试运行调试中，未投产</w:t>
                  </w:r>
                </w:p>
              </w:tc>
            </w:tr>
            <w:tr w14:paraId="5BFEA6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continue"/>
                  <w:tcBorders>
                    <w:tl2br w:val="nil"/>
                    <w:tr2bl w:val="nil"/>
                  </w:tcBorders>
                  <w:shd w:val="clear" w:color="auto" w:fill="auto"/>
                  <w:vAlign w:val="center"/>
                </w:tcPr>
                <w:p w14:paraId="3ECF54C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8" w:type="pct"/>
                  <w:tcBorders>
                    <w:tl2br w:val="nil"/>
                    <w:tr2bl w:val="nil"/>
                  </w:tcBorders>
                  <w:shd w:val="clear" w:color="auto" w:fill="auto"/>
                  <w:vAlign w:val="center"/>
                </w:tcPr>
                <w:p w14:paraId="0A50D3F8">
                  <w:pPr>
                    <w:pStyle w:val="148"/>
                    <w:keepNext w:val="0"/>
                    <w:keepLines w:val="0"/>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给水泵房</w:t>
                  </w:r>
                </w:p>
              </w:tc>
              <w:tc>
                <w:tcPr>
                  <w:tcW w:w="2809" w:type="pct"/>
                  <w:tcBorders>
                    <w:tl2br w:val="nil"/>
                    <w:tr2bl w:val="nil"/>
                  </w:tcBorders>
                  <w:shd w:val="clear" w:color="auto" w:fill="auto"/>
                  <w:vAlign w:val="center"/>
                </w:tcPr>
                <w:p w14:paraId="54BB8FA7">
                  <w:pPr>
                    <w:keepNext w:val="0"/>
                    <w:keepLines w:val="0"/>
                    <w:widowControl/>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砖混结构，占地面积630m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，高3m，内置11台给水泵（其中2台备用）。</w:t>
                  </w:r>
                </w:p>
              </w:tc>
              <w:tc>
                <w:tcPr>
                  <w:tcW w:w="1132" w:type="pct"/>
                  <w:tcBorders>
                    <w:tl2br w:val="nil"/>
                    <w:tr2bl w:val="nil"/>
                  </w:tcBorders>
                  <w:vAlign w:val="center"/>
                </w:tcPr>
                <w:p w14:paraId="09308024">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206A74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continue"/>
                  <w:tcBorders>
                    <w:tl2br w:val="nil"/>
                    <w:tr2bl w:val="nil"/>
                  </w:tcBorders>
                  <w:shd w:val="clear" w:color="auto" w:fill="auto"/>
                  <w:vAlign w:val="center"/>
                </w:tcPr>
                <w:p w14:paraId="6D2B743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8" w:type="pct"/>
                  <w:tcBorders>
                    <w:tl2br w:val="nil"/>
                    <w:tr2bl w:val="nil"/>
                  </w:tcBorders>
                  <w:shd w:val="clear" w:color="auto" w:fill="auto"/>
                  <w:vAlign w:val="center"/>
                </w:tcPr>
                <w:p w14:paraId="102DCF4F">
                  <w:pPr>
                    <w:pStyle w:val="148"/>
                    <w:keepNext w:val="0"/>
                    <w:keepLines w:val="0"/>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加药间</w:t>
                  </w:r>
                </w:p>
              </w:tc>
              <w:tc>
                <w:tcPr>
                  <w:tcW w:w="2809" w:type="pct"/>
                  <w:tcBorders>
                    <w:tl2br w:val="nil"/>
                    <w:tr2bl w:val="nil"/>
                  </w:tcBorders>
                  <w:shd w:val="clear" w:color="auto" w:fill="auto"/>
                  <w:vAlign w:val="center"/>
                </w:tcPr>
                <w:p w14:paraId="1922C979">
                  <w:pPr>
                    <w:keepNext w:val="0"/>
                    <w:keepLines w:val="0"/>
                    <w:widowControl/>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砖混结构，占地面积600m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，高3m，用于配置不同浓度的聚合氯化铝以及药剂储存，聚合氯化铝最大储存量360t，聚丙烯酰胺最大储存量40t，配药区域设置1个90m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、1个70m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的混药池。</w:t>
                  </w:r>
                </w:p>
              </w:tc>
              <w:tc>
                <w:tcPr>
                  <w:tcW w:w="1132" w:type="pct"/>
                  <w:tcBorders>
                    <w:tl2br w:val="nil"/>
                    <w:tr2bl w:val="nil"/>
                  </w:tcBorders>
                  <w:vAlign w:val="center"/>
                </w:tcPr>
                <w:p w14:paraId="1140CE5C">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已建成</w:t>
                  </w:r>
                </w:p>
              </w:tc>
            </w:tr>
            <w:tr w14:paraId="4715B0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continue"/>
                  <w:tcBorders>
                    <w:tl2br w:val="nil"/>
                    <w:tr2bl w:val="nil"/>
                  </w:tcBorders>
                  <w:shd w:val="clear" w:color="auto" w:fill="auto"/>
                  <w:vAlign w:val="center"/>
                </w:tcPr>
                <w:p w14:paraId="5A16003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8" w:type="pct"/>
                  <w:tcBorders>
                    <w:tl2br w:val="nil"/>
                    <w:tr2bl w:val="nil"/>
                  </w:tcBorders>
                  <w:shd w:val="clear" w:color="auto" w:fill="auto"/>
                  <w:vAlign w:val="center"/>
                </w:tcPr>
                <w:p w14:paraId="565E7E14">
                  <w:pPr>
                    <w:pStyle w:val="148"/>
                    <w:keepNext w:val="0"/>
                    <w:keepLines w:val="0"/>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污泥处理间</w:t>
                  </w:r>
                </w:p>
              </w:tc>
              <w:tc>
                <w:tcPr>
                  <w:tcW w:w="2809" w:type="pct"/>
                  <w:tcBorders>
                    <w:tl2br w:val="nil"/>
                    <w:tr2bl w:val="nil"/>
                  </w:tcBorders>
                  <w:shd w:val="clear" w:color="auto" w:fill="auto"/>
                  <w:vAlign w:val="center"/>
                </w:tcPr>
                <w:p w14:paraId="5079B1EC">
                  <w:pPr>
                    <w:keepNext w:val="0"/>
                    <w:keepLines w:val="0"/>
                    <w:widowControl/>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砖混结构2层建筑，占地面积360m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，高6m，内置2套污泥压滤处理系统，1用1备。</w:t>
                  </w:r>
                </w:p>
              </w:tc>
              <w:tc>
                <w:tcPr>
                  <w:tcW w:w="1132" w:type="pct"/>
                  <w:tcBorders>
                    <w:tl2br w:val="nil"/>
                    <w:tr2bl w:val="nil"/>
                  </w:tcBorders>
                  <w:vAlign w:val="center"/>
                </w:tcPr>
                <w:p w14:paraId="67C2928A">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已建成</w:t>
                  </w:r>
                </w:p>
              </w:tc>
            </w:tr>
            <w:tr w14:paraId="4485F5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continue"/>
                  <w:tcBorders>
                    <w:tl2br w:val="nil"/>
                    <w:tr2bl w:val="nil"/>
                  </w:tcBorders>
                  <w:shd w:val="clear" w:color="auto" w:fill="auto"/>
                  <w:vAlign w:val="center"/>
                </w:tcPr>
                <w:p w14:paraId="38012BA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8" w:type="pct"/>
                  <w:tcBorders>
                    <w:tl2br w:val="nil"/>
                    <w:tr2bl w:val="nil"/>
                  </w:tcBorders>
                  <w:shd w:val="clear" w:color="auto" w:fill="auto"/>
                  <w:vAlign w:val="center"/>
                </w:tcPr>
                <w:p w14:paraId="55DB49C6">
                  <w:pPr>
                    <w:pStyle w:val="148"/>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排泥池</w:t>
                  </w:r>
                </w:p>
              </w:tc>
              <w:tc>
                <w:tcPr>
                  <w:tcW w:w="2809" w:type="pct"/>
                  <w:tcBorders>
                    <w:tl2br w:val="nil"/>
                    <w:tr2bl w:val="nil"/>
                  </w:tcBorders>
                  <w:shd w:val="clear" w:color="auto" w:fill="auto"/>
                  <w:vAlign w:val="center"/>
                </w:tcPr>
                <w:p w14:paraId="3C48482C">
                  <w:pPr>
                    <w:keepNext w:val="0"/>
                    <w:keepLines w:val="0"/>
                    <w:widowControl/>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位于污泥处理间地下，总容积450m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，最大储存量380m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w:t>
                  </w:r>
                </w:p>
              </w:tc>
              <w:tc>
                <w:tcPr>
                  <w:tcW w:w="1132" w:type="pct"/>
                  <w:tcBorders>
                    <w:tl2br w:val="nil"/>
                    <w:tr2bl w:val="nil"/>
                  </w:tcBorders>
                  <w:vAlign w:val="center"/>
                </w:tcPr>
                <w:p w14:paraId="73AC5555">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已建成</w:t>
                  </w:r>
                </w:p>
              </w:tc>
            </w:tr>
            <w:tr w14:paraId="61EF31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continue"/>
                  <w:tcBorders>
                    <w:tl2br w:val="nil"/>
                    <w:tr2bl w:val="nil"/>
                  </w:tcBorders>
                  <w:shd w:val="clear" w:color="auto" w:fill="auto"/>
                  <w:vAlign w:val="center"/>
                </w:tcPr>
                <w:p w14:paraId="7ED5077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8" w:type="pct"/>
                  <w:tcBorders>
                    <w:tl2br w:val="nil"/>
                    <w:tr2bl w:val="nil"/>
                  </w:tcBorders>
                  <w:shd w:val="clear" w:color="auto" w:fill="auto"/>
                  <w:vAlign w:val="center"/>
                </w:tcPr>
                <w:p w14:paraId="7AF1BBAB">
                  <w:pPr>
                    <w:pStyle w:val="148"/>
                    <w:keepNext w:val="0"/>
                    <w:keepLines w:val="0"/>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加氯间</w:t>
                  </w:r>
                </w:p>
              </w:tc>
              <w:tc>
                <w:tcPr>
                  <w:tcW w:w="2809" w:type="pct"/>
                  <w:tcBorders>
                    <w:tl2br w:val="nil"/>
                    <w:tr2bl w:val="nil"/>
                  </w:tcBorders>
                  <w:shd w:val="clear" w:color="auto" w:fill="auto"/>
                  <w:vAlign w:val="center"/>
                </w:tcPr>
                <w:p w14:paraId="079F268F">
                  <w:pPr>
                    <w:keepNext w:val="0"/>
                    <w:keepLines w:val="0"/>
                    <w:widowControl/>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砖混结构，占地面积200m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vertAlign w:val="baseline"/>
                      <w:lang w:val="en-US" w:eastAsia="zh-CN" w:bidi="ar"/>
                    </w:rPr>
                    <w:t>，本次进行设备改造，拆除原有加氯系统，取消罐装液氯。新建4套次氯酸钠发生器，配套建设2个2t次氯酸钠溶液储罐，次氯酸钠溶液通过加氯间管道泵送至净水管道与净水混合。</w:t>
                  </w:r>
                </w:p>
              </w:tc>
              <w:tc>
                <w:tcPr>
                  <w:tcW w:w="1132" w:type="pct"/>
                  <w:tcBorders>
                    <w:tl2br w:val="nil"/>
                    <w:tr2bl w:val="nil"/>
                  </w:tcBorders>
                  <w:vAlign w:val="center"/>
                </w:tcPr>
                <w:p w14:paraId="1A94BDCF">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r w14:paraId="4F8721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restart"/>
                  <w:tcBorders>
                    <w:tl2br w:val="nil"/>
                    <w:tr2bl w:val="nil"/>
                  </w:tcBorders>
                  <w:shd w:val="clear" w:color="auto" w:fill="auto"/>
                  <w:vAlign w:val="center"/>
                </w:tcPr>
                <w:p w14:paraId="065182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辅助工程</w:t>
                  </w:r>
                </w:p>
              </w:tc>
              <w:tc>
                <w:tcPr>
                  <w:tcW w:w="668" w:type="pct"/>
                  <w:tcBorders>
                    <w:tl2br w:val="nil"/>
                    <w:tr2bl w:val="nil"/>
                  </w:tcBorders>
                  <w:shd w:val="clear" w:color="auto" w:fill="auto"/>
                  <w:vAlign w:val="center"/>
                </w:tcPr>
                <w:p w14:paraId="696F2E9F">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综合楼</w:t>
                  </w:r>
                </w:p>
              </w:tc>
              <w:tc>
                <w:tcPr>
                  <w:tcW w:w="2809" w:type="pct"/>
                  <w:tcBorders>
                    <w:tl2br w:val="nil"/>
                    <w:tr2bl w:val="nil"/>
                  </w:tcBorders>
                  <w:shd w:val="clear" w:color="auto" w:fill="auto"/>
                  <w:vAlign w:val="center"/>
                </w:tcPr>
                <w:p w14:paraId="23A4894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占地面积500</w:t>
                  </w:r>
                  <w:r>
                    <w:rPr>
                      <w:rFonts w:hint="default"/>
                      <w:color w:val="auto"/>
                      <w:spacing w:val="4"/>
                      <w:sz w:val="18"/>
                      <w:szCs w:val="18"/>
                      <w:highlight w:val="none"/>
                    </w:rPr>
                    <w:t>m²</w:t>
                  </w:r>
                  <w:r>
                    <w:rPr>
                      <w:rFonts w:hint="eastAsia"/>
                      <w:color w:val="auto"/>
                      <w:spacing w:val="4"/>
                      <w:sz w:val="18"/>
                      <w:szCs w:val="18"/>
                      <w:highlight w:val="none"/>
                      <w:vertAlign w:val="baseline"/>
                      <w:lang w:eastAsia="zh-CN"/>
                    </w:rPr>
                    <w:t>，</w:t>
                  </w:r>
                  <w:r>
                    <w:rPr>
                      <w:rFonts w:hint="eastAsia"/>
                      <w:color w:val="auto"/>
                      <w:spacing w:val="4"/>
                      <w:sz w:val="18"/>
                      <w:szCs w:val="18"/>
                      <w:highlight w:val="none"/>
                      <w:vertAlign w:val="baseline"/>
                      <w:lang w:val="en-US" w:eastAsia="zh-CN"/>
                    </w:rPr>
                    <w:t>3层建筑，高9m，2-3层用于办公，1层设置门卫室、食堂、仓库等。</w:t>
                  </w:r>
                </w:p>
              </w:tc>
              <w:tc>
                <w:tcPr>
                  <w:tcW w:w="1132" w:type="pct"/>
                  <w:tcBorders>
                    <w:tl2br w:val="nil"/>
                    <w:tr2bl w:val="nil"/>
                  </w:tcBorders>
                  <w:vAlign w:val="center"/>
                </w:tcPr>
                <w:p w14:paraId="33CEFD3C">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575683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continue"/>
                  <w:tcBorders>
                    <w:tl2br w:val="nil"/>
                    <w:tr2bl w:val="nil"/>
                  </w:tcBorders>
                  <w:shd w:val="clear" w:color="auto" w:fill="auto"/>
                  <w:vAlign w:val="center"/>
                </w:tcPr>
                <w:p w14:paraId="24BF6CA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8" w:type="pct"/>
                  <w:tcBorders>
                    <w:tl2br w:val="nil"/>
                    <w:tr2bl w:val="nil"/>
                  </w:tcBorders>
                  <w:shd w:val="clear" w:color="auto" w:fill="auto"/>
                  <w:vAlign w:val="center"/>
                </w:tcPr>
                <w:p w14:paraId="093D4BE6">
                  <w:pPr>
                    <w:keepNext w:val="0"/>
                    <w:keepLines w:val="0"/>
                    <w:suppressLineNumbers w:val="0"/>
                    <w:spacing w:before="0" w:beforeAutospacing="0" w:after="0" w:afterAutospacing="0"/>
                    <w:ind w:left="0" w:leftChars="0" w:right="0" w:rightChars="0"/>
                    <w:jc w:val="center"/>
                    <w:rPr>
                      <w:rFonts w:hint="default"/>
                      <w:color w:val="auto"/>
                      <w:sz w:val="18"/>
                      <w:szCs w:val="18"/>
                      <w:highlight w:val="none"/>
                      <w:lang w:val="en-US" w:eastAsia="zh-CN"/>
                    </w:rPr>
                  </w:pPr>
                  <w:r>
                    <w:rPr>
                      <w:rFonts w:hint="eastAsia"/>
                      <w:color w:val="auto"/>
                      <w:sz w:val="18"/>
                      <w:szCs w:val="18"/>
                      <w:highlight w:val="none"/>
                      <w:lang w:val="en-US" w:eastAsia="zh-CN"/>
                    </w:rPr>
                    <w:t>食堂</w:t>
                  </w:r>
                </w:p>
              </w:tc>
              <w:tc>
                <w:tcPr>
                  <w:tcW w:w="2809" w:type="pct"/>
                  <w:tcBorders>
                    <w:tl2br w:val="nil"/>
                    <w:tr2bl w:val="nil"/>
                  </w:tcBorders>
                  <w:shd w:val="clear" w:color="auto" w:fill="auto"/>
                  <w:vAlign w:val="center"/>
                </w:tcPr>
                <w:p w14:paraId="5337FB74">
                  <w:pPr>
                    <w:keepNext w:val="0"/>
                    <w:keepLines w:val="0"/>
                    <w:suppressLineNumbers w:val="0"/>
                    <w:spacing w:before="0" w:beforeAutospacing="0" w:after="0" w:afterAutospacing="0"/>
                    <w:ind w:left="0" w:leftChars="0" w:right="0" w:rightChars="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1间，位于综合楼1层。</w:t>
                  </w:r>
                </w:p>
              </w:tc>
              <w:tc>
                <w:tcPr>
                  <w:tcW w:w="1132" w:type="pct"/>
                  <w:tcBorders>
                    <w:tl2br w:val="nil"/>
                    <w:tr2bl w:val="nil"/>
                  </w:tcBorders>
                  <w:vAlign w:val="center"/>
                </w:tcPr>
                <w:p w14:paraId="1824729F">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76003C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89" w:type="pct"/>
                  <w:vMerge w:val="continue"/>
                  <w:tcBorders>
                    <w:tl2br w:val="nil"/>
                    <w:tr2bl w:val="nil"/>
                  </w:tcBorders>
                  <w:shd w:val="clear" w:color="auto" w:fill="auto"/>
                  <w:vAlign w:val="center"/>
                </w:tcPr>
                <w:p w14:paraId="4B42627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8" w:type="pct"/>
                  <w:tcBorders>
                    <w:tl2br w:val="nil"/>
                    <w:tr2bl w:val="nil"/>
                  </w:tcBorders>
                  <w:shd w:val="clear" w:color="auto" w:fill="auto"/>
                  <w:vAlign w:val="center"/>
                </w:tcPr>
                <w:p w14:paraId="7DBA0D84">
                  <w:pPr>
                    <w:keepNext w:val="0"/>
                    <w:keepLines w:val="0"/>
                    <w:suppressLineNumbers w:val="0"/>
                    <w:spacing w:before="0" w:beforeAutospacing="0" w:after="0" w:afterAutospacing="0"/>
                    <w:ind w:left="0" w:leftChars="0" w:right="0" w:rightChars="0"/>
                    <w:jc w:val="center"/>
                    <w:rPr>
                      <w:rFonts w:hint="default"/>
                      <w:color w:val="auto"/>
                      <w:sz w:val="18"/>
                      <w:szCs w:val="18"/>
                      <w:highlight w:val="none"/>
                      <w:lang w:val="en-US" w:eastAsia="zh-CN"/>
                    </w:rPr>
                  </w:pPr>
                  <w:r>
                    <w:rPr>
                      <w:rFonts w:hint="eastAsia"/>
                      <w:color w:val="auto"/>
                      <w:sz w:val="18"/>
                      <w:szCs w:val="18"/>
                      <w:highlight w:val="none"/>
                      <w:lang w:val="en-US" w:eastAsia="zh-CN"/>
                    </w:rPr>
                    <w:t>化验室</w:t>
                  </w:r>
                </w:p>
              </w:tc>
              <w:tc>
                <w:tcPr>
                  <w:tcW w:w="2809" w:type="pct"/>
                  <w:tcBorders>
                    <w:tl2br w:val="nil"/>
                    <w:tr2bl w:val="nil"/>
                  </w:tcBorders>
                  <w:shd w:val="clear" w:color="auto" w:fill="auto"/>
                  <w:vAlign w:val="center"/>
                </w:tcPr>
                <w:p w14:paraId="160C29DC">
                  <w:pPr>
                    <w:keepNext w:val="0"/>
                    <w:keepLines w:val="0"/>
                    <w:suppressLineNumbers w:val="0"/>
                    <w:spacing w:before="0" w:beforeAutospacing="0" w:after="0" w:afterAutospacing="0"/>
                    <w:ind w:left="0" w:leftChars="0" w:right="0" w:rightChars="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综合楼内设置1间实验室，设置1台浊度仪，1台电热培养箱，1台热空气消毒箱，1台隔水式培养箱，主要药剂为乳糖蛋白胨培养基、营养琼脂、品红亚硫酸钠琼脂。不涉及危险物品，危险废物。</w:t>
                  </w:r>
                </w:p>
              </w:tc>
              <w:tc>
                <w:tcPr>
                  <w:tcW w:w="1132" w:type="pct"/>
                  <w:tcBorders>
                    <w:tl2br w:val="nil"/>
                    <w:tr2bl w:val="nil"/>
                  </w:tcBorders>
                  <w:vAlign w:val="center"/>
                </w:tcPr>
                <w:p w14:paraId="1C2C5039">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4D9BDD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tcBorders>
                    <w:tl2br w:val="nil"/>
                    <w:tr2bl w:val="nil"/>
                  </w:tcBorders>
                  <w:shd w:val="clear" w:color="auto" w:fill="auto"/>
                  <w:vAlign w:val="center"/>
                </w:tcPr>
                <w:p w14:paraId="1033FA9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储运</w:t>
                  </w:r>
                </w:p>
                <w:p w14:paraId="004CE32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w:t>
                  </w:r>
                </w:p>
              </w:tc>
              <w:tc>
                <w:tcPr>
                  <w:tcW w:w="668" w:type="pct"/>
                  <w:tcBorders>
                    <w:tl2br w:val="nil"/>
                    <w:tr2bl w:val="nil"/>
                  </w:tcBorders>
                  <w:shd w:val="clear" w:color="auto" w:fill="auto"/>
                  <w:vAlign w:val="center"/>
                </w:tcPr>
                <w:p w14:paraId="20CF71C0">
                  <w:pPr>
                    <w:pStyle w:val="148"/>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eastAsia"/>
                      <w:color w:val="auto"/>
                      <w:sz w:val="18"/>
                      <w:szCs w:val="18"/>
                      <w:highlight w:val="none"/>
                      <w:lang w:val="en-US" w:eastAsia="zh-CN"/>
                    </w:rPr>
                    <w:t>仓库</w:t>
                  </w:r>
                </w:p>
              </w:tc>
              <w:tc>
                <w:tcPr>
                  <w:tcW w:w="2809" w:type="pct"/>
                  <w:tcBorders>
                    <w:tl2br w:val="nil"/>
                    <w:tr2bl w:val="nil"/>
                  </w:tcBorders>
                  <w:shd w:val="clear" w:color="auto" w:fill="auto"/>
                  <w:vAlign w:val="center"/>
                </w:tcPr>
                <w:p w14:paraId="22C34630">
                  <w:pPr>
                    <w:pStyle w:val="14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bCs/>
                      <w:color w:val="auto"/>
                      <w:sz w:val="18"/>
                      <w:szCs w:val="18"/>
                      <w:highlight w:val="none"/>
                      <w:lang w:val="en-US" w:eastAsia="zh-CN"/>
                    </w:rPr>
                    <w:t>2间，位于综合楼1层，占地面积分别为30m</w:t>
                  </w:r>
                  <w:r>
                    <w:rPr>
                      <w:rFonts w:hint="eastAsia" w:cs="Times New Roman"/>
                      <w:bCs/>
                      <w:color w:val="auto"/>
                      <w:sz w:val="18"/>
                      <w:szCs w:val="18"/>
                      <w:highlight w:val="none"/>
                      <w:vertAlign w:val="superscript"/>
                      <w:lang w:val="en-US" w:eastAsia="zh-CN"/>
                    </w:rPr>
                    <w:t>2</w:t>
                  </w:r>
                  <w:r>
                    <w:rPr>
                      <w:rFonts w:hint="eastAsia" w:cs="Times New Roman"/>
                      <w:bCs/>
                      <w:color w:val="auto"/>
                      <w:sz w:val="18"/>
                      <w:szCs w:val="18"/>
                      <w:highlight w:val="none"/>
                      <w:lang w:val="en-US" w:eastAsia="zh-CN"/>
                    </w:rPr>
                    <w:t>、40m</w:t>
                  </w:r>
                  <w:r>
                    <w:rPr>
                      <w:rFonts w:hint="eastAsia" w:cs="Times New Roman"/>
                      <w:bCs/>
                      <w:color w:val="auto"/>
                      <w:sz w:val="18"/>
                      <w:szCs w:val="18"/>
                      <w:highlight w:val="none"/>
                      <w:vertAlign w:val="superscript"/>
                      <w:lang w:val="en-US" w:eastAsia="zh-CN"/>
                    </w:rPr>
                    <w:t>2</w:t>
                  </w:r>
                  <w:r>
                    <w:rPr>
                      <w:rFonts w:hint="eastAsia" w:cs="Times New Roman"/>
                      <w:bCs/>
                      <w:color w:val="auto"/>
                      <w:sz w:val="18"/>
                      <w:szCs w:val="18"/>
                      <w:highlight w:val="none"/>
                      <w:lang w:val="en-US" w:eastAsia="zh-CN"/>
                    </w:rPr>
                    <w:t>，用于存放厂区设备配件。</w:t>
                  </w:r>
                </w:p>
              </w:tc>
              <w:tc>
                <w:tcPr>
                  <w:tcW w:w="1132" w:type="pct"/>
                  <w:tcBorders>
                    <w:tl2br w:val="nil"/>
                    <w:tr2bl w:val="nil"/>
                  </w:tcBorders>
                  <w:vAlign w:val="center"/>
                </w:tcPr>
                <w:p w14:paraId="42118F19">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依托</w:t>
                  </w:r>
                </w:p>
              </w:tc>
            </w:tr>
            <w:tr w14:paraId="6BA68C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restart"/>
                  <w:tcBorders>
                    <w:tl2br w:val="nil"/>
                    <w:tr2bl w:val="nil"/>
                  </w:tcBorders>
                  <w:vAlign w:val="center"/>
                </w:tcPr>
                <w:p w14:paraId="1523AC26">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公用工程</w:t>
                  </w:r>
                </w:p>
              </w:tc>
              <w:tc>
                <w:tcPr>
                  <w:tcW w:w="668" w:type="pct"/>
                  <w:tcBorders>
                    <w:tl2br w:val="nil"/>
                    <w:tr2bl w:val="nil"/>
                  </w:tcBorders>
                  <w:vAlign w:val="center"/>
                </w:tcPr>
                <w:p w14:paraId="66FBF56E">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供水</w:t>
                  </w:r>
                </w:p>
              </w:tc>
              <w:tc>
                <w:tcPr>
                  <w:tcW w:w="2809" w:type="pct"/>
                  <w:tcBorders>
                    <w:tl2br w:val="nil"/>
                    <w:tr2bl w:val="nil"/>
                  </w:tcBorders>
                  <w:vAlign w:val="center"/>
                </w:tcPr>
                <w:p w14:paraId="143E54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17"/>
                      <w:sz w:val="18"/>
                      <w:szCs w:val="18"/>
                      <w:highlight w:val="none"/>
                      <w:lang w:val="en-US" w:eastAsia="zh-CN"/>
                    </w:rPr>
                  </w:pPr>
                  <w:r>
                    <w:rPr>
                      <w:rFonts w:hint="eastAsia"/>
                      <w:color w:val="auto"/>
                      <w:sz w:val="18"/>
                      <w:szCs w:val="18"/>
                      <w:highlight w:val="none"/>
                      <w:lang w:val="en-US" w:eastAsia="zh-CN"/>
                    </w:rPr>
                    <w:t>生产、生活用水由厂区供给</w:t>
                  </w:r>
                </w:p>
              </w:tc>
              <w:tc>
                <w:tcPr>
                  <w:tcW w:w="1132" w:type="pct"/>
                  <w:tcBorders>
                    <w:tl2br w:val="nil"/>
                    <w:tr2bl w:val="nil"/>
                  </w:tcBorders>
                  <w:vAlign w:val="center"/>
                </w:tcPr>
                <w:p w14:paraId="7E8C9B08">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依托</w:t>
                  </w:r>
                </w:p>
              </w:tc>
            </w:tr>
            <w:tr w14:paraId="38C240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1927EEEB">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668" w:type="pct"/>
                  <w:tcBorders>
                    <w:tl2br w:val="nil"/>
                    <w:tr2bl w:val="nil"/>
                  </w:tcBorders>
                  <w:vAlign w:val="center"/>
                </w:tcPr>
                <w:p w14:paraId="0DBE95C0">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排水</w:t>
                  </w:r>
                </w:p>
              </w:tc>
              <w:tc>
                <w:tcPr>
                  <w:tcW w:w="2809" w:type="pct"/>
                  <w:tcBorders>
                    <w:tl2br w:val="nil"/>
                    <w:tr2bl w:val="nil"/>
                  </w:tcBorders>
                  <w:vAlign w:val="center"/>
                </w:tcPr>
                <w:p w14:paraId="1ACFA9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反冲洗废水回收至配水间与原水混合回用，厂区生活污水收集至化粪池，处理后满足</w:t>
                  </w:r>
                  <w:r>
                    <w:rPr>
                      <w:rFonts w:hint="default" w:cs="Times New Roman"/>
                      <w:color w:val="auto"/>
                      <w:kern w:val="0"/>
                      <w:sz w:val="18"/>
                      <w:szCs w:val="18"/>
                      <w:highlight w:val="none"/>
                      <w:lang w:val="en-US" w:eastAsia="zh-CN"/>
                    </w:rPr>
                    <w:t>《污水综合排放标准》</w:t>
                  </w:r>
                  <w:r>
                    <w:rPr>
                      <w:rFonts w:hint="eastAsia" w:cs="Times New Roman"/>
                      <w:color w:val="auto"/>
                      <w:kern w:val="0"/>
                      <w:sz w:val="18"/>
                      <w:szCs w:val="18"/>
                      <w:highlight w:val="none"/>
                      <w:lang w:val="en-US" w:eastAsia="zh-CN"/>
                    </w:rPr>
                    <w:t>（GB8978-1996）三级标准</w:t>
                  </w:r>
                  <w:r>
                    <w:rPr>
                      <w:rFonts w:hint="eastAsia" w:cs="Times New Roman"/>
                      <w:color w:val="auto"/>
                      <w:spacing w:val="0"/>
                      <w:sz w:val="18"/>
                      <w:szCs w:val="18"/>
                      <w:highlight w:val="none"/>
                      <w:lang w:val="en-US" w:eastAsia="zh-CN"/>
                    </w:rPr>
                    <w:t>及</w:t>
                  </w:r>
                  <w:r>
                    <w:rPr>
                      <w:rFonts w:hint="default" w:cs="Times New Roman"/>
                      <w:color w:val="auto"/>
                      <w:spacing w:val="0"/>
                      <w:sz w:val="18"/>
                      <w:szCs w:val="18"/>
                      <w:highlight w:val="none"/>
                      <w:lang w:val="en-US" w:eastAsia="zh-CN"/>
                    </w:rPr>
                    <w:t>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w:t>
                  </w:r>
                  <w:r>
                    <w:rPr>
                      <w:rFonts w:hint="eastAsia" w:cs="Times New Roman"/>
                      <w:color w:val="auto"/>
                      <w:spacing w:val="0"/>
                      <w:sz w:val="18"/>
                      <w:szCs w:val="18"/>
                      <w:highlight w:val="none"/>
                      <w:lang w:val="en-US" w:eastAsia="zh-CN"/>
                    </w:rPr>
                    <w:t>进水标准</w:t>
                  </w:r>
                  <w:r>
                    <w:rPr>
                      <w:rFonts w:hint="eastAsia" w:cs="Times New Roman"/>
                      <w:color w:val="auto"/>
                      <w:kern w:val="0"/>
                      <w:sz w:val="18"/>
                      <w:szCs w:val="18"/>
                      <w:highlight w:val="none"/>
                      <w:lang w:val="en-US" w:eastAsia="zh-CN"/>
                    </w:rPr>
                    <w:t>，</w:t>
                  </w:r>
                  <w:r>
                    <w:rPr>
                      <w:rFonts w:hint="default" w:cs="Times New Roman"/>
                      <w:color w:val="auto"/>
                      <w:kern w:val="0"/>
                      <w:sz w:val="18"/>
                      <w:szCs w:val="18"/>
                      <w:highlight w:val="none"/>
                      <w:lang w:val="en-US" w:eastAsia="zh-CN"/>
                    </w:rPr>
                    <w:t>排入污水管网</w:t>
                  </w:r>
                  <w:r>
                    <w:rPr>
                      <w:rFonts w:hint="eastAsia" w:cs="Times New Roman"/>
                      <w:color w:val="auto"/>
                      <w:kern w:val="0"/>
                      <w:sz w:val="18"/>
                      <w:szCs w:val="18"/>
                      <w:highlight w:val="none"/>
                      <w:lang w:val="en-US" w:eastAsia="zh-CN"/>
                    </w:rPr>
                    <w:t>，</w:t>
                  </w:r>
                  <w:r>
                    <w:rPr>
                      <w:rFonts w:hint="default" w:cs="Times New Roman"/>
                      <w:color w:val="auto"/>
                      <w:kern w:val="0"/>
                      <w:sz w:val="18"/>
                      <w:szCs w:val="18"/>
                      <w:highlight w:val="none"/>
                      <w:lang w:val="en-US" w:eastAsia="zh-CN"/>
                    </w:rPr>
                    <w:t>经鸡西市</w:t>
                  </w:r>
                  <w:r>
                    <w:rPr>
                      <w:rFonts w:hint="eastAsia" w:cs="Times New Roman"/>
                      <w:color w:val="auto"/>
                      <w:kern w:val="0"/>
                      <w:sz w:val="18"/>
                      <w:szCs w:val="18"/>
                      <w:highlight w:val="none"/>
                      <w:lang w:val="en-US" w:eastAsia="zh-CN"/>
                    </w:rPr>
                    <w:t>鸡冠区</w:t>
                  </w:r>
                  <w:r>
                    <w:rPr>
                      <w:rFonts w:hint="default" w:cs="Times New Roman"/>
                      <w:color w:val="auto"/>
                      <w:kern w:val="0"/>
                      <w:sz w:val="18"/>
                      <w:szCs w:val="18"/>
                      <w:highlight w:val="none"/>
                      <w:lang w:val="en-US" w:eastAsia="zh-CN"/>
                    </w:rPr>
                    <w:t>污水处理厂处理后排入穆棱河</w:t>
                  </w:r>
                  <w:r>
                    <w:rPr>
                      <w:rFonts w:hint="eastAsia" w:cs="Times New Roman"/>
                      <w:color w:val="auto"/>
                      <w:kern w:val="0"/>
                      <w:sz w:val="18"/>
                      <w:szCs w:val="18"/>
                      <w:highlight w:val="none"/>
                      <w:lang w:val="en-US" w:eastAsia="zh-CN"/>
                    </w:rPr>
                    <w:t>。排泥水经絮凝、压滤处理后满足</w:t>
                  </w:r>
                  <w:r>
                    <w:rPr>
                      <w:rFonts w:hint="eastAsia" w:cs="Times New Roman"/>
                      <w:color w:val="auto"/>
                      <w:spacing w:val="0"/>
                      <w:sz w:val="18"/>
                      <w:szCs w:val="18"/>
                      <w:highlight w:val="none"/>
                      <w:lang w:val="en-US" w:eastAsia="zh-CN"/>
                    </w:rPr>
                    <w:t>《地表水环境质量标准》（GB3838-2002）表1中三类标准、悬浮物满足</w:t>
                  </w:r>
                  <w:r>
                    <w:rPr>
                      <w:rFonts w:hint="default" w:cs="Times New Roman"/>
                      <w:color w:val="auto"/>
                      <w:spacing w:val="0"/>
                      <w:sz w:val="18"/>
                      <w:szCs w:val="18"/>
                      <w:highlight w:val="none"/>
                      <w:lang w:val="en-US" w:eastAsia="zh-CN"/>
                    </w:rPr>
                    <w:t>《污水综合排放标准》</w:t>
                  </w:r>
                  <w:r>
                    <w:rPr>
                      <w:rFonts w:hint="eastAsia" w:cs="Times New Roman"/>
                      <w:color w:val="auto"/>
                      <w:spacing w:val="0"/>
                      <w:sz w:val="18"/>
                      <w:szCs w:val="18"/>
                      <w:highlight w:val="none"/>
                      <w:lang w:val="en-US" w:eastAsia="zh-CN"/>
                    </w:rPr>
                    <w:t>（GB8978-1996）一级标准</w:t>
                  </w:r>
                  <w:r>
                    <w:rPr>
                      <w:rFonts w:hint="eastAsia" w:cs="Times New Roman"/>
                      <w:color w:val="auto"/>
                      <w:kern w:val="0"/>
                      <w:sz w:val="18"/>
                      <w:szCs w:val="18"/>
                      <w:highlight w:val="none"/>
                      <w:lang w:val="en-US" w:eastAsia="zh-CN"/>
                    </w:rPr>
                    <w:t>排入穆棱河。</w:t>
                  </w:r>
                </w:p>
              </w:tc>
              <w:tc>
                <w:tcPr>
                  <w:tcW w:w="1132" w:type="pct"/>
                  <w:tcBorders>
                    <w:tl2br w:val="nil"/>
                    <w:tr2bl w:val="nil"/>
                  </w:tcBorders>
                  <w:vAlign w:val="center"/>
                </w:tcPr>
                <w:p w14:paraId="44C8132F">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rPr>
                    <w:t>依托</w:t>
                  </w:r>
                </w:p>
              </w:tc>
            </w:tr>
            <w:tr w14:paraId="1251AC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0FBED995">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668" w:type="pct"/>
                  <w:tcBorders>
                    <w:tl2br w:val="nil"/>
                    <w:tr2bl w:val="nil"/>
                  </w:tcBorders>
                  <w:vAlign w:val="center"/>
                </w:tcPr>
                <w:p w14:paraId="49F7A79E">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供热/暖</w:t>
                  </w:r>
                </w:p>
              </w:tc>
              <w:tc>
                <w:tcPr>
                  <w:tcW w:w="2809" w:type="pct"/>
                  <w:tcBorders>
                    <w:tl2br w:val="nil"/>
                    <w:tr2bl w:val="nil"/>
                  </w:tcBorders>
                  <w:vAlign w:val="center"/>
                </w:tcPr>
                <w:p w14:paraId="3081BF44">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综合楼及生产车间采用电锅炉供热。</w:t>
                  </w:r>
                </w:p>
              </w:tc>
              <w:tc>
                <w:tcPr>
                  <w:tcW w:w="1132" w:type="pct"/>
                  <w:tcBorders>
                    <w:tl2br w:val="nil"/>
                    <w:tr2bl w:val="nil"/>
                  </w:tcBorders>
                  <w:vAlign w:val="center"/>
                </w:tcPr>
                <w:p w14:paraId="797C1B55">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已建成</w:t>
                  </w:r>
                </w:p>
              </w:tc>
            </w:tr>
            <w:tr w14:paraId="4207FA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7BB4F676">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668" w:type="pct"/>
                  <w:tcBorders>
                    <w:tl2br w:val="nil"/>
                    <w:tr2bl w:val="nil"/>
                  </w:tcBorders>
                  <w:vAlign w:val="center"/>
                </w:tcPr>
                <w:p w14:paraId="7E259EFB">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供电</w:t>
                  </w:r>
                </w:p>
              </w:tc>
              <w:tc>
                <w:tcPr>
                  <w:tcW w:w="2809" w:type="pct"/>
                  <w:tcBorders>
                    <w:tl2br w:val="nil"/>
                    <w:tr2bl w:val="nil"/>
                  </w:tcBorders>
                  <w:vAlign w:val="center"/>
                </w:tcPr>
                <w:p w14:paraId="2926BEE5">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市政供电</w:t>
                  </w:r>
                </w:p>
              </w:tc>
              <w:tc>
                <w:tcPr>
                  <w:tcW w:w="1132" w:type="pct"/>
                  <w:tcBorders>
                    <w:tl2br w:val="nil"/>
                    <w:tr2bl w:val="nil"/>
                  </w:tcBorders>
                  <w:vAlign w:val="center"/>
                </w:tcPr>
                <w:p w14:paraId="2C2BADF8">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依托</w:t>
                  </w:r>
                </w:p>
              </w:tc>
            </w:tr>
            <w:tr w14:paraId="26BA43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9" w:type="pct"/>
                  <w:vMerge w:val="restart"/>
                  <w:tcBorders>
                    <w:tl2br w:val="nil"/>
                    <w:tr2bl w:val="nil"/>
                  </w:tcBorders>
                  <w:vAlign w:val="center"/>
                </w:tcPr>
                <w:p w14:paraId="7D7E49A8">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环保工程</w:t>
                  </w:r>
                </w:p>
              </w:tc>
              <w:tc>
                <w:tcPr>
                  <w:tcW w:w="668" w:type="pct"/>
                  <w:tcBorders>
                    <w:tl2br w:val="nil"/>
                    <w:tr2bl w:val="nil"/>
                  </w:tcBorders>
                  <w:vAlign w:val="center"/>
                </w:tcPr>
                <w:p w14:paraId="4596AB6D">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废气</w:t>
                  </w:r>
                </w:p>
              </w:tc>
              <w:tc>
                <w:tcPr>
                  <w:tcW w:w="2809" w:type="pct"/>
                  <w:tcBorders>
                    <w:tl2br w:val="nil"/>
                    <w:tr2bl w:val="nil"/>
                  </w:tcBorders>
                  <w:vAlign w:val="center"/>
                </w:tcPr>
                <w:p w14:paraId="0F2A2F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highlight w:val="none"/>
                      <w:lang w:val="en-US" w:eastAsia="zh-CN"/>
                    </w:rPr>
                  </w:pPr>
                  <w:r>
                    <w:rPr>
                      <w:rFonts w:hint="eastAsia" w:ascii="宋体" w:hAnsi="宋体" w:cs="宋体"/>
                      <w:color w:val="auto"/>
                      <w:sz w:val="18"/>
                      <w:szCs w:val="18"/>
                      <w:highlight w:val="none"/>
                      <w:lang w:val="en-US" w:eastAsia="zh-CN"/>
                    </w:rPr>
                    <w:t>臭氧接触池尾气通过2台臭氧破坏器处理，处理效</w:t>
                  </w:r>
                  <w:r>
                    <w:rPr>
                      <w:rFonts w:hint="eastAsia" w:ascii="宋体" w:hAnsi="宋体" w:eastAsia="宋体" w:cs="宋体"/>
                      <w:color w:val="auto"/>
                      <w:sz w:val="18"/>
                      <w:szCs w:val="18"/>
                      <w:highlight w:val="none"/>
                      <w:lang w:val="en-US" w:eastAsia="zh-CN"/>
                    </w:rPr>
                    <w:t>率</w:t>
                  </w:r>
                  <w:r>
                    <w:rPr>
                      <w:rFonts w:hint="default" w:ascii="Times New Roman" w:hAnsi="Times New Roman" w:eastAsia="宋体" w:cs="Times New Roman"/>
                      <w:color w:val="auto"/>
                      <w:sz w:val="18"/>
                      <w:szCs w:val="18"/>
                      <w:highlight w:val="none"/>
                      <w:lang w:val="en-US" w:eastAsia="zh-CN"/>
                    </w:rPr>
                    <w:t>80%</w:t>
                  </w:r>
                  <w:r>
                    <w:rPr>
                      <w:rFonts w:hint="eastAsia" w:ascii="宋体" w:hAnsi="宋体" w:eastAsia="宋体" w:cs="宋体"/>
                      <w:color w:val="auto"/>
                      <w:sz w:val="18"/>
                      <w:szCs w:val="18"/>
                      <w:highlight w:val="none"/>
                      <w:lang w:val="en-US" w:eastAsia="zh-CN"/>
                    </w:rPr>
                    <w:t>，设计尾气排放</w:t>
                  </w:r>
                  <w:r>
                    <w:rPr>
                      <w:rFonts w:hint="default" w:ascii="宋体" w:hAnsi="宋体" w:eastAsia="宋体" w:cs="宋体"/>
                      <w:color w:val="auto"/>
                      <w:sz w:val="18"/>
                      <w:szCs w:val="18"/>
                      <w:highlight w:val="none"/>
                      <w:lang w:val="en-US" w:eastAsia="zh-CN"/>
                    </w:rPr>
                    <w:t>臭氧浓度</w:t>
                  </w:r>
                  <w:r>
                    <w:rPr>
                      <w:rFonts w:hint="eastAsia" w:ascii="宋体" w:hAnsi="宋体" w:eastAsia="宋体" w:cs="宋体"/>
                      <w:color w:val="auto"/>
                      <w:sz w:val="18"/>
                      <w:szCs w:val="18"/>
                      <w:highlight w:val="none"/>
                      <w:lang w:val="en-US" w:eastAsia="zh-CN"/>
                    </w:rPr>
                    <w:t>低于</w:t>
                  </w:r>
                  <w:r>
                    <w:rPr>
                      <w:rFonts w:hint="default" w:ascii="Times New Roman" w:hAnsi="Times New Roman" w:eastAsia="宋体" w:cs="Times New Roman"/>
                      <w:color w:val="auto"/>
                      <w:sz w:val="18"/>
                      <w:szCs w:val="18"/>
                      <w:highlight w:val="none"/>
                      <w:lang w:val="en-US" w:eastAsia="zh-CN"/>
                    </w:rPr>
                    <w:t>1ppm</w:t>
                  </w:r>
                  <w:r>
                    <w:rPr>
                      <w:rFonts w:hint="eastAsia" w:ascii="宋体" w:hAnsi="宋体" w:eastAsia="宋体" w:cs="宋体"/>
                      <w:color w:val="auto"/>
                      <w:sz w:val="18"/>
                      <w:szCs w:val="18"/>
                      <w:highlight w:val="none"/>
                      <w:lang w:val="en-US" w:eastAsia="zh-CN"/>
                    </w:rPr>
                    <w:t>。</w:t>
                  </w:r>
                  <w:r>
                    <w:rPr>
                      <w:rFonts w:hint="eastAsia" w:ascii="宋体" w:hAnsi="宋体" w:cs="宋体"/>
                      <w:color w:val="auto"/>
                      <w:sz w:val="18"/>
                      <w:szCs w:val="18"/>
                      <w:highlight w:val="none"/>
                      <w:lang w:val="en-US" w:eastAsia="zh-CN"/>
                    </w:rPr>
                    <w:t>污泥间脱水过程产生少量臭气，采取加强通风，日产日清等措施。厂界臭气浓度满足</w:t>
                  </w:r>
                  <w:r>
                    <w:rPr>
                      <w:rFonts w:hint="default" w:ascii="Times New Roman" w:hAnsi="Times New Roman" w:cs="Times New Roman"/>
                      <w:color w:val="auto"/>
                      <w:sz w:val="18"/>
                      <w:szCs w:val="18"/>
                      <w:highlight w:val="none"/>
                      <w:lang w:val="en-US" w:eastAsia="zh-CN"/>
                    </w:rPr>
                    <w:t>《恶臭污染物排放标准》（GB14554-93）表1中二级新扩改建标准限值</w:t>
                  </w:r>
                </w:p>
              </w:tc>
              <w:tc>
                <w:tcPr>
                  <w:tcW w:w="1132" w:type="pct"/>
                  <w:tcBorders>
                    <w:tl2br w:val="nil"/>
                    <w:tr2bl w:val="nil"/>
                  </w:tcBorders>
                  <w:vAlign w:val="center"/>
                </w:tcPr>
                <w:p w14:paraId="4B95B46D">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依托</w:t>
                  </w:r>
                </w:p>
              </w:tc>
            </w:tr>
            <w:tr w14:paraId="40132C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77E3EF1C">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668" w:type="pct"/>
                  <w:tcBorders>
                    <w:tl2br w:val="nil"/>
                    <w:tr2bl w:val="nil"/>
                  </w:tcBorders>
                  <w:vAlign w:val="center"/>
                </w:tcPr>
                <w:p w14:paraId="53111DE5">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废水</w:t>
                  </w:r>
                </w:p>
              </w:tc>
              <w:tc>
                <w:tcPr>
                  <w:tcW w:w="2809" w:type="pct"/>
                  <w:tcBorders>
                    <w:tl2br w:val="nil"/>
                    <w:tr2bl w:val="nil"/>
                  </w:tcBorders>
                  <w:vAlign w:val="center"/>
                </w:tcPr>
                <w:p w14:paraId="70B9E0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eastAsia="宋体" w:cs="宋体"/>
                      <w:color w:val="auto"/>
                      <w:sz w:val="18"/>
                      <w:szCs w:val="18"/>
                      <w:highlight w:val="none"/>
                      <w:lang w:val="en-US" w:eastAsia="zh-CN"/>
                    </w:rPr>
                  </w:pPr>
                  <w:r>
                    <w:rPr>
                      <w:rFonts w:hint="eastAsia" w:cs="Times New Roman"/>
                      <w:color w:val="auto"/>
                      <w:kern w:val="0"/>
                      <w:sz w:val="18"/>
                      <w:szCs w:val="18"/>
                      <w:highlight w:val="none"/>
                      <w:lang w:val="en-US" w:eastAsia="zh-CN"/>
                    </w:rPr>
                    <w:t>反冲洗废水回收至配水间与原水混</w:t>
                  </w:r>
                  <w:r>
                    <w:rPr>
                      <w:rFonts w:hint="eastAsia" w:cs="Times New Roman"/>
                      <w:color w:val="auto"/>
                      <w:spacing w:val="0"/>
                      <w:sz w:val="18"/>
                      <w:szCs w:val="18"/>
                      <w:highlight w:val="none"/>
                      <w:lang w:val="en-US" w:eastAsia="zh-CN"/>
                    </w:rPr>
                    <w:t>合回用，厂区生活污水收集至化粪池，处理后满足</w:t>
                  </w:r>
                  <w:r>
                    <w:rPr>
                      <w:rFonts w:hint="default" w:cs="Times New Roman"/>
                      <w:color w:val="auto"/>
                      <w:spacing w:val="0"/>
                      <w:sz w:val="18"/>
                      <w:szCs w:val="18"/>
                      <w:highlight w:val="none"/>
                      <w:lang w:val="en-US" w:eastAsia="zh-CN"/>
                    </w:rPr>
                    <w:t>《污水综合排放标准》</w:t>
                  </w:r>
                  <w:r>
                    <w:rPr>
                      <w:rFonts w:hint="eastAsia" w:cs="Times New Roman"/>
                      <w:color w:val="auto"/>
                      <w:spacing w:val="0"/>
                      <w:sz w:val="18"/>
                      <w:szCs w:val="18"/>
                      <w:highlight w:val="none"/>
                      <w:lang w:val="en-US" w:eastAsia="zh-CN"/>
                    </w:rPr>
                    <w:t>（GB8978-1996）三级标准及</w:t>
                  </w:r>
                  <w:r>
                    <w:rPr>
                      <w:rFonts w:hint="default" w:cs="Times New Roman"/>
                      <w:color w:val="auto"/>
                      <w:spacing w:val="0"/>
                      <w:sz w:val="18"/>
                      <w:szCs w:val="18"/>
                      <w:highlight w:val="none"/>
                      <w:lang w:val="en-US" w:eastAsia="zh-CN"/>
                    </w:rPr>
                    <w:t>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w:t>
                  </w:r>
                  <w:r>
                    <w:rPr>
                      <w:rFonts w:hint="eastAsia" w:cs="Times New Roman"/>
                      <w:color w:val="auto"/>
                      <w:spacing w:val="0"/>
                      <w:sz w:val="18"/>
                      <w:szCs w:val="18"/>
                      <w:highlight w:val="none"/>
                      <w:lang w:val="en-US" w:eastAsia="zh-CN"/>
                    </w:rPr>
                    <w:t>进水标准，</w:t>
                  </w:r>
                  <w:r>
                    <w:rPr>
                      <w:rFonts w:hint="default" w:cs="Times New Roman"/>
                      <w:color w:val="auto"/>
                      <w:spacing w:val="0"/>
                      <w:sz w:val="18"/>
                      <w:szCs w:val="18"/>
                      <w:highlight w:val="none"/>
                      <w:lang w:val="en-US" w:eastAsia="zh-CN"/>
                    </w:rPr>
                    <w:t>排入污水管网</w:t>
                  </w:r>
                  <w:r>
                    <w:rPr>
                      <w:rFonts w:hint="eastAsia" w:cs="Times New Roman"/>
                      <w:color w:val="auto"/>
                      <w:spacing w:val="0"/>
                      <w:sz w:val="18"/>
                      <w:szCs w:val="18"/>
                      <w:highlight w:val="none"/>
                      <w:lang w:val="en-US" w:eastAsia="zh-CN"/>
                    </w:rPr>
                    <w:t>，</w:t>
                  </w:r>
                  <w:r>
                    <w:rPr>
                      <w:rFonts w:hint="default" w:cs="Times New Roman"/>
                      <w:color w:val="auto"/>
                      <w:spacing w:val="0"/>
                      <w:sz w:val="18"/>
                      <w:szCs w:val="18"/>
                      <w:highlight w:val="none"/>
                      <w:lang w:val="en-US" w:eastAsia="zh-CN"/>
                    </w:rPr>
                    <w:t>经鸡西市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污水处理厂处理后排入穆棱河</w:t>
                  </w:r>
                  <w:r>
                    <w:rPr>
                      <w:rFonts w:hint="eastAsia" w:cs="Times New Roman"/>
                      <w:color w:val="auto"/>
                      <w:sz w:val="18"/>
                      <w:szCs w:val="18"/>
                      <w:highlight w:val="none"/>
                      <w:lang w:val="en-US" w:eastAsia="zh-CN"/>
                    </w:rPr>
                    <w:t>。</w:t>
                  </w:r>
                  <w:r>
                    <w:rPr>
                      <w:rFonts w:hint="eastAsia" w:cs="Times New Roman"/>
                      <w:color w:val="auto"/>
                      <w:kern w:val="0"/>
                      <w:sz w:val="18"/>
                      <w:szCs w:val="18"/>
                      <w:highlight w:val="none"/>
                      <w:lang w:val="en-US" w:eastAsia="zh-CN"/>
                    </w:rPr>
                    <w:t>排泥水经絮凝、压滤处理后满足</w:t>
                  </w:r>
                  <w:r>
                    <w:rPr>
                      <w:rFonts w:hint="eastAsia" w:cs="Times New Roman"/>
                      <w:color w:val="auto"/>
                      <w:spacing w:val="0"/>
                      <w:sz w:val="18"/>
                      <w:szCs w:val="18"/>
                      <w:highlight w:val="none"/>
                      <w:lang w:val="en-US" w:eastAsia="zh-CN"/>
                    </w:rPr>
                    <w:t>《地表水环境质量标准》（GB3838-2002）表1中三类标准、悬浮物满足</w:t>
                  </w:r>
                  <w:r>
                    <w:rPr>
                      <w:rFonts w:hint="default" w:cs="Times New Roman"/>
                      <w:color w:val="auto"/>
                      <w:spacing w:val="0"/>
                      <w:sz w:val="18"/>
                      <w:szCs w:val="18"/>
                      <w:highlight w:val="none"/>
                      <w:lang w:val="en-US" w:eastAsia="zh-CN"/>
                    </w:rPr>
                    <w:t>《污水综合排放标准》</w:t>
                  </w:r>
                  <w:r>
                    <w:rPr>
                      <w:rFonts w:hint="eastAsia" w:cs="Times New Roman"/>
                      <w:color w:val="auto"/>
                      <w:spacing w:val="0"/>
                      <w:sz w:val="18"/>
                      <w:szCs w:val="18"/>
                      <w:highlight w:val="none"/>
                      <w:lang w:val="en-US" w:eastAsia="zh-CN"/>
                    </w:rPr>
                    <w:t>（GB8978-1996）一级标准排入穆棱河。</w:t>
                  </w:r>
                </w:p>
              </w:tc>
              <w:tc>
                <w:tcPr>
                  <w:tcW w:w="1132" w:type="pct"/>
                  <w:tcBorders>
                    <w:tl2br w:val="nil"/>
                    <w:tr2bl w:val="nil"/>
                  </w:tcBorders>
                  <w:vAlign w:val="center"/>
                </w:tcPr>
                <w:p w14:paraId="6DEA2D0B">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rPr>
                    <w:t>依托</w:t>
                  </w:r>
                </w:p>
              </w:tc>
            </w:tr>
            <w:tr w14:paraId="2E91AD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5E2560A6">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668" w:type="pct"/>
                  <w:tcBorders>
                    <w:tl2br w:val="nil"/>
                    <w:tr2bl w:val="nil"/>
                  </w:tcBorders>
                  <w:vAlign w:val="center"/>
                </w:tcPr>
                <w:p w14:paraId="30BB450A">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噪声</w:t>
                  </w:r>
                </w:p>
              </w:tc>
              <w:tc>
                <w:tcPr>
                  <w:tcW w:w="2809" w:type="pct"/>
                  <w:tcBorders>
                    <w:tl2br w:val="nil"/>
                    <w:tr2bl w:val="nil"/>
                  </w:tcBorders>
                  <w:vAlign w:val="center"/>
                </w:tcPr>
                <w:p w14:paraId="181AA5DE">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本项目采用低噪声设备、厂房隔声、基础减振</w:t>
                  </w:r>
                  <w:r>
                    <w:rPr>
                      <w:rFonts w:hint="eastAsia" w:ascii="宋体" w:hAnsi="宋体" w:cs="宋体"/>
                      <w:color w:val="auto"/>
                      <w:sz w:val="18"/>
                      <w:szCs w:val="18"/>
                      <w:highlight w:val="none"/>
                      <w:lang w:eastAsia="zh-CN"/>
                    </w:rPr>
                    <w:t>、</w:t>
                  </w:r>
                  <w:r>
                    <w:rPr>
                      <w:rFonts w:hint="eastAsia" w:ascii="宋体" w:hAnsi="宋体" w:cs="宋体"/>
                      <w:color w:val="auto"/>
                      <w:sz w:val="18"/>
                      <w:szCs w:val="18"/>
                      <w:highlight w:val="none"/>
                      <w:lang w:val="en-US" w:eastAsia="zh-CN"/>
                    </w:rPr>
                    <w:t>安装消声器</w:t>
                  </w:r>
                  <w:r>
                    <w:rPr>
                      <w:rFonts w:hint="eastAsia" w:ascii="宋体" w:hAnsi="宋体" w:cs="宋体"/>
                      <w:color w:val="auto"/>
                      <w:sz w:val="18"/>
                      <w:szCs w:val="18"/>
                      <w:highlight w:val="none"/>
                    </w:rPr>
                    <w:t>等措施。厂界噪声满足《工业企业厂界环境噪声排放标准</w:t>
                  </w:r>
                  <w:r>
                    <w:rPr>
                      <w:rFonts w:hint="default" w:ascii="Times New Roman" w:hAnsi="Times New Roman" w:cs="Times New Roman"/>
                      <w:color w:val="auto"/>
                      <w:sz w:val="18"/>
                      <w:szCs w:val="18"/>
                      <w:highlight w:val="none"/>
                    </w:rPr>
                    <w:t>》（GB12348-2008）表1中</w:t>
                  </w: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类标</w:t>
                  </w:r>
                  <w:r>
                    <w:rPr>
                      <w:rFonts w:hint="eastAsia" w:ascii="宋体" w:hAnsi="宋体" w:cs="宋体"/>
                      <w:color w:val="auto"/>
                      <w:sz w:val="18"/>
                      <w:szCs w:val="18"/>
                      <w:highlight w:val="none"/>
                    </w:rPr>
                    <w:t>准要求。</w:t>
                  </w:r>
                </w:p>
              </w:tc>
              <w:tc>
                <w:tcPr>
                  <w:tcW w:w="1132" w:type="pct"/>
                  <w:tcBorders>
                    <w:tl2br w:val="nil"/>
                    <w:tr2bl w:val="nil"/>
                  </w:tcBorders>
                  <w:vAlign w:val="center"/>
                </w:tcPr>
                <w:p w14:paraId="3567D20F">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依托</w:t>
                  </w:r>
                </w:p>
              </w:tc>
            </w:tr>
            <w:tr w14:paraId="3C5ACB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13C6BC35">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668" w:type="pct"/>
                  <w:tcBorders>
                    <w:tl2br w:val="nil"/>
                    <w:tr2bl w:val="nil"/>
                  </w:tcBorders>
                  <w:vAlign w:val="center"/>
                </w:tcPr>
                <w:p w14:paraId="3683099D">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固废</w:t>
                  </w:r>
                </w:p>
              </w:tc>
              <w:tc>
                <w:tcPr>
                  <w:tcW w:w="2809" w:type="pct"/>
                  <w:tcBorders>
                    <w:tl2br w:val="nil"/>
                    <w:tr2bl w:val="nil"/>
                  </w:tcBorders>
                  <w:vAlign w:val="center"/>
                </w:tcPr>
                <w:p w14:paraId="52C40D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宋体" w:hAnsi="宋体" w:cs="宋体"/>
                      <w:color w:val="auto"/>
                      <w:sz w:val="18"/>
                      <w:szCs w:val="18"/>
                      <w:highlight w:val="none"/>
                      <w:lang w:val="en-US"/>
                    </w:rPr>
                  </w:pPr>
                  <w:r>
                    <w:rPr>
                      <w:rFonts w:hint="eastAsia" w:ascii="宋体" w:hAnsi="宋体" w:cs="宋体"/>
                      <w:bCs/>
                      <w:color w:val="auto"/>
                      <w:sz w:val="18"/>
                      <w:szCs w:val="18"/>
                      <w:highlight w:val="none"/>
                    </w:rPr>
                    <w:t>本项目</w:t>
                  </w:r>
                  <w:r>
                    <w:rPr>
                      <w:rFonts w:hint="eastAsia" w:ascii="宋体" w:hAnsi="宋体" w:cs="宋体"/>
                      <w:color w:val="auto"/>
                      <w:sz w:val="18"/>
                      <w:szCs w:val="18"/>
                      <w:highlight w:val="none"/>
                    </w:rPr>
                    <w:t>生活垃圾</w:t>
                  </w:r>
                  <w:r>
                    <w:rPr>
                      <w:rFonts w:hint="eastAsia" w:ascii="宋体" w:hAnsi="宋体" w:cs="宋体"/>
                      <w:color w:val="auto"/>
                      <w:sz w:val="18"/>
                      <w:szCs w:val="18"/>
                      <w:highlight w:val="none"/>
                      <w:lang w:val="en-US" w:eastAsia="zh-CN"/>
                    </w:rPr>
                    <w:t>、废包装袋委托环卫部门统一处置，脱水污泥外运委托有资质单位处理，废活性炭由厂家更换后回收。废石英砂、卵石等外售综合利用。本项目化验室药剂不涉及危险物品</w:t>
                  </w:r>
                  <w:r>
                    <w:rPr>
                      <w:rFonts w:hint="default" w:ascii="宋体" w:hAnsi="宋体" w:cs="宋体"/>
                      <w:color w:val="auto"/>
                      <w:sz w:val="18"/>
                      <w:szCs w:val="18"/>
                      <w:highlight w:val="none"/>
                      <w:lang w:eastAsia="zh-CN"/>
                    </w:rPr>
                    <w:t>，无危险废</w:t>
                  </w:r>
                  <w:r>
                    <w:rPr>
                      <w:rFonts w:hint="default" w:ascii="宋体" w:hAnsi="宋体" w:eastAsia="宋体" w:cs="宋体"/>
                      <w:color w:val="auto"/>
                      <w:sz w:val="18"/>
                      <w:szCs w:val="18"/>
                      <w:highlight w:val="none"/>
                      <w:lang w:val="en-US" w:eastAsia="zh-CN"/>
                    </w:rPr>
                    <w:t>物产生</w:t>
                  </w:r>
                  <w:r>
                    <w:rPr>
                      <w:rFonts w:hint="eastAsia" w:ascii="宋体" w:hAnsi="宋体" w:eastAsia="宋体" w:cs="宋体"/>
                      <w:color w:val="auto"/>
                      <w:sz w:val="18"/>
                      <w:szCs w:val="18"/>
                      <w:highlight w:val="none"/>
                      <w:lang w:val="en-US" w:eastAsia="zh-CN"/>
                    </w:rPr>
                    <w:t>，化验室产生的废包装委托环卫部门统一处理。</w:t>
                  </w:r>
                </w:p>
              </w:tc>
              <w:tc>
                <w:tcPr>
                  <w:tcW w:w="1132" w:type="pct"/>
                  <w:tcBorders>
                    <w:tl2br w:val="nil"/>
                    <w:tr2bl w:val="nil"/>
                  </w:tcBorders>
                  <w:vAlign w:val="center"/>
                </w:tcPr>
                <w:p w14:paraId="6DBA74BC">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依托</w:t>
                  </w:r>
                </w:p>
              </w:tc>
            </w:tr>
            <w:tr w14:paraId="01F860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5B5A7B88">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p>
              </w:tc>
              <w:tc>
                <w:tcPr>
                  <w:tcW w:w="668" w:type="pct"/>
                  <w:tcBorders>
                    <w:tl2br w:val="nil"/>
                    <w:tr2bl w:val="nil"/>
                  </w:tcBorders>
                  <w:vAlign w:val="center"/>
                </w:tcPr>
                <w:p w14:paraId="076E353D">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防渗</w:t>
                  </w:r>
                </w:p>
              </w:tc>
              <w:tc>
                <w:tcPr>
                  <w:tcW w:w="2809" w:type="pct"/>
                  <w:tcBorders>
                    <w:tl2br w:val="nil"/>
                    <w:tr2bl w:val="nil"/>
                  </w:tcBorders>
                  <w:vAlign w:val="center"/>
                </w:tcPr>
                <w:p w14:paraId="7C2F7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宋体" w:hAnsi="宋体" w:eastAsia="宋体" w:cs="宋体"/>
                      <w:bCs/>
                      <w:color w:val="auto"/>
                      <w:sz w:val="18"/>
                      <w:szCs w:val="18"/>
                      <w:highlight w:val="none"/>
                      <w:lang w:val="en-US" w:eastAsia="zh-CN"/>
                    </w:rPr>
                  </w:pPr>
                  <w:r>
                    <w:rPr>
                      <w:rFonts w:hint="eastAsia"/>
                      <w:color w:val="auto"/>
                      <w:sz w:val="18"/>
                      <w:szCs w:val="18"/>
                    </w:rPr>
                    <w:t>本项目对加氯间地面进行重点防渗，防渗措施应满足《环境影响评价技术导则地下水环境》（HJ 610—2016）中等效黏土防渗层Mb≥</w:t>
                  </w:r>
                  <w:r>
                    <w:rPr>
                      <w:rFonts w:hint="eastAsia"/>
                      <w:color w:val="auto"/>
                      <w:sz w:val="18"/>
                      <w:szCs w:val="18"/>
                      <w:lang w:val="en-US" w:eastAsia="zh-CN"/>
                    </w:rPr>
                    <w:t>6.0</w:t>
                  </w:r>
                  <w:r>
                    <w:rPr>
                      <w:rFonts w:hint="eastAsia"/>
                      <w:color w:val="auto"/>
                      <w:sz w:val="18"/>
                      <w:szCs w:val="18"/>
                    </w:rPr>
                    <w:t>m，渗透系数K≤1×10</w:t>
                  </w:r>
                  <w:r>
                    <w:rPr>
                      <w:rFonts w:hint="eastAsia"/>
                      <w:color w:val="auto"/>
                      <w:sz w:val="18"/>
                      <w:szCs w:val="18"/>
                      <w:vertAlign w:val="superscript"/>
                    </w:rPr>
                    <w:t>-7</w:t>
                  </w:r>
                  <w:r>
                    <w:rPr>
                      <w:rFonts w:hint="eastAsia"/>
                      <w:color w:val="auto"/>
                      <w:sz w:val="18"/>
                      <w:szCs w:val="18"/>
                    </w:rPr>
                    <w:t>cm/s</w:t>
                  </w:r>
                  <w:r>
                    <w:rPr>
                      <w:rFonts w:hint="eastAsia"/>
                      <w:color w:val="auto"/>
                      <w:sz w:val="18"/>
                      <w:szCs w:val="18"/>
                      <w:lang w:eastAsia="zh-CN"/>
                    </w:rPr>
                    <w:t>。</w:t>
                  </w:r>
                  <w:r>
                    <w:rPr>
                      <w:rFonts w:hint="eastAsia"/>
                      <w:color w:val="auto"/>
                      <w:sz w:val="18"/>
                      <w:szCs w:val="18"/>
                      <w:lang w:val="en-US" w:eastAsia="zh-CN"/>
                    </w:rPr>
                    <w:t>厂区其他区域为简单防渗，进行一般地面硬化</w:t>
                  </w:r>
                </w:p>
              </w:tc>
              <w:tc>
                <w:tcPr>
                  <w:tcW w:w="1132" w:type="pct"/>
                  <w:tcBorders>
                    <w:tl2br w:val="nil"/>
                    <w:tr2bl w:val="nil"/>
                  </w:tcBorders>
                  <w:vAlign w:val="center"/>
                </w:tcPr>
                <w:p w14:paraId="0C51917C">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bl>
          <w:p w14:paraId="75AEF9A1">
            <w:pPr>
              <w:keepNext w:val="0"/>
              <w:keepLines w:val="0"/>
              <w:widowControl/>
              <w:suppressLineNumbers w:val="0"/>
              <w:adjustRightInd/>
              <w:snapToGrid/>
              <w:spacing w:before="0" w:beforeAutospacing="0" w:after="0" w:afterAutospacing="0" w:line="360" w:lineRule="auto"/>
              <w:ind w:left="0" w:right="0" w:firstLine="422" w:firstLineChars="200"/>
              <w:rPr>
                <w:rFonts w:hint="default"/>
                <w:b/>
                <w:color w:val="auto"/>
                <w:szCs w:val="21"/>
                <w:highlight w:val="none"/>
              </w:rPr>
            </w:pPr>
            <w:r>
              <w:rPr>
                <w:rFonts w:hint="default" w:ascii="Times New Roman" w:hAnsi="Times New Roman" w:cs="Times New Roman"/>
                <w:b/>
                <w:bCs/>
                <w:color w:val="auto"/>
                <w:kern w:val="0"/>
                <w:szCs w:val="21"/>
                <w:highlight w:val="none"/>
              </w:rPr>
              <w:t>2、</w:t>
            </w:r>
            <w:r>
              <w:rPr>
                <w:rFonts w:hint="default"/>
                <w:b/>
                <w:color w:val="auto"/>
                <w:szCs w:val="21"/>
                <w:highlight w:val="none"/>
              </w:rPr>
              <w:t>主要产品及产能</w:t>
            </w:r>
          </w:p>
          <w:p w14:paraId="48D89A63">
            <w:pPr>
              <w:keepNext w:val="0"/>
              <w:keepLines w:val="0"/>
              <w:widowControl/>
              <w:suppressLineNumbers w:val="0"/>
              <w:adjustRightInd/>
              <w:snapToGrid/>
              <w:spacing w:before="0" w:beforeAutospacing="0" w:after="0" w:afterAutospacing="0" w:line="360" w:lineRule="auto"/>
              <w:ind w:left="0" w:right="0" w:firstLine="420" w:firstLineChars="200"/>
              <w:rPr>
                <w:rFonts w:hint="default"/>
                <w:bCs/>
                <w:color w:val="auto"/>
                <w:szCs w:val="21"/>
                <w:highlight w:val="none"/>
              </w:rPr>
            </w:pPr>
            <w:r>
              <w:rPr>
                <w:rFonts w:hint="default"/>
                <w:bCs/>
                <w:color w:val="auto"/>
                <w:szCs w:val="21"/>
                <w:highlight w:val="none"/>
              </w:rPr>
              <w:t>本项目产品方案详见表2-</w:t>
            </w:r>
            <w:r>
              <w:rPr>
                <w:rFonts w:hint="eastAsia"/>
                <w:bCs/>
                <w:color w:val="auto"/>
                <w:szCs w:val="21"/>
                <w:highlight w:val="none"/>
                <w:lang w:val="en-US" w:eastAsia="zh-CN"/>
              </w:rPr>
              <w:t>4</w:t>
            </w:r>
            <w:r>
              <w:rPr>
                <w:rFonts w:hint="default"/>
                <w:bCs/>
                <w:color w:val="auto"/>
                <w:szCs w:val="21"/>
                <w:highlight w:val="none"/>
              </w:rPr>
              <w:t>。</w:t>
            </w:r>
          </w:p>
          <w:p w14:paraId="30D64443">
            <w:pPr>
              <w:keepNext w:val="0"/>
              <w:keepLines w:val="0"/>
              <w:widowControl/>
              <w:suppressLineNumbers w:val="0"/>
              <w:adjustRightInd/>
              <w:snapToGrid/>
              <w:spacing w:before="0" w:beforeAutospacing="0" w:after="0" w:afterAutospacing="0"/>
              <w:ind w:left="0" w:right="0"/>
              <w:jc w:val="center"/>
              <w:rPr>
                <w:rFonts w:hint="eastAsia" w:eastAsia="宋体"/>
                <w:b/>
                <w:color w:val="auto"/>
                <w:szCs w:val="21"/>
                <w:highlight w:val="none"/>
                <w:lang w:eastAsia="zh-CN"/>
              </w:rPr>
            </w:pPr>
            <w:r>
              <w:rPr>
                <w:rFonts w:hint="default"/>
                <w:b/>
                <w:color w:val="auto"/>
                <w:szCs w:val="21"/>
                <w:highlight w:val="none"/>
              </w:rPr>
              <w:t>表2-</w:t>
            </w:r>
            <w:r>
              <w:rPr>
                <w:rFonts w:hint="eastAsia"/>
                <w:b/>
                <w:color w:val="auto"/>
                <w:szCs w:val="21"/>
                <w:highlight w:val="none"/>
                <w:lang w:val="en-US" w:eastAsia="zh-CN"/>
              </w:rPr>
              <w:t>4</w:t>
            </w:r>
            <w:r>
              <w:rPr>
                <w:rFonts w:hint="default"/>
                <w:b/>
                <w:color w:val="auto"/>
                <w:szCs w:val="21"/>
                <w:highlight w:val="none"/>
              </w:rPr>
              <w:t>主要产品及产能</w:t>
            </w:r>
          </w:p>
          <w:tbl>
            <w:tblPr>
              <w:tblStyle w:val="3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1740"/>
              <w:gridCol w:w="1605"/>
              <w:gridCol w:w="810"/>
              <w:gridCol w:w="3505"/>
            </w:tblGrid>
            <w:tr w14:paraId="6103D7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140D9CBD">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1740" w:type="dxa"/>
                  <w:tcBorders>
                    <w:tl2br w:val="nil"/>
                    <w:tr2bl w:val="nil"/>
                  </w:tcBorders>
                  <w:vAlign w:val="center"/>
                </w:tcPr>
                <w:p w14:paraId="1CF7F4E7">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产品名称</w:t>
                  </w:r>
                </w:p>
              </w:tc>
              <w:tc>
                <w:tcPr>
                  <w:tcW w:w="1605" w:type="dxa"/>
                  <w:tcBorders>
                    <w:tl2br w:val="nil"/>
                    <w:tr2bl w:val="nil"/>
                  </w:tcBorders>
                  <w:vAlign w:val="center"/>
                </w:tcPr>
                <w:p w14:paraId="618AA299">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产量</w:t>
                  </w:r>
                </w:p>
              </w:tc>
              <w:tc>
                <w:tcPr>
                  <w:tcW w:w="810" w:type="dxa"/>
                  <w:tcBorders>
                    <w:tl2br w:val="nil"/>
                    <w:tr2bl w:val="nil"/>
                  </w:tcBorders>
                  <w:vAlign w:val="center"/>
                </w:tcPr>
                <w:p w14:paraId="630484B6">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单位</w:t>
                  </w:r>
                </w:p>
              </w:tc>
              <w:tc>
                <w:tcPr>
                  <w:tcW w:w="3505" w:type="dxa"/>
                  <w:tcBorders>
                    <w:tl2br w:val="nil"/>
                    <w:tr2bl w:val="nil"/>
                  </w:tcBorders>
                  <w:vAlign w:val="center"/>
                </w:tcPr>
                <w:p w14:paraId="6CCC6D71">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备注</w:t>
                  </w:r>
                </w:p>
              </w:tc>
            </w:tr>
            <w:tr w14:paraId="2AEFC0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7" w:type="dxa"/>
                  <w:tcBorders>
                    <w:tl2br w:val="nil"/>
                    <w:tr2bl w:val="nil"/>
                  </w:tcBorders>
                  <w:vAlign w:val="center"/>
                </w:tcPr>
                <w:p w14:paraId="6F3183B2">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1740" w:type="dxa"/>
                  <w:tcBorders>
                    <w:tl2br w:val="nil"/>
                    <w:tr2bl w:val="nil"/>
                  </w:tcBorders>
                  <w:vAlign w:val="center"/>
                </w:tcPr>
                <w:p w14:paraId="075FF0B4">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eastAsiaTheme="minorEastAsia"/>
                      <w:color w:val="auto"/>
                      <w:sz w:val="18"/>
                      <w:szCs w:val="18"/>
                      <w:highlight w:val="none"/>
                      <w:vertAlign w:val="baseline"/>
                      <w:lang w:val="en-US" w:eastAsia="zh-CN"/>
                    </w:rPr>
                    <w:t>自来水</w:t>
                  </w:r>
                </w:p>
              </w:tc>
              <w:tc>
                <w:tcPr>
                  <w:tcW w:w="1605" w:type="dxa"/>
                  <w:tcBorders>
                    <w:tl2br w:val="nil"/>
                    <w:tr2bl w:val="nil"/>
                  </w:tcBorders>
                  <w:vAlign w:val="center"/>
                </w:tcPr>
                <w:p w14:paraId="7A14CAF2">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76511.04</w:t>
                  </w:r>
                </w:p>
              </w:tc>
              <w:tc>
                <w:tcPr>
                  <w:tcW w:w="810" w:type="dxa"/>
                  <w:tcBorders>
                    <w:tl2br w:val="nil"/>
                    <w:tr2bl w:val="nil"/>
                  </w:tcBorders>
                  <w:vAlign w:val="center"/>
                </w:tcPr>
                <w:p w14:paraId="186D559F">
                  <w:pPr>
                    <w:keepNext w:val="0"/>
                    <w:keepLines w:val="0"/>
                    <w:suppressLineNumbers w:val="0"/>
                    <w:spacing w:before="0" w:beforeAutospacing="0" w:after="0" w:afterAutospacing="0"/>
                    <w:ind w:left="0" w:right="0"/>
                    <w:jc w:val="center"/>
                    <w:rPr>
                      <w:rFonts w:hint="default"/>
                      <w:color w:val="auto"/>
                      <w:highlight w:val="none"/>
                      <w:lang w:val="en-US" w:eastAsia="zh-CN"/>
                    </w:rPr>
                  </w:pPr>
                  <w:r>
                    <w:rPr>
                      <w:rFonts w:hint="eastAsia" w:cs="Times New Roman"/>
                      <w:color w:val="auto"/>
                      <w:sz w:val="18"/>
                      <w:szCs w:val="18"/>
                      <w:highlight w:val="none"/>
                      <w:vertAlign w:val="baseline"/>
                      <w:lang w:val="en-US" w:eastAsia="zh-CN"/>
                    </w:rPr>
                    <w:t>t/d</w:t>
                  </w:r>
                </w:p>
              </w:tc>
              <w:tc>
                <w:tcPr>
                  <w:tcW w:w="3505" w:type="dxa"/>
                  <w:tcBorders>
                    <w:tl2br w:val="nil"/>
                    <w:tr2bl w:val="nil"/>
                  </w:tcBorders>
                  <w:vAlign w:val="center"/>
                </w:tcPr>
                <w:p w14:paraId="17CD33E7">
                  <w:pPr>
                    <w:keepNext w:val="0"/>
                    <w:keepLines w:val="0"/>
                    <w:suppressLineNumbers w:val="0"/>
                    <w:spacing w:before="0" w:beforeAutospacing="0" w:after="0" w:afterAutospacing="0"/>
                    <w:ind w:left="0" w:right="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w:t>
                  </w:r>
                </w:p>
              </w:tc>
            </w:tr>
          </w:tbl>
          <w:p w14:paraId="7F8AA79A">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0"/>
                <w:szCs w:val="21"/>
                <w:highlight w:val="none"/>
              </w:rPr>
            </w:pPr>
            <w:r>
              <w:rPr>
                <w:rFonts w:hint="eastAsia" w:cs="Times New Roman"/>
                <w:b/>
                <w:bCs/>
                <w:color w:val="auto"/>
                <w:kern w:val="0"/>
                <w:szCs w:val="21"/>
                <w:highlight w:val="none"/>
                <w:lang w:val="en-US" w:eastAsia="zh-CN"/>
              </w:rPr>
              <w:t>3、</w:t>
            </w:r>
            <w:r>
              <w:rPr>
                <w:rFonts w:hint="default" w:ascii="Times New Roman" w:hAnsi="Times New Roman" w:cs="Times New Roman"/>
                <w:b/>
                <w:bCs/>
                <w:color w:val="auto"/>
                <w:kern w:val="0"/>
                <w:szCs w:val="21"/>
                <w:highlight w:val="none"/>
              </w:rPr>
              <w:t>主要设备</w:t>
            </w:r>
          </w:p>
          <w:p w14:paraId="0437207D">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b/>
                <w:bCs/>
                <w:color w:val="auto"/>
                <w:kern w:val="0"/>
                <w:szCs w:val="21"/>
                <w:highlight w:val="none"/>
              </w:rPr>
            </w:pPr>
            <w:r>
              <w:rPr>
                <w:rFonts w:hint="default" w:ascii="Times New Roman" w:hAnsi="Times New Roman" w:cs="Times New Roman"/>
                <w:color w:val="auto"/>
                <w:kern w:val="0"/>
                <w:szCs w:val="21"/>
                <w:highlight w:val="none"/>
              </w:rPr>
              <w:t>主要设备见表2-</w:t>
            </w:r>
            <w:r>
              <w:rPr>
                <w:rFonts w:hint="eastAsia" w:cs="Times New Roman"/>
                <w:color w:val="auto"/>
                <w:kern w:val="0"/>
                <w:szCs w:val="21"/>
                <w:highlight w:val="none"/>
                <w:lang w:val="en-US" w:eastAsia="zh-CN"/>
              </w:rPr>
              <w:t>5</w:t>
            </w:r>
            <w:r>
              <w:rPr>
                <w:rFonts w:hint="default" w:ascii="Times New Roman" w:hAnsi="Times New Roman" w:cs="Times New Roman"/>
                <w:color w:val="auto"/>
                <w:kern w:val="0"/>
                <w:szCs w:val="21"/>
                <w:highlight w:val="none"/>
              </w:rPr>
              <w:t>。</w:t>
            </w:r>
          </w:p>
          <w:p w14:paraId="024439B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w:t>
            </w:r>
            <w:r>
              <w:rPr>
                <w:rFonts w:hint="default" w:ascii="Times New Roman" w:hAnsi="Times New Roman" w:eastAsia="宋体" w:cs="Times New Roman"/>
                <w:b/>
                <w:bCs/>
                <w:snapToGrid w:val="0"/>
                <w:color w:val="auto"/>
                <w:szCs w:val="21"/>
                <w:highlight w:val="none"/>
                <w:lang w:val="en-US" w:eastAsia="zh-CN"/>
              </w:rPr>
              <w:t>5</w:t>
            </w:r>
            <w:r>
              <w:rPr>
                <w:rFonts w:hint="default" w:ascii="Times New Roman" w:hAnsi="Times New Roman" w:eastAsia="宋体" w:cs="Times New Roman"/>
                <w:b/>
                <w:bCs/>
                <w:snapToGrid w:val="0"/>
                <w:color w:val="auto"/>
                <w:szCs w:val="21"/>
                <w:highlight w:val="none"/>
              </w:rPr>
              <w:t>主要设备一览表</w:t>
            </w:r>
          </w:p>
          <w:tbl>
            <w:tblPr>
              <w:tblStyle w:val="38"/>
              <w:tblW w:w="8263" w:type="dxa"/>
              <w:tblInd w:w="-1"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4"/>
              <w:gridCol w:w="2113"/>
              <w:gridCol w:w="3857"/>
              <w:gridCol w:w="705"/>
              <w:gridCol w:w="984"/>
            </w:tblGrid>
            <w:tr w14:paraId="36A47D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4" w:type="dxa"/>
                  <w:tcBorders>
                    <w:top w:val="single" w:color="auto" w:sz="12" w:space="0"/>
                  </w:tcBorders>
                  <w:vAlign w:val="center"/>
                </w:tcPr>
                <w:p w14:paraId="742F42A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序号</w:t>
                  </w:r>
                </w:p>
              </w:tc>
              <w:tc>
                <w:tcPr>
                  <w:tcW w:w="2113" w:type="dxa"/>
                  <w:tcBorders>
                    <w:top w:val="single" w:color="auto" w:sz="12" w:space="0"/>
                  </w:tcBorders>
                  <w:vAlign w:val="center"/>
                </w:tcPr>
                <w:p w14:paraId="591F13A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设备名称</w:t>
                  </w:r>
                </w:p>
              </w:tc>
              <w:tc>
                <w:tcPr>
                  <w:tcW w:w="3857" w:type="dxa"/>
                  <w:tcBorders>
                    <w:top w:val="single" w:color="auto" w:sz="12" w:space="0"/>
                  </w:tcBorders>
                  <w:vAlign w:val="center"/>
                </w:tcPr>
                <w:p w14:paraId="29F625C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规格/型号</w:t>
                  </w:r>
                </w:p>
              </w:tc>
              <w:tc>
                <w:tcPr>
                  <w:tcW w:w="705" w:type="dxa"/>
                  <w:tcBorders>
                    <w:top w:val="single" w:color="auto" w:sz="12" w:space="0"/>
                  </w:tcBorders>
                  <w:vAlign w:val="center"/>
                </w:tcPr>
                <w:p w14:paraId="0E2752B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数量</w:t>
                  </w:r>
                </w:p>
              </w:tc>
              <w:tc>
                <w:tcPr>
                  <w:tcW w:w="729" w:type="dxa"/>
                  <w:tcBorders>
                    <w:top w:val="single" w:color="auto" w:sz="12" w:space="0"/>
                  </w:tcBorders>
                  <w:vAlign w:val="center"/>
                </w:tcPr>
                <w:p w14:paraId="4F5A2CD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单位</w:t>
                  </w:r>
                </w:p>
              </w:tc>
            </w:tr>
            <w:tr w14:paraId="011FE1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3" w:type="dxa"/>
                  <w:gridSpan w:val="5"/>
                  <w:vAlign w:val="center"/>
                </w:tcPr>
                <w:p w14:paraId="5131C5E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配水间</w:t>
                  </w:r>
                  <w:r>
                    <w:rPr>
                      <w:rFonts w:hint="eastAsia" w:cs="Times New Roman"/>
                      <w:color w:val="auto"/>
                      <w:sz w:val="18"/>
                      <w:szCs w:val="18"/>
                      <w:lang w:val="en-US" w:eastAsia="zh-CN"/>
                    </w:rPr>
                    <w:t>更换设备</w:t>
                  </w:r>
                </w:p>
              </w:tc>
            </w:tr>
            <w:tr w14:paraId="436448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4" w:type="dxa"/>
                  <w:vAlign w:val="center"/>
                </w:tcPr>
                <w:p w14:paraId="48ECFBE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2113" w:type="dxa"/>
                  <w:vAlign w:val="center"/>
                </w:tcPr>
                <w:p w14:paraId="07B52CF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双法兰手动蝶阀</w:t>
                  </w:r>
                </w:p>
              </w:tc>
              <w:tc>
                <w:tcPr>
                  <w:tcW w:w="3857" w:type="dxa"/>
                  <w:vAlign w:val="center"/>
                </w:tcPr>
                <w:p w14:paraId="7454BEC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DN800</w:t>
                  </w:r>
                </w:p>
              </w:tc>
              <w:tc>
                <w:tcPr>
                  <w:tcW w:w="705" w:type="dxa"/>
                  <w:vAlign w:val="center"/>
                </w:tcPr>
                <w:p w14:paraId="0E4094D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0A80F67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572D96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5285B2C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2113" w:type="dxa"/>
                  <w:shd w:val="clear" w:color="auto" w:fill="auto"/>
                  <w:vAlign w:val="center"/>
                </w:tcPr>
                <w:p w14:paraId="0E2AB18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双法兰限位伸缩接头</w:t>
                  </w:r>
                </w:p>
              </w:tc>
              <w:tc>
                <w:tcPr>
                  <w:tcW w:w="3857" w:type="dxa"/>
                  <w:vAlign w:val="center"/>
                </w:tcPr>
                <w:p w14:paraId="75B1F2C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DN800</w:t>
                  </w:r>
                </w:p>
              </w:tc>
              <w:tc>
                <w:tcPr>
                  <w:tcW w:w="705" w:type="dxa"/>
                  <w:vAlign w:val="center"/>
                </w:tcPr>
                <w:p w14:paraId="1D79755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027B158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427345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3" w:type="dxa"/>
                  <w:gridSpan w:val="5"/>
                  <w:vAlign w:val="center"/>
                </w:tcPr>
                <w:p w14:paraId="3725EF0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加药间</w:t>
                  </w:r>
                  <w:r>
                    <w:rPr>
                      <w:rFonts w:hint="eastAsia" w:cs="Times New Roman"/>
                      <w:color w:val="auto"/>
                      <w:sz w:val="18"/>
                      <w:szCs w:val="18"/>
                      <w:lang w:val="en-US" w:eastAsia="zh-CN"/>
                    </w:rPr>
                    <w:t>更换设备</w:t>
                  </w:r>
                </w:p>
              </w:tc>
            </w:tr>
            <w:tr w14:paraId="004C7A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30D71DD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2113" w:type="dxa"/>
                  <w:shd w:val="clear" w:color="auto" w:fill="auto"/>
                  <w:vAlign w:val="center"/>
                </w:tcPr>
                <w:p w14:paraId="43D286B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隔膜计量泵</w:t>
                  </w:r>
                </w:p>
              </w:tc>
              <w:tc>
                <w:tcPr>
                  <w:tcW w:w="3857" w:type="dxa"/>
                  <w:shd w:val="clear" w:color="auto" w:fill="auto"/>
                  <w:vAlign w:val="center"/>
                </w:tcPr>
                <w:p w14:paraId="1402762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Q=1563L/h,H=40m P=0.75KW</w:t>
                  </w:r>
                </w:p>
              </w:tc>
              <w:tc>
                <w:tcPr>
                  <w:tcW w:w="705" w:type="dxa"/>
                  <w:vAlign w:val="center"/>
                </w:tcPr>
                <w:p w14:paraId="13691E9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4C26E23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台</w:t>
                  </w:r>
                </w:p>
              </w:tc>
            </w:tr>
            <w:tr w14:paraId="51DF07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3AD7D7C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w:t>
                  </w:r>
                </w:p>
              </w:tc>
              <w:tc>
                <w:tcPr>
                  <w:tcW w:w="2113" w:type="dxa"/>
                  <w:shd w:val="clear" w:color="auto" w:fill="auto"/>
                  <w:vAlign w:val="center"/>
                </w:tcPr>
                <w:p w14:paraId="19D07AC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隔膜计量泵</w:t>
                  </w:r>
                </w:p>
              </w:tc>
              <w:tc>
                <w:tcPr>
                  <w:tcW w:w="3857" w:type="dxa"/>
                  <w:shd w:val="clear" w:color="auto" w:fill="auto"/>
                  <w:vAlign w:val="center"/>
                </w:tcPr>
                <w:p w14:paraId="466F20F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Q=625L/h,H=40m P=0.75KW</w:t>
                  </w:r>
                </w:p>
              </w:tc>
              <w:tc>
                <w:tcPr>
                  <w:tcW w:w="705" w:type="dxa"/>
                  <w:vAlign w:val="center"/>
                </w:tcPr>
                <w:p w14:paraId="4C0D35D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469CB1A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091ACB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trPr>
              <w:tc>
                <w:tcPr>
                  <w:tcW w:w="604" w:type="dxa"/>
                  <w:vAlign w:val="center"/>
                </w:tcPr>
                <w:p w14:paraId="12AA544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w:t>
                  </w:r>
                </w:p>
              </w:tc>
              <w:tc>
                <w:tcPr>
                  <w:tcW w:w="2113" w:type="dxa"/>
                  <w:shd w:val="clear" w:color="auto" w:fill="auto"/>
                  <w:vAlign w:val="center"/>
                </w:tcPr>
                <w:p w14:paraId="3DCE3ED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浓度仪</w:t>
                  </w:r>
                </w:p>
              </w:tc>
              <w:tc>
                <w:tcPr>
                  <w:tcW w:w="3857" w:type="dxa"/>
                  <w:shd w:val="clear" w:color="auto" w:fill="auto"/>
                  <w:vAlign w:val="center"/>
                </w:tcPr>
                <w:p w14:paraId="589215D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w:t>
                  </w:r>
                </w:p>
              </w:tc>
              <w:tc>
                <w:tcPr>
                  <w:tcW w:w="705" w:type="dxa"/>
                  <w:vAlign w:val="center"/>
                </w:tcPr>
                <w:p w14:paraId="755814C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w:t>
                  </w:r>
                </w:p>
              </w:tc>
              <w:tc>
                <w:tcPr>
                  <w:tcW w:w="729" w:type="dxa"/>
                  <w:vAlign w:val="center"/>
                </w:tcPr>
                <w:p w14:paraId="2065B70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266FB0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1FD8F24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w:t>
                  </w:r>
                </w:p>
              </w:tc>
              <w:tc>
                <w:tcPr>
                  <w:tcW w:w="2113" w:type="dxa"/>
                  <w:vAlign w:val="center"/>
                </w:tcPr>
                <w:p w14:paraId="15F9CB8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桨式搅拌机</w:t>
                  </w:r>
                </w:p>
              </w:tc>
              <w:tc>
                <w:tcPr>
                  <w:tcW w:w="3857" w:type="dxa"/>
                  <w:vAlign w:val="center"/>
                </w:tcPr>
                <w:p w14:paraId="7BA9FC7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D=700mm P=1.1KWL=1800mm</w:t>
                  </w:r>
                </w:p>
              </w:tc>
              <w:tc>
                <w:tcPr>
                  <w:tcW w:w="705" w:type="dxa"/>
                  <w:vAlign w:val="center"/>
                </w:tcPr>
                <w:p w14:paraId="5F14B3E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3CC7AF7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套</w:t>
                  </w:r>
                </w:p>
              </w:tc>
            </w:tr>
            <w:tr w14:paraId="5AD435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1ED43AA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w:t>
                  </w:r>
                </w:p>
              </w:tc>
              <w:tc>
                <w:tcPr>
                  <w:tcW w:w="2113" w:type="dxa"/>
                  <w:vAlign w:val="center"/>
                </w:tcPr>
                <w:p w14:paraId="7B1485E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桨式搅拌机</w:t>
                  </w:r>
                </w:p>
              </w:tc>
              <w:tc>
                <w:tcPr>
                  <w:tcW w:w="3857" w:type="dxa"/>
                  <w:vAlign w:val="center"/>
                </w:tcPr>
                <w:p w14:paraId="5A3029C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D=700mm P=1.1kWL=1000 m</w:t>
                  </w:r>
                </w:p>
              </w:tc>
              <w:tc>
                <w:tcPr>
                  <w:tcW w:w="705" w:type="dxa"/>
                  <w:vAlign w:val="center"/>
                </w:tcPr>
                <w:p w14:paraId="5026498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2C80399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643158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00DB80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2113" w:type="dxa"/>
                  <w:vAlign w:val="center"/>
                </w:tcPr>
                <w:p w14:paraId="3CE0864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桨式搅拌机</w:t>
                  </w:r>
                </w:p>
              </w:tc>
              <w:tc>
                <w:tcPr>
                  <w:tcW w:w="3857" w:type="dxa"/>
                  <w:vAlign w:val="center"/>
                </w:tcPr>
                <w:p w14:paraId="32612EB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D=550mm P=0.75KWL=1000mm</w:t>
                  </w:r>
                </w:p>
              </w:tc>
              <w:tc>
                <w:tcPr>
                  <w:tcW w:w="705" w:type="dxa"/>
                  <w:vAlign w:val="center"/>
                </w:tcPr>
                <w:p w14:paraId="5B05617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0B74665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套</w:t>
                  </w:r>
                </w:p>
              </w:tc>
            </w:tr>
            <w:tr w14:paraId="562557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04298D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w:t>
                  </w:r>
                </w:p>
              </w:tc>
              <w:tc>
                <w:tcPr>
                  <w:tcW w:w="2113" w:type="dxa"/>
                  <w:shd w:val="clear" w:color="auto" w:fill="auto"/>
                  <w:vAlign w:val="center"/>
                </w:tcPr>
                <w:p w14:paraId="359B147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桨式搅拌机</w:t>
                  </w:r>
                </w:p>
              </w:tc>
              <w:tc>
                <w:tcPr>
                  <w:tcW w:w="3857" w:type="dxa"/>
                  <w:shd w:val="clear" w:color="auto" w:fill="auto"/>
                  <w:vAlign w:val="center"/>
                </w:tcPr>
                <w:p w14:paraId="37DECE9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D=600mm P=0.55KWL=800mm</w:t>
                  </w:r>
                </w:p>
              </w:tc>
              <w:tc>
                <w:tcPr>
                  <w:tcW w:w="705" w:type="dxa"/>
                  <w:vAlign w:val="center"/>
                </w:tcPr>
                <w:p w14:paraId="323CAF4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169F4FF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2C60B5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7443223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w:t>
                  </w:r>
                </w:p>
              </w:tc>
              <w:tc>
                <w:tcPr>
                  <w:tcW w:w="2113" w:type="dxa"/>
                  <w:shd w:val="clear" w:color="auto" w:fill="auto"/>
                  <w:vAlign w:val="center"/>
                </w:tcPr>
                <w:p w14:paraId="48F697F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Y型过滤器</w:t>
                  </w:r>
                </w:p>
              </w:tc>
              <w:tc>
                <w:tcPr>
                  <w:tcW w:w="3857" w:type="dxa"/>
                  <w:shd w:val="clear" w:color="auto" w:fill="auto"/>
                  <w:vAlign w:val="center"/>
                </w:tcPr>
                <w:p w14:paraId="33DC834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DN40与投加PAC计量泵配套</w:t>
                  </w:r>
                </w:p>
              </w:tc>
              <w:tc>
                <w:tcPr>
                  <w:tcW w:w="705" w:type="dxa"/>
                  <w:vAlign w:val="center"/>
                </w:tcPr>
                <w:p w14:paraId="2C3E29F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11CCB63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2ECC20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D8163A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11</w:t>
                  </w:r>
                </w:p>
              </w:tc>
              <w:tc>
                <w:tcPr>
                  <w:tcW w:w="2113" w:type="dxa"/>
                  <w:shd w:val="clear" w:color="auto" w:fill="auto"/>
                  <w:vAlign w:val="center"/>
                </w:tcPr>
                <w:p w14:paraId="12B2859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Y型过滤器</w:t>
                  </w:r>
                </w:p>
              </w:tc>
              <w:tc>
                <w:tcPr>
                  <w:tcW w:w="3857" w:type="dxa"/>
                  <w:shd w:val="clear" w:color="auto" w:fill="auto"/>
                  <w:vAlign w:val="center"/>
                </w:tcPr>
                <w:p w14:paraId="433C5C3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DN25与投加PAM计量泵配套</w:t>
                  </w:r>
                </w:p>
              </w:tc>
              <w:tc>
                <w:tcPr>
                  <w:tcW w:w="705" w:type="dxa"/>
                  <w:vAlign w:val="center"/>
                </w:tcPr>
                <w:p w14:paraId="4BC9F59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66DB545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450216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7C3F7E2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12</w:t>
                  </w:r>
                </w:p>
              </w:tc>
              <w:tc>
                <w:tcPr>
                  <w:tcW w:w="2113" w:type="dxa"/>
                  <w:shd w:val="clear" w:color="auto" w:fill="auto"/>
                  <w:vAlign w:val="center"/>
                </w:tcPr>
                <w:p w14:paraId="0B416EC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安全阀</w:t>
                  </w:r>
                </w:p>
              </w:tc>
              <w:tc>
                <w:tcPr>
                  <w:tcW w:w="3857" w:type="dxa"/>
                  <w:shd w:val="clear" w:color="auto" w:fill="auto"/>
                  <w:vAlign w:val="center"/>
                </w:tcPr>
                <w:p w14:paraId="04FB6B9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DN40与投加PAC计量泵配套</w:t>
                  </w:r>
                </w:p>
              </w:tc>
              <w:tc>
                <w:tcPr>
                  <w:tcW w:w="705" w:type="dxa"/>
                  <w:vAlign w:val="center"/>
                </w:tcPr>
                <w:p w14:paraId="09BFF98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67CAAFC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45EDDB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D07F87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13</w:t>
                  </w:r>
                </w:p>
              </w:tc>
              <w:tc>
                <w:tcPr>
                  <w:tcW w:w="2113" w:type="dxa"/>
                  <w:shd w:val="clear" w:color="auto" w:fill="auto"/>
                  <w:vAlign w:val="center"/>
                </w:tcPr>
                <w:p w14:paraId="0009B70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安全阀</w:t>
                  </w:r>
                </w:p>
              </w:tc>
              <w:tc>
                <w:tcPr>
                  <w:tcW w:w="3857" w:type="dxa"/>
                  <w:shd w:val="clear" w:color="auto" w:fill="auto"/>
                  <w:vAlign w:val="center"/>
                </w:tcPr>
                <w:p w14:paraId="0CDA83F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DN25与投加PAM计量泵配套</w:t>
                  </w:r>
                </w:p>
              </w:tc>
              <w:tc>
                <w:tcPr>
                  <w:tcW w:w="705" w:type="dxa"/>
                  <w:vAlign w:val="center"/>
                </w:tcPr>
                <w:p w14:paraId="4C25B28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4466507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4654B6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37D6524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14</w:t>
                  </w:r>
                </w:p>
              </w:tc>
              <w:tc>
                <w:tcPr>
                  <w:tcW w:w="2113" w:type="dxa"/>
                  <w:shd w:val="clear" w:color="auto" w:fill="auto"/>
                  <w:vAlign w:val="center"/>
                </w:tcPr>
                <w:p w14:paraId="10A6FB4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背压阀</w:t>
                  </w:r>
                </w:p>
              </w:tc>
              <w:tc>
                <w:tcPr>
                  <w:tcW w:w="3857" w:type="dxa"/>
                  <w:shd w:val="clear" w:color="auto" w:fill="auto"/>
                  <w:vAlign w:val="center"/>
                </w:tcPr>
                <w:p w14:paraId="6CB531F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DN40与投加PAC计量泵配套</w:t>
                  </w:r>
                </w:p>
              </w:tc>
              <w:tc>
                <w:tcPr>
                  <w:tcW w:w="705" w:type="dxa"/>
                  <w:vAlign w:val="center"/>
                </w:tcPr>
                <w:p w14:paraId="3DB6E5F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3AE55DC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3772F1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510109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15</w:t>
                  </w:r>
                </w:p>
              </w:tc>
              <w:tc>
                <w:tcPr>
                  <w:tcW w:w="2113" w:type="dxa"/>
                  <w:shd w:val="clear" w:color="auto" w:fill="auto"/>
                  <w:vAlign w:val="center"/>
                </w:tcPr>
                <w:p w14:paraId="1CF5255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背压阀</w:t>
                  </w:r>
                </w:p>
              </w:tc>
              <w:tc>
                <w:tcPr>
                  <w:tcW w:w="3857" w:type="dxa"/>
                  <w:shd w:val="clear" w:color="auto" w:fill="auto"/>
                  <w:vAlign w:val="center"/>
                </w:tcPr>
                <w:p w14:paraId="55CC871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DN25与投加PAM计量泵配套</w:t>
                  </w:r>
                </w:p>
              </w:tc>
              <w:tc>
                <w:tcPr>
                  <w:tcW w:w="705" w:type="dxa"/>
                  <w:vAlign w:val="center"/>
                </w:tcPr>
                <w:p w14:paraId="075AEE0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07A63EF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189BF9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5F4BD1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16</w:t>
                  </w:r>
                </w:p>
              </w:tc>
              <w:tc>
                <w:tcPr>
                  <w:tcW w:w="2113" w:type="dxa"/>
                  <w:shd w:val="clear" w:color="auto" w:fill="auto"/>
                  <w:vAlign w:val="center"/>
                </w:tcPr>
                <w:p w14:paraId="22FF041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脉冲阻尼器</w:t>
                  </w:r>
                </w:p>
              </w:tc>
              <w:tc>
                <w:tcPr>
                  <w:tcW w:w="3857" w:type="dxa"/>
                  <w:shd w:val="clear" w:color="auto" w:fill="auto"/>
                  <w:vAlign w:val="center"/>
                </w:tcPr>
                <w:p w14:paraId="3449964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DN40与投加PAC计量泵配套</w:t>
                  </w:r>
                </w:p>
              </w:tc>
              <w:tc>
                <w:tcPr>
                  <w:tcW w:w="705" w:type="dxa"/>
                  <w:vAlign w:val="center"/>
                </w:tcPr>
                <w:p w14:paraId="771FEB3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486AD91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137145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7EA9AA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17</w:t>
                  </w:r>
                </w:p>
              </w:tc>
              <w:tc>
                <w:tcPr>
                  <w:tcW w:w="2113" w:type="dxa"/>
                  <w:shd w:val="clear" w:color="auto" w:fill="auto"/>
                  <w:vAlign w:val="center"/>
                </w:tcPr>
                <w:p w14:paraId="31D18DD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脉冲阻尼器</w:t>
                  </w:r>
                </w:p>
              </w:tc>
              <w:tc>
                <w:tcPr>
                  <w:tcW w:w="3857" w:type="dxa"/>
                  <w:shd w:val="clear" w:color="auto" w:fill="auto"/>
                  <w:vAlign w:val="center"/>
                </w:tcPr>
                <w:p w14:paraId="15E7BC8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DN25</w:t>
                  </w:r>
                </w:p>
              </w:tc>
              <w:tc>
                <w:tcPr>
                  <w:tcW w:w="705" w:type="dxa"/>
                  <w:vAlign w:val="center"/>
                </w:tcPr>
                <w:p w14:paraId="2CA184F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3922F60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35804A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7D7A0D9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18</w:t>
                  </w:r>
                </w:p>
              </w:tc>
              <w:tc>
                <w:tcPr>
                  <w:tcW w:w="2113" w:type="dxa"/>
                  <w:shd w:val="clear" w:color="auto" w:fill="auto"/>
                  <w:vAlign w:val="center"/>
                </w:tcPr>
                <w:p w14:paraId="48022EE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手动球阀</w:t>
                  </w:r>
                </w:p>
              </w:tc>
              <w:tc>
                <w:tcPr>
                  <w:tcW w:w="3857" w:type="dxa"/>
                  <w:shd w:val="clear" w:color="auto" w:fill="auto"/>
                  <w:vAlign w:val="center"/>
                </w:tcPr>
                <w:p w14:paraId="5334BEA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DN100</w:t>
                  </w:r>
                </w:p>
              </w:tc>
              <w:tc>
                <w:tcPr>
                  <w:tcW w:w="705" w:type="dxa"/>
                  <w:vAlign w:val="center"/>
                </w:tcPr>
                <w:p w14:paraId="5CD5976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5E476FC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2A6B9B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0B5EC9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19</w:t>
                  </w:r>
                </w:p>
              </w:tc>
              <w:tc>
                <w:tcPr>
                  <w:tcW w:w="2113" w:type="dxa"/>
                  <w:shd w:val="clear" w:color="auto" w:fill="auto"/>
                  <w:vAlign w:val="center"/>
                </w:tcPr>
                <w:p w14:paraId="0CD9EC4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手动球阀</w:t>
                  </w:r>
                </w:p>
              </w:tc>
              <w:tc>
                <w:tcPr>
                  <w:tcW w:w="3857" w:type="dxa"/>
                  <w:shd w:val="clear" w:color="auto" w:fill="auto"/>
                  <w:vAlign w:val="center"/>
                </w:tcPr>
                <w:p w14:paraId="194213B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DN50</w:t>
                  </w:r>
                </w:p>
              </w:tc>
              <w:tc>
                <w:tcPr>
                  <w:tcW w:w="705" w:type="dxa"/>
                  <w:vAlign w:val="center"/>
                </w:tcPr>
                <w:p w14:paraId="0580D51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204F7D7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2B02D5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79E6F92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20</w:t>
                  </w:r>
                </w:p>
              </w:tc>
              <w:tc>
                <w:tcPr>
                  <w:tcW w:w="2113" w:type="dxa"/>
                  <w:shd w:val="clear" w:color="auto" w:fill="auto"/>
                  <w:vAlign w:val="center"/>
                </w:tcPr>
                <w:p w14:paraId="1FD2757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手动球阀</w:t>
                  </w:r>
                </w:p>
              </w:tc>
              <w:tc>
                <w:tcPr>
                  <w:tcW w:w="3857" w:type="dxa"/>
                  <w:shd w:val="clear" w:color="auto" w:fill="auto"/>
                  <w:vAlign w:val="center"/>
                </w:tcPr>
                <w:p w14:paraId="56BAB56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DN40</w:t>
                  </w:r>
                </w:p>
              </w:tc>
              <w:tc>
                <w:tcPr>
                  <w:tcW w:w="705" w:type="dxa"/>
                  <w:vAlign w:val="center"/>
                </w:tcPr>
                <w:p w14:paraId="6F137A2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w:t>
                  </w:r>
                </w:p>
              </w:tc>
              <w:tc>
                <w:tcPr>
                  <w:tcW w:w="729" w:type="dxa"/>
                  <w:vAlign w:val="center"/>
                </w:tcPr>
                <w:p w14:paraId="519F29A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42EB96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6D04138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21</w:t>
                  </w:r>
                </w:p>
              </w:tc>
              <w:tc>
                <w:tcPr>
                  <w:tcW w:w="2113" w:type="dxa"/>
                  <w:shd w:val="clear" w:color="auto" w:fill="auto"/>
                  <w:vAlign w:val="center"/>
                </w:tcPr>
                <w:p w14:paraId="24B2F00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手动球阀</w:t>
                  </w:r>
                </w:p>
              </w:tc>
              <w:tc>
                <w:tcPr>
                  <w:tcW w:w="3857" w:type="dxa"/>
                  <w:shd w:val="clear" w:color="auto" w:fill="auto"/>
                  <w:vAlign w:val="center"/>
                </w:tcPr>
                <w:p w14:paraId="7A91D7A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DN25</w:t>
                  </w:r>
                </w:p>
              </w:tc>
              <w:tc>
                <w:tcPr>
                  <w:tcW w:w="705" w:type="dxa"/>
                  <w:vAlign w:val="center"/>
                </w:tcPr>
                <w:p w14:paraId="0359263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1F48E97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20C2AF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54DFD70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22</w:t>
                  </w:r>
                </w:p>
              </w:tc>
              <w:tc>
                <w:tcPr>
                  <w:tcW w:w="2113" w:type="dxa"/>
                  <w:shd w:val="clear" w:color="auto" w:fill="auto"/>
                  <w:vAlign w:val="center"/>
                </w:tcPr>
                <w:p w14:paraId="3C5C45B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电动球阀</w:t>
                  </w:r>
                </w:p>
              </w:tc>
              <w:tc>
                <w:tcPr>
                  <w:tcW w:w="3857" w:type="dxa"/>
                  <w:shd w:val="clear" w:color="auto" w:fill="auto"/>
                  <w:vAlign w:val="center"/>
                </w:tcPr>
                <w:p w14:paraId="784D435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DN40</w:t>
                  </w:r>
                </w:p>
              </w:tc>
              <w:tc>
                <w:tcPr>
                  <w:tcW w:w="705" w:type="dxa"/>
                  <w:vAlign w:val="center"/>
                </w:tcPr>
                <w:p w14:paraId="1079D82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w:t>
                  </w:r>
                </w:p>
              </w:tc>
              <w:tc>
                <w:tcPr>
                  <w:tcW w:w="729" w:type="dxa"/>
                  <w:vAlign w:val="center"/>
                </w:tcPr>
                <w:p w14:paraId="0F0A948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3DB0B1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551524D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23</w:t>
                  </w:r>
                </w:p>
              </w:tc>
              <w:tc>
                <w:tcPr>
                  <w:tcW w:w="2113" w:type="dxa"/>
                  <w:shd w:val="clear" w:color="auto" w:fill="auto"/>
                  <w:vAlign w:val="center"/>
                </w:tcPr>
                <w:p w14:paraId="4FE6B92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电动球阀</w:t>
                  </w:r>
                </w:p>
              </w:tc>
              <w:tc>
                <w:tcPr>
                  <w:tcW w:w="3857" w:type="dxa"/>
                  <w:shd w:val="clear" w:color="auto" w:fill="auto"/>
                  <w:vAlign w:val="center"/>
                </w:tcPr>
                <w:p w14:paraId="4B4342E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DN25</w:t>
                  </w:r>
                </w:p>
              </w:tc>
              <w:tc>
                <w:tcPr>
                  <w:tcW w:w="705" w:type="dxa"/>
                  <w:vAlign w:val="center"/>
                </w:tcPr>
                <w:p w14:paraId="42DB698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2474A37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6AF818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370CCA4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24</w:t>
                  </w:r>
                </w:p>
              </w:tc>
              <w:tc>
                <w:tcPr>
                  <w:tcW w:w="2113" w:type="dxa"/>
                  <w:shd w:val="clear" w:color="auto" w:fill="auto"/>
                  <w:vAlign w:val="center"/>
                </w:tcPr>
                <w:p w14:paraId="7FD61D8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助凝剂投加系统</w:t>
                  </w:r>
                </w:p>
              </w:tc>
              <w:tc>
                <w:tcPr>
                  <w:tcW w:w="3857" w:type="dxa"/>
                  <w:shd w:val="clear" w:color="auto" w:fill="auto"/>
                  <w:vAlign w:val="center"/>
                </w:tcPr>
                <w:p w14:paraId="26865E7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Q=800-1500L/h</w:t>
                  </w:r>
                </w:p>
              </w:tc>
              <w:tc>
                <w:tcPr>
                  <w:tcW w:w="705" w:type="dxa"/>
                  <w:vAlign w:val="center"/>
                </w:tcPr>
                <w:p w14:paraId="081795E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478ED9D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4CD706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3" w:type="dxa"/>
                  <w:gridSpan w:val="5"/>
                  <w:vAlign w:val="center"/>
                </w:tcPr>
                <w:p w14:paraId="535FFC4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净水间</w:t>
                  </w:r>
                  <w:r>
                    <w:rPr>
                      <w:rFonts w:hint="eastAsia" w:cs="Times New Roman"/>
                      <w:color w:val="auto"/>
                      <w:sz w:val="18"/>
                      <w:szCs w:val="18"/>
                      <w:lang w:val="en-US" w:eastAsia="zh-CN"/>
                    </w:rPr>
                    <w:t>更换设备</w:t>
                  </w:r>
                </w:p>
              </w:tc>
            </w:tr>
            <w:tr w14:paraId="751EC2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6599B2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25</w:t>
                  </w:r>
                </w:p>
              </w:tc>
              <w:tc>
                <w:tcPr>
                  <w:tcW w:w="2113" w:type="dxa"/>
                  <w:vAlign w:val="center"/>
                </w:tcPr>
                <w:p w14:paraId="33C7DD6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管式静态混合器</w:t>
                  </w:r>
                </w:p>
              </w:tc>
              <w:tc>
                <w:tcPr>
                  <w:tcW w:w="3857" w:type="dxa"/>
                  <w:vAlign w:val="center"/>
                </w:tcPr>
                <w:p w14:paraId="2633622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DN800,L=3600mm</w:t>
                  </w:r>
                </w:p>
              </w:tc>
              <w:tc>
                <w:tcPr>
                  <w:tcW w:w="705" w:type="dxa"/>
                  <w:vAlign w:val="center"/>
                </w:tcPr>
                <w:p w14:paraId="21B9FE5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471AEA5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台</w:t>
                  </w:r>
                </w:p>
              </w:tc>
            </w:tr>
            <w:tr w14:paraId="496D98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38C56A8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26</w:t>
                  </w:r>
                </w:p>
              </w:tc>
              <w:tc>
                <w:tcPr>
                  <w:tcW w:w="2113" w:type="dxa"/>
                  <w:vAlign w:val="center"/>
                </w:tcPr>
                <w:p w14:paraId="66F8D7C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双法兰手动蝶阀</w:t>
                  </w:r>
                </w:p>
              </w:tc>
              <w:tc>
                <w:tcPr>
                  <w:tcW w:w="3857" w:type="dxa"/>
                  <w:vAlign w:val="center"/>
                </w:tcPr>
                <w:p w14:paraId="555623D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DN800 PN=1.0M a</w:t>
                  </w:r>
                </w:p>
              </w:tc>
              <w:tc>
                <w:tcPr>
                  <w:tcW w:w="705" w:type="dxa"/>
                  <w:vAlign w:val="center"/>
                </w:tcPr>
                <w:p w14:paraId="6362F05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4FA5973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516343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3D5FF9E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27</w:t>
                  </w:r>
                </w:p>
              </w:tc>
              <w:tc>
                <w:tcPr>
                  <w:tcW w:w="2113" w:type="dxa"/>
                  <w:vAlign w:val="center"/>
                </w:tcPr>
                <w:p w14:paraId="5FA8669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双法兰限位伸缩接头</w:t>
                  </w:r>
                </w:p>
              </w:tc>
              <w:tc>
                <w:tcPr>
                  <w:tcW w:w="3857" w:type="dxa"/>
                  <w:vAlign w:val="center"/>
                </w:tcPr>
                <w:p w14:paraId="5FC7ABF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DN800 PN=1.0MPa</w:t>
                  </w:r>
                </w:p>
              </w:tc>
              <w:tc>
                <w:tcPr>
                  <w:tcW w:w="705" w:type="dxa"/>
                  <w:vAlign w:val="center"/>
                </w:tcPr>
                <w:p w14:paraId="44A53AB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778E430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个</w:t>
                  </w:r>
                </w:p>
              </w:tc>
            </w:tr>
            <w:tr w14:paraId="17F111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1BB4987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28</w:t>
                  </w:r>
                </w:p>
              </w:tc>
              <w:tc>
                <w:tcPr>
                  <w:tcW w:w="2113" w:type="dxa"/>
                  <w:shd w:val="clear" w:color="auto" w:fill="auto"/>
                  <w:vAlign w:val="center"/>
                </w:tcPr>
                <w:p w14:paraId="774F2B8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网格絮凝设备</w:t>
                  </w:r>
                </w:p>
              </w:tc>
              <w:tc>
                <w:tcPr>
                  <w:tcW w:w="3857" w:type="dxa"/>
                  <w:shd w:val="clear" w:color="auto" w:fill="auto"/>
                  <w:vAlign w:val="center"/>
                </w:tcPr>
                <w:p w14:paraId="6760E42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1500×1400×1300</w:t>
                  </w:r>
                </w:p>
              </w:tc>
              <w:tc>
                <w:tcPr>
                  <w:tcW w:w="705" w:type="dxa"/>
                  <w:vAlign w:val="center"/>
                </w:tcPr>
                <w:p w14:paraId="6FBC373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60</w:t>
                  </w:r>
                </w:p>
              </w:tc>
              <w:tc>
                <w:tcPr>
                  <w:tcW w:w="729" w:type="dxa"/>
                  <w:vAlign w:val="center"/>
                </w:tcPr>
                <w:p w14:paraId="2FE9196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52B014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07C1822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29</w:t>
                  </w:r>
                </w:p>
              </w:tc>
              <w:tc>
                <w:tcPr>
                  <w:tcW w:w="2113" w:type="dxa"/>
                  <w:shd w:val="clear" w:color="auto" w:fill="auto"/>
                  <w:vAlign w:val="center"/>
                </w:tcPr>
                <w:p w14:paraId="7F22E9A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非金属链条刮泥机</w:t>
                  </w:r>
                </w:p>
              </w:tc>
              <w:tc>
                <w:tcPr>
                  <w:tcW w:w="3857" w:type="dxa"/>
                  <w:shd w:val="clear" w:color="auto" w:fill="auto"/>
                  <w:vAlign w:val="center"/>
                </w:tcPr>
                <w:p w14:paraId="7904A51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B=9.8m P=1.5Kw</w:t>
                  </w:r>
                </w:p>
              </w:tc>
              <w:tc>
                <w:tcPr>
                  <w:tcW w:w="705" w:type="dxa"/>
                  <w:vAlign w:val="center"/>
                </w:tcPr>
                <w:p w14:paraId="6895D44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2E01D98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367BB2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6AEE07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30</w:t>
                  </w:r>
                </w:p>
              </w:tc>
              <w:tc>
                <w:tcPr>
                  <w:tcW w:w="2113" w:type="dxa"/>
                  <w:shd w:val="clear" w:color="auto" w:fill="auto"/>
                  <w:vAlign w:val="center"/>
                </w:tcPr>
                <w:p w14:paraId="5D6E625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液动膜片式快开排泥阀</w:t>
                  </w:r>
                </w:p>
              </w:tc>
              <w:tc>
                <w:tcPr>
                  <w:tcW w:w="3857" w:type="dxa"/>
                  <w:shd w:val="clear" w:color="auto" w:fill="auto"/>
                  <w:vAlign w:val="center"/>
                </w:tcPr>
                <w:p w14:paraId="62685CD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DN200</w:t>
                  </w:r>
                </w:p>
              </w:tc>
              <w:tc>
                <w:tcPr>
                  <w:tcW w:w="705" w:type="dxa"/>
                  <w:vAlign w:val="center"/>
                </w:tcPr>
                <w:p w14:paraId="4DB2DD3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22</w:t>
                  </w:r>
                </w:p>
              </w:tc>
              <w:tc>
                <w:tcPr>
                  <w:tcW w:w="729" w:type="dxa"/>
                  <w:vAlign w:val="center"/>
                </w:tcPr>
                <w:p w14:paraId="4938E57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53D67F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3AE1535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31</w:t>
                  </w:r>
                </w:p>
              </w:tc>
              <w:tc>
                <w:tcPr>
                  <w:tcW w:w="2113" w:type="dxa"/>
                  <w:shd w:val="clear" w:color="auto" w:fill="auto"/>
                  <w:vAlign w:val="center"/>
                </w:tcPr>
                <w:p w14:paraId="352AE95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手动球阀</w:t>
                  </w:r>
                </w:p>
              </w:tc>
              <w:tc>
                <w:tcPr>
                  <w:tcW w:w="3857" w:type="dxa"/>
                  <w:shd w:val="clear" w:color="auto" w:fill="auto"/>
                  <w:vAlign w:val="center"/>
                </w:tcPr>
                <w:p w14:paraId="04469E1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DN15 PN=1.0MPa</w:t>
                  </w:r>
                </w:p>
              </w:tc>
              <w:tc>
                <w:tcPr>
                  <w:tcW w:w="705" w:type="dxa"/>
                  <w:vAlign w:val="center"/>
                </w:tcPr>
                <w:p w14:paraId="4650BDD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22</w:t>
                  </w:r>
                </w:p>
              </w:tc>
              <w:tc>
                <w:tcPr>
                  <w:tcW w:w="729" w:type="dxa"/>
                  <w:vAlign w:val="center"/>
                </w:tcPr>
                <w:p w14:paraId="79D8CB4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4E2911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1D51596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32</w:t>
                  </w:r>
                </w:p>
              </w:tc>
              <w:tc>
                <w:tcPr>
                  <w:tcW w:w="2113" w:type="dxa"/>
                  <w:shd w:val="clear" w:color="auto" w:fill="auto"/>
                  <w:vAlign w:val="center"/>
                </w:tcPr>
                <w:p w14:paraId="53B2229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双法兰手动蝶阀</w:t>
                  </w:r>
                </w:p>
              </w:tc>
              <w:tc>
                <w:tcPr>
                  <w:tcW w:w="3857" w:type="dxa"/>
                  <w:shd w:val="clear" w:color="auto" w:fill="auto"/>
                  <w:vAlign w:val="center"/>
                </w:tcPr>
                <w:p w14:paraId="6D58686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DN200 PN=1.0MPa</w:t>
                  </w:r>
                </w:p>
              </w:tc>
              <w:tc>
                <w:tcPr>
                  <w:tcW w:w="705" w:type="dxa"/>
                  <w:vAlign w:val="center"/>
                </w:tcPr>
                <w:p w14:paraId="761FA8B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22</w:t>
                  </w:r>
                </w:p>
              </w:tc>
              <w:tc>
                <w:tcPr>
                  <w:tcW w:w="729" w:type="dxa"/>
                  <w:vAlign w:val="center"/>
                </w:tcPr>
                <w:p w14:paraId="38A3DB7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7B4BFB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A28B46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33</w:t>
                  </w:r>
                </w:p>
              </w:tc>
              <w:tc>
                <w:tcPr>
                  <w:tcW w:w="2113" w:type="dxa"/>
                  <w:shd w:val="clear" w:color="auto" w:fill="auto"/>
                  <w:vAlign w:val="center"/>
                </w:tcPr>
                <w:p w14:paraId="18B963F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絮凝池穿孔排泥管</w:t>
                  </w:r>
                </w:p>
              </w:tc>
              <w:tc>
                <w:tcPr>
                  <w:tcW w:w="3857" w:type="dxa"/>
                  <w:shd w:val="clear" w:color="auto" w:fill="auto"/>
                  <w:vAlign w:val="center"/>
                </w:tcPr>
                <w:p w14:paraId="080BE73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DN200 L=10950</w:t>
                  </w:r>
                </w:p>
              </w:tc>
              <w:tc>
                <w:tcPr>
                  <w:tcW w:w="705" w:type="dxa"/>
                  <w:vAlign w:val="center"/>
                </w:tcPr>
                <w:p w14:paraId="2CA1077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12</w:t>
                  </w:r>
                </w:p>
              </w:tc>
              <w:tc>
                <w:tcPr>
                  <w:tcW w:w="729" w:type="dxa"/>
                  <w:vAlign w:val="center"/>
                </w:tcPr>
                <w:p w14:paraId="10AD493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根</w:t>
                  </w:r>
                </w:p>
              </w:tc>
            </w:tr>
            <w:tr w14:paraId="392A9B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42F4BF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34</w:t>
                  </w:r>
                </w:p>
              </w:tc>
              <w:tc>
                <w:tcPr>
                  <w:tcW w:w="2113" w:type="dxa"/>
                  <w:shd w:val="clear" w:color="auto" w:fill="auto"/>
                  <w:vAlign w:val="center"/>
                </w:tcPr>
                <w:p w14:paraId="268478E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集水槽</w:t>
                  </w:r>
                </w:p>
              </w:tc>
              <w:tc>
                <w:tcPr>
                  <w:tcW w:w="3857" w:type="dxa"/>
                  <w:shd w:val="clear" w:color="auto" w:fill="auto"/>
                  <w:vAlign w:val="center"/>
                </w:tcPr>
                <w:p w14:paraId="5432254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4500×200×450</w:t>
                  </w:r>
                </w:p>
              </w:tc>
              <w:tc>
                <w:tcPr>
                  <w:tcW w:w="705" w:type="dxa"/>
                  <w:vAlign w:val="center"/>
                </w:tcPr>
                <w:p w14:paraId="5A3802E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48</w:t>
                  </w:r>
                </w:p>
              </w:tc>
              <w:tc>
                <w:tcPr>
                  <w:tcW w:w="729" w:type="dxa"/>
                  <w:vAlign w:val="center"/>
                </w:tcPr>
                <w:p w14:paraId="1C47519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条</w:t>
                  </w:r>
                </w:p>
              </w:tc>
            </w:tr>
            <w:tr w14:paraId="6AF6C7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6110BA7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35</w:t>
                  </w:r>
                </w:p>
              </w:tc>
              <w:tc>
                <w:tcPr>
                  <w:tcW w:w="2113" w:type="dxa"/>
                  <w:shd w:val="clear" w:color="auto" w:fill="auto"/>
                  <w:vAlign w:val="center"/>
                </w:tcPr>
                <w:p w14:paraId="035970B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斜板</w:t>
                  </w:r>
                </w:p>
              </w:tc>
              <w:tc>
                <w:tcPr>
                  <w:tcW w:w="3857" w:type="dxa"/>
                  <w:shd w:val="clear" w:color="auto" w:fill="auto"/>
                  <w:vAlign w:val="center"/>
                </w:tcPr>
                <w:p w14:paraId="0CFCF37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φ=60°L=1000</w:t>
                  </w:r>
                </w:p>
              </w:tc>
              <w:tc>
                <w:tcPr>
                  <w:tcW w:w="705" w:type="dxa"/>
                  <w:vAlign w:val="center"/>
                </w:tcPr>
                <w:p w14:paraId="4C3B541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427.8</w:t>
                  </w:r>
                </w:p>
              </w:tc>
              <w:tc>
                <w:tcPr>
                  <w:tcW w:w="729" w:type="dxa"/>
                  <w:vAlign w:val="center"/>
                </w:tcPr>
                <w:p w14:paraId="793E895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r>
                    <w:rPr>
                      <w:rFonts w:hint="default" w:ascii="Times New Roman" w:hAnsi="Times New Roman" w:eastAsia="宋体" w:cs="Times New Roman"/>
                      <w:color w:val="auto"/>
                      <w:sz w:val="18"/>
                      <w:szCs w:val="18"/>
                      <w:vertAlign w:val="superscript"/>
                      <w:lang w:val="en-US" w:eastAsia="zh-CN"/>
                    </w:rPr>
                    <w:t>2</w:t>
                  </w:r>
                </w:p>
              </w:tc>
            </w:tr>
            <w:tr w14:paraId="0709D0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191DE6C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36</w:t>
                  </w:r>
                </w:p>
              </w:tc>
              <w:tc>
                <w:tcPr>
                  <w:tcW w:w="2113" w:type="dxa"/>
                  <w:shd w:val="clear" w:color="auto" w:fill="auto"/>
                  <w:vAlign w:val="center"/>
                </w:tcPr>
                <w:p w14:paraId="2FFFDC8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石英砂滤料</w:t>
                  </w:r>
                </w:p>
              </w:tc>
              <w:tc>
                <w:tcPr>
                  <w:tcW w:w="3857" w:type="dxa"/>
                  <w:shd w:val="clear" w:color="auto" w:fill="auto"/>
                  <w:vAlign w:val="center"/>
                </w:tcPr>
                <w:p w14:paraId="62A206D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粒径0.5--1.2m厚度900mm</w:t>
                  </w:r>
                </w:p>
              </w:tc>
              <w:tc>
                <w:tcPr>
                  <w:tcW w:w="705" w:type="dxa"/>
                  <w:vAlign w:val="center"/>
                </w:tcPr>
                <w:p w14:paraId="4D2244F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262</w:t>
                  </w:r>
                </w:p>
              </w:tc>
              <w:tc>
                <w:tcPr>
                  <w:tcW w:w="729" w:type="dxa"/>
                  <w:vAlign w:val="center"/>
                </w:tcPr>
                <w:p w14:paraId="2635B25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r>
                    <w:rPr>
                      <w:rFonts w:hint="default" w:ascii="Times New Roman" w:hAnsi="Times New Roman" w:eastAsia="宋体" w:cs="Times New Roman"/>
                      <w:color w:val="auto"/>
                      <w:sz w:val="18"/>
                      <w:szCs w:val="18"/>
                      <w:vertAlign w:val="superscript"/>
                      <w:lang w:val="en-US" w:eastAsia="zh-CN"/>
                    </w:rPr>
                    <w:t>3</w:t>
                  </w:r>
                </w:p>
              </w:tc>
            </w:tr>
            <w:tr w14:paraId="5C93A3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0FBC95F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37</w:t>
                  </w:r>
                </w:p>
              </w:tc>
              <w:tc>
                <w:tcPr>
                  <w:tcW w:w="2113" w:type="dxa"/>
                  <w:shd w:val="clear" w:color="auto" w:fill="auto"/>
                  <w:vAlign w:val="center"/>
                </w:tcPr>
                <w:p w14:paraId="4FBBABE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卵石承托层</w:t>
                  </w:r>
                </w:p>
              </w:tc>
              <w:tc>
                <w:tcPr>
                  <w:tcW w:w="3857" w:type="dxa"/>
                  <w:shd w:val="clear" w:color="auto" w:fill="auto"/>
                  <w:vAlign w:val="center"/>
                </w:tcPr>
                <w:p w14:paraId="75ABCDD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粒径2--4mm</w:t>
                  </w:r>
                </w:p>
              </w:tc>
              <w:tc>
                <w:tcPr>
                  <w:tcW w:w="705" w:type="dxa"/>
                  <w:vAlign w:val="center"/>
                </w:tcPr>
                <w:p w14:paraId="25B00DC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29</w:t>
                  </w:r>
                </w:p>
              </w:tc>
              <w:tc>
                <w:tcPr>
                  <w:tcW w:w="729" w:type="dxa"/>
                  <w:vAlign w:val="center"/>
                </w:tcPr>
                <w:p w14:paraId="7107BF4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r>
                    <w:rPr>
                      <w:rFonts w:hint="default" w:ascii="Times New Roman" w:hAnsi="Times New Roman" w:eastAsia="宋体" w:cs="Times New Roman"/>
                      <w:color w:val="auto"/>
                      <w:sz w:val="18"/>
                      <w:szCs w:val="18"/>
                      <w:vertAlign w:val="superscript"/>
                      <w:lang w:val="en-US" w:eastAsia="zh-CN"/>
                    </w:rPr>
                    <w:t>3</w:t>
                  </w:r>
                </w:p>
              </w:tc>
            </w:tr>
            <w:tr w14:paraId="4EA8CF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0C765BD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38</w:t>
                  </w:r>
                </w:p>
              </w:tc>
              <w:tc>
                <w:tcPr>
                  <w:tcW w:w="2113" w:type="dxa"/>
                  <w:shd w:val="clear" w:color="auto" w:fill="auto"/>
                  <w:vAlign w:val="center"/>
                </w:tcPr>
                <w:p w14:paraId="3BD3E25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卵石承托层</w:t>
                  </w:r>
                </w:p>
              </w:tc>
              <w:tc>
                <w:tcPr>
                  <w:tcW w:w="3857" w:type="dxa"/>
                  <w:shd w:val="clear" w:color="auto" w:fill="auto"/>
                  <w:vAlign w:val="center"/>
                </w:tcPr>
                <w:p w14:paraId="2C0CC51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粒径4--8mm</w:t>
                  </w:r>
                </w:p>
              </w:tc>
              <w:tc>
                <w:tcPr>
                  <w:tcW w:w="705" w:type="dxa"/>
                  <w:vAlign w:val="center"/>
                </w:tcPr>
                <w:p w14:paraId="5EF25B1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29</w:t>
                  </w:r>
                </w:p>
              </w:tc>
              <w:tc>
                <w:tcPr>
                  <w:tcW w:w="729" w:type="dxa"/>
                  <w:vAlign w:val="center"/>
                </w:tcPr>
                <w:p w14:paraId="48B977D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r>
                    <w:rPr>
                      <w:rFonts w:hint="default" w:ascii="Times New Roman" w:hAnsi="Times New Roman" w:eastAsia="宋体" w:cs="Times New Roman"/>
                      <w:color w:val="auto"/>
                      <w:sz w:val="18"/>
                      <w:szCs w:val="18"/>
                      <w:vertAlign w:val="superscript"/>
                      <w:lang w:val="en-US" w:eastAsia="zh-CN"/>
                    </w:rPr>
                    <w:t>3</w:t>
                  </w:r>
                </w:p>
              </w:tc>
            </w:tr>
            <w:tr w14:paraId="768D32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882E21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39</w:t>
                  </w:r>
                </w:p>
              </w:tc>
              <w:tc>
                <w:tcPr>
                  <w:tcW w:w="2113" w:type="dxa"/>
                  <w:shd w:val="clear" w:color="auto" w:fill="auto"/>
                  <w:vAlign w:val="center"/>
                </w:tcPr>
                <w:p w14:paraId="0D8B0C5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卵石承托层</w:t>
                  </w:r>
                </w:p>
              </w:tc>
              <w:tc>
                <w:tcPr>
                  <w:tcW w:w="3857" w:type="dxa"/>
                  <w:shd w:val="clear" w:color="auto" w:fill="auto"/>
                  <w:vAlign w:val="center"/>
                </w:tcPr>
                <w:p w14:paraId="57ABF55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粒径8--16mm</w:t>
                  </w:r>
                </w:p>
              </w:tc>
              <w:tc>
                <w:tcPr>
                  <w:tcW w:w="705" w:type="dxa"/>
                  <w:vAlign w:val="center"/>
                </w:tcPr>
                <w:p w14:paraId="794B045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29</w:t>
                  </w:r>
                </w:p>
              </w:tc>
              <w:tc>
                <w:tcPr>
                  <w:tcW w:w="729" w:type="dxa"/>
                  <w:vAlign w:val="center"/>
                </w:tcPr>
                <w:p w14:paraId="31F5EC9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r>
                    <w:rPr>
                      <w:rFonts w:hint="default" w:ascii="Times New Roman" w:hAnsi="Times New Roman" w:eastAsia="宋体" w:cs="Times New Roman"/>
                      <w:color w:val="auto"/>
                      <w:sz w:val="18"/>
                      <w:szCs w:val="18"/>
                      <w:vertAlign w:val="superscript"/>
                      <w:lang w:val="en-US" w:eastAsia="zh-CN"/>
                    </w:rPr>
                    <w:t>3</w:t>
                  </w:r>
                </w:p>
              </w:tc>
            </w:tr>
            <w:tr w14:paraId="03742E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67CB28F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40</w:t>
                  </w:r>
                </w:p>
              </w:tc>
              <w:tc>
                <w:tcPr>
                  <w:tcW w:w="2113" w:type="dxa"/>
                  <w:shd w:val="clear" w:color="auto" w:fill="auto"/>
                  <w:vAlign w:val="center"/>
                </w:tcPr>
                <w:p w14:paraId="2E02DE3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卵石承托层</w:t>
                  </w:r>
                </w:p>
              </w:tc>
              <w:tc>
                <w:tcPr>
                  <w:tcW w:w="3857" w:type="dxa"/>
                  <w:shd w:val="clear" w:color="auto" w:fill="auto"/>
                  <w:vAlign w:val="center"/>
                </w:tcPr>
                <w:p w14:paraId="12A05BB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粒径16--32mm</w:t>
                  </w:r>
                </w:p>
              </w:tc>
              <w:tc>
                <w:tcPr>
                  <w:tcW w:w="705" w:type="dxa"/>
                  <w:vAlign w:val="center"/>
                </w:tcPr>
                <w:p w14:paraId="25A44F6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87</w:t>
                  </w:r>
                </w:p>
              </w:tc>
              <w:tc>
                <w:tcPr>
                  <w:tcW w:w="729" w:type="dxa"/>
                  <w:vAlign w:val="center"/>
                </w:tcPr>
                <w:p w14:paraId="3F0DD7F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r>
                    <w:rPr>
                      <w:rFonts w:hint="default" w:ascii="Times New Roman" w:hAnsi="Times New Roman" w:eastAsia="宋体" w:cs="Times New Roman"/>
                      <w:color w:val="auto"/>
                      <w:sz w:val="18"/>
                      <w:szCs w:val="18"/>
                      <w:vertAlign w:val="superscript"/>
                      <w:lang w:val="en-US" w:eastAsia="zh-CN"/>
                    </w:rPr>
                    <w:t>3</w:t>
                  </w:r>
                </w:p>
              </w:tc>
            </w:tr>
            <w:tr w14:paraId="53C54F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6A80C3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41</w:t>
                  </w:r>
                </w:p>
              </w:tc>
              <w:tc>
                <w:tcPr>
                  <w:tcW w:w="2113" w:type="dxa"/>
                  <w:shd w:val="clear" w:color="auto" w:fill="auto"/>
                  <w:vAlign w:val="center"/>
                </w:tcPr>
                <w:p w14:paraId="02CF963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钢管</w:t>
                  </w:r>
                </w:p>
              </w:tc>
              <w:tc>
                <w:tcPr>
                  <w:tcW w:w="3857" w:type="dxa"/>
                  <w:shd w:val="clear" w:color="auto" w:fill="auto"/>
                  <w:vAlign w:val="center"/>
                </w:tcPr>
                <w:p w14:paraId="6BA64BC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DN800</w:t>
                  </w:r>
                </w:p>
              </w:tc>
              <w:tc>
                <w:tcPr>
                  <w:tcW w:w="705" w:type="dxa"/>
                  <w:vAlign w:val="center"/>
                </w:tcPr>
                <w:p w14:paraId="689D2D3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21</w:t>
                  </w:r>
                </w:p>
              </w:tc>
              <w:tc>
                <w:tcPr>
                  <w:tcW w:w="729" w:type="dxa"/>
                  <w:vAlign w:val="center"/>
                </w:tcPr>
                <w:p w14:paraId="4F8D6BE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p>
              </w:tc>
            </w:tr>
            <w:tr w14:paraId="1423C8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765B336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42</w:t>
                  </w:r>
                </w:p>
              </w:tc>
              <w:tc>
                <w:tcPr>
                  <w:tcW w:w="2113" w:type="dxa"/>
                  <w:shd w:val="clear" w:color="auto" w:fill="auto"/>
                  <w:vAlign w:val="center"/>
                </w:tcPr>
                <w:p w14:paraId="6A336A2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钢管</w:t>
                  </w:r>
                </w:p>
              </w:tc>
              <w:tc>
                <w:tcPr>
                  <w:tcW w:w="3857" w:type="dxa"/>
                  <w:shd w:val="clear" w:color="auto" w:fill="auto"/>
                  <w:vAlign w:val="center"/>
                </w:tcPr>
                <w:p w14:paraId="1732AF9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DN700</w:t>
                  </w:r>
                </w:p>
              </w:tc>
              <w:tc>
                <w:tcPr>
                  <w:tcW w:w="705" w:type="dxa"/>
                  <w:vAlign w:val="center"/>
                </w:tcPr>
                <w:p w14:paraId="15F0DB7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10.2</w:t>
                  </w:r>
                </w:p>
              </w:tc>
              <w:tc>
                <w:tcPr>
                  <w:tcW w:w="729" w:type="dxa"/>
                  <w:vAlign w:val="center"/>
                </w:tcPr>
                <w:p w14:paraId="554075A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p>
              </w:tc>
            </w:tr>
            <w:tr w14:paraId="4604C6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0BD1B80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43</w:t>
                  </w:r>
                </w:p>
              </w:tc>
              <w:tc>
                <w:tcPr>
                  <w:tcW w:w="2113" w:type="dxa"/>
                  <w:shd w:val="clear" w:color="auto" w:fill="auto"/>
                  <w:vAlign w:val="center"/>
                </w:tcPr>
                <w:p w14:paraId="47A2CFB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钢管</w:t>
                  </w:r>
                </w:p>
              </w:tc>
              <w:tc>
                <w:tcPr>
                  <w:tcW w:w="3857" w:type="dxa"/>
                  <w:shd w:val="clear" w:color="auto" w:fill="auto"/>
                  <w:vAlign w:val="center"/>
                </w:tcPr>
                <w:p w14:paraId="1E27E4E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DN600</w:t>
                  </w:r>
                </w:p>
              </w:tc>
              <w:tc>
                <w:tcPr>
                  <w:tcW w:w="705" w:type="dxa"/>
                  <w:vAlign w:val="center"/>
                </w:tcPr>
                <w:p w14:paraId="7F9EAE1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96</w:t>
                  </w:r>
                </w:p>
              </w:tc>
              <w:tc>
                <w:tcPr>
                  <w:tcW w:w="729" w:type="dxa"/>
                  <w:vAlign w:val="center"/>
                </w:tcPr>
                <w:p w14:paraId="76B217D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p>
              </w:tc>
            </w:tr>
            <w:tr w14:paraId="0DBE45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7F0E7B7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44</w:t>
                  </w:r>
                </w:p>
              </w:tc>
              <w:tc>
                <w:tcPr>
                  <w:tcW w:w="2113" w:type="dxa"/>
                  <w:shd w:val="clear" w:color="auto" w:fill="auto"/>
                  <w:vAlign w:val="center"/>
                </w:tcPr>
                <w:p w14:paraId="4EB5E20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钢管</w:t>
                  </w:r>
                </w:p>
              </w:tc>
              <w:tc>
                <w:tcPr>
                  <w:tcW w:w="3857" w:type="dxa"/>
                  <w:shd w:val="clear" w:color="auto" w:fill="auto"/>
                  <w:vAlign w:val="center"/>
                </w:tcPr>
                <w:p w14:paraId="132EA28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DN300</w:t>
                  </w:r>
                </w:p>
              </w:tc>
              <w:tc>
                <w:tcPr>
                  <w:tcW w:w="705" w:type="dxa"/>
                  <w:vAlign w:val="center"/>
                </w:tcPr>
                <w:p w14:paraId="2D0C220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36</w:t>
                  </w:r>
                </w:p>
              </w:tc>
              <w:tc>
                <w:tcPr>
                  <w:tcW w:w="729" w:type="dxa"/>
                  <w:vAlign w:val="center"/>
                </w:tcPr>
                <w:p w14:paraId="5233A41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p>
              </w:tc>
            </w:tr>
            <w:tr w14:paraId="27B482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CA024C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45</w:t>
                  </w:r>
                </w:p>
              </w:tc>
              <w:tc>
                <w:tcPr>
                  <w:tcW w:w="2113" w:type="dxa"/>
                  <w:shd w:val="clear" w:color="auto" w:fill="auto"/>
                  <w:vAlign w:val="center"/>
                </w:tcPr>
                <w:p w14:paraId="535984F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钢制管件</w:t>
                  </w:r>
                </w:p>
              </w:tc>
              <w:tc>
                <w:tcPr>
                  <w:tcW w:w="3857" w:type="dxa"/>
                  <w:shd w:val="clear" w:color="auto" w:fill="auto"/>
                  <w:vAlign w:val="center"/>
                </w:tcPr>
                <w:p w14:paraId="3947194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p>
              </w:tc>
              <w:tc>
                <w:tcPr>
                  <w:tcW w:w="705" w:type="dxa"/>
                  <w:vAlign w:val="center"/>
                </w:tcPr>
                <w:p w14:paraId="754140D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w:t>
                  </w:r>
                </w:p>
              </w:tc>
              <w:tc>
                <w:tcPr>
                  <w:tcW w:w="729" w:type="dxa"/>
                  <w:vAlign w:val="center"/>
                </w:tcPr>
                <w:p w14:paraId="5A47A2F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吨</w:t>
                  </w:r>
                </w:p>
              </w:tc>
            </w:tr>
            <w:tr w14:paraId="46C117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3" w:type="dxa"/>
                  <w:gridSpan w:val="5"/>
                  <w:vAlign w:val="center"/>
                </w:tcPr>
                <w:p w14:paraId="76C9AF6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深度处理车间</w:t>
                  </w:r>
                </w:p>
              </w:tc>
            </w:tr>
            <w:tr w14:paraId="7E4327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09A3886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46</w:t>
                  </w:r>
                </w:p>
              </w:tc>
              <w:tc>
                <w:tcPr>
                  <w:tcW w:w="2113" w:type="dxa"/>
                  <w:shd w:val="clear" w:color="auto" w:fill="auto"/>
                  <w:vAlign w:val="center"/>
                </w:tcPr>
                <w:p w14:paraId="5B66C5B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网格絮凝设备</w:t>
                  </w:r>
                </w:p>
              </w:tc>
              <w:tc>
                <w:tcPr>
                  <w:tcW w:w="3857" w:type="dxa"/>
                  <w:shd w:val="clear" w:color="auto" w:fill="auto"/>
                  <w:vAlign w:val="center"/>
                </w:tcPr>
                <w:p w14:paraId="0DE30BC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1500×1400×1300</w:t>
                  </w:r>
                </w:p>
              </w:tc>
              <w:tc>
                <w:tcPr>
                  <w:tcW w:w="705" w:type="dxa"/>
                  <w:vAlign w:val="center"/>
                </w:tcPr>
                <w:p w14:paraId="27914A1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40</w:t>
                  </w:r>
                </w:p>
              </w:tc>
              <w:tc>
                <w:tcPr>
                  <w:tcW w:w="729" w:type="dxa"/>
                  <w:vAlign w:val="center"/>
                </w:tcPr>
                <w:p w14:paraId="2D9AE45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651C05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A5D72A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47</w:t>
                  </w:r>
                </w:p>
              </w:tc>
              <w:tc>
                <w:tcPr>
                  <w:tcW w:w="2113" w:type="dxa"/>
                  <w:shd w:val="clear" w:color="auto" w:fill="auto"/>
                  <w:vAlign w:val="center"/>
                </w:tcPr>
                <w:p w14:paraId="12135A5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絮凝池穿孔排泥管</w:t>
                  </w:r>
                </w:p>
              </w:tc>
              <w:tc>
                <w:tcPr>
                  <w:tcW w:w="3857" w:type="dxa"/>
                  <w:shd w:val="clear" w:color="auto" w:fill="auto"/>
                  <w:vAlign w:val="center"/>
                </w:tcPr>
                <w:p w14:paraId="27C5CD4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DN200 L=9450</w:t>
                  </w:r>
                </w:p>
              </w:tc>
              <w:tc>
                <w:tcPr>
                  <w:tcW w:w="705" w:type="dxa"/>
                  <w:vAlign w:val="center"/>
                </w:tcPr>
                <w:p w14:paraId="18A0D13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569D491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根</w:t>
                  </w:r>
                </w:p>
              </w:tc>
            </w:tr>
            <w:tr w14:paraId="0C684C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0B78BA9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48</w:t>
                  </w:r>
                </w:p>
              </w:tc>
              <w:tc>
                <w:tcPr>
                  <w:tcW w:w="2113" w:type="dxa"/>
                  <w:shd w:val="clear" w:color="auto" w:fill="auto"/>
                  <w:vAlign w:val="center"/>
                </w:tcPr>
                <w:p w14:paraId="7E7D88B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潜水混流泵</w:t>
                  </w:r>
                </w:p>
              </w:tc>
              <w:tc>
                <w:tcPr>
                  <w:tcW w:w="3857" w:type="dxa"/>
                  <w:shd w:val="clear" w:color="auto" w:fill="auto"/>
                  <w:vAlign w:val="center"/>
                </w:tcPr>
                <w:p w14:paraId="059DD24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Q=1666.67m³h,H=6.5m,N=55kV</w:t>
                  </w:r>
                </w:p>
              </w:tc>
              <w:tc>
                <w:tcPr>
                  <w:tcW w:w="705" w:type="dxa"/>
                  <w:vAlign w:val="center"/>
                </w:tcPr>
                <w:p w14:paraId="3FA3F75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692E7D5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136C04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167241F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49</w:t>
                  </w:r>
                </w:p>
              </w:tc>
              <w:tc>
                <w:tcPr>
                  <w:tcW w:w="2113" w:type="dxa"/>
                  <w:shd w:val="clear" w:color="auto" w:fill="auto"/>
                  <w:vAlign w:val="center"/>
                </w:tcPr>
                <w:p w14:paraId="04D715D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双法兰手动蝶阀</w:t>
                  </w:r>
                </w:p>
              </w:tc>
              <w:tc>
                <w:tcPr>
                  <w:tcW w:w="3857" w:type="dxa"/>
                  <w:shd w:val="clear" w:color="auto" w:fill="auto"/>
                  <w:vAlign w:val="center"/>
                </w:tcPr>
                <w:p w14:paraId="01A25DB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DN800 PN=1.0MPa</w:t>
                  </w:r>
                </w:p>
              </w:tc>
              <w:tc>
                <w:tcPr>
                  <w:tcW w:w="705" w:type="dxa"/>
                  <w:vAlign w:val="center"/>
                </w:tcPr>
                <w:p w14:paraId="5C057E0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w:t>
                  </w:r>
                </w:p>
              </w:tc>
              <w:tc>
                <w:tcPr>
                  <w:tcW w:w="729" w:type="dxa"/>
                  <w:vAlign w:val="center"/>
                </w:tcPr>
                <w:p w14:paraId="0E49B7A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0C2545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618FD7B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50</w:t>
                  </w:r>
                </w:p>
              </w:tc>
              <w:tc>
                <w:tcPr>
                  <w:tcW w:w="2113" w:type="dxa"/>
                  <w:shd w:val="clear" w:color="auto" w:fill="auto"/>
                  <w:vAlign w:val="center"/>
                </w:tcPr>
                <w:p w14:paraId="4A6A3DE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双法兰限位伸缩接头</w:t>
                  </w:r>
                </w:p>
              </w:tc>
              <w:tc>
                <w:tcPr>
                  <w:tcW w:w="3857" w:type="dxa"/>
                  <w:shd w:val="clear" w:color="auto" w:fill="auto"/>
                  <w:vAlign w:val="center"/>
                </w:tcPr>
                <w:p w14:paraId="29ACDD9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DN800 PN 1.0MPa</w:t>
                  </w:r>
                </w:p>
              </w:tc>
              <w:tc>
                <w:tcPr>
                  <w:tcW w:w="705" w:type="dxa"/>
                  <w:vAlign w:val="center"/>
                </w:tcPr>
                <w:p w14:paraId="3BB0646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w:t>
                  </w:r>
                </w:p>
              </w:tc>
              <w:tc>
                <w:tcPr>
                  <w:tcW w:w="729" w:type="dxa"/>
                  <w:vAlign w:val="center"/>
                </w:tcPr>
                <w:p w14:paraId="71D8357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36C914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6DBE1F8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51</w:t>
                  </w:r>
                </w:p>
              </w:tc>
              <w:tc>
                <w:tcPr>
                  <w:tcW w:w="2113" w:type="dxa"/>
                  <w:shd w:val="clear" w:color="auto" w:fill="auto"/>
                  <w:vAlign w:val="center"/>
                </w:tcPr>
                <w:p w14:paraId="7E477B6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双法兰电动蝶阀</w:t>
                  </w:r>
                </w:p>
              </w:tc>
              <w:tc>
                <w:tcPr>
                  <w:tcW w:w="3857" w:type="dxa"/>
                  <w:shd w:val="clear" w:color="auto" w:fill="auto"/>
                  <w:vAlign w:val="center"/>
                </w:tcPr>
                <w:p w14:paraId="51C4ACD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DN800 PN=1.0MPa</w:t>
                  </w:r>
                </w:p>
              </w:tc>
              <w:tc>
                <w:tcPr>
                  <w:tcW w:w="705" w:type="dxa"/>
                  <w:vAlign w:val="center"/>
                </w:tcPr>
                <w:p w14:paraId="5EA20C6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w:t>
                  </w:r>
                </w:p>
              </w:tc>
              <w:tc>
                <w:tcPr>
                  <w:tcW w:w="729" w:type="dxa"/>
                  <w:vAlign w:val="center"/>
                </w:tcPr>
                <w:p w14:paraId="63D82F7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1ABA51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1047E4A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52</w:t>
                  </w:r>
                </w:p>
              </w:tc>
              <w:tc>
                <w:tcPr>
                  <w:tcW w:w="2113" w:type="dxa"/>
                  <w:shd w:val="clear" w:color="auto" w:fill="auto"/>
                  <w:vAlign w:val="center"/>
                </w:tcPr>
                <w:p w14:paraId="65F7F20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微阻缓闭止回阀</w:t>
                  </w:r>
                </w:p>
              </w:tc>
              <w:tc>
                <w:tcPr>
                  <w:tcW w:w="3857" w:type="dxa"/>
                  <w:shd w:val="clear" w:color="auto" w:fill="auto"/>
                  <w:vAlign w:val="center"/>
                </w:tcPr>
                <w:p w14:paraId="14D3C66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DN800 PN=1.0MPa</w:t>
                  </w:r>
                </w:p>
              </w:tc>
              <w:tc>
                <w:tcPr>
                  <w:tcW w:w="705" w:type="dxa"/>
                  <w:vAlign w:val="center"/>
                </w:tcPr>
                <w:p w14:paraId="64AAE0C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7F1D9E7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69B0C3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E2CD77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53</w:t>
                  </w:r>
                </w:p>
              </w:tc>
              <w:tc>
                <w:tcPr>
                  <w:tcW w:w="2113" w:type="dxa"/>
                  <w:shd w:val="clear" w:color="auto" w:fill="auto"/>
                  <w:vAlign w:val="center"/>
                </w:tcPr>
                <w:p w14:paraId="299D385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水射器及扩散器</w:t>
                  </w:r>
                </w:p>
              </w:tc>
              <w:tc>
                <w:tcPr>
                  <w:tcW w:w="3857" w:type="dxa"/>
                  <w:shd w:val="clear" w:color="auto" w:fill="auto"/>
                  <w:vAlign w:val="center"/>
                </w:tcPr>
                <w:p w14:paraId="0B60A61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p>
              </w:tc>
              <w:tc>
                <w:tcPr>
                  <w:tcW w:w="705" w:type="dxa"/>
                  <w:vAlign w:val="center"/>
                </w:tcPr>
                <w:p w14:paraId="3A6305E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0388431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5E1DCB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438529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54</w:t>
                  </w:r>
                </w:p>
              </w:tc>
              <w:tc>
                <w:tcPr>
                  <w:tcW w:w="2113" w:type="dxa"/>
                  <w:shd w:val="clear" w:color="auto" w:fill="auto"/>
                  <w:vAlign w:val="center"/>
                </w:tcPr>
                <w:p w14:paraId="45F15CD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双法兰手动蝶阀</w:t>
                  </w:r>
                </w:p>
              </w:tc>
              <w:tc>
                <w:tcPr>
                  <w:tcW w:w="3857" w:type="dxa"/>
                  <w:shd w:val="clear" w:color="auto" w:fill="auto"/>
                  <w:vAlign w:val="center"/>
                </w:tcPr>
                <w:p w14:paraId="170E0C6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DN800 PN=1.0MPa</w:t>
                  </w:r>
                </w:p>
              </w:tc>
              <w:tc>
                <w:tcPr>
                  <w:tcW w:w="705" w:type="dxa"/>
                  <w:vAlign w:val="center"/>
                </w:tcPr>
                <w:p w14:paraId="3146814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0BC56A4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7195AC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15EBFAB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55</w:t>
                  </w:r>
                </w:p>
              </w:tc>
              <w:tc>
                <w:tcPr>
                  <w:tcW w:w="2113" w:type="dxa"/>
                  <w:shd w:val="clear" w:color="auto" w:fill="auto"/>
                  <w:vAlign w:val="center"/>
                </w:tcPr>
                <w:p w14:paraId="3DC252A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双法兰限位伸缩接头</w:t>
                  </w:r>
                </w:p>
              </w:tc>
              <w:tc>
                <w:tcPr>
                  <w:tcW w:w="3857" w:type="dxa"/>
                  <w:shd w:val="clear" w:color="auto" w:fill="auto"/>
                  <w:vAlign w:val="center"/>
                </w:tcPr>
                <w:p w14:paraId="2816CC2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DN800 PN=1.0MPa</w:t>
                  </w:r>
                </w:p>
              </w:tc>
              <w:tc>
                <w:tcPr>
                  <w:tcW w:w="705" w:type="dxa"/>
                  <w:vAlign w:val="center"/>
                </w:tcPr>
                <w:p w14:paraId="51BAD0E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545E5C6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668F1D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674FDEA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56</w:t>
                  </w:r>
                </w:p>
              </w:tc>
              <w:tc>
                <w:tcPr>
                  <w:tcW w:w="2113" w:type="dxa"/>
                  <w:shd w:val="clear" w:color="auto" w:fill="auto"/>
                  <w:vAlign w:val="center"/>
                </w:tcPr>
                <w:p w14:paraId="3F7FEF5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单级卧式离心泵</w:t>
                  </w:r>
                </w:p>
              </w:tc>
              <w:tc>
                <w:tcPr>
                  <w:tcW w:w="3857" w:type="dxa"/>
                  <w:shd w:val="clear" w:color="auto" w:fill="auto"/>
                  <w:vAlign w:val="center"/>
                </w:tcPr>
                <w:p w14:paraId="79DA297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Q=1323.2m³h,H=10m,P=37kW</w:t>
                  </w:r>
                </w:p>
              </w:tc>
              <w:tc>
                <w:tcPr>
                  <w:tcW w:w="705" w:type="dxa"/>
                  <w:vAlign w:val="center"/>
                </w:tcPr>
                <w:p w14:paraId="47E3001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550F8D3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6C760A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5CAE3BD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57</w:t>
                  </w:r>
                </w:p>
              </w:tc>
              <w:tc>
                <w:tcPr>
                  <w:tcW w:w="2113" w:type="dxa"/>
                  <w:shd w:val="clear" w:color="auto" w:fill="auto"/>
                  <w:vAlign w:val="center"/>
                </w:tcPr>
                <w:p w14:paraId="7CF5F00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罗茨鼓风机</w:t>
                  </w:r>
                </w:p>
              </w:tc>
              <w:tc>
                <w:tcPr>
                  <w:tcW w:w="3857" w:type="dxa"/>
                  <w:shd w:val="clear" w:color="auto" w:fill="auto"/>
                  <w:vAlign w:val="center"/>
                </w:tcPr>
                <w:p w14:paraId="4A9120F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Q=21.6m³/min,△P=5000mmH₂O, P=30kW</w:t>
                  </w:r>
                </w:p>
              </w:tc>
              <w:tc>
                <w:tcPr>
                  <w:tcW w:w="705" w:type="dxa"/>
                  <w:vAlign w:val="center"/>
                </w:tcPr>
                <w:p w14:paraId="2033CF2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670CCE8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7B46B2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5135212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58</w:t>
                  </w:r>
                </w:p>
              </w:tc>
              <w:tc>
                <w:tcPr>
                  <w:tcW w:w="2113" w:type="dxa"/>
                  <w:shd w:val="clear" w:color="auto" w:fill="auto"/>
                  <w:vAlign w:val="center"/>
                </w:tcPr>
                <w:p w14:paraId="0E04995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进气口消声器</w:t>
                  </w:r>
                </w:p>
              </w:tc>
              <w:tc>
                <w:tcPr>
                  <w:tcW w:w="3857" w:type="dxa"/>
                  <w:shd w:val="clear" w:color="auto" w:fill="auto"/>
                  <w:vAlign w:val="center"/>
                </w:tcPr>
                <w:p w14:paraId="2663AC1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705" w:type="dxa"/>
                  <w:vAlign w:val="center"/>
                </w:tcPr>
                <w:p w14:paraId="527139D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64B2A45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097C40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717A6F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59</w:t>
                  </w:r>
                </w:p>
              </w:tc>
              <w:tc>
                <w:tcPr>
                  <w:tcW w:w="2113" w:type="dxa"/>
                  <w:shd w:val="clear" w:color="auto" w:fill="auto"/>
                  <w:vAlign w:val="center"/>
                </w:tcPr>
                <w:p w14:paraId="0503B6A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出口消声器</w:t>
                  </w:r>
                </w:p>
              </w:tc>
              <w:tc>
                <w:tcPr>
                  <w:tcW w:w="3857" w:type="dxa"/>
                  <w:shd w:val="clear" w:color="auto" w:fill="auto"/>
                  <w:vAlign w:val="center"/>
                </w:tcPr>
                <w:p w14:paraId="2AA9C3B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705" w:type="dxa"/>
                  <w:vAlign w:val="center"/>
                </w:tcPr>
                <w:p w14:paraId="02FC644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33E72CC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2A56D5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39906A1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60</w:t>
                  </w:r>
                </w:p>
              </w:tc>
              <w:tc>
                <w:tcPr>
                  <w:tcW w:w="2113" w:type="dxa"/>
                  <w:shd w:val="clear" w:color="auto" w:fill="auto"/>
                  <w:vAlign w:val="center"/>
                </w:tcPr>
                <w:p w14:paraId="6C8E24E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弹性接头</w:t>
                  </w:r>
                </w:p>
              </w:tc>
              <w:tc>
                <w:tcPr>
                  <w:tcW w:w="3857" w:type="dxa"/>
                  <w:shd w:val="clear" w:color="auto" w:fill="auto"/>
                  <w:vAlign w:val="center"/>
                </w:tcPr>
                <w:p w14:paraId="1EA1957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705" w:type="dxa"/>
                  <w:vAlign w:val="center"/>
                </w:tcPr>
                <w:p w14:paraId="7C3212D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39140D4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405ABF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57B3978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61</w:t>
                  </w:r>
                </w:p>
              </w:tc>
              <w:tc>
                <w:tcPr>
                  <w:tcW w:w="2113" w:type="dxa"/>
                  <w:shd w:val="clear" w:color="auto" w:fill="auto"/>
                  <w:vAlign w:val="center"/>
                </w:tcPr>
                <w:p w14:paraId="78A84EC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放空阀及放空阀消音器</w:t>
                  </w:r>
                </w:p>
              </w:tc>
              <w:tc>
                <w:tcPr>
                  <w:tcW w:w="3857" w:type="dxa"/>
                  <w:shd w:val="clear" w:color="auto" w:fill="auto"/>
                  <w:vAlign w:val="center"/>
                </w:tcPr>
                <w:p w14:paraId="760E73D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705" w:type="dxa"/>
                  <w:vAlign w:val="center"/>
                </w:tcPr>
                <w:p w14:paraId="67BDE38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58FB7AF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3CF039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4F558E7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62</w:t>
                  </w:r>
                </w:p>
              </w:tc>
              <w:tc>
                <w:tcPr>
                  <w:tcW w:w="2113" w:type="dxa"/>
                  <w:shd w:val="clear" w:color="auto" w:fill="auto"/>
                  <w:vAlign w:val="center"/>
                </w:tcPr>
                <w:p w14:paraId="6AD2A64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单向阀</w:t>
                  </w:r>
                </w:p>
              </w:tc>
              <w:tc>
                <w:tcPr>
                  <w:tcW w:w="3857" w:type="dxa"/>
                  <w:shd w:val="clear" w:color="auto" w:fill="auto"/>
                  <w:vAlign w:val="center"/>
                </w:tcPr>
                <w:p w14:paraId="46993CD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705" w:type="dxa"/>
                  <w:vAlign w:val="center"/>
                </w:tcPr>
                <w:p w14:paraId="2F943DB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00E457C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07256D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26AB62D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63</w:t>
                  </w:r>
                </w:p>
              </w:tc>
              <w:tc>
                <w:tcPr>
                  <w:tcW w:w="2113" w:type="dxa"/>
                  <w:shd w:val="clear" w:color="auto" w:fill="auto"/>
                  <w:vAlign w:val="center"/>
                </w:tcPr>
                <w:p w14:paraId="7738885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双法兰电动通风蝶阀</w:t>
                  </w:r>
                </w:p>
              </w:tc>
              <w:tc>
                <w:tcPr>
                  <w:tcW w:w="3857" w:type="dxa"/>
                  <w:shd w:val="clear" w:color="auto" w:fill="auto"/>
                  <w:vAlign w:val="center"/>
                </w:tcPr>
                <w:p w14:paraId="5FF7012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DN250 PN1.0MPa</w:t>
                  </w:r>
                </w:p>
              </w:tc>
              <w:tc>
                <w:tcPr>
                  <w:tcW w:w="705" w:type="dxa"/>
                  <w:vAlign w:val="center"/>
                </w:tcPr>
                <w:p w14:paraId="49C64BA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51B88C7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10AB7C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4" w:type="dxa"/>
                  <w:shd w:val="clear" w:color="auto" w:fill="auto"/>
                  <w:vAlign w:val="center"/>
                </w:tcPr>
                <w:p w14:paraId="7ABCBBE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64</w:t>
                  </w:r>
                </w:p>
              </w:tc>
              <w:tc>
                <w:tcPr>
                  <w:tcW w:w="2113" w:type="dxa"/>
                  <w:shd w:val="clear" w:color="auto" w:fill="auto"/>
                  <w:vAlign w:val="center"/>
                </w:tcPr>
                <w:p w14:paraId="5942385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双法兰手动通风蝶阀</w:t>
                  </w:r>
                </w:p>
              </w:tc>
              <w:tc>
                <w:tcPr>
                  <w:tcW w:w="3857" w:type="dxa"/>
                  <w:shd w:val="clear" w:color="auto" w:fill="auto"/>
                  <w:vAlign w:val="center"/>
                </w:tcPr>
                <w:p w14:paraId="42CB2CA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DN250 PN1.0MPa</w:t>
                  </w:r>
                </w:p>
              </w:tc>
              <w:tc>
                <w:tcPr>
                  <w:tcW w:w="705" w:type="dxa"/>
                  <w:vAlign w:val="center"/>
                </w:tcPr>
                <w:p w14:paraId="08E7E1A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28D0BEA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10BA4B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24C23D9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65</w:t>
                  </w:r>
                </w:p>
              </w:tc>
              <w:tc>
                <w:tcPr>
                  <w:tcW w:w="2113" w:type="dxa"/>
                  <w:shd w:val="clear" w:color="auto" w:fill="auto"/>
                  <w:vAlign w:val="center"/>
                </w:tcPr>
                <w:p w14:paraId="6BE426B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不锈钢波纹补偿器</w:t>
                  </w:r>
                </w:p>
              </w:tc>
              <w:tc>
                <w:tcPr>
                  <w:tcW w:w="3857" w:type="dxa"/>
                  <w:shd w:val="clear" w:color="auto" w:fill="auto"/>
                  <w:vAlign w:val="center"/>
                </w:tcPr>
                <w:p w14:paraId="6ABE266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DN250 PN1.0MPa</w:t>
                  </w:r>
                </w:p>
              </w:tc>
              <w:tc>
                <w:tcPr>
                  <w:tcW w:w="705" w:type="dxa"/>
                  <w:vAlign w:val="center"/>
                </w:tcPr>
                <w:p w14:paraId="4CC9674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06BD653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744E5E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6EFB613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66</w:t>
                  </w:r>
                </w:p>
              </w:tc>
              <w:tc>
                <w:tcPr>
                  <w:tcW w:w="2113" w:type="dxa"/>
                  <w:shd w:val="clear" w:color="auto" w:fill="auto"/>
                  <w:vAlign w:val="center"/>
                </w:tcPr>
                <w:p w14:paraId="1C82B53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双法兰手动蝶阀</w:t>
                  </w:r>
                </w:p>
              </w:tc>
              <w:tc>
                <w:tcPr>
                  <w:tcW w:w="3857" w:type="dxa"/>
                  <w:shd w:val="clear" w:color="auto" w:fill="auto"/>
                  <w:vAlign w:val="center"/>
                </w:tcPr>
                <w:p w14:paraId="6456B98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DN400 PN=1.0M a</w:t>
                  </w:r>
                </w:p>
              </w:tc>
              <w:tc>
                <w:tcPr>
                  <w:tcW w:w="705" w:type="dxa"/>
                  <w:vAlign w:val="center"/>
                </w:tcPr>
                <w:p w14:paraId="3A1214F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w:t>
                  </w:r>
                </w:p>
              </w:tc>
              <w:tc>
                <w:tcPr>
                  <w:tcW w:w="729" w:type="dxa"/>
                  <w:vAlign w:val="center"/>
                </w:tcPr>
                <w:p w14:paraId="1EBEBF3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09CBDD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391565B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67</w:t>
                  </w:r>
                </w:p>
              </w:tc>
              <w:tc>
                <w:tcPr>
                  <w:tcW w:w="2113" w:type="dxa"/>
                  <w:shd w:val="clear" w:color="auto" w:fill="auto"/>
                  <w:vAlign w:val="center"/>
                </w:tcPr>
                <w:p w14:paraId="195B636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双法兰限位伸缩接头</w:t>
                  </w:r>
                </w:p>
              </w:tc>
              <w:tc>
                <w:tcPr>
                  <w:tcW w:w="3857" w:type="dxa"/>
                  <w:shd w:val="clear" w:color="auto" w:fill="auto"/>
                  <w:vAlign w:val="center"/>
                </w:tcPr>
                <w:p w14:paraId="6268D1F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DN400 PN=1.0MPa</w:t>
                  </w:r>
                </w:p>
              </w:tc>
              <w:tc>
                <w:tcPr>
                  <w:tcW w:w="705" w:type="dxa"/>
                  <w:vAlign w:val="center"/>
                </w:tcPr>
                <w:p w14:paraId="7B4B0D9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w:t>
                  </w:r>
                </w:p>
              </w:tc>
              <w:tc>
                <w:tcPr>
                  <w:tcW w:w="729" w:type="dxa"/>
                  <w:vAlign w:val="center"/>
                </w:tcPr>
                <w:p w14:paraId="4DCD4F2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03FCE2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5F76000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68</w:t>
                  </w:r>
                </w:p>
              </w:tc>
              <w:tc>
                <w:tcPr>
                  <w:tcW w:w="2113" w:type="dxa"/>
                  <w:shd w:val="clear" w:color="auto" w:fill="auto"/>
                  <w:vAlign w:val="center"/>
                </w:tcPr>
                <w:p w14:paraId="52DCC28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双法兰手动蝶阀</w:t>
                  </w:r>
                </w:p>
              </w:tc>
              <w:tc>
                <w:tcPr>
                  <w:tcW w:w="3857" w:type="dxa"/>
                  <w:shd w:val="clear" w:color="auto" w:fill="auto"/>
                  <w:vAlign w:val="center"/>
                </w:tcPr>
                <w:p w14:paraId="42FA5B6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DN400 PN=1.0MPa</w:t>
                  </w:r>
                </w:p>
              </w:tc>
              <w:tc>
                <w:tcPr>
                  <w:tcW w:w="705" w:type="dxa"/>
                  <w:vAlign w:val="center"/>
                </w:tcPr>
                <w:p w14:paraId="448DAAA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2174CF9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3BF8DF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35876A6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69</w:t>
                  </w:r>
                </w:p>
              </w:tc>
              <w:tc>
                <w:tcPr>
                  <w:tcW w:w="2113" w:type="dxa"/>
                  <w:shd w:val="clear" w:color="auto" w:fill="auto"/>
                  <w:vAlign w:val="center"/>
                </w:tcPr>
                <w:p w14:paraId="4764A9B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微阻缓闭止回阀</w:t>
                  </w:r>
                </w:p>
              </w:tc>
              <w:tc>
                <w:tcPr>
                  <w:tcW w:w="3857" w:type="dxa"/>
                  <w:shd w:val="clear" w:color="auto" w:fill="auto"/>
                  <w:vAlign w:val="center"/>
                </w:tcPr>
                <w:p w14:paraId="42EA5BC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DN800 PN=1.0MPa</w:t>
                  </w:r>
                </w:p>
              </w:tc>
              <w:tc>
                <w:tcPr>
                  <w:tcW w:w="705" w:type="dxa"/>
                  <w:vAlign w:val="center"/>
                </w:tcPr>
                <w:p w14:paraId="2251DF7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0EDE58D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5AD613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2497273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70</w:t>
                  </w:r>
                </w:p>
              </w:tc>
              <w:tc>
                <w:tcPr>
                  <w:tcW w:w="2113" w:type="dxa"/>
                  <w:shd w:val="clear" w:color="auto" w:fill="auto"/>
                  <w:vAlign w:val="center"/>
                </w:tcPr>
                <w:p w14:paraId="7EC3860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翻板阀</w:t>
                  </w:r>
                </w:p>
              </w:tc>
              <w:tc>
                <w:tcPr>
                  <w:tcW w:w="3857" w:type="dxa"/>
                  <w:shd w:val="clear" w:color="auto" w:fill="auto"/>
                  <w:vAlign w:val="center"/>
                </w:tcPr>
                <w:p w14:paraId="1953FD9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2x2000x150</w:t>
                  </w:r>
                </w:p>
              </w:tc>
              <w:tc>
                <w:tcPr>
                  <w:tcW w:w="705" w:type="dxa"/>
                  <w:vAlign w:val="center"/>
                </w:tcPr>
                <w:p w14:paraId="5AB7100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w:t>
                  </w:r>
                </w:p>
              </w:tc>
              <w:tc>
                <w:tcPr>
                  <w:tcW w:w="729" w:type="dxa"/>
                  <w:vAlign w:val="center"/>
                </w:tcPr>
                <w:p w14:paraId="204724F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171052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1CDF562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71</w:t>
                  </w:r>
                </w:p>
              </w:tc>
              <w:tc>
                <w:tcPr>
                  <w:tcW w:w="2113" w:type="dxa"/>
                  <w:shd w:val="clear" w:color="auto" w:fill="auto"/>
                  <w:vAlign w:val="center"/>
                </w:tcPr>
                <w:p w14:paraId="70BF87B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滤池底板布水布气系统</w:t>
                  </w:r>
                </w:p>
              </w:tc>
              <w:tc>
                <w:tcPr>
                  <w:tcW w:w="3857" w:type="dxa"/>
                  <w:shd w:val="clear" w:color="auto" w:fill="auto"/>
                  <w:vAlign w:val="center"/>
                </w:tcPr>
                <w:p w14:paraId="6D5805A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包括竖向布水布气管列、横向集水 管、托板等</w:t>
                  </w:r>
                </w:p>
              </w:tc>
              <w:tc>
                <w:tcPr>
                  <w:tcW w:w="705" w:type="dxa"/>
                  <w:vAlign w:val="center"/>
                </w:tcPr>
                <w:p w14:paraId="3E51E4B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600</w:t>
                  </w:r>
                </w:p>
              </w:tc>
              <w:tc>
                <w:tcPr>
                  <w:tcW w:w="729" w:type="dxa"/>
                  <w:vAlign w:val="center"/>
                </w:tcPr>
                <w:p w14:paraId="74A4041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5192B0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47E4B8D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72</w:t>
                  </w:r>
                </w:p>
              </w:tc>
              <w:tc>
                <w:tcPr>
                  <w:tcW w:w="2113" w:type="dxa"/>
                  <w:shd w:val="clear" w:color="auto" w:fill="auto"/>
                  <w:vAlign w:val="center"/>
                </w:tcPr>
                <w:p w14:paraId="2A3F3B8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电动壁装闸板及启闭机</w:t>
                  </w:r>
                </w:p>
              </w:tc>
              <w:tc>
                <w:tcPr>
                  <w:tcW w:w="3857" w:type="dxa"/>
                  <w:shd w:val="clear" w:color="auto" w:fill="auto"/>
                  <w:vAlign w:val="center"/>
                </w:tcPr>
                <w:p w14:paraId="40DFCF2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400x400</w:t>
                  </w:r>
                </w:p>
              </w:tc>
              <w:tc>
                <w:tcPr>
                  <w:tcW w:w="705" w:type="dxa"/>
                  <w:vAlign w:val="center"/>
                </w:tcPr>
                <w:p w14:paraId="7E98710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7B58FF6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48634F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3ECDE8D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73</w:t>
                  </w:r>
                </w:p>
              </w:tc>
              <w:tc>
                <w:tcPr>
                  <w:tcW w:w="2113" w:type="dxa"/>
                  <w:shd w:val="clear" w:color="auto" w:fill="auto"/>
                  <w:vAlign w:val="center"/>
                </w:tcPr>
                <w:p w14:paraId="669A37B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手动蝶阀</w:t>
                  </w:r>
                </w:p>
              </w:tc>
              <w:tc>
                <w:tcPr>
                  <w:tcW w:w="3857" w:type="dxa"/>
                  <w:shd w:val="clear" w:color="auto" w:fill="auto"/>
                  <w:vAlign w:val="center"/>
                </w:tcPr>
                <w:p w14:paraId="51B6248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DN600 P=1.0MPa</w:t>
                  </w:r>
                </w:p>
              </w:tc>
              <w:tc>
                <w:tcPr>
                  <w:tcW w:w="705" w:type="dxa"/>
                  <w:vAlign w:val="center"/>
                </w:tcPr>
                <w:p w14:paraId="050354E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5408ECC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73ACBF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7C815B6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74</w:t>
                  </w:r>
                </w:p>
              </w:tc>
              <w:tc>
                <w:tcPr>
                  <w:tcW w:w="2113" w:type="dxa"/>
                  <w:shd w:val="clear" w:color="auto" w:fill="auto"/>
                  <w:vAlign w:val="center"/>
                </w:tcPr>
                <w:p w14:paraId="4808E89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电动蝶阀</w:t>
                  </w:r>
                </w:p>
              </w:tc>
              <w:tc>
                <w:tcPr>
                  <w:tcW w:w="3857" w:type="dxa"/>
                  <w:shd w:val="clear" w:color="auto" w:fill="auto"/>
                  <w:vAlign w:val="center"/>
                </w:tcPr>
                <w:p w14:paraId="31BAAC3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DN600 P=1.0MPa</w:t>
                  </w:r>
                </w:p>
              </w:tc>
              <w:tc>
                <w:tcPr>
                  <w:tcW w:w="705" w:type="dxa"/>
                  <w:vAlign w:val="center"/>
                </w:tcPr>
                <w:p w14:paraId="394AF7A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26E9736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5B0CD1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1BF79B7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75</w:t>
                  </w:r>
                </w:p>
              </w:tc>
              <w:tc>
                <w:tcPr>
                  <w:tcW w:w="2113" w:type="dxa"/>
                  <w:shd w:val="clear" w:color="auto" w:fill="auto"/>
                  <w:vAlign w:val="center"/>
                </w:tcPr>
                <w:p w14:paraId="0933E14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双法兰伸缩节</w:t>
                  </w:r>
                </w:p>
              </w:tc>
              <w:tc>
                <w:tcPr>
                  <w:tcW w:w="3857" w:type="dxa"/>
                  <w:shd w:val="clear" w:color="auto" w:fill="auto"/>
                  <w:vAlign w:val="center"/>
                </w:tcPr>
                <w:p w14:paraId="5CA1EE0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DN600 P=1.0MPa</w:t>
                  </w:r>
                </w:p>
              </w:tc>
              <w:tc>
                <w:tcPr>
                  <w:tcW w:w="705" w:type="dxa"/>
                  <w:vAlign w:val="center"/>
                </w:tcPr>
                <w:p w14:paraId="3335706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03231F8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5B553D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002AF0D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76</w:t>
                  </w:r>
                </w:p>
              </w:tc>
              <w:tc>
                <w:tcPr>
                  <w:tcW w:w="2113" w:type="dxa"/>
                  <w:shd w:val="clear" w:color="auto" w:fill="auto"/>
                  <w:vAlign w:val="center"/>
                </w:tcPr>
                <w:p w14:paraId="3ED380C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手动蝶阀</w:t>
                  </w:r>
                </w:p>
              </w:tc>
              <w:tc>
                <w:tcPr>
                  <w:tcW w:w="3857" w:type="dxa"/>
                  <w:shd w:val="clear" w:color="auto" w:fill="auto"/>
                  <w:vAlign w:val="center"/>
                </w:tcPr>
                <w:p w14:paraId="55B021A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DN300 P=1.0MPa</w:t>
                  </w:r>
                </w:p>
              </w:tc>
              <w:tc>
                <w:tcPr>
                  <w:tcW w:w="705" w:type="dxa"/>
                  <w:vAlign w:val="center"/>
                </w:tcPr>
                <w:p w14:paraId="11AA1BC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03913DF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254887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54E4BC5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77</w:t>
                  </w:r>
                </w:p>
              </w:tc>
              <w:tc>
                <w:tcPr>
                  <w:tcW w:w="2113" w:type="dxa"/>
                  <w:shd w:val="clear" w:color="auto" w:fill="auto"/>
                  <w:vAlign w:val="center"/>
                </w:tcPr>
                <w:p w14:paraId="5936976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电动调节蝶阀</w:t>
                  </w:r>
                </w:p>
              </w:tc>
              <w:tc>
                <w:tcPr>
                  <w:tcW w:w="3857" w:type="dxa"/>
                  <w:shd w:val="clear" w:color="auto" w:fill="auto"/>
                  <w:vAlign w:val="center"/>
                </w:tcPr>
                <w:p w14:paraId="3572171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DN300 P=1.0MPa</w:t>
                  </w:r>
                </w:p>
              </w:tc>
              <w:tc>
                <w:tcPr>
                  <w:tcW w:w="705" w:type="dxa"/>
                  <w:vAlign w:val="center"/>
                </w:tcPr>
                <w:p w14:paraId="0AFEE7D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0C9EC4D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58C917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69FFE94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78</w:t>
                  </w:r>
                </w:p>
              </w:tc>
              <w:tc>
                <w:tcPr>
                  <w:tcW w:w="2113" w:type="dxa"/>
                  <w:shd w:val="clear" w:color="auto" w:fill="auto"/>
                  <w:vAlign w:val="center"/>
                </w:tcPr>
                <w:p w14:paraId="6053317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双法兰伸缩节</w:t>
                  </w:r>
                </w:p>
              </w:tc>
              <w:tc>
                <w:tcPr>
                  <w:tcW w:w="3857" w:type="dxa"/>
                  <w:shd w:val="clear" w:color="auto" w:fill="auto"/>
                  <w:vAlign w:val="center"/>
                </w:tcPr>
                <w:p w14:paraId="6A56781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DN300 P=1.0MPa</w:t>
                  </w:r>
                </w:p>
              </w:tc>
              <w:tc>
                <w:tcPr>
                  <w:tcW w:w="705" w:type="dxa"/>
                  <w:vAlign w:val="center"/>
                </w:tcPr>
                <w:p w14:paraId="50666CC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6FED711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3A0588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04F2FE4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79</w:t>
                  </w:r>
                </w:p>
              </w:tc>
              <w:tc>
                <w:tcPr>
                  <w:tcW w:w="2113" w:type="dxa"/>
                  <w:shd w:val="clear" w:color="auto" w:fill="auto"/>
                  <w:vAlign w:val="center"/>
                </w:tcPr>
                <w:p w14:paraId="7EEAAFD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手动蝶阀</w:t>
                  </w:r>
                </w:p>
              </w:tc>
              <w:tc>
                <w:tcPr>
                  <w:tcW w:w="3857" w:type="dxa"/>
                  <w:shd w:val="clear" w:color="auto" w:fill="auto"/>
                  <w:vAlign w:val="center"/>
                </w:tcPr>
                <w:p w14:paraId="6249867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DN250 P=1.0MPa</w:t>
                  </w:r>
                </w:p>
              </w:tc>
              <w:tc>
                <w:tcPr>
                  <w:tcW w:w="705" w:type="dxa"/>
                  <w:vAlign w:val="center"/>
                </w:tcPr>
                <w:p w14:paraId="67860A8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1155E0B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492A96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61BAB0F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80</w:t>
                  </w:r>
                </w:p>
              </w:tc>
              <w:tc>
                <w:tcPr>
                  <w:tcW w:w="2113" w:type="dxa"/>
                  <w:shd w:val="clear" w:color="auto" w:fill="auto"/>
                  <w:vAlign w:val="center"/>
                </w:tcPr>
                <w:p w14:paraId="4AECF2C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电动蝶阀</w:t>
                  </w:r>
                </w:p>
              </w:tc>
              <w:tc>
                <w:tcPr>
                  <w:tcW w:w="3857" w:type="dxa"/>
                  <w:shd w:val="clear" w:color="auto" w:fill="auto"/>
                  <w:vAlign w:val="center"/>
                </w:tcPr>
                <w:p w14:paraId="6582410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DN250 P=1.0MPa</w:t>
                  </w:r>
                </w:p>
              </w:tc>
              <w:tc>
                <w:tcPr>
                  <w:tcW w:w="705" w:type="dxa"/>
                  <w:vAlign w:val="center"/>
                </w:tcPr>
                <w:p w14:paraId="4A5F559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340D0C2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3ABB64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03ECD35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81</w:t>
                  </w:r>
                </w:p>
              </w:tc>
              <w:tc>
                <w:tcPr>
                  <w:tcW w:w="2113" w:type="dxa"/>
                  <w:shd w:val="clear" w:color="auto" w:fill="auto"/>
                  <w:vAlign w:val="center"/>
                </w:tcPr>
                <w:p w14:paraId="759CDDB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冷却水循环泵</w:t>
                  </w:r>
                </w:p>
              </w:tc>
              <w:tc>
                <w:tcPr>
                  <w:tcW w:w="3857" w:type="dxa"/>
                  <w:shd w:val="clear" w:color="auto" w:fill="auto"/>
                  <w:vAlign w:val="center"/>
                </w:tcPr>
                <w:p w14:paraId="10D1009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Q=30m³h H=31.5m P=2.2kw</w:t>
                  </w:r>
                </w:p>
              </w:tc>
              <w:tc>
                <w:tcPr>
                  <w:tcW w:w="705" w:type="dxa"/>
                  <w:vAlign w:val="center"/>
                </w:tcPr>
                <w:p w14:paraId="7316890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15121AC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5335C3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19CB676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82</w:t>
                  </w:r>
                </w:p>
              </w:tc>
              <w:tc>
                <w:tcPr>
                  <w:tcW w:w="2113" w:type="dxa"/>
                  <w:shd w:val="clear" w:color="auto" w:fill="auto"/>
                  <w:vAlign w:val="center"/>
                </w:tcPr>
                <w:p w14:paraId="500CE79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柱状活性炭</w:t>
                  </w:r>
                </w:p>
              </w:tc>
              <w:tc>
                <w:tcPr>
                  <w:tcW w:w="3857" w:type="dxa"/>
                  <w:shd w:val="clear" w:color="auto" w:fill="auto"/>
                  <w:vAlign w:val="center"/>
                </w:tcPr>
                <w:p w14:paraId="2B4F889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0.9-1.10mm</w:t>
                  </w:r>
                </w:p>
              </w:tc>
              <w:tc>
                <w:tcPr>
                  <w:tcW w:w="705" w:type="dxa"/>
                  <w:vAlign w:val="center"/>
                </w:tcPr>
                <w:p w14:paraId="43ECC27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120</w:t>
                  </w:r>
                </w:p>
              </w:tc>
              <w:tc>
                <w:tcPr>
                  <w:tcW w:w="729" w:type="dxa"/>
                  <w:vAlign w:val="center"/>
                </w:tcPr>
                <w:p w14:paraId="5F94F19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r>
                    <w:rPr>
                      <w:rFonts w:hint="default" w:ascii="Times New Roman" w:hAnsi="Times New Roman" w:eastAsia="宋体" w:cs="Times New Roman"/>
                      <w:color w:val="auto"/>
                      <w:sz w:val="18"/>
                      <w:szCs w:val="18"/>
                      <w:vertAlign w:val="superscript"/>
                      <w:lang w:val="en-US" w:eastAsia="zh-CN"/>
                    </w:rPr>
                    <w:t>3</w:t>
                  </w:r>
                </w:p>
              </w:tc>
            </w:tr>
            <w:tr w14:paraId="6C148E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6FD43EA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83</w:t>
                  </w:r>
                </w:p>
              </w:tc>
              <w:tc>
                <w:tcPr>
                  <w:tcW w:w="2113" w:type="dxa"/>
                  <w:shd w:val="clear" w:color="auto" w:fill="auto"/>
                  <w:vAlign w:val="center"/>
                </w:tcPr>
                <w:p w14:paraId="2946E10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石英砂</w:t>
                  </w:r>
                </w:p>
              </w:tc>
              <w:tc>
                <w:tcPr>
                  <w:tcW w:w="3857" w:type="dxa"/>
                  <w:shd w:val="clear" w:color="auto" w:fill="auto"/>
                  <w:vAlign w:val="center"/>
                </w:tcPr>
                <w:p w14:paraId="5E49AD3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0.7-1.2mm,K 80&lt;1.6</w:t>
                  </w:r>
                </w:p>
              </w:tc>
              <w:tc>
                <w:tcPr>
                  <w:tcW w:w="705" w:type="dxa"/>
                  <w:vAlign w:val="center"/>
                </w:tcPr>
                <w:p w14:paraId="14D4B79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158.4</w:t>
                  </w:r>
                </w:p>
              </w:tc>
              <w:tc>
                <w:tcPr>
                  <w:tcW w:w="729" w:type="dxa"/>
                  <w:vAlign w:val="center"/>
                </w:tcPr>
                <w:p w14:paraId="043C8C9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r>
                    <w:rPr>
                      <w:rFonts w:hint="default" w:ascii="Times New Roman" w:hAnsi="Times New Roman" w:eastAsia="宋体" w:cs="Times New Roman"/>
                      <w:color w:val="auto"/>
                      <w:sz w:val="18"/>
                      <w:szCs w:val="18"/>
                      <w:vertAlign w:val="superscript"/>
                      <w:lang w:val="en-US" w:eastAsia="zh-CN"/>
                    </w:rPr>
                    <w:t>3</w:t>
                  </w:r>
                </w:p>
              </w:tc>
            </w:tr>
            <w:tr w14:paraId="6A4833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05AD82F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84</w:t>
                  </w:r>
                </w:p>
              </w:tc>
              <w:tc>
                <w:tcPr>
                  <w:tcW w:w="2113" w:type="dxa"/>
                  <w:shd w:val="clear" w:color="auto" w:fill="auto"/>
                  <w:vAlign w:val="center"/>
                </w:tcPr>
                <w:p w14:paraId="7841659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砾石</w:t>
                  </w:r>
                </w:p>
              </w:tc>
              <w:tc>
                <w:tcPr>
                  <w:tcW w:w="3857" w:type="dxa"/>
                  <w:shd w:val="clear" w:color="auto" w:fill="auto"/>
                  <w:vAlign w:val="center"/>
                </w:tcPr>
                <w:p w14:paraId="2FD50C5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en-US"/>
                    </w:rPr>
                  </w:pPr>
                  <w:r>
                    <w:rPr>
                      <w:rFonts w:hint="default" w:ascii="Times New Roman" w:hAnsi="Times New Roman" w:eastAsia="宋体" w:cs="Times New Roman"/>
                      <w:color w:val="auto"/>
                      <w:sz w:val="18"/>
                      <w:szCs w:val="18"/>
                    </w:rPr>
                    <w:t>3.0-6.0mm</w:t>
                  </w:r>
                </w:p>
              </w:tc>
              <w:tc>
                <w:tcPr>
                  <w:tcW w:w="705" w:type="dxa"/>
                  <w:vAlign w:val="center"/>
                </w:tcPr>
                <w:p w14:paraId="50CCB76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52.8</w:t>
                  </w:r>
                </w:p>
              </w:tc>
              <w:tc>
                <w:tcPr>
                  <w:tcW w:w="729" w:type="dxa"/>
                  <w:vAlign w:val="center"/>
                </w:tcPr>
                <w:p w14:paraId="0DD554A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m</w:t>
                  </w:r>
                  <w:r>
                    <w:rPr>
                      <w:rFonts w:hint="default" w:ascii="Times New Roman" w:hAnsi="Times New Roman" w:eastAsia="宋体" w:cs="Times New Roman"/>
                      <w:color w:val="auto"/>
                      <w:sz w:val="18"/>
                      <w:szCs w:val="18"/>
                      <w:vertAlign w:val="superscript"/>
                      <w:lang w:val="en-US" w:eastAsia="zh-CN"/>
                    </w:rPr>
                    <w:t>3</w:t>
                  </w:r>
                </w:p>
              </w:tc>
            </w:tr>
            <w:tr w14:paraId="70F334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2B69450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85</w:t>
                  </w:r>
                </w:p>
              </w:tc>
              <w:tc>
                <w:tcPr>
                  <w:tcW w:w="2113" w:type="dxa"/>
                  <w:shd w:val="clear" w:color="auto" w:fill="auto"/>
                  <w:vAlign w:val="center"/>
                </w:tcPr>
                <w:p w14:paraId="329C469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臭氧发生器(空气型)</w:t>
                  </w:r>
                </w:p>
              </w:tc>
              <w:tc>
                <w:tcPr>
                  <w:tcW w:w="3857" w:type="dxa"/>
                  <w:shd w:val="clear" w:color="auto" w:fill="auto"/>
                  <w:vAlign w:val="center"/>
                </w:tcPr>
                <w:p w14:paraId="5071AE6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2.5kg/h</w:t>
                  </w:r>
                </w:p>
              </w:tc>
              <w:tc>
                <w:tcPr>
                  <w:tcW w:w="705" w:type="dxa"/>
                  <w:vAlign w:val="center"/>
                </w:tcPr>
                <w:p w14:paraId="1A57EB1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39EB1C6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5018C7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22EB277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86</w:t>
                  </w:r>
                </w:p>
              </w:tc>
              <w:tc>
                <w:tcPr>
                  <w:tcW w:w="2113" w:type="dxa"/>
                  <w:shd w:val="clear" w:color="auto" w:fill="auto"/>
                  <w:vAlign w:val="center"/>
                </w:tcPr>
                <w:p w14:paraId="127F06C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空气压缩机</w:t>
                  </w:r>
                </w:p>
              </w:tc>
              <w:tc>
                <w:tcPr>
                  <w:tcW w:w="3857" w:type="dxa"/>
                  <w:shd w:val="clear" w:color="auto" w:fill="auto"/>
                  <w:vAlign w:val="center"/>
                </w:tcPr>
                <w:p w14:paraId="37CFE64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Q=3.6m/min</w:t>
                  </w:r>
                </w:p>
              </w:tc>
              <w:tc>
                <w:tcPr>
                  <w:tcW w:w="705" w:type="dxa"/>
                  <w:vAlign w:val="center"/>
                </w:tcPr>
                <w:p w14:paraId="3FE562B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29" w:type="dxa"/>
                  <w:vAlign w:val="center"/>
                </w:tcPr>
                <w:p w14:paraId="18458F6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722F54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231C615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87</w:t>
                  </w:r>
                </w:p>
              </w:tc>
              <w:tc>
                <w:tcPr>
                  <w:tcW w:w="2113" w:type="dxa"/>
                  <w:shd w:val="clear" w:color="auto" w:fill="auto"/>
                  <w:vAlign w:val="center"/>
                </w:tcPr>
                <w:p w14:paraId="4733B43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臭氧浓度检测仪</w:t>
                  </w:r>
                </w:p>
              </w:tc>
              <w:tc>
                <w:tcPr>
                  <w:tcW w:w="3857" w:type="dxa"/>
                  <w:shd w:val="clear" w:color="auto" w:fill="auto"/>
                  <w:vAlign w:val="center"/>
                </w:tcPr>
                <w:p w14:paraId="68E52A47">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w:t>
                  </w:r>
                </w:p>
              </w:tc>
              <w:tc>
                <w:tcPr>
                  <w:tcW w:w="705" w:type="dxa"/>
                  <w:vAlign w:val="center"/>
                </w:tcPr>
                <w:p w14:paraId="17D5ABA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459C88A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4B424B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526FA04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88</w:t>
                  </w:r>
                </w:p>
              </w:tc>
              <w:tc>
                <w:tcPr>
                  <w:tcW w:w="2113" w:type="dxa"/>
                  <w:shd w:val="clear" w:color="auto" w:fill="auto"/>
                  <w:vAlign w:val="center"/>
                </w:tcPr>
                <w:p w14:paraId="6B4A9B0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后投加尾气破坏器</w:t>
                  </w:r>
                </w:p>
              </w:tc>
              <w:tc>
                <w:tcPr>
                  <w:tcW w:w="3857" w:type="dxa"/>
                  <w:shd w:val="clear" w:color="auto" w:fill="auto"/>
                  <w:vAlign w:val="center"/>
                </w:tcPr>
                <w:p w14:paraId="0A0AAB6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100Nm³/h</w:t>
                  </w:r>
                </w:p>
              </w:tc>
              <w:tc>
                <w:tcPr>
                  <w:tcW w:w="705" w:type="dxa"/>
                  <w:vAlign w:val="center"/>
                </w:tcPr>
                <w:p w14:paraId="3704AF0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56786C0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5E9C0D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50D06E6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89</w:t>
                  </w:r>
                </w:p>
              </w:tc>
              <w:tc>
                <w:tcPr>
                  <w:tcW w:w="2113" w:type="dxa"/>
                  <w:shd w:val="clear" w:color="auto" w:fill="auto"/>
                  <w:vAlign w:val="center"/>
                </w:tcPr>
                <w:p w14:paraId="4E9536A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臭氧泄漏报警仪</w:t>
                  </w:r>
                </w:p>
              </w:tc>
              <w:tc>
                <w:tcPr>
                  <w:tcW w:w="3857" w:type="dxa"/>
                  <w:shd w:val="clear" w:color="auto" w:fill="auto"/>
                  <w:vAlign w:val="center"/>
                </w:tcPr>
                <w:p w14:paraId="550719CF">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w:t>
                  </w:r>
                </w:p>
              </w:tc>
              <w:tc>
                <w:tcPr>
                  <w:tcW w:w="705" w:type="dxa"/>
                  <w:vAlign w:val="center"/>
                </w:tcPr>
                <w:p w14:paraId="368BF3A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06F59D8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78D9F5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0AC8CB9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90</w:t>
                  </w:r>
                </w:p>
              </w:tc>
              <w:tc>
                <w:tcPr>
                  <w:tcW w:w="2113" w:type="dxa"/>
                  <w:shd w:val="clear" w:color="auto" w:fill="auto"/>
                  <w:vAlign w:val="center"/>
                </w:tcPr>
                <w:p w14:paraId="7C21303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空气过滤器</w:t>
                  </w:r>
                </w:p>
              </w:tc>
              <w:tc>
                <w:tcPr>
                  <w:tcW w:w="3857" w:type="dxa"/>
                  <w:shd w:val="clear" w:color="auto" w:fill="auto"/>
                  <w:vAlign w:val="center"/>
                </w:tcPr>
                <w:p w14:paraId="799F555F">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w:t>
                  </w:r>
                </w:p>
              </w:tc>
              <w:tc>
                <w:tcPr>
                  <w:tcW w:w="705" w:type="dxa"/>
                  <w:vAlign w:val="center"/>
                </w:tcPr>
                <w:p w14:paraId="528EA68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729" w:type="dxa"/>
                  <w:vAlign w:val="center"/>
                </w:tcPr>
                <w:p w14:paraId="4824B73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只</w:t>
                  </w:r>
                </w:p>
              </w:tc>
            </w:tr>
            <w:tr w14:paraId="670009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42B3ED6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91</w:t>
                  </w:r>
                </w:p>
              </w:tc>
              <w:tc>
                <w:tcPr>
                  <w:tcW w:w="2113" w:type="dxa"/>
                  <w:shd w:val="clear" w:color="auto" w:fill="auto"/>
                  <w:vAlign w:val="center"/>
                </w:tcPr>
                <w:p w14:paraId="5D82DCE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双法兰手动蝶阀</w:t>
                  </w:r>
                </w:p>
              </w:tc>
              <w:tc>
                <w:tcPr>
                  <w:tcW w:w="3857" w:type="dxa"/>
                  <w:shd w:val="clear" w:color="auto" w:fill="auto"/>
                  <w:vAlign w:val="center"/>
                </w:tcPr>
                <w:p w14:paraId="209C8B7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DN400 PN=1.0MPa</w:t>
                  </w:r>
                </w:p>
              </w:tc>
              <w:tc>
                <w:tcPr>
                  <w:tcW w:w="705" w:type="dxa"/>
                  <w:vAlign w:val="center"/>
                </w:tcPr>
                <w:p w14:paraId="1C7F34C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58FA738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26B31E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7CF8485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92</w:t>
                  </w:r>
                </w:p>
              </w:tc>
              <w:tc>
                <w:tcPr>
                  <w:tcW w:w="2113" w:type="dxa"/>
                  <w:shd w:val="clear" w:color="auto" w:fill="auto"/>
                  <w:vAlign w:val="center"/>
                </w:tcPr>
                <w:p w14:paraId="6A266B6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双法兰限位伸缩接头</w:t>
                  </w:r>
                </w:p>
              </w:tc>
              <w:tc>
                <w:tcPr>
                  <w:tcW w:w="3857" w:type="dxa"/>
                  <w:shd w:val="clear" w:color="auto" w:fill="auto"/>
                  <w:vAlign w:val="center"/>
                </w:tcPr>
                <w:p w14:paraId="0EBE6DA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DN400 PN=1.0MPa</w:t>
                  </w:r>
                </w:p>
              </w:tc>
              <w:tc>
                <w:tcPr>
                  <w:tcW w:w="705" w:type="dxa"/>
                  <w:vAlign w:val="center"/>
                </w:tcPr>
                <w:p w14:paraId="70B688F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5DEBC12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451B94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6399D62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93</w:t>
                  </w:r>
                </w:p>
              </w:tc>
              <w:tc>
                <w:tcPr>
                  <w:tcW w:w="2113" w:type="dxa"/>
                  <w:shd w:val="clear" w:color="auto" w:fill="auto"/>
                  <w:vAlign w:val="center"/>
                </w:tcPr>
                <w:p w14:paraId="44802D2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进泥泵(螺杆泵)</w:t>
                  </w:r>
                </w:p>
              </w:tc>
              <w:tc>
                <w:tcPr>
                  <w:tcW w:w="3857" w:type="dxa"/>
                  <w:shd w:val="clear" w:color="auto" w:fill="auto"/>
                  <w:vAlign w:val="center"/>
                </w:tcPr>
                <w:p w14:paraId="543D574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Q=70m³h,P=2bar15kW</w:t>
                  </w:r>
                </w:p>
              </w:tc>
              <w:tc>
                <w:tcPr>
                  <w:tcW w:w="705" w:type="dxa"/>
                  <w:vAlign w:val="center"/>
                </w:tcPr>
                <w:p w14:paraId="2E76C39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6CFE249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37F30E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7C36F96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94</w:t>
                  </w:r>
                </w:p>
              </w:tc>
              <w:tc>
                <w:tcPr>
                  <w:tcW w:w="2113" w:type="dxa"/>
                  <w:shd w:val="clear" w:color="auto" w:fill="auto"/>
                  <w:vAlign w:val="center"/>
                </w:tcPr>
                <w:p w14:paraId="543DFC5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叠螺式污泥浓缩机</w:t>
                  </w:r>
                </w:p>
              </w:tc>
              <w:tc>
                <w:tcPr>
                  <w:tcW w:w="3857" w:type="dxa"/>
                  <w:shd w:val="clear" w:color="auto" w:fill="auto"/>
                  <w:vAlign w:val="center"/>
                </w:tcPr>
                <w:p w14:paraId="60B7A16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402,600kg-DSh 3.2kW</w:t>
                  </w:r>
                </w:p>
              </w:tc>
              <w:tc>
                <w:tcPr>
                  <w:tcW w:w="705" w:type="dxa"/>
                  <w:vAlign w:val="center"/>
                </w:tcPr>
                <w:p w14:paraId="437C4A0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1CE4FA5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5D00F1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575E314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95</w:t>
                  </w:r>
                </w:p>
              </w:tc>
              <w:tc>
                <w:tcPr>
                  <w:tcW w:w="2113" w:type="dxa"/>
                  <w:shd w:val="clear" w:color="auto" w:fill="auto"/>
                  <w:vAlign w:val="center"/>
                </w:tcPr>
                <w:p w14:paraId="78C1B71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絮凝剂制备装置</w:t>
                  </w:r>
                </w:p>
              </w:tc>
              <w:tc>
                <w:tcPr>
                  <w:tcW w:w="3857" w:type="dxa"/>
                  <w:shd w:val="clear" w:color="auto" w:fill="auto"/>
                  <w:vAlign w:val="center"/>
                </w:tcPr>
                <w:p w14:paraId="761D4E6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4000L/h 2.7kW</w:t>
                  </w:r>
                </w:p>
              </w:tc>
              <w:tc>
                <w:tcPr>
                  <w:tcW w:w="705" w:type="dxa"/>
                  <w:vAlign w:val="center"/>
                </w:tcPr>
                <w:p w14:paraId="1DB33A9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5CC0E4D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76ED3D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0620EED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96</w:t>
                  </w:r>
                </w:p>
              </w:tc>
              <w:tc>
                <w:tcPr>
                  <w:tcW w:w="2113" w:type="dxa"/>
                  <w:shd w:val="clear" w:color="auto" w:fill="auto"/>
                  <w:vAlign w:val="center"/>
                </w:tcPr>
                <w:p w14:paraId="0E60ECA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加药泵(螺杆泵)</w:t>
                  </w:r>
                </w:p>
              </w:tc>
              <w:tc>
                <w:tcPr>
                  <w:tcW w:w="3857" w:type="dxa"/>
                  <w:shd w:val="clear" w:color="auto" w:fill="auto"/>
                  <w:vAlign w:val="center"/>
                </w:tcPr>
                <w:p w14:paraId="2FFEE3D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Q=3600L/h,P=3bar   1.5kW</w:t>
                  </w:r>
                </w:p>
              </w:tc>
              <w:tc>
                <w:tcPr>
                  <w:tcW w:w="705" w:type="dxa"/>
                  <w:vAlign w:val="center"/>
                </w:tcPr>
                <w:p w14:paraId="73D8FFA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1D03642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4C8BA7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092F737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97</w:t>
                  </w:r>
                </w:p>
              </w:tc>
              <w:tc>
                <w:tcPr>
                  <w:tcW w:w="2113" w:type="dxa"/>
                  <w:shd w:val="clear" w:color="auto" w:fill="auto"/>
                  <w:vAlign w:val="center"/>
                </w:tcPr>
                <w:p w14:paraId="36558B8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固化剂定量投加装置</w:t>
                  </w:r>
                </w:p>
              </w:tc>
              <w:tc>
                <w:tcPr>
                  <w:tcW w:w="3857" w:type="dxa"/>
                  <w:shd w:val="clear" w:color="auto" w:fill="auto"/>
                  <w:vAlign w:val="center"/>
                </w:tcPr>
                <w:p w14:paraId="2D4630F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3m³  3kW</w:t>
                  </w:r>
                </w:p>
              </w:tc>
              <w:tc>
                <w:tcPr>
                  <w:tcW w:w="705" w:type="dxa"/>
                  <w:vAlign w:val="center"/>
                </w:tcPr>
                <w:p w14:paraId="31C15E9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4DF6B37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套</w:t>
                  </w:r>
                </w:p>
              </w:tc>
            </w:tr>
            <w:tr w14:paraId="68BB77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trPr>
              <w:tc>
                <w:tcPr>
                  <w:tcW w:w="604" w:type="dxa"/>
                  <w:shd w:val="clear" w:color="auto" w:fill="auto"/>
                  <w:vAlign w:val="center"/>
                </w:tcPr>
                <w:p w14:paraId="50FDBEA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98</w:t>
                  </w:r>
                </w:p>
              </w:tc>
              <w:tc>
                <w:tcPr>
                  <w:tcW w:w="2113" w:type="dxa"/>
                  <w:shd w:val="clear" w:color="auto" w:fill="auto"/>
                  <w:vAlign w:val="center"/>
                </w:tcPr>
                <w:p w14:paraId="4811542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污泥反应器</w:t>
                  </w:r>
                </w:p>
              </w:tc>
              <w:tc>
                <w:tcPr>
                  <w:tcW w:w="3857" w:type="dxa"/>
                  <w:shd w:val="clear" w:color="auto" w:fill="auto"/>
                  <w:vAlign w:val="center"/>
                </w:tcPr>
                <w:p w14:paraId="6033915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2m³  3kW</w:t>
                  </w:r>
                </w:p>
              </w:tc>
              <w:tc>
                <w:tcPr>
                  <w:tcW w:w="705" w:type="dxa"/>
                  <w:vAlign w:val="center"/>
                </w:tcPr>
                <w:p w14:paraId="62C6B82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46CD116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5BC84C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43E4F79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99</w:t>
                  </w:r>
                </w:p>
              </w:tc>
              <w:tc>
                <w:tcPr>
                  <w:tcW w:w="2113" w:type="dxa"/>
                  <w:shd w:val="clear" w:color="auto" w:fill="auto"/>
                  <w:vAlign w:val="center"/>
                </w:tcPr>
                <w:p w14:paraId="25D4646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FeCl₃储罐</w:t>
                  </w:r>
                </w:p>
              </w:tc>
              <w:tc>
                <w:tcPr>
                  <w:tcW w:w="3857" w:type="dxa"/>
                  <w:shd w:val="clear" w:color="auto" w:fill="auto"/>
                  <w:vAlign w:val="center"/>
                </w:tcPr>
                <w:p w14:paraId="4959695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PE  10m³</w:t>
                  </w:r>
                </w:p>
              </w:tc>
              <w:tc>
                <w:tcPr>
                  <w:tcW w:w="705" w:type="dxa"/>
                  <w:vAlign w:val="center"/>
                </w:tcPr>
                <w:p w14:paraId="4F3F5CC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4CCA6A9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个</w:t>
                  </w:r>
                </w:p>
              </w:tc>
            </w:tr>
            <w:tr w14:paraId="000A50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4D312E9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100</w:t>
                  </w:r>
                </w:p>
              </w:tc>
              <w:tc>
                <w:tcPr>
                  <w:tcW w:w="2113" w:type="dxa"/>
                  <w:shd w:val="clear" w:color="auto" w:fill="auto"/>
                  <w:vAlign w:val="center"/>
                </w:tcPr>
                <w:p w14:paraId="3DC2833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FeCl₃溶液投加泵</w:t>
                  </w:r>
                </w:p>
              </w:tc>
              <w:tc>
                <w:tcPr>
                  <w:tcW w:w="3857" w:type="dxa"/>
                  <w:shd w:val="clear" w:color="auto" w:fill="auto"/>
                  <w:vAlign w:val="center"/>
                </w:tcPr>
                <w:p w14:paraId="4FE799D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JZM-A1200L/0.35mpa 0.75kW</w:t>
                  </w:r>
                </w:p>
              </w:tc>
              <w:tc>
                <w:tcPr>
                  <w:tcW w:w="705" w:type="dxa"/>
                  <w:vAlign w:val="center"/>
                </w:tcPr>
                <w:p w14:paraId="3E59917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51DD1C5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70687D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5BE94F0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101</w:t>
                  </w:r>
                </w:p>
              </w:tc>
              <w:tc>
                <w:tcPr>
                  <w:tcW w:w="2113" w:type="dxa"/>
                  <w:shd w:val="clear" w:color="auto" w:fill="auto"/>
                  <w:vAlign w:val="center"/>
                </w:tcPr>
                <w:p w14:paraId="0CE52CA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泥浆输送泵(螺杆泵)</w:t>
                  </w:r>
                </w:p>
              </w:tc>
              <w:tc>
                <w:tcPr>
                  <w:tcW w:w="3857" w:type="dxa"/>
                  <w:shd w:val="clear" w:color="auto" w:fill="auto"/>
                  <w:vAlign w:val="center"/>
                </w:tcPr>
                <w:p w14:paraId="690DE5B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Q=12.0m³h,P=2bar  4.0kW</w:t>
                  </w:r>
                </w:p>
              </w:tc>
              <w:tc>
                <w:tcPr>
                  <w:tcW w:w="705" w:type="dxa"/>
                  <w:vAlign w:val="center"/>
                </w:tcPr>
                <w:p w14:paraId="4D08B2E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2153C40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2D1A64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648F63D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102</w:t>
                  </w:r>
                </w:p>
              </w:tc>
              <w:tc>
                <w:tcPr>
                  <w:tcW w:w="2113" w:type="dxa"/>
                  <w:shd w:val="clear" w:color="auto" w:fill="auto"/>
                  <w:vAlign w:val="center"/>
                </w:tcPr>
                <w:p w14:paraId="30F5F17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污泥反应罐</w:t>
                  </w:r>
                </w:p>
              </w:tc>
              <w:tc>
                <w:tcPr>
                  <w:tcW w:w="3857" w:type="dxa"/>
                  <w:shd w:val="clear" w:color="auto" w:fill="auto"/>
                  <w:vAlign w:val="center"/>
                </w:tcPr>
                <w:p w14:paraId="1204F5D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20m³P=11.0kW</w:t>
                  </w:r>
                </w:p>
              </w:tc>
              <w:tc>
                <w:tcPr>
                  <w:tcW w:w="705" w:type="dxa"/>
                  <w:vAlign w:val="center"/>
                </w:tcPr>
                <w:p w14:paraId="763E8A2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253405E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3336F0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7F908D2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103</w:t>
                  </w:r>
                </w:p>
              </w:tc>
              <w:tc>
                <w:tcPr>
                  <w:tcW w:w="2113" w:type="dxa"/>
                  <w:shd w:val="clear" w:color="auto" w:fill="auto"/>
                  <w:vAlign w:val="center"/>
                </w:tcPr>
                <w:p w14:paraId="641C800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污泥进料泵</w:t>
                  </w:r>
                </w:p>
              </w:tc>
              <w:tc>
                <w:tcPr>
                  <w:tcW w:w="3857" w:type="dxa"/>
                  <w:shd w:val="clear" w:color="auto" w:fill="auto"/>
                  <w:vAlign w:val="center"/>
                </w:tcPr>
                <w:p w14:paraId="76D8EFE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Q=40.0m³/h,P=10bar  22.0kW</w:t>
                  </w:r>
                </w:p>
              </w:tc>
              <w:tc>
                <w:tcPr>
                  <w:tcW w:w="705" w:type="dxa"/>
                  <w:vAlign w:val="center"/>
                </w:tcPr>
                <w:p w14:paraId="44ED9D2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691D643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5B177A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6CB9A453">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104</w:t>
                  </w:r>
                </w:p>
              </w:tc>
              <w:tc>
                <w:tcPr>
                  <w:tcW w:w="2113" w:type="dxa"/>
                  <w:shd w:val="clear" w:color="auto" w:fill="auto"/>
                  <w:vAlign w:val="center"/>
                </w:tcPr>
                <w:p w14:paraId="1087FE8F">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高压弹性压榨机</w:t>
                  </w:r>
                </w:p>
              </w:tc>
              <w:tc>
                <w:tcPr>
                  <w:tcW w:w="3857" w:type="dxa"/>
                  <w:shd w:val="clear" w:color="auto" w:fill="auto"/>
                  <w:vAlign w:val="center"/>
                </w:tcPr>
                <w:p w14:paraId="5654D6B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150  m²18.5kW</w:t>
                  </w:r>
                </w:p>
              </w:tc>
              <w:tc>
                <w:tcPr>
                  <w:tcW w:w="705" w:type="dxa"/>
                  <w:vAlign w:val="center"/>
                </w:tcPr>
                <w:p w14:paraId="76059F8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38B4343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06EE9F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20CEA54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105</w:t>
                  </w:r>
                </w:p>
              </w:tc>
              <w:tc>
                <w:tcPr>
                  <w:tcW w:w="2113" w:type="dxa"/>
                  <w:shd w:val="clear" w:color="auto" w:fill="auto"/>
                  <w:vAlign w:val="center"/>
                </w:tcPr>
                <w:p w14:paraId="0AFE72E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高压清洗机</w:t>
                  </w:r>
                </w:p>
              </w:tc>
              <w:tc>
                <w:tcPr>
                  <w:tcW w:w="3857" w:type="dxa"/>
                  <w:shd w:val="clear" w:color="auto" w:fill="auto"/>
                  <w:vAlign w:val="center"/>
                </w:tcPr>
                <w:p w14:paraId="3A4FF27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20L/min,P=2.2kW</w:t>
                  </w:r>
                </w:p>
              </w:tc>
              <w:tc>
                <w:tcPr>
                  <w:tcW w:w="705" w:type="dxa"/>
                  <w:vAlign w:val="center"/>
                </w:tcPr>
                <w:p w14:paraId="20ED286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11A3053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0D7B6C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44BBD1E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106</w:t>
                  </w:r>
                </w:p>
              </w:tc>
              <w:tc>
                <w:tcPr>
                  <w:tcW w:w="2113" w:type="dxa"/>
                  <w:shd w:val="clear" w:color="auto" w:fill="auto"/>
                  <w:vAlign w:val="center"/>
                </w:tcPr>
                <w:p w14:paraId="57C7E98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水平皮带输送机</w:t>
                  </w:r>
                </w:p>
              </w:tc>
              <w:tc>
                <w:tcPr>
                  <w:tcW w:w="3857" w:type="dxa"/>
                  <w:shd w:val="clear" w:color="auto" w:fill="auto"/>
                  <w:vAlign w:val="center"/>
                </w:tcPr>
                <w:p w14:paraId="08F9F6A8">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P=3.0kW</w:t>
                  </w:r>
                </w:p>
              </w:tc>
              <w:tc>
                <w:tcPr>
                  <w:tcW w:w="705" w:type="dxa"/>
                  <w:vAlign w:val="center"/>
                </w:tcPr>
                <w:p w14:paraId="30923F1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26197BE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31FC3A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3695335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107</w:t>
                  </w:r>
                </w:p>
              </w:tc>
              <w:tc>
                <w:tcPr>
                  <w:tcW w:w="2113" w:type="dxa"/>
                  <w:shd w:val="clear" w:color="auto" w:fill="auto"/>
                  <w:vAlign w:val="center"/>
                </w:tcPr>
                <w:p w14:paraId="56C107D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倾斜皮带输送机</w:t>
                  </w:r>
                </w:p>
              </w:tc>
              <w:tc>
                <w:tcPr>
                  <w:tcW w:w="3857" w:type="dxa"/>
                  <w:shd w:val="clear" w:color="auto" w:fill="auto"/>
                  <w:vAlign w:val="center"/>
                </w:tcPr>
                <w:p w14:paraId="2AF8E32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P=5.0kW</w:t>
                  </w:r>
                </w:p>
              </w:tc>
              <w:tc>
                <w:tcPr>
                  <w:tcW w:w="705" w:type="dxa"/>
                  <w:vAlign w:val="center"/>
                </w:tcPr>
                <w:p w14:paraId="1C88E9A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729" w:type="dxa"/>
                  <w:vAlign w:val="center"/>
                </w:tcPr>
                <w:p w14:paraId="7D8961C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2B8EB1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shd w:val="clear" w:color="auto" w:fill="auto"/>
                  <w:vAlign w:val="center"/>
                </w:tcPr>
                <w:p w14:paraId="78AAD22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108</w:t>
                  </w:r>
                </w:p>
              </w:tc>
              <w:tc>
                <w:tcPr>
                  <w:tcW w:w="2113" w:type="dxa"/>
                  <w:shd w:val="clear" w:color="auto" w:fill="auto"/>
                  <w:vAlign w:val="center"/>
                </w:tcPr>
                <w:p w14:paraId="1846697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潜水混流泵</w:t>
                  </w:r>
                </w:p>
              </w:tc>
              <w:tc>
                <w:tcPr>
                  <w:tcW w:w="3857" w:type="dxa"/>
                  <w:shd w:val="clear" w:color="auto" w:fill="auto"/>
                  <w:vAlign w:val="center"/>
                </w:tcPr>
                <w:p w14:paraId="1EE6948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Q=125m³h,H=15m,P=11kw</w:t>
                  </w:r>
                </w:p>
              </w:tc>
              <w:tc>
                <w:tcPr>
                  <w:tcW w:w="705" w:type="dxa"/>
                  <w:vAlign w:val="center"/>
                </w:tcPr>
                <w:p w14:paraId="42C44F7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007C2AA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11AC03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vAlign w:val="center"/>
                </w:tcPr>
                <w:p w14:paraId="0417808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109</w:t>
                  </w:r>
                </w:p>
              </w:tc>
              <w:tc>
                <w:tcPr>
                  <w:tcW w:w="2113" w:type="dxa"/>
                  <w:shd w:val="clear" w:color="auto" w:fill="auto"/>
                  <w:vAlign w:val="center"/>
                </w:tcPr>
                <w:p w14:paraId="364D62E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潜水搅拌机</w:t>
                  </w:r>
                </w:p>
              </w:tc>
              <w:tc>
                <w:tcPr>
                  <w:tcW w:w="3857" w:type="dxa"/>
                  <w:shd w:val="clear" w:color="auto" w:fill="auto"/>
                  <w:vAlign w:val="center"/>
                </w:tcPr>
                <w:p w14:paraId="44A9CBC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直径D&gt;300mm,P=7.5kw</w:t>
                  </w:r>
                </w:p>
              </w:tc>
              <w:tc>
                <w:tcPr>
                  <w:tcW w:w="705" w:type="dxa"/>
                  <w:vAlign w:val="center"/>
                </w:tcPr>
                <w:p w14:paraId="4A14133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vAlign w:val="center"/>
                </w:tcPr>
                <w:p w14:paraId="0E43B6A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r w14:paraId="4062BD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4" w:type="dxa"/>
                  <w:tcBorders>
                    <w:bottom w:val="single" w:color="auto" w:sz="12" w:space="0"/>
                  </w:tcBorders>
                  <w:vAlign w:val="center"/>
                </w:tcPr>
                <w:p w14:paraId="78FC74A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110</w:t>
                  </w:r>
                </w:p>
              </w:tc>
              <w:tc>
                <w:tcPr>
                  <w:tcW w:w="2113" w:type="dxa"/>
                  <w:tcBorders>
                    <w:bottom w:val="single" w:color="auto" w:sz="12" w:space="0"/>
                  </w:tcBorders>
                  <w:shd w:val="clear" w:color="auto" w:fill="auto"/>
                  <w:vAlign w:val="center"/>
                </w:tcPr>
                <w:p w14:paraId="547E9F4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潜水混流泵</w:t>
                  </w:r>
                </w:p>
              </w:tc>
              <w:tc>
                <w:tcPr>
                  <w:tcW w:w="3857" w:type="dxa"/>
                  <w:tcBorders>
                    <w:bottom w:val="single" w:color="auto" w:sz="12" w:space="0"/>
                  </w:tcBorders>
                  <w:shd w:val="clear" w:color="auto" w:fill="auto"/>
                  <w:vAlign w:val="center"/>
                </w:tcPr>
                <w:p w14:paraId="01C023B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Q=30m³/h,H=10m,P=1.5kw</w:t>
                  </w:r>
                </w:p>
              </w:tc>
              <w:tc>
                <w:tcPr>
                  <w:tcW w:w="705" w:type="dxa"/>
                  <w:tcBorders>
                    <w:bottom w:val="single" w:color="auto" w:sz="12" w:space="0"/>
                  </w:tcBorders>
                  <w:vAlign w:val="center"/>
                </w:tcPr>
                <w:p w14:paraId="762DC3E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29" w:type="dxa"/>
                  <w:tcBorders>
                    <w:bottom w:val="single" w:color="auto" w:sz="12" w:space="0"/>
                  </w:tcBorders>
                  <w:vAlign w:val="center"/>
                </w:tcPr>
                <w:p w14:paraId="39A370C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w:t>
                  </w:r>
                </w:p>
              </w:tc>
            </w:tr>
          </w:tbl>
          <w:p w14:paraId="1808DF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 w:val="21"/>
                <w:szCs w:val="21"/>
                <w:highlight w:val="none"/>
              </w:rPr>
            </w:pPr>
            <w:r>
              <w:rPr>
                <w:rFonts w:hint="eastAsia" w:cs="Times New Roman"/>
                <w:b/>
                <w:bCs/>
                <w:color w:val="auto"/>
                <w:kern w:val="0"/>
                <w:sz w:val="21"/>
                <w:szCs w:val="21"/>
                <w:highlight w:val="none"/>
                <w:lang w:val="en-US" w:eastAsia="zh-CN"/>
              </w:rPr>
              <w:t>4</w:t>
            </w:r>
            <w:r>
              <w:rPr>
                <w:rFonts w:hint="default" w:ascii="Times New Roman" w:hAnsi="Times New Roman" w:cs="Times New Roman"/>
                <w:b/>
                <w:bCs/>
                <w:color w:val="auto"/>
                <w:kern w:val="0"/>
                <w:sz w:val="21"/>
                <w:szCs w:val="21"/>
                <w:highlight w:val="none"/>
              </w:rPr>
              <w:t>、原辅材料</w:t>
            </w:r>
          </w:p>
          <w:p w14:paraId="42836F86">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6</w:t>
            </w:r>
            <w:r>
              <w:rPr>
                <w:rFonts w:hint="default" w:ascii="Times New Roman" w:hAnsi="Times New Roman" w:eastAsia="宋体" w:cs="Times New Roman"/>
                <w:b/>
                <w:bCs/>
                <w:snapToGrid w:val="0"/>
                <w:color w:val="auto"/>
                <w:szCs w:val="21"/>
                <w:highlight w:val="none"/>
              </w:rPr>
              <w:t>原辅材料消耗一览表</w:t>
            </w:r>
          </w:p>
          <w:tbl>
            <w:tblPr>
              <w:tblStyle w:val="3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803"/>
              <w:gridCol w:w="1322"/>
              <w:gridCol w:w="1083"/>
              <w:gridCol w:w="3283"/>
            </w:tblGrid>
            <w:tr w14:paraId="6EAFB0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tcBorders>
                    <w:top w:val="single" w:color="auto" w:sz="12" w:space="0"/>
                  </w:tcBorders>
                  <w:vAlign w:val="center"/>
                </w:tcPr>
                <w:p w14:paraId="0F738CFE">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1803" w:type="dxa"/>
                  <w:tcBorders>
                    <w:top w:val="single" w:color="auto" w:sz="12" w:space="0"/>
                  </w:tcBorders>
                  <w:vAlign w:val="center"/>
                </w:tcPr>
                <w:p w14:paraId="5FAFB3D4">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原辅材料名称</w:t>
                  </w:r>
                </w:p>
              </w:tc>
              <w:tc>
                <w:tcPr>
                  <w:tcW w:w="1322" w:type="dxa"/>
                  <w:tcBorders>
                    <w:top w:val="single" w:color="auto" w:sz="12" w:space="0"/>
                  </w:tcBorders>
                  <w:vAlign w:val="center"/>
                </w:tcPr>
                <w:p w14:paraId="1D510D48">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用量</w:t>
                  </w:r>
                </w:p>
              </w:tc>
              <w:tc>
                <w:tcPr>
                  <w:tcW w:w="1083" w:type="dxa"/>
                  <w:tcBorders>
                    <w:top w:val="single" w:color="auto" w:sz="12" w:space="0"/>
                  </w:tcBorders>
                  <w:vAlign w:val="center"/>
                </w:tcPr>
                <w:p w14:paraId="25346F60">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单位</w:t>
                  </w:r>
                </w:p>
              </w:tc>
              <w:tc>
                <w:tcPr>
                  <w:tcW w:w="3283" w:type="dxa"/>
                  <w:tcBorders>
                    <w:top w:val="single" w:color="auto" w:sz="12" w:space="0"/>
                  </w:tcBorders>
                  <w:vAlign w:val="center"/>
                </w:tcPr>
                <w:p w14:paraId="3B3F1BA0">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备注</w:t>
                  </w:r>
                </w:p>
              </w:tc>
            </w:tr>
            <w:tr w14:paraId="512025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vAlign w:val="center"/>
                </w:tcPr>
                <w:p w14:paraId="4068C7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pacing w:val="0"/>
                      <w:sz w:val="18"/>
                      <w:szCs w:val="18"/>
                      <w:highlight w:val="none"/>
                      <w:vertAlign w:val="baseline"/>
                      <w:lang w:val="en-US" w:eastAsia="zh-CN"/>
                    </w:rPr>
                  </w:pPr>
                  <w:r>
                    <w:rPr>
                      <w:rFonts w:hint="default" w:ascii="Times New Roman" w:hAnsi="Times New Roman" w:cs="Times New Roman"/>
                      <w:color w:val="auto"/>
                      <w:spacing w:val="0"/>
                      <w:sz w:val="18"/>
                      <w:szCs w:val="18"/>
                      <w:highlight w:val="none"/>
                      <w:vertAlign w:val="baseline"/>
                      <w:lang w:val="en-US" w:eastAsia="zh-CN"/>
                    </w:rPr>
                    <w:t>1</w:t>
                  </w:r>
                </w:p>
              </w:tc>
              <w:tc>
                <w:tcPr>
                  <w:tcW w:w="1803" w:type="dxa"/>
                  <w:vAlign w:val="center"/>
                </w:tcPr>
                <w:p w14:paraId="260976E6">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eastAsiaTheme="minorEastAsia"/>
                      <w:color w:val="auto"/>
                      <w:spacing w:val="0"/>
                      <w:sz w:val="18"/>
                      <w:szCs w:val="18"/>
                      <w:highlight w:val="none"/>
                      <w:vertAlign w:val="baseline"/>
                      <w:lang w:val="en-US" w:eastAsia="zh-CN"/>
                    </w:rPr>
                  </w:pPr>
                  <w:r>
                    <w:rPr>
                      <w:rFonts w:hint="eastAsia" w:eastAsiaTheme="minorEastAsia"/>
                      <w:color w:val="auto"/>
                      <w:spacing w:val="0"/>
                      <w:sz w:val="18"/>
                      <w:szCs w:val="18"/>
                      <w:highlight w:val="none"/>
                      <w:vertAlign w:val="baseline"/>
                      <w:lang w:val="en-US" w:eastAsia="zh-CN"/>
                    </w:rPr>
                    <w:t>聚合氯化铝</w:t>
                  </w:r>
                </w:p>
              </w:tc>
              <w:tc>
                <w:tcPr>
                  <w:tcW w:w="1322" w:type="dxa"/>
                  <w:vAlign w:val="center"/>
                </w:tcPr>
                <w:p w14:paraId="426B8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eastAsiaTheme="minorEastAsia"/>
                      <w:color w:val="auto"/>
                      <w:spacing w:val="0"/>
                      <w:sz w:val="18"/>
                      <w:szCs w:val="18"/>
                      <w:highlight w:val="none"/>
                      <w:vertAlign w:val="baseline"/>
                      <w:lang w:val="en-US" w:eastAsia="zh-CN"/>
                    </w:rPr>
                  </w:pPr>
                  <w:r>
                    <w:rPr>
                      <w:rFonts w:hint="eastAsia" w:cs="Times New Roman"/>
                      <w:color w:val="auto"/>
                      <w:spacing w:val="0"/>
                      <w:sz w:val="18"/>
                      <w:szCs w:val="18"/>
                      <w:highlight w:val="none"/>
                      <w:lang w:val="en-US" w:eastAsia="zh-CN"/>
                    </w:rPr>
                    <w:t>360</w:t>
                  </w:r>
                </w:p>
              </w:tc>
              <w:tc>
                <w:tcPr>
                  <w:tcW w:w="1083" w:type="dxa"/>
                  <w:vAlign w:val="center"/>
                </w:tcPr>
                <w:p w14:paraId="109237D9">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pacing w:val="0"/>
                      <w:sz w:val="18"/>
                      <w:szCs w:val="18"/>
                      <w:highlight w:val="none"/>
                      <w:vertAlign w:val="baseline"/>
                      <w:lang w:val="en-US" w:eastAsia="zh-CN"/>
                    </w:rPr>
                  </w:pPr>
                  <w:r>
                    <w:rPr>
                      <w:rFonts w:hint="eastAsia" w:ascii="Times New Roman" w:hAnsi="Times New Roman" w:cs="Times New Roman"/>
                      <w:color w:val="auto"/>
                      <w:spacing w:val="0"/>
                      <w:sz w:val="18"/>
                      <w:szCs w:val="18"/>
                      <w:highlight w:val="none"/>
                      <w:lang w:val="en-US" w:eastAsia="zh-CN"/>
                    </w:rPr>
                    <w:t>t</w:t>
                  </w:r>
                  <w:r>
                    <w:rPr>
                      <w:rFonts w:hint="default" w:ascii="Times New Roman" w:hAnsi="Times New Roman" w:cs="Times New Roman"/>
                      <w:color w:val="auto"/>
                      <w:spacing w:val="0"/>
                      <w:sz w:val="18"/>
                      <w:szCs w:val="18"/>
                      <w:highlight w:val="none"/>
                      <w:lang w:val="en-US" w:eastAsia="zh-CN"/>
                    </w:rPr>
                    <w:t>/a</w:t>
                  </w:r>
                </w:p>
              </w:tc>
              <w:tc>
                <w:tcPr>
                  <w:tcW w:w="3283" w:type="dxa"/>
                  <w:vAlign w:val="center"/>
                </w:tcPr>
                <w:p w14:paraId="46F756CE">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25kg袋装</w:t>
                  </w:r>
                </w:p>
              </w:tc>
            </w:tr>
            <w:tr w14:paraId="517037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vAlign w:val="center"/>
                </w:tcPr>
                <w:p w14:paraId="0C595F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2</w:t>
                  </w:r>
                </w:p>
              </w:tc>
              <w:tc>
                <w:tcPr>
                  <w:tcW w:w="1803" w:type="dxa"/>
                  <w:vAlign w:val="center"/>
                </w:tcPr>
                <w:p w14:paraId="289D6E21">
                  <w:pPr>
                    <w:keepNext w:val="0"/>
                    <w:keepLines w:val="0"/>
                    <w:suppressLineNumbers w:val="0"/>
                    <w:snapToGrid w:val="0"/>
                    <w:spacing w:before="0" w:beforeAutospacing="0" w:after="0" w:afterAutospacing="0"/>
                    <w:ind w:left="0" w:right="0"/>
                    <w:jc w:val="center"/>
                    <w:rPr>
                      <w:rFonts w:hint="default" w:eastAsiaTheme="minorEastAsia"/>
                      <w:color w:val="auto"/>
                      <w:spacing w:val="0"/>
                      <w:sz w:val="18"/>
                      <w:szCs w:val="18"/>
                      <w:highlight w:val="none"/>
                      <w:lang w:val="en-US" w:eastAsia="zh-CN"/>
                    </w:rPr>
                  </w:pPr>
                  <w:r>
                    <w:rPr>
                      <w:rFonts w:hint="eastAsia" w:eastAsiaTheme="minorEastAsia"/>
                      <w:color w:val="auto"/>
                      <w:spacing w:val="0"/>
                      <w:sz w:val="18"/>
                      <w:szCs w:val="18"/>
                      <w:highlight w:val="none"/>
                      <w:lang w:val="en-US" w:eastAsia="zh-CN"/>
                    </w:rPr>
                    <w:t>聚丙烯酰胺</w:t>
                  </w:r>
                </w:p>
              </w:tc>
              <w:tc>
                <w:tcPr>
                  <w:tcW w:w="1322" w:type="dxa"/>
                  <w:vAlign w:val="center"/>
                </w:tcPr>
                <w:p w14:paraId="4E08BF72">
                  <w:pPr>
                    <w:keepNext w:val="0"/>
                    <w:keepLines w:val="0"/>
                    <w:suppressLineNumbers w:val="0"/>
                    <w:snapToGrid w:val="0"/>
                    <w:spacing w:before="0" w:beforeAutospacing="0" w:after="0" w:afterAutospacing="0"/>
                    <w:ind w:left="0" w:right="0"/>
                    <w:jc w:val="center"/>
                    <w:rPr>
                      <w:rFonts w:hint="default" w:eastAsia="宋体" w:cs="Times New Roman"/>
                      <w:color w:val="auto"/>
                      <w:spacing w:val="0"/>
                      <w:sz w:val="18"/>
                      <w:szCs w:val="18"/>
                      <w:highlight w:val="none"/>
                      <w:lang w:val="en-US" w:eastAsia="zh-CN"/>
                    </w:rPr>
                  </w:pPr>
                  <w:r>
                    <w:rPr>
                      <w:rFonts w:hint="eastAsia"/>
                      <w:color w:val="auto"/>
                      <w:sz w:val="18"/>
                      <w:szCs w:val="18"/>
                      <w:highlight w:val="none"/>
                      <w:lang w:val="en-US" w:eastAsia="zh-CN"/>
                    </w:rPr>
                    <w:t>40</w:t>
                  </w:r>
                </w:p>
              </w:tc>
              <w:tc>
                <w:tcPr>
                  <w:tcW w:w="1083" w:type="dxa"/>
                  <w:vAlign w:val="center"/>
                </w:tcPr>
                <w:p w14:paraId="3A0F58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t</w:t>
                  </w:r>
                  <w:r>
                    <w:rPr>
                      <w:rFonts w:hint="default" w:ascii="Times New Roman" w:hAnsi="Times New Roman" w:cs="Times New Roman"/>
                      <w:color w:val="auto"/>
                      <w:spacing w:val="0"/>
                      <w:sz w:val="18"/>
                      <w:szCs w:val="18"/>
                      <w:highlight w:val="none"/>
                      <w:lang w:val="en-US" w:eastAsia="zh-CN"/>
                    </w:rPr>
                    <w:t>/a</w:t>
                  </w:r>
                </w:p>
              </w:tc>
              <w:tc>
                <w:tcPr>
                  <w:tcW w:w="3283" w:type="dxa"/>
                  <w:vAlign w:val="center"/>
                </w:tcPr>
                <w:p w14:paraId="09904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25kg袋装</w:t>
                  </w:r>
                </w:p>
              </w:tc>
            </w:tr>
            <w:tr w14:paraId="61FD8A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vAlign w:val="center"/>
                </w:tcPr>
                <w:p w14:paraId="5D858E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3</w:t>
                  </w:r>
                </w:p>
              </w:tc>
              <w:tc>
                <w:tcPr>
                  <w:tcW w:w="1803" w:type="dxa"/>
                  <w:vAlign w:val="center"/>
                </w:tcPr>
                <w:p w14:paraId="3EB95C62">
                  <w:pPr>
                    <w:keepNext w:val="0"/>
                    <w:keepLines w:val="0"/>
                    <w:suppressLineNumbers w:val="0"/>
                    <w:snapToGrid w:val="0"/>
                    <w:spacing w:before="0" w:beforeAutospacing="0" w:after="0" w:afterAutospacing="0"/>
                    <w:ind w:left="0" w:leftChars="0" w:right="0" w:rightChars="0"/>
                    <w:jc w:val="center"/>
                    <w:rPr>
                      <w:rFonts w:hint="default" w:eastAsiaTheme="minorEastAsia"/>
                      <w:color w:val="auto"/>
                      <w:spacing w:val="0"/>
                      <w:sz w:val="18"/>
                      <w:szCs w:val="18"/>
                      <w:highlight w:val="none"/>
                      <w:lang w:val="en-US" w:eastAsia="zh-CN"/>
                    </w:rPr>
                  </w:pPr>
                  <w:r>
                    <w:rPr>
                      <w:rFonts w:hint="eastAsia" w:cs="Times New Roman"/>
                      <w:bCs/>
                      <w:color w:val="auto"/>
                      <w:sz w:val="18"/>
                      <w:szCs w:val="18"/>
                      <w:highlight w:val="none"/>
                      <w:lang w:val="en-US" w:eastAsia="zh-CN"/>
                    </w:rPr>
                    <w:t>未加碘精制盐</w:t>
                  </w:r>
                </w:p>
              </w:tc>
              <w:tc>
                <w:tcPr>
                  <w:tcW w:w="1322" w:type="dxa"/>
                  <w:vAlign w:val="center"/>
                </w:tcPr>
                <w:p w14:paraId="1879BFB3">
                  <w:pPr>
                    <w:keepNext w:val="0"/>
                    <w:keepLines w:val="0"/>
                    <w:suppressLineNumbers w:val="0"/>
                    <w:snapToGrid w:val="0"/>
                    <w:spacing w:before="0" w:beforeAutospacing="0" w:after="0" w:afterAutospacing="0"/>
                    <w:ind w:left="0" w:leftChars="0" w:right="0" w:rightChars="0"/>
                    <w:jc w:val="center"/>
                    <w:rPr>
                      <w:rFonts w:hint="default" w:eastAsia="宋体" w:cs="Times New Roman"/>
                      <w:color w:val="auto"/>
                      <w:spacing w:val="0"/>
                      <w:sz w:val="18"/>
                      <w:szCs w:val="18"/>
                      <w:highlight w:val="none"/>
                      <w:lang w:val="en-US" w:eastAsia="zh-CN"/>
                    </w:rPr>
                  </w:pPr>
                  <w:r>
                    <w:rPr>
                      <w:rFonts w:hint="eastAsia"/>
                      <w:color w:val="auto"/>
                      <w:sz w:val="18"/>
                      <w:szCs w:val="18"/>
                      <w:highlight w:val="none"/>
                      <w:lang w:val="en-US" w:eastAsia="zh-CN"/>
                    </w:rPr>
                    <w:t>300</w:t>
                  </w:r>
                </w:p>
              </w:tc>
              <w:tc>
                <w:tcPr>
                  <w:tcW w:w="1083" w:type="dxa"/>
                  <w:vAlign w:val="center"/>
                </w:tcPr>
                <w:p w14:paraId="7B4CDA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t</w:t>
                  </w:r>
                  <w:r>
                    <w:rPr>
                      <w:rFonts w:hint="default" w:ascii="Times New Roman" w:hAnsi="Times New Roman" w:cs="Times New Roman"/>
                      <w:color w:val="auto"/>
                      <w:spacing w:val="0"/>
                      <w:sz w:val="18"/>
                      <w:szCs w:val="18"/>
                      <w:highlight w:val="none"/>
                      <w:lang w:val="en-US" w:eastAsia="zh-CN"/>
                    </w:rPr>
                    <w:t>/a</w:t>
                  </w:r>
                </w:p>
              </w:tc>
              <w:tc>
                <w:tcPr>
                  <w:tcW w:w="3283" w:type="dxa"/>
                  <w:vAlign w:val="center"/>
                </w:tcPr>
                <w:p w14:paraId="070121EF">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袋装100kg</w:t>
                  </w:r>
                </w:p>
              </w:tc>
            </w:tr>
            <w:tr w14:paraId="756E96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766" w:type="dxa"/>
                  <w:vAlign w:val="center"/>
                </w:tcPr>
                <w:p w14:paraId="1285A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4</w:t>
                  </w:r>
                </w:p>
              </w:tc>
              <w:tc>
                <w:tcPr>
                  <w:tcW w:w="1803" w:type="dxa"/>
                  <w:vAlign w:val="center"/>
                </w:tcPr>
                <w:p w14:paraId="776CCE7F">
                  <w:pPr>
                    <w:keepNext w:val="0"/>
                    <w:keepLines w:val="0"/>
                    <w:suppressLineNumbers w:val="0"/>
                    <w:snapToGrid w:val="0"/>
                    <w:spacing w:before="0" w:beforeAutospacing="0" w:after="0" w:afterAutospacing="0"/>
                    <w:ind w:left="0" w:right="0"/>
                    <w:jc w:val="center"/>
                    <w:rPr>
                      <w:rFonts w:hint="eastAsia" w:eastAsiaTheme="minorEastAsia"/>
                      <w:color w:val="auto"/>
                      <w:spacing w:val="0"/>
                      <w:sz w:val="18"/>
                      <w:szCs w:val="18"/>
                      <w:highlight w:val="none"/>
                      <w:lang w:val="en-US" w:eastAsia="zh-CN"/>
                    </w:rPr>
                  </w:pPr>
                  <w:r>
                    <w:rPr>
                      <w:rFonts w:hint="eastAsia" w:cs="Times New Roman"/>
                      <w:bCs/>
                      <w:color w:val="auto"/>
                      <w:sz w:val="18"/>
                      <w:szCs w:val="18"/>
                      <w:highlight w:val="none"/>
                      <w:lang w:val="en-US" w:eastAsia="zh-CN"/>
                    </w:rPr>
                    <w:t>乳糖蛋白胨培养基</w:t>
                  </w:r>
                </w:p>
              </w:tc>
              <w:tc>
                <w:tcPr>
                  <w:tcW w:w="1322" w:type="dxa"/>
                  <w:vAlign w:val="center"/>
                </w:tcPr>
                <w:p w14:paraId="76A43244">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0.005</w:t>
                  </w:r>
                </w:p>
              </w:tc>
              <w:tc>
                <w:tcPr>
                  <w:tcW w:w="1083" w:type="dxa"/>
                  <w:vAlign w:val="center"/>
                </w:tcPr>
                <w:p w14:paraId="0BD497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t</w:t>
                  </w:r>
                  <w:r>
                    <w:rPr>
                      <w:rFonts w:hint="default" w:ascii="Times New Roman" w:hAnsi="Times New Roman" w:cs="Times New Roman"/>
                      <w:color w:val="auto"/>
                      <w:spacing w:val="0"/>
                      <w:sz w:val="18"/>
                      <w:szCs w:val="18"/>
                      <w:highlight w:val="none"/>
                      <w:lang w:val="en-US" w:eastAsia="zh-CN"/>
                    </w:rPr>
                    <w:t>/a</w:t>
                  </w:r>
                </w:p>
              </w:tc>
              <w:tc>
                <w:tcPr>
                  <w:tcW w:w="3283" w:type="dxa"/>
                  <w:vMerge w:val="restart"/>
                  <w:vAlign w:val="center"/>
                </w:tcPr>
                <w:p w14:paraId="73E3B8DA">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由中心化验室配送</w:t>
                  </w:r>
                </w:p>
              </w:tc>
            </w:tr>
            <w:tr w14:paraId="0CF52C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vAlign w:val="center"/>
                </w:tcPr>
                <w:p w14:paraId="58696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5</w:t>
                  </w:r>
                </w:p>
              </w:tc>
              <w:tc>
                <w:tcPr>
                  <w:tcW w:w="1803" w:type="dxa"/>
                  <w:vAlign w:val="center"/>
                </w:tcPr>
                <w:p w14:paraId="0A2CEA50">
                  <w:pPr>
                    <w:keepNext w:val="0"/>
                    <w:keepLines w:val="0"/>
                    <w:suppressLineNumbers w:val="0"/>
                    <w:snapToGrid w:val="0"/>
                    <w:spacing w:before="0" w:beforeAutospacing="0" w:after="0" w:afterAutospacing="0"/>
                    <w:ind w:left="0" w:right="0"/>
                    <w:jc w:val="center"/>
                    <w:rPr>
                      <w:rFonts w:hint="eastAsia" w:eastAsiaTheme="minorEastAsia"/>
                      <w:color w:val="auto"/>
                      <w:spacing w:val="0"/>
                      <w:sz w:val="18"/>
                      <w:szCs w:val="18"/>
                      <w:highlight w:val="none"/>
                      <w:lang w:val="en-US" w:eastAsia="zh-CN"/>
                    </w:rPr>
                  </w:pPr>
                  <w:r>
                    <w:rPr>
                      <w:rFonts w:hint="eastAsia" w:cs="Times New Roman"/>
                      <w:bCs/>
                      <w:color w:val="auto"/>
                      <w:sz w:val="18"/>
                      <w:szCs w:val="18"/>
                      <w:highlight w:val="none"/>
                      <w:lang w:val="en-US" w:eastAsia="zh-CN"/>
                    </w:rPr>
                    <w:t>营养琼脂</w:t>
                  </w:r>
                </w:p>
              </w:tc>
              <w:tc>
                <w:tcPr>
                  <w:tcW w:w="1322" w:type="dxa"/>
                  <w:vAlign w:val="center"/>
                </w:tcPr>
                <w:p w14:paraId="3AC58B38">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0.005</w:t>
                  </w:r>
                </w:p>
              </w:tc>
              <w:tc>
                <w:tcPr>
                  <w:tcW w:w="1083" w:type="dxa"/>
                  <w:vAlign w:val="center"/>
                </w:tcPr>
                <w:p w14:paraId="6AAF86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t</w:t>
                  </w:r>
                  <w:r>
                    <w:rPr>
                      <w:rFonts w:hint="default" w:ascii="Times New Roman" w:hAnsi="Times New Roman" w:cs="Times New Roman"/>
                      <w:color w:val="auto"/>
                      <w:spacing w:val="0"/>
                      <w:sz w:val="18"/>
                      <w:szCs w:val="18"/>
                      <w:highlight w:val="none"/>
                      <w:lang w:val="en-US" w:eastAsia="zh-CN"/>
                    </w:rPr>
                    <w:t>/a</w:t>
                  </w:r>
                </w:p>
              </w:tc>
              <w:tc>
                <w:tcPr>
                  <w:tcW w:w="3283" w:type="dxa"/>
                  <w:vMerge w:val="continue"/>
                  <w:vAlign w:val="center"/>
                </w:tcPr>
                <w:p w14:paraId="371BD41A">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z w:val="18"/>
                      <w:szCs w:val="18"/>
                      <w:highlight w:val="none"/>
                      <w:lang w:val="en-US" w:eastAsia="zh-CN"/>
                    </w:rPr>
                  </w:pPr>
                </w:p>
              </w:tc>
            </w:tr>
            <w:tr w14:paraId="14E7C7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vAlign w:val="center"/>
                </w:tcPr>
                <w:p w14:paraId="421C40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6</w:t>
                  </w:r>
                </w:p>
              </w:tc>
              <w:tc>
                <w:tcPr>
                  <w:tcW w:w="1803" w:type="dxa"/>
                  <w:vAlign w:val="center"/>
                </w:tcPr>
                <w:p w14:paraId="007982D1">
                  <w:pPr>
                    <w:keepNext w:val="0"/>
                    <w:keepLines w:val="0"/>
                    <w:suppressLineNumbers w:val="0"/>
                    <w:snapToGrid w:val="0"/>
                    <w:spacing w:before="0" w:beforeAutospacing="0" w:after="0" w:afterAutospacing="0"/>
                    <w:ind w:left="0" w:right="0"/>
                    <w:jc w:val="center"/>
                    <w:rPr>
                      <w:rFonts w:hint="eastAsia" w:eastAsiaTheme="minorEastAsia"/>
                      <w:color w:val="auto"/>
                      <w:spacing w:val="0"/>
                      <w:sz w:val="18"/>
                      <w:szCs w:val="18"/>
                      <w:highlight w:val="none"/>
                      <w:lang w:val="en-US" w:eastAsia="zh-CN"/>
                    </w:rPr>
                  </w:pPr>
                  <w:r>
                    <w:rPr>
                      <w:rFonts w:hint="eastAsia" w:cs="Times New Roman"/>
                      <w:bCs/>
                      <w:color w:val="auto"/>
                      <w:sz w:val="18"/>
                      <w:szCs w:val="18"/>
                      <w:highlight w:val="none"/>
                      <w:lang w:val="en-US" w:eastAsia="zh-CN"/>
                    </w:rPr>
                    <w:t>品红亚硫酸钠琼脂</w:t>
                  </w:r>
                </w:p>
              </w:tc>
              <w:tc>
                <w:tcPr>
                  <w:tcW w:w="1322" w:type="dxa"/>
                  <w:vAlign w:val="center"/>
                </w:tcPr>
                <w:p w14:paraId="5A45583E">
                  <w:pPr>
                    <w:keepNext w:val="0"/>
                    <w:keepLines w:val="0"/>
                    <w:suppressLineNumbers w:val="0"/>
                    <w:snapToGrid w:val="0"/>
                    <w:spacing w:before="0" w:beforeAutospacing="0" w:after="0" w:afterAutospacing="0"/>
                    <w:ind w:left="0" w:right="0"/>
                    <w:jc w:val="center"/>
                    <w:rPr>
                      <w:rFonts w:hint="eastAsia"/>
                      <w:color w:val="auto"/>
                      <w:sz w:val="18"/>
                      <w:szCs w:val="18"/>
                      <w:highlight w:val="none"/>
                      <w:lang w:val="en-US" w:eastAsia="zh-CN"/>
                    </w:rPr>
                  </w:pPr>
                  <w:r>
                    <w:rPr>
                      <w:rFonts w:hint="eastAsia"/>
                      <w:color w:val="auto"/>
                      <w:sz w:val="18"/>
                      <w:szCs w:val="18"/>
                      <w:highlight w:val="none"/>
                      <w:lang w:val="en-US" w:eastAsia="zh-CN"/>
                    </w:rPr>
                    <w:t>0.005</w:t>
                  </w:r>
                </w:p>
              </w:tc>
              <w:tc>
                <w:tcPr>
                  <w:tcW w:w="1083" w:type="dxa"/>
                  <w:vAlign w:val="center"/>
                </w:tcPr>
                <w:p w14:paraId="4C4A80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pacing w:val="0"/>
                      <w:sz w:val="18"/>
                      <w:szCs w:val="18"/>
                      <w:highlight w:val="none"/>
                      <w:lang w:val="en-US" w:eastAsia="zh-CN"/>
                    </w:rPr>
                    <w:t>t</w:t>
                  </w:r>
                  <w:r>
                    <w:rPr>
                      <w:rFonts w:hint="default" w:ascii="Times New Roman" w:hAnsi="Times New Roman" w:cs="Times New Roman"/>
                      <w:color w:val="auto"/>
                      <w:spacing w:val="0"/>
                      <w:sz w:val="18"/>
                      <w:szCs w:val="18"/>
                      <w:highlight w:val="none"/>
                      <w:lang w:val="en-US" w:eastAsia="zh-CN"/>
                    </w:rPr>
                    <w:t>/a</w:t>
                  </w:r>
                </w:p>
              </w:tc>
              <w:tc>
                <w:tcPr>
                  <w:tcW w:w="3283" w:type="dxa"/>
                  <w:vMerge w:val="continue"/>
                  <w:vAlign w:val="center"/>
                </w:tcPr>
                <w:p w14:paraId="0DD3C770">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p>
              </w:tc>
            </w:tr>
            <w:tr w14:paraId="05EB29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shd w:val="clear" w:color="auto" w:fill="auto"/>
                  <w:vAlign w:val="center"/>
                </w:tcPr>
                <w:p w14:paraId="4DF9FF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7</w:t>
                  </w:r>
                </w:p>
              </w:tc>
              <w:tc>
                <w:tcPr>
                  <w:tcW w:w="1803" w:type="dxa"/>
                  <w:vAlign w:val="center"/>
                </w:tcPr>
                <w:p w14:paraId="00C21E8B">
                  <w:pPr>
                    <w:keepNext w:val="0"/>
                    <w:keepLines w:val="0"/>
                    <w:suppressLineNumbers w:val="0"/>
                    <w:snapToGrid w:val="0"/>
                    <w:spacing w:before="0" w:beforeAutospacing="0" w:after="0" w:afterAutospacing="0"/>
                    <w:ind w:left="0" w:right="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反冲洗回收水</w:t>
                  </w:r>
                </w:p>
              </w:tc>
              <w:tc>
                <w:tcPr>
                  <w:tcW w:w="1322" w:type="dxa"/>
                  <w:vAlign w:val="center"/>
                </w:tcPr>
                <w:p w14:paraId="7C23E527">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s="Times New Roman"/>
                      <w:color w:val="auto"/>
                      <w:sz w:val="18"/>
                      <w:szCs w:val="18"/>
                      <w:highlight w:val="none"/>
                      <w:lang w:val="en-US" w:eastAsia="zh-CN"/>
                    </w:rPr>
                    <w:t>2966</w:t>
                  </w:r>
                </w:p>
              </w:tc>
              <w:tc>
                <w:tcPr>
                  <w:tcW w:w="1083" w:type="dxa"/>
                  <w:vAlign w:val="center"/>
                </w:tcPr>
                <w:p w14:paraId="58B09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t/d</w:t>
                  </w:r>
                </w:p>
              </w:tc>
              <w:tc>
                <w:tcPr>
                  <w:tcW w:w="3283" w:type="dxa"/>
                  <w:vMerge w:val="restart"/>
                  <w:vAlign w:val="center"/>
                </w:tcPr>
                <w:p w14:paraId="0A06EBEA">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日处理水量共80000t</w:t>
                  </w:r>
                </w:p>
              </w:tc>
            </w:tr>
            <w:tr w14:paraId="450E7D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shd w:val="clear" w:color="auto" w:fill="auto"/>
                  <w:vAlign w:val="center"/>
                </w:tcPr>
                <w:p w14:paraId="54EAD3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r>
                    <w:rPr>
                      <w:rFonts w:hint="eastAsia" w:cs="Times New Roman"/>
                      <w:color w:val="auto"/>
                      <w:spacing w:val="0"/>
                      <w:sz w:val="18"/>
                      <w:szCs w:val="18"/>
                      <w:highlight w:val="none"/>
                      <w:vertAlign w:val="baseline"/>
                      <w:lang w:val="en-US" w:eastAsia="zh-CN"/>
                    </w:rPr>
                    <w:t>8</w:t>
                  </w:r>
                </w:p>
              </w:tc>
              <w:tc>
                <w:tcPr>
                  <w:tcW w:w="1803" w:type="dxa"/>
                  <w:vAlign w:val="center"/>
                </w:tcPr>
                <w:p w14:paraId="1C01758D">
                  <w:pPr>
                    <w:keepNext w:val="0"/>
                    <w:keepLines w:val="0"/>
                    <w:suppressLineNumbers w:val="0"/>
                    <w:snapToGrid w:val="0"/>
                    <w:spacing w:before="0" w:beforeAutospacing="0" w:after="0" w:afterAutospacing="0"/>
                    <w:ind w:left="0" w:right="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原水</w:t>
                  </w:r>
                </w:p>
              </w:tc>
              <w:tc>
                <w:tcPr>
                  <w:tcW w:w="1322" w:type="dxa"/>
                  <w:vAlign w:val="center"/>
                </w:tcPr>
                <w:p w14:paraId="43185478">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77034</w:t>
                  </w:r>
                </w:p>
              </w:tc>
              <w:tc>
                <w:tcPr>
                  <w:tcW w:w="1083" w:type="dxa"/>
                  <w:vAlign w:val="center"/>
                </w:tcPr>
                <w:p w14:paraId="77806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t/d</w:t>
                  </w:r>
                </w:p>
              </w:tc>
              <w:tc>
                <w:tcPr>
                  <w:tcW w:w="3283" w:type="dxa"/>
                  <w:vMerge w:val="continue"/>
                  <w:vAlign w:val="center"/>
                </w:tcPr>
                <w:p w14:paraId="156F3787">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p>
              </w:tc>
            </w:tr>
            <w:tr w14:paraId="1585F7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shd w:val="clear" w:color="auto" w:fill="auto"/>
                  <w:vAlign w:val="center"/>
                </w:tcPr>
                <w:p w14:paraId="6D8120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vertAlign w:val="baseline"/>
                      <w:lang w:val="en-US" w:eastAsia="zh-CN" w:bidi="ar-SA"/>
                    </w:rPr>
                  </w:pPr>
                  <w:r>
                    <w:rPr>
                      <w:rFonts w:hint="eastAsia" w:cs="Times New Roman"/>
                      <w:color w:val="auto"/>
                      <w:spacing w:val="0"/>
                      <w:sz w:val="18"/>
                      <w:szCs w:val="18"/>
                      <w:highlight w:val="none"/>
                      <w:vertAlign w:val="baseline"/>
                      <w:lang w:val="en-US" w:eastAsia="zh-CN"/>
                    </w:rPr>
                    <w:t>9</w:t>
                  </w:r>
                </w:p>
              </w:tc>
              <w:tc>
                <w:tcPr>
                  <w:tcW w:w="1803" w:type="dxa"/>
                  <w:shd w:val="clear" w:color="auto" w:fill="auto"/>
                  <w:vAlign w:val="center"/>
                </w:tcPr>
                <w:p w14:paraId="5BB3E173">
                  <w:pPr>
                    <w:keepNext w:val="0"/>
                    <w:keepLines w:val="0"/>
                    <w:suppressLineNumbers w:val="0"/>
                    <w:snapToGrid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活性炭</w:t>
                  </w:r>
                </w:p>
              </w:tc>
              <w:tc>
                <w:tcPr>
                  <w:tcW w:w="1322" w:type="dxa"/>
                  <w:shd w:val="clear" w:color="auto" w:fill="auto"/>
                  <w:vAlign w:val="center"/>
                </w:tcPr>
                <w:p w14:paraId="5E4C26C3">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120</w:t>
                  </w:r>
                </w:p>
              </w:tc>
              <w:tc>
                <w:tcPr>
                  <w:tcW w:w="1083" w:type="dxa"/>
                  <w:shd w:val="clear" w:color="auto" w:fill="auto"/>
                  <w:vAlign w:val="center"/>
                </w:tcPr>
                <w:p w14:paraId="432ED1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m</w:t>
                  </w:r>
                  <w:r>
                    <w:rPr>
                      <w:rFonts w:hint="eastAsia" w:cs="Times New Roman"/>
                      <w:color w:val="auto"/>
                      <w:spacing w:val="0"/>
                      <w:sz w:val="18"/>
                      <w:szCs w:val="18"/>
                      <w:highlight w:val="none"/>
                      <w:vertAlign w:val="superscript"/>
                      <w:lang w:val="en-US" w:eastAsia="zh-CN"/>
                    </w:rPr>
                    <w:t>3</w:t>
                  </w:r>
                  <w:r>
                    <w:rPr>
                      <w:rFonts w:hint="default" w:ascii="Times New Roman" w:hAnsi="Times New Roman" w:cs="Times New Roman"/>
                      <w:color w:val="auto"/>
                      <w:spacing w:val="0"/>
                      <w:sz w:val="18"/>
                      <w:szCs w:val="18"/>
                      <w:highlight w:val="none"/>
                      <w:lang w:val="en-US" w:eastAsia="zh-CN"/>
                    </w:rPr>
                    <w:t>/</w:t>
                  </w:r>
                  <w:r>
                    <w:rPr>
                      <w:rFonts w:hint="eastAsia" w:cs="Times New Roman"/>
                      <w:color w:val="auto"/>
                      <w:spacing w:val="0"/>
                      <w:sz w:val="18"/>
                      <w:szCs w:val="18"/>
                      <w:highlight w:val="none"/>
                      <w:lang w:val="en-US" w:eastAsia="zh-CN"/>
                    </w:rPr>
                    <w:t>5</w:t>
                  </w:r>
                  <w:r>
                    <w:rPr>
                      <w:rFonts w:hint="default" w:ascii="Times New Roman" w:hAnsi="Times New Roman" w:cs="Times New Roman"/>
                      <w:color w:val="auto"/>
                      <w:spacing w:val="0"/>
                      <w:sz w:val="18"/>
                      <w:szCs w:val="18"/>
                      <w:highlight w:val="none"/>
                      <w:lang w:val="en-US" w:eastAsia="zh-CN"/>
                    </w:rPr>
                    <w:t>a</w:t>
                  </w:r>
                </w:p>
              </w:tc>
              <w:tc>
                <w:tcPr>
                  <w:tcW w:w="3283" w:type="dxa"/>
                  <w:vAlign w:val="center"/>
                </w:tcPr>
                <w:p w14:paraId="26F059CC">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w:t>
                  </w:r>
                </w:p>
              </w:tc>
            </w:tr>
            <w:tr w14:paraId="6B3132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vAlign w:val="center"/>
                </w:tcPr>
                <w:p w14:paraId="69F870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10</w:t>
                  </w:r>
                </w:p>
              </w:tc>
              <w:tc>
                <w:tcPr>
                  <w:tcW w:w="1803" w:type="dxa"/>
                  <w:vAlign w:val="center"/>
                </w:tcPr>
                <w:p w14:paraId="6BC74262">
                  <w:pPr>
                    <w:keepNext w:val="0"/>
                    <w:keepLines w:val="0"/>
                    <w:suppressLineNumbers w:val="0"/>
                    <w:snapToGrid w:val="0"/>
                    <w:spacing w:before="0" w:beforeAutospacing="0" w:after="0" w:afterAutospacing="0"/>
                    <w:ind w:left="0" w:right="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石英砂</w:t>
                  </w:r>
                </w:p>
              </w:tc>
              <w:tc>
                <w:tcPr>
                  <w:tcW w:w="1322" w:type="dxa"/>
                  <w:vAlign w:val="center"/>
                </w:tcPr>
                <w:p w14:paraId="11749F2B">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158.4</w:t>
                  </w:r>
                </w:p>
              </w:tc>
              <w:tc>
                <w:tcPr>
                  <w:tcW w:w="1083" w:type="dxa"/>
                  <w:vAlign w:val="center"/>
                </w:tcPr>
                <w:p w14:paraId="447BF2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m</w:t>
                  </w:r>
                  <w:r>
                    <w:rPr>
                      <w:rFonts w:hint="eastAsia" w:cs="Times New Roman"/>
                      <w:color w:val="auto"/>
                      <w:spacing w:val="0"/>
                      <w:sz w:val="18"/>
                      <w:szCs w:val="18"/>
                      <w:highlight w:val="none"/>
                      <w:vertAlign w:val="superscript"/>
                      <w:lang w:val="en-US" w:eastAsia="zh-CN"/>
                    </w:rPr>
                    <w:t>3</w:t>
                  </w:r>
                  <w:r>
                    <w:rPr>
                      <w:rFonts w:hint="eastAsia" w:cs="Times New Roman"/>
                      <w:color w:val="auto"/>
                      <w:spacing w:val="0"/>
                      <w:sz w:val="18"/>
                      <w:szCs w:val="18"/>
                      <w:highlight w:val="none"/>
                      <w:lang w:val="en-US" w:eastAsia="zh-CN"/>
                    </w:rPr>
                    <w:t>/10a</w:t>
                  </w:r>
                </w:p>
              </w:tc>
              <w:tc>
                <w:tcPr>
                  <w:tcW w:w="3283" w:type="dxa"/>
                  <w:vAlign w:val="center"/>
                </w:tcPr>
                <w:p w14:paraId="4457ED06">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0.7-1.2mm</w:t>
                  </w:r>
                </w:p>
              </w:tc>
            </w:tr>
            <w:tr w14:paraId="14D289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vAlign w:val="center"/>
                </w:tcPr>
                <w:p w14:paraId="6F33D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11</w:t>
                  </w:r>
                </w:p>
              </w:tc>
              <w:tc>
                <w:tcPr>
                  <w:tcW w:w="1803" w:type="dxa"/>
                  <w:vAlign w:val="center"/>
                </w:tcPr>
                <w:p w14:paraId="0D77C7DE">
                  <w:pPr>
                    <w:keepNext w:val="0"/>
                    <w:keepLines w:val="0"/>
                    <w:suppressLineNumbers w:val="0"/>
                    <w:snapToGrid w:val="0"/>
                    <w:spacing w:before="0" w:beforeAutospacing="0" w:after="0" w:afterAutospacing="0"/>
                    <w:ind w:left="0" w:right="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石英砂</w:t>
                  </w:r>
                </w:p>
              </w:tc>
              <w:tc>
                <w:tcPr>
                  <w:tcW w:w="1322" w:type="dxa"/>
                  <w:vAlign w:val="center"/>
                </w:tcPr>
                <w:p w14:paraId="3A02BE67">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524</w:t>
                  </w:r>
                </w:p>
              </w:tc>
              <w:tc>
                <w:tcPr>
                  <w:tcW w:w="1083" w:type="dxa"/>
                  <w:vAlign w:val="center"/>
                </w:tcPr>
                <w:p w14:paraId="5E0E5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m</w:t>
                  </w:r>
                  <w:r>
                    <w:rPr>
                      <w:rFonts w:hint="eastAsia" w:cs="Times New Roman"/>
                      <w:color w:val="auto"/>
                      <w:spacing w:val="0"/>
                      <w:sz w:val="18"/>
                      <w:szCs w:val="18"/>
                      <w:highlight w:val="none"/>
                      <w:vertAlign w:val="superscript"/>
                      <w:lang w:val="en-US" w:eastAsia="zh-CN"/>
                    </w:rPr>
                    <w:t>3</w:t>
                  </w:r>
                  <w:r>
                    <w:rPr>
                      <w:rFonts w:hint="eastAsia" w:cs="Times New Roman"/>
                      <w:color w:val="auto"/>
                      <w:spacing w:val="0"/>
                      <w:sz w:val="18"/>
                      <w:szCs w:val="18"/>
                      <w:highlight w:val="none"/>
                      <w:lang w:val="en-US" w:eastAsia="zh-CN"/>
                    </w:rPr>
                    <w:t>/10a</w:t>
                  </w:r>
                </w:p>
              </w:tc>
              <w:tc>
                <w:tcPr>
                  <w:tcW w:w="3283" w:type="dxa"/>
                  <w:vAlign w:val="center"/>
                </w:tcPr>
                <w:p w14:paraId="430C24B0">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0.5-1.2mm</w:t>
                  </w:r>
                </w:p>
              </w:tc>
            </w:tr>
            <w:tr w14:paraId="23D4A6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vAlign w:val="center"/>
                </w:tcPr>
                <w:p w14:paraId="465C2E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12</w:t>
                  </w:r>
                </w:p>
              </w:tc>
              <w:tc>
                <w:tcPr>
                  <w:tcW w:w="1803" w:type="dxa"/>
                  <w:vAlign w:val="center"/>
                </w:tcPr>
                <w:p w14:paraId="43F13CF4">
                  <w:pPr>
                    <w:keepNext w:val="0"/>
                    <w:keepLines w:val="0"/>
                    <w:suppressLineNumbers w:val="0"/>
                    <w:snapToGrid w:val="0"/>
                    <w:spacing w:before="0" w:beforeAutospacing="0" w:after="0" w:afterAutospacing="0"/>
                    <w:ind w:left="0" w:right="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砾石</w:t>
                  </w:r>
                </w:p>
              </w:tc>
              <w:tc>
                <w:tcPr>
                  <w:tcW w:w="1322" w:type="dxa"/>
                  <w:vAlign w:val="center"/>
                </w:tcPr>
                <w:p w14:paraId="4B17D040">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105.6</w:t>
                  </w:r>
                </w:p>
              </w:tc>
              <w:tc>
                <w:tcPr>
                  <w:tcW w:w="1083" w:type="dxa"/>
                  <w:vAlign w:val="center"/>
                </w:tcPr>
                <w:p w14:paraId="715ABA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m</w:t>
                  </w:r>
                  <w:r>
                    <w:rPr>
                      <w:rFonts w:hint="eastAsia" w:cs="Times New Roman"/>
                      <w:color w:val="auto"/>
                      <w:spacing w:val="0"/>
                      <w:sz w:val="18"/>
                      <w:szCs w:val="18"/>
                      <w:highlight w:val="none"/>
                      <w:vertAlign w:val="superscript"/>
                      <w:lang w:val="en-US" w:eastAsia="zh-CN"/>
                    </w:rPr>
                    <w:t>3</w:t>
                  </w:r>
                  <w:r>
                    <w:rPr>
                      <w:rFonts w:hint="eastAsia" w:cs="Times New Roman"/>
                      <w:color w:val="auto"/>
                      <w:spacing w:val="0"/>
                      <w:sz w:val="18"/>
                      <w:szCs w:val="18"/>
                      <w:highlight w:val="none"/>
                      <w:lang w:val="en-US" w:eastAsia="zh-CN"/>
                    </w:rPr>
                    <w:t>/10a</w:t>
                  </w:r>
                </w:p>
              </w:tc>
              <w:tc>
                <w:tcPr>
                  <w:tcW w:w="3283" w:type="dxa"/>
                  <w:vAlign w:val="center"/>
                </w:tcPr>
                <w:p w14:paraId="5348A040">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3.0-6.0</w:t>
                  </w:r>
                </w:p>
              </w:tc>
            </w:tr>
            <w:tr w14:paraId="691B3F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vAlign w:val="center"/>
                </w:tcPr>
                <w:p w14:paraId="0C3BB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13</w:t>
                  </w:r>
                </w:p>
              </w:tc>
              <w:tc>
                <w:tcPr>
                  <w:tcW w:w="1803" w:type="dxa"/>
                  <w:vMerge w:val="restart"/>
                  <w:vAlign w:val="center"/>
                </w:tcPr>
                <w:p w14:paraId="0E77068F">
                  <w:pPr>
                    <w:keepNext w:val="0"/>
                    <w:keepLines w:val="0"/>
                    <w:suppressLineNumbers w:val="0"/>
                    <w:snapToGrid w:val="0"/>
                    <w:spacing w:before="0" w:beforeAutospacing="0" w:after="0" w:afterAutospacing="0"/>
                    <w:ind w:left="0" w:right="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卵石</w:t>
                  </w:r>
                </w:p>
              </w:tc>
              <w:tc>
                <w:tcPr>
                  <w:tcW w:w="1322" w:type="dxa"/>
                  <w:vAlign w:val="center"/>
                </w:tcPr>
                <w:p w14:paraId="116D190E">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58</w:t>
                  </w:r>
                </w:p>
              </w:tc>
              <w:tc>
                <w:tcPr>
                  <w:tcW w:w="1083" w:type="dxa"/>
                  <w:vAlign w:val="center"/>
                </w:tcPr>
                <w:p w14:paraId="4AF63D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m</w:t>
                  </w:r>
                  <w:r>
                    <w:rPr>
                      <w:rFonts w:hint="eastAsia" w:cs="Times New Roman"/>
                      <w:color w:val="auto"/>
                      <w:spacing w:val="0"/>
                      <w:sz w:val="18"/>
                      <w:szCs w:val="18"/>
                      <w:highlight w:val="none"/>
                      <w:vertAlign w:val="superscript"/>
                      <w:lang w:val="en-US" w:eastAsia="zh-CN"/>
                    </w:rPr>
                    <w:t>3</w:t>
                  </w:r>
                  <w:r>
                    <w:rPr>
                      <w:rFonts w:hint="eastAsia" w:cs="Times New Roman"/>
                      <w:color w:val="auto"/>
                      <w:spacing w:val="0"/>
                      <w:sz w:val="18"/>
                      <w:szCs w:val="18"/>
                      <w:highlight w:val="none"/>
                      <w:lang w:val="en-US" w:eastAsia="zh-CN"/>
                    </w:rPr>
                    <w:t>/10a</w:t>
                  </w:r>
                </w:p>
              </w:tc>
              <w:tc>
                <w:tcPr>
                  <w:tcW w:w="3283" w:type="dxa"/>
                  <w:vAlign w:val="center"/>
                </w:tcPr>
                <w:p w14:paraId="36779F4C">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2-4mm</w:t>
                  </w:r>
                </w:p>
              </w:tc>
            </w:tr>
            <w:tr w14:paraId="4F1689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vAlign w:val="center"/>
                </w:tcPr>
                <w:p w14:paraId="6B90C0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14</w:t>
                  </w:r>
                </w:p>
              </w:tc>
              <w:tc>
                <w:tcPr>
                  <w:tcW w:w="1803" w:type="dxa"/>
                  <w:vMerge w:val="continue"/>
                  <w:vAlign w:val="center"/>
                </w:tcPr>
                <w:p w14:paraId="6B0BCBD7">
                  <w:pPr>
                    <w:keepNext w:val="0"/>
                    <w:keepLines w:val="0"/>
                    <w:suppressLineNumbers w:val="0"/>
                    <w:snapToGrid w:val="0"/>
                    <w:spacing w:before="0" w:beforeAutospacing="0" w:after="0" w:afterAutospacing="0"/>
                    <w:ind w:left="0" w:right="0"/>
                    <w:jc w:val="center"/>
                    <w:rPr>
                      <w:rFonts w:hint="eastAsia" w:cs="Times New Roman"/>
                      <w:bCs/>
                      <w:color w:val="auto"/>
                      <w:sz w:val="18"/>
                      <w:szCs w:val="18"/>
                      <w:highlight w:val="none"/>
                      <w:lang w:val="en-US" w:eastAsia="zh-CN"/>
                    </w:rPr>
                  </w:pPr>
                </w:p>
              </w:tc>
              <w:tc>
                <w:tcPr>
                  <w:tcW w:w="1322" w:type="dxa"/>
                  <w:vAlign w:val="center"/>
                </w:tcPr>
                <w:p w14:paraId="5F82EEE1">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58</w:t>
                  </w:r>
                </w:p>
              </w:tc>
              <w:tc>
                <w:tcPr>
                  <w:tcW w:w="1083" w:type="dxa"/>
                  <w:vAlign w:val="center"/>
                </w:tcPr>
                <w:p w14:paraId="7086A2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m</w:t>
                  </w:r>
                  <w:r>
                    <w:rPr>
                      <w:rFonts w:hint="eastAsia" w:cs="Times New Roman"/>
                      <w:color w:val="auto"/>
                      <w:spacing w:val="0"/>
                      <w:sz w:val="18"/>
                      <w:szCs w:val="18"/>
                      <w:highlight w:val="none"/>
                      <w:vertAlign w:val="superscript"/>
                      <w:lang w:val="en-US" w:eastAsia="zh-CN"/>
                    </w:rPr>
                    <w:t>3</w:t>
                  </w:r>
                  <w:r>
                    <w:rPr>
                      <w:rFonts w:hint="eastAsia" w:cs="Times New Roman"/>
                      <w:color w:val="auto"/>
                      <w:spacing w:val="0"/>
                      <w:sz w:val="18"/>
                      <w:szCs w:val="18"/>
                      <w:highlight w:val="none"/>
                      <w:lang w:val="en-US" w:eastAsia="zh-CN"/>
                    </w:rPr>
                    <w:t>/10a</w:t>
                  </w:r>
                </w:p>
              </w:tc>
              <w:tc>
                <w:tcPr>
                  <w:tcW w:w="3283" w:type="dxa"/>
                  <w:vAlign w:val="center"/>
                </w:tcPr>
                <w:p w14:paraId="54D3B13A">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4-8mm</w:t>
                  </w:r>
                </w:p>
              </w:tc>
            </w:tr>
            <w:tr w14:paraId="716F0C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vAlign w:val="center"/>
                </w:tcPr>
                <w:p w14:paraId="6A04DF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15</w:t>
                  </w:r>
                </w:p>
              </w:tc>
              <w:tc>
                <w:tcPr>
                  <w:tcW w:w="1803" w:type="dxa"/>
                  <w:vMerge w:val="continue"/>
                  <w:vAlign w:val="center"/>
                </w:tcPr>
                <w:p w14:paraId="697CE8AA">
                  <w:pPr>
                    <w:keepNext w:val="0"/>
                    <w:keepLines w:val="0"/>
                    <w:suppressLineNumbers w:val="0"/>
                    <w:snapToGrid w:val="0"/>
                    <w:spacing w:before="0" w:beforeAutospacing="0" w:after="0" w:afterAutospacing="0"/>
                    <w:ind w:left="0" w:right="0"/>
                    <w:jc w:val="center"/>
                    <w:rPr>
                      <w:rFonts w:hint="eastAsia" w:cs="Times New Roman"/>
                      <w:bCs/>
                      <w:color w:val="auto"/>
                      <w:sz w:val="18"/>
                      <w:szCs w:val="18"/>
                      <w:highlight w:val="none"/>
                      <w:lang w:val="en-US" w:eastAsia="zh-CN"/>
                    </w:rPr>
                  </w:pPr>
                </w:p>
              </w:tc>
              <w:tc>
                <w:tcPr>
                  <w:tcW w:w="1322" w:type="dxa"/>
                  <w:vAlign w:val="center"/>
                </w:tcPr>
                <w:p w14:paraId="75D91DDE">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58</w:t>
                  </w:r>
                </w:p>
              </w:tc>
              <w:tc>
                <w:tcPr>
                  <w:tcW w:w="1083" w:type="dxa"/>
                  <w:vAlign w:val="center"/>
                </w:tcPr>
                <w:p w14:paraId="602396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m</w:t>
                  </w:r>
                  <w:r>
                    <w:rPr>
                      <w:rFonts w:hint="eastAsia" w:cs="Times New Roman"/>
                      <w:color w:val="auto"/>
                      <w:spacing w:val="0"/>
                      <w:sz w:val="18"/>
                      <w:szCs w:val="18"/>
                      <w:highlight w:val="none"/>
                      <w:vertAlign w:val="superscript"/>
                      <w:lang w:val="en-US" w:eastAsia="zh-CN"/>
                    </w:rPr>
                    <w:t>3</w:t>
                  </w:r>
                  <w:r>
                    <w:rPr>
                      <w:rFonts w:hint="eastAsia" w:cs="Times New Roman"/>
                      <w:color w:val="auto"/>
                      <w:spacing w:val="0"/>
                      <w:sz w:val="18"/>
                      <w:szCs w:val="18"/>
                      <w:highlight w:val="none"/>
                      <w:lang w:val="en-US" w:eastAsia="zh-CN"/>
                    </w:rPr>
                    <w:t>/10a</w:t>
                  </w:r>
                </w:p>
              </w:tc>
              <w:tc>
                <w:tcPr>
                  <w:tcW w:w="3283" w:type="dxa"/>
                  <w:vAlign w:val="center"/>
                </w:tcPr>
                <w:p w14:paraId="20F62967">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8-16mm</w:t>
                  </w:r>
                </w:p>
              </w:tc>
            </w:tr>
            <w:tr w14:paraId="2B9E87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6" w:type="dxa"/>
                  <w:tcBorders>
                    <w:bottom w:val="single" w:color="auto" w:sz="12" w:space="0"/>
                  </w:tcBorders>
                  <w:vAlign w:val="center"/>
                </w:tcPr>
                <w:p w14:paraId="286830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16</w:t>
                  </w:r>
                </w:p>
              </w:tc>
              <w:tc>
                <w:tcPr>
                  <w:tcW w:w="1803" w:type="dxa"/>
                  <w:vMerge w:val="continue"/>
                  <w:tcBorders>
                    <w:bottom w:val="single" w:color="auto" w:sz="12" w:space="0"/>
                  </w:tcBorders>
                  <w:vAlign w:val="center"/>
                </w:tcPr>
                <w:p w14:paraId="6E887A00">
                  <w:pPr>
                    <w:keepNext w:val="0"/>
                    <w:keepLines w:val="0"/>
                    <w:suppressLineNumbers w:val="0"/>
                    <w:snapToGrid w:val="0"/>
                    <w:spacing w:before="0" w:beforeAutospacing="0" w:after="0" w:afterAutospacing="0"/>
                    <w:ind w:left="0" w:right="0"/>
                    <w:jc w:val="center"/>
                    <w:rPr>
                      <w:rFonts w:hint="eastAsia" w:cs="Times New Roman"/>
                      <w:bCs/>
                      <w:color w:val="auto"/>
                      <w:sz w:val="18"/>
                      <w:szCs w:val="18"/>
                      <w:highlight w:val="none"/>
                      <w:lang w:val="en-US" w:eastAsia="zh-CN"/>
                    </w:rPr>
                  </w:pPr>
                </w:p>
              </w:tc>
              <w:tc>
                <w:tcPr>
                  <w:tcW w:w="1322" w:type="dxa"/>
                  <w:tcBorders>
                    <w:bottom w:val="single" w:color="auto" w:sz="12" w:space="0"/>
                  </w:tcBorders>
                  <w:vAlign w:val="center"/>
                </w:tcPr>
                <w:p w14:paraId="6DE6A673">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174</w:t>
                  </w:r>
                </w:p>
              </w:tc>
              <w:tc>
                <w:tcPr>
                  <w:tcW w:w="1083" w:type="dxa"/>
                  <w:tcBorders>
                    <w:bottom w:val="single" w:color="auto" w:sz="12" w:space="0"/>
                  </w:tcBorders>
                  <w:vAlign w:val="center"/>
                </w:tcPr>
                <w:p w14:paraId="5F765A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m</w:t>
                  </w:r>
                  <w:r>
                    <w:rPr>
                      <w:rFonts w:hint="eastAsia" w:cs="Times New Roman"/>
                      <w:color w:val="auto"/>
                      <w:spacing w:val="0"/>
                      <w:sz w:val="18"/>
                      <w:szCs w:val="18"/>
                      <w:highlight w:val="none"/>
                      <w:vertAlign w:val="superscript"/>
                      <w:lang w:val="en-US" w:eastAsia="zh-CN"/>
                    </w:rPr>
                    <w:t>3</w:t>
                  </w:r>
                  <w:r>
                    <w:rPr>
                      <w:rFonts w:hint="eastAsia" w:cs="Times New Roman"/>
                      <w:color w:val="auto"/>
                      <w:spacing w:val="0"/>
                      <w:sz w:val="18"/>
                      <w:szCs w:val="18"/>
                      <w:highlight w:val="none"/>
                      <w:lang w:val="en-US" w:eastAsia="zh-CN"/>
                    </w:rPr>
                    <w:t>/10a</w:t>
                  </w:r>
                </w:p>
              </w:tc>
              <w:tc>
                <w:tcPr>
                  <w:tcW w:w="3283" w:type="dxa"/>
                  <w:tcBorders>
                    <w:bottom w:val="single" w:color="auto" w:sz="12" w:space="0"/>
                  </w:tcBorders>
                  <w:vAlign w:val="center"/>
                </w:tcPr>
                <w:p w14:paraId="78D1991C">
                  <w:pPr>
                    <w:pStyle w:val="1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16-32mm</w:t>
                  </w:r>
                </w:p>
              </w:tc>
            </w:tr>
          </w:tbl>
          <w:p w14:paraId="7B03FCB7">
            <w:pPr>
              <w:keepNext w:val="0"/>
              <w:keepLines w:val="0"/>
              <w:widowControl/>
              <w:suppressLineNumbers w:val="0"/>
              <w:spacing w:before="0" w:beforeAutospacing="0" w:after="0" w:afterAutospacing="0"/>
              <w:ind w:left="0" w:right="0"/>
              <w:jc w:val="center"/>
              <w:rPr>
                <w:rFonts w:hint="eastAsia" w:cs="Times New Roman"/>
                <w:b/>
                <w:bCs/>
                <w:snapToGrid w:val="0"/>
                <w:color w:val="auto"/>
                <w:szCs w:val="21"/>
                <w:highlight w:val="none"/>
                <w:lang w:val="en-US" w:eastAsia="zh-CN"/>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7辅料理化性质一览表</w:t>
            </w:r>
          </w:p>
          <w:tbl>
            <w:tblPr>
              <w:tblStyle w:val="38"/>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3"/>
              <w:gridCol w:w="1245"/>
              <w:gridCol w:w="6185"/>
            </w:tblGrid>
            <w:tr w14:paraId="47BDC4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vAlign w:val="center"/>
                </w:tcPr>
                <w:p w14:paraId="17345DFD">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eastAsia" w:eastAsia="宋体"/>
                      <w:color w:val="auto"/>
                      <w:sz w:val="18"/>
                      <w:szCs w:val="18"/>
                      <w:vertAlign w:val="baseline"/>
                      <w:lang w:val="en-US" w:eastAsia="zh-CN"/>
                    </w:rPr>
                  </w:pPr>
                  <w:r>
                    <w:rPr>
                      <w:rFonts w:hint="eastAsia"/>
                      <w:color w:val="auto"/>
                      <w:sz w:val="18"/>
                      <w:szCs w:val="18"/>
                      <w:vertAlign w:val="baseline"/>
                      <w:lang w:val="en-US" w:eastAsia="zh-CN"/>
                    </w:rPr>
                    <w:t>序号</w:t>
                  </w:r>
                </w:p>
              </w:tc>
              <w:tc>
                <w:tcPr>
                  <w:tcW w:w="1245" w:type="dxa"/>
                  <w:tcBorders>
                    <w:tl2br w:val="nil"/>
                    <w:tr2bl w:val="nil"/>
                  </w:tcBorders>
                  <w:vAlign w:val="center"/>
                </w:tcPr>
                <w:p w14:paraId="10E9F07B">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eastAsia="宋体"/>
                      <w:color w:val="auto"/>
                      <w:sz w:val="18"/>
                      <w:szCs w:val="18"/>
                      <w:vertAlign w:val="baseline"/>
                      <w:lang w:val="en-US" w:eastAsia="zh-CN"/>
                    </w:rPr>
                  </w:pPr>
                  <w:r>
                    <w:rPr>
                      <w:rFonts w:hint="eastAsia"/>
                      <w:color w:val="auto"/>
                      <w:sz w:val="18"/>
                      <w:szCs w:val="18"/>
                      <w:vertAlign w:val="baseline"/>
                      <w:lang w:val="en-US" w:eastAsia="zh-CN"/>
                    </w:rPr>
                    <w:t>原料名称</w:t>
                  </w:r>
                </w:p>
              </w:tc>
              <w:tc>
                <w:tcPr>
                  <w:tcW w:w="6185" w:type="dxa"/>
                  <w:tcBorders>
                    <w:tl2br w:val="nil"/>
                    <w:tr2bl w:val="nil"/>
                  </w:tcBorders>
                  <w:vAlign w:val="center"/>
                </w:tcPr>
                <w:p w14:paraId="234E44EC">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eastAsia" w:eastAsia="宋体"/>
                      <w:color w:val="auto"/>
                      <w:sz w:val="18"/>
                      <w:szCs w:val="18"/>
                      <w:vertAlign w:val="baseline"/>
                      <w:lang w:val="en-US" w:eastAsia="zh-CN"/>
                    </w:rPr>
                  </w:pPr>
                  <w:r>
                    <w:rPr>
                      <w:rFonts w:hint="eastAsia"/>
                      <w:color w:val="auto"/>
                      <w:sz w:val="18"/>
                      <w:szCs w:val="18"/>
                      <w:vertAlign w:val="baseline"/>
                      <w:lang w:val="en-US" w:eastAsia="zh-CN"/>
                    </w:rPr>
                    <w:t>理化性质</w:t>
                  </w:r>
                </w:p>
              </w:tc>
            </w:tr>
            <w:tr w14:paraId="2F7554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vAlign w:val="center"/>
                </w:tcPr>
                <w:p w14:paraId="6FB793A9">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eastAsia" w:eastAsia="宋体"/>
                      <w:color w:val="auto"/>
                      <w:sz w:val="18"/>
                      <w:szCs w:val="18"/>
                      <w:vertAlign w:val="baseline"/>
                      <w:lang w:val="en-US" w:eastAsia="zh-CN"/>
                    </w:rPr>
                  </w:pPr>
                  <w:r>
                    <w:rPr>
                      <w:rFonts w:hint="eastAsia"/>
                      <w:color w:val="auto"/>
                      <w:sz w:val="18"/>
                      <w:szCs w:val="18"/>
                      <w:vertAlign w:val="baseline"/>
                      <w:lang w:val="en-US" w:eastAsia="zh-CN"/>
                    </w:rPr>
                    <w:t>1</w:t>
                  </w:r>
                </w:p>
              </w:tc>
              <w:tc>
                <w:tcPr>
                  <w:tcW w:w="1245" w:type="dxa"/>
                  <w:tcBorders>
                    <w:tl2br w:val="nil"/>
                    <w:tr2bl w:val="nil"/>
                  </w:tcBorders>
                  <w:vAlign w:val="center"/>
                </w:tcPr>
                <w:p w14:paraId="0E9745AE">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eastAsia" w:eastAsia="宋体"/>
                      <w:color w:val="auto"/>
                      <w:sz w:val="18"/>
                      <w:szCs w:val="18"/>
                      <w:vertAlign w:val="baseline"/>
                      <w:lang w:val="en-US" w:eastAsia="zh-CN"/>
                    </w:rPr>
                  </w:pPr>
                  <w:r>
                    <w:rPr>
                      <w:rFonts w:hint="eastAsia"/>
                      <w:color w:val="auto"/>
                      <w:sz w:val="18"/>
                      <w:szCs w:val="18"/>
                      <w:vertAlign w:val="baseline"/>
                      <w:lang w:val="en-US" w:eastAsia="zh-CN"/>
                    </w:rPr>
                    <w:t>聚合氯化铝</w:t>
                  </w:r>
                </w:p>
              </w:tc>
              <w:tc>
                <w:tcPr>
                  <w:tcW w:w="6185" w:type="dxa"/>
                  <w:tcBorders>
                    <w:tl2br w:val="nil"/>
                    <w:tr2bl w:val="nil"/>
                  </w:tcBorders>
                  <w:vAlign w:val="center"/>
                </w:tcPr>
                <w:p w14:paraId="703D3FC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color w:val="auto"/>
                      <w:sz w:val="18"/>
                      <w:szCs w:val="18"/>
                      <w:vertAlign w:val="baseline"/>
                      <w:lang w:val="en-US"/>
                    </w:rPr>
                  </w:pPr>
                  <w:r>
                    <w:rPr>
                      <w:rFonts w:hint="default" w:ascii="Times New Roman" w:hAnsi="Times New Roman" w:eastAsia="宋体" w:cs="Times New Roman"/>
                      <w:color w:val="auto"/>
                      <w:kern w:val="0"/>
                      <w:sz w:val="18"/>
                      <w:szCs w:val="18"/>
                      <w:lang w:val="en-US" w:eastAsia="zh-CN" w:bidi="ar"/>
                    </w:rPr>
                    <w:t>[Al2(OH)nCl6-nLm]</w:t>
                  </w:r>
                  <w:r>
                    <w:rPr>
                      <w:rFonts w:hint="eastAsia" w:ascii="宋体" w:hAnsi="宋体" w:eastAsia="宋体" w:cs="宋体"/>
                      <w:color w:val="auto"/>
                      <w:kern w:val="0"/>
                      <w:sz w:val="18"/>
                      <w:szCs w:val="18"/>
                      <w:lang w:val="en-US" w:eastAsia="zh-CN" w:bidi="ar"/>
                    </w:rPr>
                    <w:t>，其中</w:t>
                  </w:r>
                  <w:r>
                    <w:rPr>
                      <w:rFonts w:hint="default" w:ascii="Times New Roman" w:hAnsi="Times New Roman" w:eastAsia="宋体" w:cs="Times New Roman"/>
                      <w:color w:val="auto"/>
                      <w:kern w:val="0"/>
                      <w:sz w:val="18"/>
                      <w:szCs w:val="18"/>
                      <w:lang w:val="en-US" w:eastAsia="zh-CN" w:bidi="ar"/>
                    </w:rPr>
                    <w:t>m</w:t>
                  </w:r>
                  <w:r>
                    <w:rPr>
                      <w:rFonts w:hint="eastAsia" w:ascii="宋体" w:hAnsi="宋体" w:eastAsia="宋体" w:cs="宋体"/>
                      <w:color w:val="auto"/>
                      <w:kern w:val="0"/>
                      <w:sz w:val="18"/>
                      <w:szCs w:val="18"/>
                      <w:lang w:val="en-US" w:eastAsia="zh-CN" w:bidi="ar"/>
                    </w:rPr>
                    <w:t>代表聚合程度，</w:t>
                  </w:r>
                  <w:r>
                    <w:rPr>
                      <w:rFonts w:hint="default" w:ascii="Times New Roman" w:hAnsi="Times New Roman" w:eastAsia="宋体" w:cs="Times New Roman"/>
                      <w:color w:val="auto"/>
                      <w:kern w:val="0"/>
                      <w:sz w:val="18"/>
                      <w:szCs w:val="18"/>
                      <w:lang w:val="en-US" w:eastAsia="zh-CN" w:bidi="ar"/>
                    </w:rPr>
                    <w:t>n</w:t>
                  </w:r>
                  <w:r>
                    <w:rPr>
                      <w:rFonts w:hint="eastAsia" w:ascii="宋体" w:hAnsi="宋体" w:eastAsia="宋体" w:cs="宋体"/>
                      <w:color w:val="auto"/>
                      <w:kern w:val="0"/>
                      <w:sz w:val="18"/>
                      <w:szCs w:val="18"/>
                      <w:lang w:val="en-US" w:eastAsia="zh-CN" w:bidi="ar"/>
                    </w:rPr>
                    <w:t>表示</w:t>
                  </w:r>
                  <w:r>
                    <w:rPr>
                      <w:rFonts w:hint="default" w:ascii="Times New Roman" w:hAnsi="Times New Roman" w:eastAsia="宋体" w:cs="Times New Roman"/>
                      <w:color w:val="auto"/>
                      <w:kern w:val="0"/>
                      <w:sz w:val="18"/>
                      <w:szCs w:val="18"/>
                      <w:lang w:val="en-US" w:eastAsia="zh-CN" w:bidi="ar"/>
                    </w:rPr>
                    <w:t>PAC</w:t>
                  </w:r>
                  <w:r>
                    <w:rPr>
                      <w:rFonts w:hint="eastAsia" w:ascii="宋体" w:hAnsi="宋体" w:eastAsia="宋体" w:cs="宋体"/>
                      <w:color w:val="auto"/>
                      <w:kern w:val="0"/>
                      <w:sz w:val="18"/>
                      <w:szCs w:val="18"/>
                      <w:lang w:val="en-US" w:eastAsia="zh-CN" w:bidi="ar"/>
                    </w:rPr>
                    <w:t>产品的中性程度，聚合氯化铝是一种净水材料，无机高分子混凝剂，又被简称为聚铝，英文缩写为</w:t>
                  </w:r>
                  <w:r>
                    <w:rPr>
                      <w:rFonts w:hint="default" w:ascii="Times New Roman" w:hAnsi="Times New Roman" w:eastAsia="宋体" w:cs="Times New Roman"/>
                      <w:color w:val="auto"/>
                      <w:kern w:val="0"/>
                      <w:sz w:val="18"/>
                      <w:szCs w:val="18"/>
                      <w:lang w:val="en-US" w:eastAsia="zh-CN" w:bidi="ar"/>
                    </w:rPr>
                    <w:t>PAC</w:t>
                  </w:r>
                  <w:r>
                    <w:rPr>
                      <w:rFonts w:hint="eastAsia" w:ascii="宋体" w:hAnsi="宋体" w:eastAsia="宋体" w:cs="宋体"/>
                      <w:color w:val="auto"/>
                      <w:kern w:val="0"/>
                      <w:sz w:val="18"/>
                      <w:szCs w:val="18"/>
                      <w:lang w:val="en-US" w:eastAsia="zh-CN" w:bidi="ar"/>
                    </w:rPr>
                    <w:t>，由于氢氧根离子的架桥作用和多价阴离子的聚合作用而生产的分子量较大、电荷较高的无机高分子水处理药剂。颜色呈黄色或淡黄色、深褐色、深灰色树脂状固体。</w:t>
                  </w:r>
                </w:p>
              </w:tc>
            </w:tr>
            <w:tr w14:paraId="19456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2" w:hRule="atLeast"/>
              </w:trPr>
              <w:tc>
                <w:tcPr>
                  <w:tcW w:w="823" w:type="dxa"/>
                  <w:tcBorders>
                    <w:tl2br w:val="nil"/>
                    <w:tr2bl w:val="nil"/>
                  </w:tcBorders>
                  <w:vAlign w:val="center"/>
                </w:tcPr>
                <w:p w14:paraId="62F29760">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eastAsia" w:eastAsia="宋体"/>
                      <w:color w:val="auto"/>
                      <w:sz w:val="18"/>
                      <w:szCs w:val="18"/>
                      <w:vertAlign w:val="baseline"/>
                      <w:lang w:val="en-US" w:eastAsia="zh-CN"/>
                    </w:rPr>
                  </w:pPr>
                  <w:r>
                    <w:rPr>
                      <w:rFonts w:hint="eastAsia"/>
                      <w:color w:val="auto"/>
                      <w:sz w:val="18"/>
                      <w:szCs w:val="18"/>
                      <w:vertAlign w:val="baseline"/>
                      <w:lang w:val="en-US" w:eastAsia="zh-CN"/>
                    </w:rPr>
                    <w:t>2</w:t>
                  </w:r>
                </w:p>
              </w:tc>
              <w:tc>
                <w:tcPr>
                  <w:tcW w:w="1245" w:type="dxa"/>
                  <w:tcBorders>
                    <w:tl2br w:val="nil"/>
                    <w:tr2bl w:val="nil"/>
                  </w:tcBorders>
                  <w:vAlign w:val="center"/>
                </w:tcPr>
                <w:p w14:paraId="13B968D2">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eastAsia="宋体"/>
                      <w:color w:val="auto"/>
                      <w:sz w:val="18"/>
                      <w:szCs w:val="18"/>
                      <w:vertAlign w:val="baseline"/>
                      <w:lang w:val="en-US" w:eastAsia="zh-CN"/>
                    </w:rPr>
                  </w:pPr>
                  <w:r>
                    <w:rPr>
                      <w:rFonts w:hint="eastAsia"/>
                      <w:color w:val="auto"/>
                      <w:sz w:val="18"/>
                      <w:szCs w:val="18"/>
                      <w:vertAlign w:val="baseline"/>
                      <w:lang w:val="en-US" w:eastAsia="zh-CN"/>
                    </w:rPr>
                    <w:t>聚丙烯酰胺</w:t>
                  </w:r>
                </w:p>
              </w:tc>
              <w:tc>
                <w:tcPr>
                  <w:tcW w:w="6185" w:type="dxa"/>
                  <w:tcBorders>
                    <w:tl2br w:val="nil"/>
                    <w:tr2bl w:val="nil"/>
                  </w:tcBorders>
                  <w:vAlign w:val="center"/>
                </w:tcPr>
                <w:p w14:paraId="6813B7D6">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color w:val="auto"/>
                      <w:sz w:val="18"/>
                      <w:szCs w:val="18"/>
                      <w:vertAlign w:val="baseline"/>
                      <w:lang w:val="en-US"/>
                    </w:rPr>
                  </w:pPr>
                  <w:r>
                    <w:rPr>
                      <w:rFonts w:hint="default" w:ascii="Times New Roman" w:hAnsi="Times New Roman" w:eastAsia="宋体" w:cs="Times New Roman"/>
                      <w:color w:val="auto"/>
                      <w:kern w:val="0"/>
                      <w:sz w:val="18"/>
                      <w:szCs w:val="18"/>
                      <w:lang w:val="en-US" w:eastAsia="zh-CN" w:bidi="ar"/>
                    </w:rPr>
                    <w:t>‌聚丙烯酰胺（PAM）是一种线型水溶性高分子化合物，具有高吸水性、高黏度、良好的生物相容性和化学稳定性‌，其理化性质包括白色粉末状外观、易溶于水但不溶于一般有机溶剂、热稳定性好（100℃以下稳定），分子量范围通常为150万至600万</w:t>
                  </w:r>
                  <w:r>
                    <w:rPr>
                      <w:rFonts w:hint="default" w:ascii="Times New Roman" w:hAnsi="Times New Roman" w:cs="Times New Roman"/>
                      <w:color w:val="auto"/>
                      <w:kern w:val="0"/>
                      <w:sz w:val="18"/>
                      <w:szCs w:val="18"/>
                      <w:lang w:val="en-US" w:eastAsia="zh-CN" w:bidi="ar"/>
                    </w:rPr>
                    <w:t>。</w:t>
                  </w:r>
                </w:p>
              </w:tc>
            </w:tr>
            <w:tr w14:paraId="5D2BBD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vAlign w:val="center"/>
                </w:tcPr>
                <w:p w14:paraId="4AE5EA4A">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eastAsia" w:eastAsia="宋体"/>
                      <w:color w:val="auto"/>
                      <w:sz w:val="18"/>
                      <w:szCs w:val="18"/>
                      <w:vertAlign w:val="baseline"/>
                      <w:lang w:val="en-US" w:eastAsia="zh-CN"/>
                    </w:rPr>
                  </w:pPr>
                  <w:r>
                    <w:rPr>
                      <w:rFonts w:hint="eastAsia"/>
                      <w:color w:val="auto"/>
                      <w:sz w:val="18"/>
                      <w:szCs w:val="18"/>
                      <w:vertAlign w:val="baseline"/>
                      <w:lang w:val="en-US" w:eastAsia="zh-CN"/>
                    </w:rPr>
                    <w:t>3</w:t>
                  </w:r>
                </w:p>
              </w:tc>
              <w:tc>
                <w:tcPr>
                  <w:tcW w:w="1245" w:type="dxa"/>
                  <w:tcBorders>
                    <w:tl2br w:val="nil"/>
                    <w:tr2bl w:val="nil"/>
                  </w:tcBorders>
                  <w:vAlign w:val="center"/>
                </w:tcPr>
                <w:p w14:paraId="224E02C2">
                  <w:pPr>
                    <w:pStyle w:val="1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eastAsia="宋体"/>
                      <w:color w:val="auto"/>
                      <w:sz w:val="18"/>
                      <w:szCs w:val="18"/>
                      <w:vertAlign w:val="baseline"/>
                      <w:lang w:val="en-US" w:eastAsia="zh-CN"/>
                    </w:rPr>
                  </w:pPr>
                  <w:r>
                    <w:rPr>
                      <w:rFonts w:hint="eastAsia"/>
                      <w:color w:val="auto"/>
                      <w:sz w:val="18"/>
                      <w:szCs w:val="18"/>
                      <w:vertAlign w:val="baseline"/>
                      <w:lang w:val="en-US" w:eastAsia="zh-CN"/>
                    </w:rPr>
                    <w:t>次氯酸钠</w:t>
                  </w:r>
                </w:p>
              </w:tc>
              <w:tc>
                <w:tcPr>
                  <w:tcW w:w="6185" w:type="dxa"/>
                  <w:tcBorders>
                    <w:tl2br w:val="nil"/>
                    <w:tr2bl w:val="nil"/>
                  </w:tcBorders>
                  <w:vAlign w:val="center"/>
                </w:tcPr>
                <w:p w14:paraId="28BCC20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olor w:val="auto"/>
                      <w:sz w:val="18"/>
                      <w:szCs w:val="18"/>
                      <w:vertAlign w:val="baseline"/>
                      <w:lang w:val="en-US"/>
                    </w:rPr>
                  </w:pPr>
                  <w:r>
                    <w:rPr>
                      <w:rFonts w:hint="eastAsia" w:ascii="宋体" w:hAnsi="宋体" w:eastAsia="宋体" w:cs="宋体"/>
                      <w:color w:val="auto"/>
                      <w:kern w:val="0"/>
                      <w:sz w:val="18"/>
                      <w:szCs w:val="18"/>
                      <w:lang w:val="en-US" w:eastAsia="zh-CN" w:bidi="ar"/>
                    </w:rPr>
                    <w:t>化</w:t>
                  </w:r>
                  <w:r>
                    <w:rPr>
                      <w:rFonts w:hint="default" w:ascii="Times New Roman" w:hAnsi="Times New Roman" w:eastAsia="宋体" w:cs="Times New Roman"/>
                      <w:color w:val="auto"/>
                      <w:kern w:val="0"/>
                      <w:sz w:val="18"/>
                      <w:szCs w:val="18"/>
                      <w:lang w:val="en-US" w:eastAsia="zh-CN" w:bidi="ar"/>
                    </w:rPr>
                    <w:t>学式为NaClO（常用写法）或NaOCl（</w:t>
                  </w:r>
                  <w:r>
                    <w:rPr>
                      <w:rFonts w:hint="default" w:ascii="Times New Roman" w:hAnsi="Times New Roman" w:eastAsia="宋体" w:cs="Times New Roman"/>
                      <w:color w:val="auto"/>
                      <w:kern w:val="0"/>
                      <w:sz w:val="18"/>
                      <w:szCs w:val="18"/>
                      <w:lang w:val="en-US" w:eastAsia="zh-CN" w:bidi="ar"/>
                    </w:rPr>
                    <w:fldChar w:fldCharType="begin"/>
                  </w:r>
                  <w:r>
                    <w:rPr>
                      <w:rFonts w:hint="default" w:ascii="Times New Roman" w:hAnsi="Times New Roman" w:eastAsia="宋体" w:cs="Times New Roman"/>
                      <w:color w:val="auto"/>
                      <w:kern w:val="0"/>
                      <w:sz w:val="18"/>
                      <w:szCs w:val="18"/>
                      <w:lang w:val="en-US" w:eastAsia="zh-CN" w:bidi="ar"/>
                    </w:rPr>
                    <w:instrText xml:space="preserve"> HYPERLINK "https://baike.baidu.com/item/%E7%94%B5%E5%AD%90%E5%BC%8F/9444501?fromModule=lemma_inlink" \t "https://baike.baidu.com/item/%E6%AC%A1%E6%B0%AF%E9%85%B8%E9%92%A0/_blank" </w:instrText>
                  </w:r>
                  <w:r>
                    <w:rPr>
                      <w:rFonts w:hint="default" w:ascii="Times New Roman" w:hAnsi="Times New Roman" w:eastAsia="宋体" w:cs="Times New Roman"/>
                      <w:color w:val="auto"/>
                      <w:kern w:val="0"/>
                      <w:sz w:val="18"/>
                      <w:szCs w:val="18"/>
                      <w:lang w:val="en-US" w:eastAsia="zh-CN" w:bidi="ar"/>
                    </w:rPr>
                    <w:fldChar w:fldCharType="separate"/>
                  </w:r>
                  <w:r>
                    <w:rPr>
                      <w:rFonts w:hint="default" w:ascii="Times New Roman" w:hAnsi="Times New Roman" w:eastAsia="宋体" w:cs="Times New Roman"/>
                      <w:color w:val="auto"/>
                      <w:kern w:val="0"/>
                      <w:sz w:val="18"/>
                      <w:szCs w:val="18"/>
                      <w:lang w:val="en-US" w:eastAsia="zh-CN" w:bidi="ar"/>
                    </w:rPr>
                    <w:t>电子式</w:t>
                  </w:r>
                  <w:r>
                    <w:rPr>
                      <w:rFonts w:hint="default" w:ascii="Times New Roman" w:hAnsi="Times New Roman" w:eastAsia="宋体" w:cs="Times New Roman"/>
                      <w:color w:val="auto"/>
                      <w:kern w:val="0"/>
                      <w:sz w:val="18"/>
                      <w:szCs w:val="18"/>
                      <w:lang w:val="en-US" w:eastAsia="zh-CN" w:bidi="ar"/>
                    </w:rPr>
                    <w:fldChar w:fldCharType="end"/>
                  </w:r>
                  <w:r>
                    <w:rPr>
                      <w:rFonts w:hint="default" w:ascii="Times New Roman" w:hAnsi="Times New Roman" w:eastAsia="宋体" w:cs="Times New Roman"/>
                      <w:color w:val="auto"/>
                      <w:kern w:val="0"/>
                      <w:sz w:val="18"/>
                      <w:szCs w:val="18"/>
                      <w:lang w:val="en-US" w:eastAsia="zh-CN" w:bidi="ar"/>
                    </w:rPr>
                    <w:t>写法），是一种常见且应用广泛的</w:t>
                  </w:r>
                  <w:r>
                    <w:rPr>
                      <w:rFonts w:hint="default" w:ascii="Times New Roman" w:hAnsi="Times New Roman" w:eastAsia="宋体" w:cs="Times New Roman"/>
                      <w:color w:val="auto"/>
                      <w:kern w:val="0"/>
                      <w:sz w:val="18"/>
                      <w:szCs w:val="18"/>
                      <w:lang w:val="en-US" w:eastAsia="zh-CN" w:bidi="ar"/>
                    </w:rPr>
                    <w:fldChar w:fldCharType="begin"/>
                  </w:r>
                  <w:r>
                    <w:rPr>
                      <w:rFonts w:hint="default" w:ascii="Times New Roman" w:hAnsi="Times New Roman" w:eastAsia="宋体" w:cs="Times New Roman"/>
                      <w:color w:val="auto"/>
                      <w:kern w:val="0"/>
                      <w:sz w:val="18"/>
                      <w:szCs w:val="18"/>
                      <w:lang w:val="en-US" w:eastAsia="zh-CN" w:bidi="ar"/>
                    </w:rPr>
                    <w:instrText xml:space="preserve"> HYPERLINK "https://baike.baidu.com/item/%E6%AC%A1%E6%B0%AF%E9%85%B8%E7%9B%90/6289780?fromModule=lemma_inlink" \t "https://baike.baidu.com/item/%E6%AC%A1%E6%B0%AF%E9%85%B8%E9%92%A0/_blank" </w:instrText>
                  </w:r>
                  <w:r>
                    <w:rPr>
                      <w:rFonts w:hint="default" w:ascii="Times New Roman" w:hAnsi="Times New Roman" w:eastAsia="宋体" w:cs="Times New Roman"/>
                      <w:color w:val="auto"/>
                      <w:kern w:val="0"/>
                      <w:sz w:val="18"/>
                      <w:szCs w:val="18"/>
                      <w:lang w:val="en-US" w:eastAsia="zh-CN" w:bidi="ar"/>
                    </w:rPr>
                    <w:fldChar w:fldCharType="separate"/>
                  </w:r>
                  <w:r>
                    <w:rPr>
                      <w:rFonts w:hint="default" w:ascii="Times New Roman" w:hAnsi="Times New Roman" w:eastAsia="宋体" w:cs="Times New Roman"/>
                      <w:color w:val="auto"/>
                      <w:kern w:val="0"/>
                      <w:sz w:val="18"/>
                      <w:szCs w:val="18"/>
                      <w:lang w:val="en-US" w:eastAsia="zh-CN" w:bidi="ar"/>
                    </w:rPr>
                    <w:t>次氯酸盐</w:t>
                  </w:r>
                  <w:r>
                    <w:rPr>
                      <w:rFonts w:hint="default" w:ascii="Times New Roman" w:hAnsi="Times New Roman" w:eastAsia="宋体" w:cs="Times New Roman"/>
                      <w:color w:val="auto"/>
                      <w:kern w:val="0"/>
                      <w:sz w:val="18"/>
                      <w:szCs w:val="18"/>
                      <w:lang w:val="en-US" w:eastAsia="zh-CN" w:bidi="ar"/>
                    </w:rPr>
                    <w:fldChar w:fldCharType="end"/>
                  </w:r>
                  <w:r>
                    <w:rPr>
                      <w:rFonts w:hint="default" w:ascii="Times New Roman" w:hAnsi="Times New Roman" w:eastAsia="宋体" w:cs="Times New Roman"/>
                      <w:color w:val="auto"/>
                      <w:kern w:val="0"/>
                      <w:sz w:val="18"/>
                      <w:szCs w:val="18"/>
                      <w:lang w:val="en-US" w:eastAsia="zh-CN" w:bidi="ar"/>
                    </w:rPr>
                    <w:t>，易溶于水 [1]。由于在酸性环境下具有强</w:t>
                  </w:r>
                  <w:r>
                    <w:rPr>
                      <w:rFonts w:hint="default" w:ascii="Times New Roman" w:hAnsi="Times New Roman" w:eastAsia="宋体" w:cs="Times New Roman"/>
                      <w:color w:val="auto"/>
                      <w:kern w:val="0"/>
                      <w:sz w:val="18"/>
                      <w:szCs w:val="18"/>
                      <w:lang w:val="en-US" w:eastAsia="zh-CN" w:bidi="ar"/>
                    </w:rPr>
                    <w:fldChar w:fldCharType="begin"/>
                  </w:r>
                  <w:r>
                    <w:rPr>
                      <w:rFonts w:hint="default" w:ascii="Times New Roman" w:hAnsi="Times New Roman" w:eastAsia="宋体" w:cs="Times New Roman"/>
                      <w:color w:val="auto"/>
                      <w:kern w:val="0"/>
                      <w:sz w:val="18"/>
                      <w:szCs w:val="18"/>
                      <w:lang w:val="en-US" w:eastAsia="zh-CN" w:bidi="ar"/>
                    </w:rPr>
                    <w:instrText xml:space="preserve"> HYPERLINK "https://baike.baidu.com/item/%E6%B0%A7%E5%8C%96%E6%80%A7/4826093?fromModule=lemma_inlink" \t "https://baike.baidu.com/item/%E6%AC%A1%E6%B0%AF%E9%85%B8%E9%92%A0/_blank" </w:instrText>
                  </w:r>
                  <w:r>
                    <w:rPr>
                      <w:rFonts w:hint="default" w:ascii="Times New Roman" w:hAnsi="Times New Roman" w:eastAsia="宋体" w:cs="Times New Roman"/>
                      <w:color w:val="auto"/>
                      <w:kern w:val="0"/>
                      <w:sz w:val="18"/>
                      <w:szCs w:val="18"/>
                      <w:lang w:val="en-US" w:eastAsia="zh-CN" w:bidi="ar"/>
                    </w:rPr>
                    <w:fldChar w:fldCharType="separate"/>
                  </w:r>
                  <w:r>
                    <w:rPr>
                      <w:rFonts w:hint="default" w:ascii="Times New Roman" w:hAnsi="Times New Roman" w:eastAsia="宋体" w:cs="Times New Roman"/>
                      <w:color w:val="auto"/>
                      <w:kern w:val="0"/>
                      <w:sz w:val="18"/>
                      <w:szCs w:val="18"/>
                      <w:lang w:val="en-US" w:eastAsia="zh-CN" w:bidi="ar"/>
                    </w:rPr>
                    <w:t>氧化性</w:t>
                  </w:r>
                  <w:r>
                    <w:rPr>
                      <w:rFonts w:hint="default" w:ascii="Times New Roman" w:hAnsi="Times New Roman" w:eastAsia="宋体" w:cs="Times New Roman"/>
                      <w:color w:val="auto"/>
                      <w:kern w:val="0"/>
                      <w:sz w:val="18"/>
                      <w:szCs w:val="18"/>
                      <w:lang w:val="en-US" w:eastAsia="zh-CN" w:bidi="ar"/>
                    </w:rPr>
                    <w:fldChar w:fldCharType="end"/>
                  </w:r>
                  <w:r>
                    <w:rPr>
                      <w:rFonts w:hint="default" w:ascii="Times New Roman" w:hAnsi="Times New Roman" w:eastAsia="宋体" w:cs="Times New Roman"/>
                      <w:color w:val="auto"/>
                      <w:kern w:val="0"/>
                      <w:sz w:val="18"/>
                      <w:szCs w:val="18"/>
                      <w:lang w:val="en-US" w:eastAsia="zh-CN" w:bidi="ar"/>
                    </w:rPr>
                    <w:t>，因此被普遍用于洗涤产品中</w:t>
                  </w:r>
                  <w:r>
                    <w:rPr>
                      <w:rFonts w:hint="default" w:ascii="Times New Roman" w:hAnsi="Times New Roman" w:eastAsia="宋体" w:cs="Times New Roman"/>
                      <w:color w:val="auto"/>
                      <w:kern w:val="0"/>
                      <w:sz w:val="18"/>
                      <w:szCs w:val="18"/>
                      <w:lang w:val="en-US" w:eastAsia="zh-CN" w:bidi="ar"/>
                    </w:rPr>
                    <w:fldChar w:fldCharType="begin"/>
                  </w:r>
                  <w:r>
                    <w:rPr>
                      <w:rFonts w:hint="default" w:ascii="Times New Roman" w:hAnsi="Times New Roman" w:eastAsia="宋体" w:cs="Times New Roman"/>
                      <w:color w:val="auto"/>
                      <w:kern w:val="0"/>
                      <w:sz w:val="18"/>
                      <w:szCs w:val="18"/>
                      <w:lang w:val="en-US" w:eastAsia="zh-CN" w:bidi="ar"/>
                    </w:rPr>
                    <w:instrText xml:space="preserve"> HYPERLINK "https://baike.baidu.com/item/%E6%BC%82%E7%99%BD%E5%89%82/2531107?fromModule=lemma_inlink" \t "https://baike.baidu.com/item/%E6%AC%A1%E6%B0%AF%E9%85%B8%E9%92%A0/_blank" </w:instrText>
                  </w:r>
                  <w:r>
                    <w:rPr>
                      <w:rFonts w:hint="default" w:ascii="Times New Roman" w:hAnsi="Times New Roman" w:eastAsia="宋体" w:cs="Times New Roman"/>
                      <w:color w:val="auto"/>
                      <w:kern w:val="0"/>
                      <w:sz w:val="18"/>
                      <w:szCs w:val="18"/>
                      <w:lang w:val="en-US" w:eastAsia="zh-CN" w:bidi="ar"/>
                    </w:rPr>
                    <w:fldChar w:fldCharType="separate"/>
                  </w:r>
                  <w:r>
                    <w:rPr>
                      <w:rFonts w:hint="default" w:ascii="Times New Roman" w:hAnsi="Times New Roman" w:eastAsia="宋体" w:cs="Times New Roman"/>
                      <w:color w:val="auto"/>
                      <w:kern w:val="0"/>
                      <w:sz w:val="18"/>
                      <w:szCs w:val="18"/>
                      <w:lang w:val="en-US" w:eastAsia="zh-CN" w:bidi="ar"/>
                    </w:rPr>
                    <w:t>漂白剂</w:t>
                  </w:r>
                  <w:r>
                    <w:rPr>
                      <w:rFonts w:hint="default" w:ascii="Times New Roman" w:hAnsi="Times New Roman" w:eastAsia="宋体" w:cs="Times New Roman"/>
                      <w:color w:val="auto"/>
                      <w:kern w:val="0"/>
                      <w:sz w:val="18"/>
                      <w:szCs w:val="18"/>
                      <w:lang w:val="en-US" w:eastAsia="zh-CN" w:bidi="ar"/>
                    </w:rPr>
                    <w:fldChar w:fldCharType="end"/>
                  </w:r>
                  <w:r>
                    <w:rPr>
                      <w:rFonts w:hint="default" w:ascii="Times New Roman" w:hAnsi="Times New Roman" w:eastAsia="宋体" w:cs="Times New Roman"/>
                      <w:color w:val="auto"/>
                      <w:kern w:val="0"/>
                      <w:sz w:val="18"/>
                      <w:szCs w:val="18"/>
                      <w:lang w:val="en-US" w:eastAsia="zh-CN" w:bidi="ar"/>
                    </w:rPr>
                    <w:t>或</w:t>
                  </w:r>
                  <w:r>
                    <w:rPr>
                      <w:rFonts w:hint="default" w:ascii="Times New Roman" w:hAnsi="Times New Roman" w:eastAsia="宋体" w:cs="Times New Roman"/>
                      <w:color w:val="auto"/>
                      <w:kern w:val="0"/>
                      <w:sz w:val="18"/>
                      <w:szCs w:val="18"/>
                      <w:lang w:val="en-US" w:eastAsia="zh-CN" w:bidi="ar"/>
                    </w:rPr>
                    <w:fldChar w:fldCharType="begin"/>
                  </w:r>
                  <w:r>
                    <w:rPr>
                      <w:rFonts w:hint="default" w:ascii="Times New Roman" w:hAnsi="Times New Roman" w:eastAsia="宋体" w:cs="Times New Roman"/>
                      <w:color w:val="auto"/>
                      <w:kern w:val="0"/>
                      <w:sz w:val="18"/>
                      <w:szCs w:val="18"/>
                      <w:lang w:val="en-US" w:eastAsia="zh-CN" w:bidi="ar"/>
                    </w:rPr>
                    <w:instrText xml:space="preserve"> HYPERLINK "https://baike.baidu.com/item/%E6%B6%88%E6%AF%92%E5%89%82/7903794?fromModule=lemma_inlink" \t "https://baike.baidu.com/item/%E6%AC%A1%E6%B0%AF%E9%85%B8%E9%92%A0/_blank" </w:instrText>
                  </w:r>
                  <w:r>
                    <w:rPr>
                      <w:rFonts w:hint="default" w:ascii="Times New Roman" w:hAnsi="Times New Roman" w:eastAsia="宋体" w:cs="Times New Roman"/>
                      <w:color w:val="auto"/>
                      <w:kern w:val="0"/>
                      <w:sz w:val="18"/>
                      <w:szCs w:val="18"/>
                      <w:lang w:val="en-US" w:eastAsia="zh-CN" w:bidi="ar"/>
                    </w:rPr>
                    <w:fldChar w:fldCharType="separate"/>
                  </w:r>
                  <w:r>
                    <w:rPr>
                      <w:rFonts w:hint="default" w:ascii="Times New Roman" w:hAnsi="Times New Roman" w:eastAsia="宋体" w:cs="Times New Roman"/>
                      <w:color w:val="auto"/>
                      <w:kern w:val="0"/>
                      <w:sz w:val="18"/>
                      <w:szCs w:val="18"/>
                      <w:lang w:val="en-US" w:eastAsia="zh-CN" w:bidi="ar"/>
                    </w:rPr>
                    <w:t>消毒剂</w:t>
                  </w:r>
                  <w:r>
                    <w:rPr>
                      <w:rFonts w:hint="default" w:ascii="Times New Roman" w:hAnsi="Times New Roman" w:eastAsia="宋体" w:cs="Times New Roman"/>
                      <w:color w:val="auto"/>
                      <w:kern w:val="0"/>
                      <w:sz w:val="18"/>
                      <w:szCs w:val="18"/>
                      <w:lang w:val="en-US" w:eastAsia="zh-CN" w:bidi="ar"/>
                    </w:rPr>
                    <w:fldChar w:fldCharType="end"/>
                  </w:r>
                  <w:r>
                    <w:rPr>
                      <w:rFonts w:hint="default" w:ascii="Times New Roman" w:hAnsi="Times New Roman" w:eastAsia="宋体" w:cs="Times New Roman"/>
                      <w:color w:val="auto"/>
                      <w:kern w:val="0"/>
                      <w:sz w:val="18"/>
                      <w:szCs w:val="18"/>
                      <w:lang w:val="en-US" w:eastAsia="zh-CN" w:bidi="ar"/>
                    </w:rPr>
                    <w:t>的生产（</w:t>
                  </w:r>
                  <w:r>
                    <w:rPr>
                      <w:rFonts w:hint="default" w:ascii="Times New Roman" w:hAnsi="Times New Roman" w:eastAsia="宋体" w:cs="Times New Roman"/>
                      <w:color w:val="auto"/>
                      <w:kern w:val="0"/>
                      <w:sz w:val="18"/>
                      <w:szCs w:val="18"/>
                      <w:lang w:val="en-US" w:eastAsia="zh-CN" w:bidi="ar"/>
                    </w:rPr>
                    <w:fldChar w:fldCharType="begin"/>
                  </w:r>
                  <w:r>
                    <w:rPr>
                      <w:rFonts w:hint="default" w:ascii="Times New Roman" w:hAnsi="Times New Roman" w:eastAsia="宋体" w:cs="Times New Roman"/>
                      <w:color w:val="auto"/>
                      <w:kern w:val="0"/>
                      <w:sz w:val="18"/>
                      <w:szCs w:val="18"/>
                      <w:lang w:val="en-US" w:eastAsia="zh-CN" w:bidi="ar"/>
                    </w:rPr>
                    <w:instrText xml:space="preserve"> HYPERLINK "https://baike.baidu.com/item/84%E6%B6%88%E6%AF%92%E6%B6%B2/2512538?fromModule=lemma_inlink" \t "https://baike.baidu.com/item/%E6%AC%A1%E6%B0%AF%E9%85%B8%E9%92%A0/_blank" </w:instrText>
                  </w:r>
                  <w:r>
                    <w:rPr>
                      <w:rFonts w:hint="default" w:ascii="Times New Roman" w:hAnsi="Times New Roman" w:eastAsia="宋体" w:cs="Times New Roman"/>
                      <w:color w:val="auto"/>
                      <w:kern w:val="0"/>
                      <w:sz w:val="18"/>
                      <w:szCs w:val="18"/>
                      <w:lang w:val="en-US" w:eastAsia="zh-CN" w:bidi="ar"/>
                    </w:rPr>
                    <w:fldChar w:fldCharType="separate"/>
                  </w:r>
                  <w:r>
                    <w:rPr>
                      <w:rFonts w:hint="default" w:ascii="Times New Roman" w:hAnsi="Times New Roman" w:eastAsia="宋体" w:cs="Times New Roman"/>
                      <w:color w:val="auto"/>
                      <w:kern w:val="0"/>
                      <w:sz w:val="18"/>
                      <w:szCs w:val="18"/>
                      <w:lang w:val="en-US" w:eastAsia="zh-CN" w:bidi="ar"/>
                    </w:rPr>
                    <w:t>84消毒液</w:t>
                  </w:r>
                  <w:r>
                    <w:rPr>
                      <w:rFonts w:hint="default" w:ascii="Times New Roman" w:hAnsi="Times New Roman" w:eastAsia="宋体" w:cs="Times New Roman"/>
                      <w:color w:val="auto"/>
                      <w:kern w:val="0"/>
                      <w:sz w:val="18"/>
                      <w:szCs w:val="18"/>
                      <w:lang w:val="en-US" w:eastAsia="zh-CN" w:bidi="ar"/>
                    </w:rPr>
                    <w:fldChar w:fldCharType="end"/>
                  </w:r>
                  <w:r>
                    <w:rPr>
                      <w:rFonts w:hint="default" w:ascii="Times New Roman" w:hAnsi="Times New Roman" w:eastAsia="宋体" w:cs="Times New Roman"/>
                      <w:color w:val="auto"/>
                      <w:kern w:val="0"/>
                      <w:sz w:val="18"/>
                      <w:szCs w:val="18"/>
                      <w:lang w:val="en-US" w:eastAsia="zh-CN" w:bidi="ar"/>
                    </w:rPr>
                    <w:t>的主要成分即为次氯酸钠），还可用于污水处理（净化）、杀菌和</w:t>
                  </w:r>
                  <w:r>
                    <w:rPr>
                      <w:rFonts w:hint="default" w:ascii="Times New Roman" w:hAnsi="Times New Roman" w:eastAsia="宋体" w:cs="Times New Roman"/>
                      <w:color w:val="auto"/>
                      <w:kern w:val="0"/>
                      <w:sz w:val="18"/>
                      <w:szCs w:val="18"/>
                      <w:lang w:val="en-US" w:eastAsia="zh-CN" w:bidi="ar"/>
                    </w:rPr>
                    <w:fldChar w:fldCharType="begin"/>
                  </w:r>
                  <w:r>
                    <w:rPr>
                      <w:rFonts w:hint="default" w:ascii="Times New Roman" w:hAnsi="Times New Roman" w:eastAsia="宋体" w:cs="Times New Roman"/>
                      <w:color w:val="auto"/>
                      <w:kern w:val="0"/>
                      <w:sz w:val="18"/>
                      <w:szCs w:val="18"/>
                      <w:lang w:val="en-US" w:eastAsia="zh-CN" w:bidi="ar"/>
                    </w:rPr>
                    <w:instrText xml:space="preserve"> HYPERLINK "https://baike.baidu.com/item/%E6%9F%93%E7%BB%87/6403754?fromModule=lemma_inlink" \t "https://baike.baidu.com/item/%E6%AC%A1%E6%B0%AF%E9%85%B8%E9%92%A0/_blank" </w:instrText>
                  </w:r>
                  <w:r>
                    <w:rPr>
                      <w:rFonts w:hint="default" w:ascii="Times New Roman" w:hAnsi="Times New Roman" w:eastAsia="宋体" w:cs="Times New Roman"/>
                      <w:color w:val="auto"/>
                      <w:kern w:val="0"/>
                      <w:sz w:val="18"/>
                      <w:szCs w:val="18"/>
                      <w:lang w:val="en-US" w:eastAsia="zh-CN" w:bidi="ar"/>
                    </w:rPr>
                    <w:fldChar w:fldCharType="separate"/>
                  </w:r>
                  <w:r>
                    <w:rPr>
                      <w:rFonts w:hint="default" w:ascii="Times New Roman" w:hAnsi="Times New Roman" w:eastAsia="宋体" w:cs="Times New Roman"/>
                      <w:color w:val="auto"/>
                      <w:kern w:val="0"/>
                      <w:sz w:val="18"/>
                      <w:szCs w:val="18"/>
                      <w:lang w:val="en-US" w:eastAsia="zh-CN" w:bidi="ar"/>
                    </w:rPr>
                    <w:t>染织</w:t>
                  </w:r>
                  <w:r>
                    <w:rPr>
                      <w:rFonts w:hint="default" w:ascii="Times New Roman" w:hAnsi="Times New Roman" w:eastAsia="宋体" w:cs="Times New Roman"/>
                      <w:color w:val="auto"/>
                      <w:kern w:val="0"/>
                      <w:sz w:val="18"/>
                      <w:szCs w:val="18"/>
                      <w:lang w:val="en-US" w:eastAsia="zh-CN" w:bidi="ar"/>
                    </w:rPr>
                    <w:fldChar w:fldCharType="end"/>
                  </w:r>
                  <w:r>
                    <w:rPr>
                      <w:rFonts w:hint="default" w:ascii="Times New Roman" w:hAnsi="Times New Roman" w:eastAsia="宋体" w:cs="Times New Roman"/>
                      <w:color w:val="auto"/>
                      <w:kern w:val="0"/>
                      <w:sz w:val="18"/>
                      <w:szCs w:val="18"/>
                      <w:lang w:val="en-US" w:eastAsia="zh-CN" w:bidi="ar"/>
                    </w:rPr>
                    <w:t>等领域。</w:t>
                  </w:r>
                </w:p>
              </w:tc>
            </w:tr>
          </w:tbl>
          <w:p w14:paraId="573A18B0">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2" w:firstLineChars="200"/>
              <w:textAlignment w:val="auto"/>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5、劳动定员及工作制度</w:t>
            </w:r>
          </w:p>
          <w:p w14:paraId="7BB4B3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bCs/>
                <w:color w:val="auto"/>
                <w:kern w:val="0"/>
                <w:sz w:val="21"/>
                <w:szCs w:val="21"/>
                <w:highlight w:val="none"/>
                <w:lang w:val="en-US" w:eastAsia="zh-CN"/>
              </w:rPr>
            </w:pPr>
            <w:r>
              <w:rPr>
                <w:rFonts w:hint="eastAsia" w:cs="Times New Roman"/>
                <w:color w:val="auto"/>
                <w:kern w:val="21"/>
                <w:sz w:val="21"/>
                <w:szCs w:val="21"/>
                <w:highlight w:val="none"/>
                <w:lang w:eastAsia="zh-CN"/>
              </w:rPr>
              <w:t>本项目工作制度为每班</w:t>
            </w:r>
            <w:r>
              <w:rPr>
                <w:rFonts w:hint="eastAsia" w:cs="Times New Roman"/>
                <w:color w:val="auto"/>
                <w:kern w:val="21"/>
                <w:sz w:val="21"/>
                <w:szCs w:val="21"/>
                <w:highlight w:val="none"/>
                <w:lang w:val="en-US" w:eastAsia="zh-CN"/>
              </w:rPr>
              <w:t>24小时，休息72小时，每班在岗人数为12人</w:t>
            </w:r>
            <w:r>
              <w:rPr>
                <w:rFonts w:hint="default" w:ascii="Times New Roman" w:hAnsi="Times New Roman" w:eastAsia="宋体" w:cs="Times New Roman"/>
                <w:color w:val="auto"/>
                <w:kern w:val="21"/>
                <w:sz w:val="21"/>
                <w:szCs w:val="21"/>
                <w:highlight w:val="none"/>
                <w:lang w:val="en-US" w:eastAsia="zh-CN"/>
              </w:rPr>
              <w:t>，</w:t>
            </w:r>
            <w:r>
              <w:rPr>
                <w:rFonts w:hint="default" w:ascii="Times New Roman" w:hAnsi="Times New Roman" w:eastAsia="宋体" w:cs="Times New Roman"/>
                <w:color w:val="auto"/>
                <w:kern w:val="21"/>
                <w:sz w:val="21"/>
                <w:szCs w:val="21"/>
                <w:highlight w:val="none"/>
              </w:rPr>
              <w:t>年工作天数为</w:t>
            </w:r>
            <w:r>
              <w:rPr>
                <w:rFonts w:hint="eastAsia" w:cs="Times New Roman"/>
                <w:color w:val="auto"/>
                <w:kern w:val="21"/>
                <w:sz w:val="21"/>
                <w:szCs w:val="21"/>
                <w:highlight w:val="none"/>
                <w:lang w:val="en-US" w:eastAsia="zh-CN"/>
              </w:rPr>
              <w:t>365</w:t>
            </w:r>
            <w:r>
              <w:rPr>
                <w:rFonts w:hint="default" w:ascii="Times New Roman" w:hAnsi="Times New Roman" w:eastAsia="宋体" w:cs="Times New Roman"/>
                <w:color w:val="auto"/>
                <w:kern w:val="21"/>
                <w:sz w:val="21"/>
                <w:szCs w:val="21"/>
                <w:highlight w:val="none"/>
              </w:rPr>
              <w:t>天。</w:t>
            </w:r>
          </w:p>
          <w:p w14:paraId="04AA62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val="en-US" w:eastAsia="zh-CN"/>
              </w:rPr>
              <w:t>6</w:t>
            </w:r>
            <w:r>
              <w:rPr>
                <w:rFonts w:hint="default" w:ascii="Times New Roman" w:hAnsi="Times New Roman" w:eastAsia="宋体" w:cs="Times New Roman"/>
                <w:b/>
                <w:bCs/>
                <w:color w:val="auto"/>
                <w:kern w:val="0"/>
                <w:sz w:val="21"/>
                <w:szCs w:val="21"/>
                <w:highlight w:val="none"/>
              </w:rPr>
              <w:t>、公</w:t>
            </w:r>
            <w:r>
              <w:rPr>
                <w:rFonts w:hint="eastAsia" w:cs="Times New Roman"/>
                <w:b/>
                <w:bCs/>
                <w:color w:val="auto"/>
                <w:kern w:val="0"/>
                <w:sz w:val="21"/>
                <w:szCs w:val="21"/>
                <w:highlight w:val="none"/>
                <w:lang w:val="en-US" w:eastAsia="zh-CN"/>
              </w:rPr>
              <w:t>用</w:t>
            </w:r>
            <w:r>
              <w:rPr>
                <w:rFonts w:hint="default" w:ascii="Times New Roman" w:hAnsi="Times New Roman" w:eastAsia="宋体" w:cs="Times New Roman"/>
                <w:b/>
                <w:bCs/>
                <w:color w:val="auto"/>
                <w:kern w:val="0"/>
                <w:sz w:val="21"/>
                <w:szCs w:val="21"/>
                <w:highlight w:val="none"/>
              </w:rPr>
              <w:t>工程</w:t>
            </w:r>
          </w:p>
          <w:p w14:paraId="746A4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（1）给水</w:t>
            </w:r>
          </w:p>
          <w:p w14:paraId="3EA8BD90">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①生活用水</w:t>
            </w:r>
          </w:p>
          <w:p w14:paraId="61187831">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本项目运营期员工人数为</w:t>
            </w:r>
            <w:r>
              <w:rPr>
                <w:rFonts w:hint="eastAsia" w:cs="Times New Roman"/>
                <w:color w:val="auto"/>
                <w:sz w:val="21"/>
                <w:szCs w:val="21"/>
                <w:highlight w:val="none"/>
                <w:lang w:val="en-US" w:eastAsia="zh-CN"/>
              </w:rPr>
              <w:t>12</w:t>
            </w:r>
            <w:r>
              <w:rPr>
                <w:rFonts w:hint="default" w:ascii="Times New Roman" w:hAnsi="Times New Roman" w:cs="Times New Roman"/>
                <w:color w:val="auto"/>
                <w:sz w:val="21"/>
                <w:szCs w:val="21"/>
                <w:highlight w:val="none"/>
              </w:rPr>
              <w:t>人，职工生活用水参照《黑龙江省地方标准 用水定额》（DB23/T727-20</w:t>
            </w:r>
            <w:r>
              <w:rPr>
                <w:rFonts w:hint="default" w:ascii="Times New Roman" w:hAnsi="Times New Roman" w:cs="Times New Roman"/>
                <w:color w:val="auto"/>
                <w:sz w:val="21"/>
                <w:szCs w:val="21"/>
                <w:highlight w:val="none"/>
                <w:lang w:val="en-US" w:eastAsia="zh-CN"/>
              </w:rPr>
              <w:t>21</w:t>
            </w:r>
            <w:r>
              <w:rPr>
                <w:rFonts w:hint="default" w:ascii="Times New Roman" w:hAnsi="Times New Roman" w:cs="Times New Roman"/>
                <w:color w:val="auto"/>
                <w:sz w:val="21"/>
                <w:szCs w:val="21"/>
                <w:highlight w:val="none"/>
              </w:rPr>
              <w:t>），员工生活用水按</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0L/人·d计</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则项目生活用水量为</w:t>
            </w:r>
            <w:r>
              <w:rPr>
                <w:rFonts w:hint="eastAsia" w:cs="Times New Roman"/>
                <w:color w:val="auto"/>
                <w:sz w:val="21"/>
                <w:szCs w:val="21"/>
                <w:highlight w:val="none"/>
                <w:lang w:val="en-US" w:eastAsia="zh-CN"/>
              </w:rPr>
              <w:t>0.96</w:t>
            </w:r>
            <w:r>
              <w:rPr>
                <w:rFonts w:hint="default" w:ascii="Times New Roman" w:hAnsi="Times New Roman" w:cs="Times New Roman"/>
                <w:color w:val="auto"/>
                <w:sz w:val="21"/>
                <w:szCs w:val="21"/>
                <w:highlight w:val="none"/>
              </w:rPr>
              <w:t>t/d，</w:t>
            </w:r>
            <w:r>
              <w:rPr>
                <w:rFonts w:hint="eastAsia" w:cs="Times New Roman"/>
                <w:color w:val="auto"/>
                <w:sz w:val="21"/>
                <w:szCs w:val="21"/>
                <w:highlight w:val="none"/>
                <w:lang w:val="en-US" w:eastAsia="zh-CN"/>
              </w:rPr>
              <w:t>350.4</w:t>
            </w:r>
            <w:r>
              <w:rPr>
                <w:rFonts w:hint="default" w:ascii="Times New Roman" w:hAnsi="Times New Roman" w:cs="Times New Roman"/>
                <w:color w:val="auto"/>
                <w:sz w:val="21"/>
                <w:szCs w:val="21"/>
                <w:highlight w:val="none"/>
              </w:rPr>
              <w:t>t/a</w:t>
            </w:r>
            <w:r>
              <w:rPr>
                <w:rFonts w:hint="default" w:ascii="Times New Roman" w:hAnsi="Times New Roman" w:cs="Times New Roman"/>
                <w:color w:val="auto"/>
                <w:sz w:val="21"/>
                <w:szCs w:val="21"/>
                <w:highlight w:val="none"/>
                <w:lang w:eastAsia="zh-CN"/>
              </w:rPr>
              <w:t>。</w:t>
            </w:r>
          </w:p>
          <w:p w14:paraId="1EE6BF72">
            <w:pPr>
              <w:pStyle w:val="4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②滤池反冲洗废水</w:t>
            </w:r>
          </w:p>
          <w:p w14:paraId="284A3066">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根据《排放源统计调查产排污核算方</w:t>
            </w:r>
            <w:r>
              <w:rPr>
                <w:rFonts w:hint="eastAsia" w:ascii="宋体" w:hAnsi="宋体" w:eastAsia="宋体" w:cs="宋体"/>
                <w:color w:val="auto"/>
                <w:sz w:val="21"/>
                <w:szCs w:val="21"/>
                <w:highlight w:val="none"/>
                <w:lang w:val="en-US" w:eastAsia="zh-CN"/>
              </w:rPr>
              <w:t>法和系数手册》“</w:t>
            </w:r>
            <w:r>
              <w:rPr>
                <w:rFonts w:hint="default" w:ascii="Times New Roman" w:hAnsi="Times New Roman" w:eastAsia="宋体" w:cs="Times New Roman"/>
                <w:color w:val="auto"/>
                <w:sz w:val="21"/>
                <w:szCs w:val="21"/>
                <w:highlight w:val="none"/>
                <w:lang w:val="en-US" w:eastAsia="zh-CN"/>
              </w:rPr>
              <w:t xml:space="preserve"> 4610 </w:t>
            </w:r>
            <w:r>
              <w:rPr>
                <w:rFonts w:hint="eastAsia" w:ascii="宋体" w:hAnsi="宋体" w:eastAsia="宋体" w:cs="宋体"/>
                <w:color w:val="auto"/>
                <w:sz w:val="21"/>
                <w:szCs w:val="21"/>
                <w:highlight w:val="none"/>
                <w:lang w:val="en-US" w:eastAsia="zh-CN"/>
              </w:rPr>
              <w:t>自来水生产和供应行业系数手册”中采用混凝沉淀过滤消毒</w:t>
            </w:r>
            <w:r>
              <w:rPr>
                <w:rFonts w:hint="default" w:ascii="Times New Roman" w:hAnsi="Times New Roman" w:eastAsia="宋体" w:cs="Times New Roman"/>
                <w:color w:val="auto"/>
                <w:sz w:val="21"/>
                <w:szCs w:val="21"/>
                <w:highlight w:val="none"/>
                <w:lang w:val="en-US" w:eastAsia="zh-CN"/>
              </w:rPr>
              <w:t>工艺，日生产规模5-30万吨自来水厂的工业废水量为 4.36×10</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吨/吨-产品，本项目</w:t>
            </w:r>
            <w:r>
              <w:rPr>
                <w:rFonts w:hint="eastAsia" w:cs="Times New Roman"/>
                <w:color w:val="auto"/>
                <w:sz w:val="21"/>
                <w:szCs w:val="21"/>
                <w:highlight w:val="none"/>
                <w:lang w:val="en-US" w:eastAsia="zh-CN"/>
              </w:rPr>
              <w:t>产品产量</w:t>
            </w:r>
            <w:r>
              <w:rPr>
                <w:rFonts w:hint="default" w:ascii="Times New Roman" w:hAnsi="Times New Roman" w:eastAsia="宋体" w:cs="Times New Roman"/>
                <w:color w:val="auto"/>
                <w:sz w:val="21"/>
                <w:szCs w:val="21"/>
                <w:highlight w:val="none"/>
                <w:lang w:val="en-US" w:eastAsia="zh-CN"/>
              </w:rPr>
              <w:t>为</w:t>
            </w:r>
            <w:r>
              <w:rPr>
                <w:rFonts w:hint="eastAsia" w:cs="Times New Roman" w:eastAsiaTheme="minorEastAsia"/>
                <w:color w:val="auto"/>
                <w:sz w:val="21"/>
                <w:szCs w:val="21"/>
                <w:highlight w:val="none"/>
                <w:vertAlign w:val="baseline"/>
                <w:lang w:val="en-US" w:eastAsia="zh-CN"/>
              </w:rPr>
              <w:t>76511.04</w:t>
            </w:r>
            <w:r>
              <w:rPr>
                <w:rFonts w:hint="default" w:ascii="Times New Roman" w:hAnsi="Times New Roman" w:eastAsia="宋体" w:cs="Times New Roman"/>
                <w:color w:val="auto"/>
                <w:sz w:val="21"/>
                <w:szCs w:val="21"/>
                <w:highlight w:val="none"/>
                <w:lang w:val="en-US" w:eastAsia="zh-CN"/>
              </w:rPr>
              <w:t>t/d，则废水产生量为3</w:t>
            </w:r>
            <w:r>
              <w:rPr>
                <w:rFonts w:hint="eastAsia" w:cs="Times New Roman"/>
                <w:color w:val="auto"/>
                <w:sz w:val="21"/>
                <w:szCs w:val="21"/>
                <w:highlight w:val="none"/>
                <w:lang w:val="en-US" w:eastAsia="zh-CN"/>
              </w:rPr>
              <w:t>336</w:t>
            </w:r>
            <w:r>
              <w:rPr>
                <w:rFonts w:hint="default" w:ascii="Times New Roman" w:hAnsi="Times New Roman" w:eastAsia="宋体" w:cs="Times New Roman"/>
                <w:color w:val="auto"/>
                <w:sz w:val="21"/>
                <w:szCs w:val="21"/>
                <w:highlight w:val="none"/>
                <w:lang w:val="en-US" w:eastAsia="zh-CN"/>
              </w:rPr>
              <w:t>t/d（12</w:t>
            </w:r>
            <w:r>
              <w:rPr>
                <w:rFonts w:hint="eastAsia" w:cs="Times New Roman"/>
                <w:color w:val="auto"/>
                <w:sz w:val="21"/>
                <w:szCs w:val="21"/>
                <w:highlight w:val="none"/>
                <w:lang w:val="en-US" w:eastAsia="zh-CN"/>
              </w:rPr>
              <w:t>17640</w:t>
            </w:r>
            <w:r>
              <w:rPr>
                <w:rFonts w:hint="default" w:ascii="Times New Roman" w:hAnsi="Times New Roman" w:eastAsia="宋体" w:cs="Times New Roman"/>
                <w:color w:val="auto"/>
                <w:sz w:val="21"/>
                <w:szCs w:val="21"/>
                <w:highlight w:val="none"/>
                <w:lang w:val="en-US" w:eastAsia="zh-CN"/>
              </w:rPr>
              <w:t>t/a）。根据论文《自来水厂滤池反冲洗水的回用》，滤池反冲洗水一般为沉淀池排泥水的5～10倍，本项目取8倍，排泥水的产生量为3</w:t>
            </w:r>
            <w:r>
              <w:rPr>
                <w:rFonts w:hint="eastAsia" w:cs="Times New Roman"/>
                <w:color w:val="auto"/>
                <w:sz w:val="21"/>
                <w:szCs w:val="21"/>
                <w:highlight w:val="none"/>
                <w:lang w:val="en-US" w:eastAsia="zh-CN"/>
              </w:rPr>
              <w:t>70</w:t>
            </w:r>
            <w:r>
              <w:rPr>
                <w:rFonts w:hint="default" w:ascii="Times New Roman" w:hAnsi="Times New Roman" w:eastAsia="宋体" w:cs="Times New Roman"/>
                <w:color w:val="auto"/>
                <w:sz w:val="21"/>
                <w:szCs w:val="21"/>
                <w:highlight w:val="none"/>
                <w:lang w:val="en-US" w:eastAsia="zh-CN"/>
              </w:rPr>
              <w:t>t/d，滤池反冲洗水用量为</w:t>
            </w:r>
            <w:r>
              <w:rPr>
                <w:rFonts w:hint="eastAsia" w:cs="Times New Roman"/>
                <w:color w:val="auto"/>
                <w:sz w:val="21"/>
                <w:szCs w:val="21"/>
                <w:highlight w:val="none"/>
                <w:lang w:val="en-US" w:eastAsia="zh-CN"/>
              </w:rPr>
              <w:t>2966</w:t>
            </w:r>
            <w:r>
              <w:rPr>
                <w:rFonts w:hint="default" w:ascii="Times New Roman" w:hAnsi="Times New Roman" w:eastAsia="宋体" w:cs="Times New Roman"/>
                <w:color w:val="auto"/>
                <w:sz w:val="21"/>
                <w:szCs w:val="21"/>
                <w:highlight w:val="none"/>
                <w:lang w:val="en-US" w:eastAsia="zh-CN"/>
              </w:rPr>
              <w:t>t/d（</w:t>
            </w:r>
            <w:r>
              <w:rPr>
                <w:rFonts w:hint="eastAsia" w:cs="Times New Roman"/>
                <w:color w:val="auto"/>
                <w:sz w:val="21"/>
                <w:szCs w:val="21"/>
                <w:highlight w:val="none"/>
                <w:lang w:val="en-US" w:eastAsia="zh-CN"/>
              </w:rPr>
              <w:t>1082590</w:t>
            </w:r>
            <w:r>
              <w:rPr>
                <w:rFonts w:hint="default" w:ascii="Times New Roman" w:hAnsi="Times New Roman" w:eastAsia="宋体" w:cs="Times New Roman"/>
                <w:color w:val="auto"/>
                <w:sz w:val="21"/>
                <w:szCs w:val="21"/>
                <w:highlight w:val="none"/>
                <w:lang w:val="en-US" w:eastAsia="zh-CN"/>
              </w:rPr>
              <w:t>t/a）。</w:t>
            </w:r>
          </w:p>
          <w:p w14:paraId="77603EEC">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（2）排水</w:t>
            </w:r>
          </w:p>
          <w:p w14:paraId="2233E1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①生活污水</w:t>
            </w:r>
          </w:p>
          <w:p w14:paraId="7D7D12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eastAsia" w:cs="Times New Roman"/>
                <w:bCs/>
                <w:color w:val="auto"/>
                <w:sz w:val="21"/>
                <w:szCs w:val="21"/>
                <w:highlight w:val="none"/>
                <w:lang w:eastAsia="zh-CN"/>
              </w:rPr>
              <w:t>生活污水按用水的</w:t>
            </w:r>
            <w:r>
              <w:rPr>
                <w:rFonts w:hint="eastAsia" w:cs="Times New Roman"/>
                <w:bCs/>
                <w:color w:val="auto"/>
                <w:sz w:val="21"/>
                <w:szCs w:val="21"/>
                <w:highlight w:val="none"/>
                <w:lang w:val="en-US" w:eastAsia="zh-CN"/>
              </w:rPr>
              <w:t>80%计，则本项目生活污水排水量为0.768</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280.32</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eastAsia" w:cs="Times New Roman"/>
                <w:color w:val="auto"/>
                <w:sz w:val="21"/>
                <w:szCs w:val="21"/>
                <w:highlight w:val="none"/>
                <w:lang w:eastAsia="zh-CN"/>
              </w:rPr>
              <w:t>。</w:t>
            </w:r>
          </w:p>
          <w:p w14:paraId="6DA961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②滤池反冲洗废水</w:t>
            </w:r>
          </w:p>
          <w:p w14:paraId="60790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滤池反冲洗水回收至配水间与原水混合回用，不外排。</w:t>
            </w:r>
          </w:p>
          <w:p w14:paraId="5A694E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③排泥水上清液</w:t>
            </w:r>
          </w:p>
          <w:p w14:paraId="4E0C0714">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 xml:space="preserve">根据《排放源统计调查产排污核算方法和系数手册》“ </w:t>
            </w:r>
            <w:r>
              <w:rPr>
                <w:rFonts w:hint="default" w:ascii="Times New Roman" w:hAnsi="Times New Roman" w:cs="Times New Roman"/>
                <w:color w:val="auto"/>
                <w:sz w:val="21"/>
                <w:szCs w:val="21"/>
                <w:highlight w:val="none"/>
                <w:lang w:val="en-US" w:eastAsia="zh-CN"/>
              </w:rPr>
              <w:t xml:space="preserve">4610 </w:t>
            </w:r>
            <w:r>
              <w:rPr>
                <w:rFonts w:hint="eastAsia" w:ascii="Times New Roman" w:hAnsi="Times New Roman" w:cs="Times New Roman"/>
                <w:color w:val="auto"/>
                <w:sz w:val="21"/>
                <w:szCs w:val="21"/>
                <w:highlight w:val="none"/>
                <w:lang w:val="en-US" w:eastAsia="zh-CN"/>
              </w:rPr>
              <w:t>自来水生产和供应行业系数手册”中采用混凝沉淀过滤消毒工艺，日生产规模</w:t>
            </w:r>
            <w:r>
              <w:rPr>
                <w:rFonts w:hint="default" w:ascii="Times New Roman" w:hAnsi="Times New Roman" w:cs="Times New Roman"/>
                <w:color w:val="auto"/>
                <w:sz w:val="21"/>
                <w:szCs w:val="21"/>
                <w:highlight w:val="none"/>
                <w:lang w:val="en-US" w:eastAsia="zh-CN"/>
              </w:rPr>
              <w:t>5</w:t>
            </w:r>
            <w:r>
              <w:rPr>
                <w:rFonts w:hint="eastAsia" w:cs="Times New Roman"/>
                <w:color w:val="auto"/>
                <w:sz w:val="21"/>
                <w:szCs w:val="21"/>
                <w:highlight w:val="none"/>
                <w:lang w:val="en-US" w:eastAsia="zh-CN"/>
              </w:rPr>
              <w:t>-30</w:t>
            </w:r>
            <w:r>
              <w:rPr>
                <w:rFonts w:hint="eastAsia" w:ascii="Times New Roman" w:hAnsi="Times New Roman" w:cs="Times New Roman"/>
                <w:color w:val="auto"/>
                <w:sz w:val="21"/>
                <w:szCs w:val="21"/>
                <w:highlight w:val="none"/>
                <w:lang w:val="en-US" w:eastAsia="zh-CN"/>
              </w:rPr>
              <w:t xml:space="preserve">万吨自来水厂的工业废水量为 </w:t>
            </w:r>
            <w:r>
              <w:rPr>
                <w:rFonts w:hint="eastAsia" w:cs="Times New Roman"/>
                <w:color w:val="auto"/>
                <w:sz w:val="21"/>
                <w:szCs w:val="21"/>
                <w:highlight w:val="none"/>
                <w:lang w:val="en-US" w:eastAsia="zh-CN"/>
              </w:rPr>
              <w:t>4.36</w:t>
            </w: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val="en-US" w:eastAsia="zh-CN"/>
              </w:rPr>
              <w:t>吨</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吨</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产品，</w:t>
            </w: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产品产量</w:t>
            </w:r>
            <w:r>
              <w:rPr>
                <w:rFonts w:hint="default" w:ascii="Times New Roman" w:hAnsi="Times New Roman" w:eastAsia="宋体" w:cs="Times New Roman"/>
                <w:color w:val="auto"/>
                <w:sz w:val="21"/>
                <w:szCs w:val="21"/>
                <w:highlight w:val="none"/>
                <w:lang w:val="en-US" w:eastAsia="zh-CN"/>
              </w:rPr>
              <w:t>为</w:t>
            </w:r>
            <w:r>
              <w:rPr>
                <w:rFonts w:hint="eastAsia" w:cs="Times New Roman" w:eastAsiaTheme="minorEastAsia"/>
                <w:color w:val="auto"/>
                <w:sz w:val="21"/>
                <w:szCs w:val="21"/>
                <w:highlight w:val="none"/>
                <w:vertAlign w:val="baseline"/>
                <w:lang w:val="en-US" w:eastAsia="zh-CN"/>
              </w:rPr>
              <w:t>76511.04</w:t>
            </w:r>
            <w:r>
              <w:rPr>
                <w:rFonts w:hint="default" w:ascii="Times New Roman" w:hAnsi="Times New Roman" w:eastAsia="宋体" w:cs="Times New Roman"/>
                <w:color w:val="auto"/>
                <w:sz w:val="21"/>
                <w:szCs w:val="21"/>
                <w:highlight w:val="none"/>
                <w:lang w:val="en-US" w:eastAsia="zh-CN"/>
              </w:rPr>
              <w:t>t/d</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则废水产生量为3</w:t>
            </w:r>
            <w:r>
              <w:rPr>
                <w:rFonts w:hint="eastAsia" w:cs="Times New Roman"/>
                <w:color w:val="auto"/>
                <w:sz w:val="21"/>
                <w:szCs w:val="21"/>
                <w:highlight w:val="none"/>
                <w:lang w:val="en-US" w:eastAsia="zh-CN"/>
              </w:rPr>
              <w:t>336</w:t>
            </w:r>
            <w:r>
              <w:rPr>
                <w:rFonts w:hint="default" w:ascii="Times New Roman" w:hAnsi="Times New Roman" w:eastAsia="宋体" w:cs="Times New Roman"/>
                <w:color w:val="auto"/>
                <w:sz w:val="21"/>
                <w:szCs w:val="21"/>
                <w:highlight w:val="none"/>
                <w:lang w:val="en-US" w:eastAsia="zh-CN"/>
              </w:rPr>
              <w:t>t/d（12</w:t>
            </w:r>
            <w:r>
              <w:rPr>
                <w:rFonts w:hint="eastAsia" w:cs="Times New Roman"/>
                <w:color w:val="auto"/>
                <w:sz w:val="21"/>
                <w:szCs w:val="21"/>
                <w:highlight w:val="none"/>
                <w:lang w:val="en-US" w:eastAsia="zh-CN"/>
              </w:rPr>
              <w:t>17640</w:t>
            </w:r>
            <w:r>
              <w:rPr>
                <w:rFonts w:hint="default" w:ascii="Times New Roman" w:hAnsi="Times New Roman" w:eastAsia="宋体" w:cs="Times New Roman"/>
                <w:color w:val="auto"/>
                <w:sz w:val="21"/>
                <w:szCs w:val="21"/>
                <w:highlight w:val="none"/>
                <w:lang w:val="en-US" w:eastAsia="zh-CN"/>
              </w:rPr>
              <w:t>t/a）。</w:t>
            </w:r>
            <w:r>
              <w:rPr>
                <w:rFonts w:hint="eastAsia" w:ascii="Times New Roman" w:hAnsi="Times New Roman" w:cs="Times New Roman"/>
                <w:color w:val="auto"/>
                <w:sz w:val="21"/>
                <w:szCs w:val="21"/>
                <w:highlight w:val="none"/>
                <w:lang w:val="en-US" w:eastAsia="zh-CN"/>
              </w:rPr>
              <w:t>根据论文《自来水厂滤池反冲洗水的回用》，滤池反冲洗水一般为沉淀池排泥水的</w:t>
            </w:r>
            <w:r>
              <w:rPr>
                <w:rFonts w:hint="default" w:ascii="Times New Roman" w:hAnsi="Times New Roman" w:cs="Times New Roman"/>
                <w:color w:val="auto"/>
                <w:sz w:val="21"/>
                <w:szCs w:val="21"/>
                <w:highlight w:val="none"/>
                <w:lang w:val="en-US" w:eastAsia="zh-CN"/>
              </w:rPr>
              <w:t>5</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10</w:t>
            </w:r>
            <w:r>
              <w:rPr>
                <w:rFonts w:hint="eastAsia" w:ascii="Times New Roman" w:hAnsi="Times New Roman" w:cs="Times New Roman"/>
                <w:color w:val="auto"/>
                <w:sz w:val="21"/>
                <w:szCs w:val="21"/>
                <w:highlight w:val="none"/>
                <w:lang w:val="en-US" w:eastAsia="zh-CN"/>
              </w:rPr>
              <w:t>倍，本项目取</w:t>
            </w:r>
            <w:r>
              <w:rPr>
                <w:rFonts w:hint="default" w:ascii="Times New Roman" w:hAnsi="Times New Roman" w:cs="Times New Roman"/>
                <w:color w:val="auto"/>
                <w:sz w:val="21"/>
                <w:szCs w:val="21"/>
                <w:highlight w:val="none"/>
                <w:lang w:val="en-US" w:eastAsia="zh-CN"/>
              </w:rPr>
              <w:t>8</w:t>
            </w:r>
            <w:r>
              <w:rPr>
                <w:rFonts w:hint="eastAsia" w:ascii="Times New Roman" w:hAnsi="Times New Roman" w:cs="Times New Roman"/>
                <w:color w:val="auto"/>
                <w:sz w:val="21"/>
                <w:szCs w:val="21"/>
                <w:highlight w:val="none"/>
                <w:lang w:val="en-US" w:eastAsia="zh-CN"/>
              </w:rPr>
              <w:t>倍，</w:t>
            </w:r>
            <w:r>
              <w:rPr>
                <w:rFonts w:hint="eastAsia" w:cs="Times New Roman"/>
                <w:color w:val="auto"/>
                <w:sz w:val="21"/>
                <w:szCs w:val="21"/>
                <w:highlight w:val="none"/>
                <w:lang w:val="en-US" w:eastAsia="zh-CN"/>
              </w:rPr>
              <w:t>则</w:t>
            </w:r>
            <w:r>
              <w:rPr>
                <w:rFonts w:hint="default" w:ascii="Times New Roman" w:hAnsi="Times New Roman" w:eastAsia="宋体" w:cs="Times New Roman"/>
                <w:color w:val="auto"/>
                <w:sz w:val="21"/>
                <w:szCs w:val="21"/>
                <w:highlight w:val="none"/>
                <w:lang w:val="en-US" w:eastAsia="zh-CN"/>
              </w:rPr>
              <w:t>排泥水的产生量为3</w:t>
            </w:r>
            <w:r>
              <w:rPr>
                <w:rFonts w:hint="eastAsia" w:cs="Times New Roman"/>
                <w:color w:val="auto"/>
                <w:sz w:val="21"/>
                <w:szCs w:val="21"/>
                <w:highlight w:val="none"/>
                <w:lang w:val="en-US" w:eastAsia="zh-CN"/>
              </w:rPr>
              <w:t>70</w:t>
            </w:r>
            <w:r>
              <w:rPr>
                <w:rFonts w:hint="default" w:ascii="Times New Roman" w:hAnsi="Times New Roman" w:eastAsia="宋体" w:cs="Times New Roman"/>
                <w:color w:val="auto"/>
                <w:sz w:val="21"/>
                <w:szCs w:val="21"/>
                <w:highlight w:val="none"/>
                <w:lang w:val="en-US" w:eastAsia="zh-CN"/>
              </w:rPr>
              <w:t>t/d</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排泥水</w:t>
            </w:r>
            <w:r>
              <w:rPr>
                <w:rFonts w:hint="eastAsia" w:cs="Times New Roman"/>
                <w:color w:val="auto"/>
                <w:sz w:val="21"/>
                <w:szCs w:val="21"/>
                <w:highlight w:val="none"/>
                <w:lang w:val="en-US" w:eastAsia="zh-CN"/>
              </w:rPr>
              <w:t>经污泥处理间絮凝、压滤处理后满足</w:t>
            </w:r>
            <w:r>
              <w:rPr>
                <w:rFonts w:hint="eastAsia" w:cs="Times New Roman"/>
                <w:color w:val="auto"/>
                <w:spacing w:val="0"/>
                <w:sz w:val="21"/>
                <w:szCs w:val="21"/>
                <w:highlight w:val="none"/>
                <w:lang w:val="en-US" w:eastAsia="zh-CN"/>
              </w:rPr>
              <w:t>《地表水环境质量标准》（GB3838-2002）表1中三类标准、悬浮物满足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（GB8978-1996）一级标准，排放至穆棱河，根据建设单位提供信息，污泥量约为8t/d，则排泥水上清液为362t/d。</w:t>
            </w:r>
          </w:p>
          <w:p w14:paraId="5FF73CD3">
            <w:pPr>
              <w:pStyle w:val="13"/>
              <w:keepNext w:val="0"/>
              <w:keepLines w:val="0"/>
              <w:suppressLineNumbers w:val="0"/>
              <w:spacing w:before="0" w:beforeAutospacing="0" w:after="0" w:afterAutospacing="0"/>
              <w:ind w:left="0" w:right="0"/>
              <w:jc w:val="center"/>
              <w:rPr>
                <w:rFonts w:hint="default"/>
                <w:color w:val="auto"/>
                <w:highlight w:val="none"/>
              </w:rPr>
            </w:pPr>
            <w:r>
              <w:rPr>
                <w:rFonts w:hint="default"/>
              </w:rPr>
              <w:drawing>
                <wp:inline distT="0" distB="0" distL="114300" distR="114300">
                  <wp:extent cx="5241290" cy="3214370"/>
                  <wp:effectExtent l="0" t="0" r="16510" b="508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10"/>
                          <a:stretch>
                            <a:fillRect/>
                          </a:stretch>
                        </pic:blipFill>
                        <pic:spPr>
                          <a:xfrm>
                            <a:off x="0" y="0"/>
                            <a:ext cx="5241290" cy="3214370"/>
                          </a:xfrm>
                          <a:prstGeom prst="rect">
                            <a:avLst/>
                          </a:prstGeom>
                          <a:noFill/>
                          <a:ln>
                            <a:noFill/>
                          </a:ln>
                        </pic:spPr>
                      </pic:pic>
                    </a:graphicData>
                  </a:graphic>
                </wp:inline>
              </w:drawing>
            </w:r>
          </w:p>
          <w:p w14:paraId="408BE90A">
            <w:pPr>
              <w:pStyle w:val="35"/>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图2-</w:t>
            </w:r>
            <w:r>
              <w:rPr>
                <w:rFonts w:hint="eastAsia" w:cs="Times New Roman"/>
                <w:b/>
                <w:bCs/>
                <w:snapToGrid w:val="0"/>
                <w:color w:val="auto"/>
                <w:sz w:val="21"/>
                <w:szCs w:val="21"/>
                <w:highlight w:val="none"/>
                <w:lang w:val="en-US" w:eastAsia="zh-CN"/>
              </w:rPr>
              <w:t>1</w:t>
            </w:r>
            <w:r>
              <w:rPr>
                <w:rFonts w:hint="default" w:ascii="Times New Roman" w:hAnsi="Times New Roman" w:eastAsia="宋体" w:cs="Times New Roman"/>
                <w:b/>
                <w:bCs/>
                <w:snapToGrid w:val="0"/>
                <w:color w:val="auto"/>
                <w:sz w:val="21"/>
                <w:szCs w:val="21"/>
                <w:highlight w:val="none"/>
              </w:rPr>
              <w:t>本项目水平衡图（单位：</w:t>
            </w:r>
            <w:r>
              <w:rPr>
                <w:rFonts w:hint="default" w:ascii="Times New Roman" w:hAnsi="Times New Roman" w:eastAsia="宋体" w:cs="Times New Roman"/>
                <w:b/>
                <w:bCs/>
                <w:snapToGrid w:val="0"/>
                <w:color w:val="auto"/>
                <w:sz w:val="21"/>
                <w:szCs w:val="21"/>
                <w:highlight w:val="none"/>
                <w:lang w:val="en-US" w:eastAsia="zh-CN"/>
              </w:rPr>
              <w:t>t</w:t>
            </w:r>
            <w:r>
              <w:rPr>
                <w:rFonts w:hint="default" w:ascii="Times New Roman" w:hAnsi="Times New Roman" w:eastAsia="宋体" w:cs="Times New Roman"/>
                <w:b/>
                <w:bCs/>
                <w:snapToGrid w:val="0"/>
                <w:color w:val="auto"/>
                <w:sz w:val="21"/>
                <w:szCs w:val="21"/>
                <w:highlight w:val="none"/>
              </w:rPr>
              <w:t>/</w:t>
            </w:r>
            <w:r>
              <w:rPr>
                <w:rFonts w:hint="eastAsia" w:cs="Times New Roman"/>
                <w:b/>
                <w:bCs/>
                <w:snapToGrid w:val="0"/>
                <w:color w:val="auto"/>
                <w:sz w:val="21"/>
                <w:szCs w:val="21"/>
                <w:highlight w:val="none"/>
                <w:lang w:val="en-US" w:eastAsia="zh-CN"/>
              </w:rPr>
              <w:t>d</w:t>
            </w:r>
            <w:r>
              <w:rPr>
                <w:rFonts w:hint="default" w:ascii="Times New Roman" w:hAnsi="Times New Roman" w:eastAsia="宋体" w:cs="Times New Roman"/>
                <w:b/>
                <w:bCs/>
                <w:snapToGrid w:val="0"/>
                <w:color w:val="auto"/>
                <w:sz w:val="21"/>
                <w:szCs w:val="21"/>
                <w:highlight w:val="none"/>
              </w:rPr>
              <w:t>）</w:t>
            </w:r>
          </w:p>
          <w:p w14:paraId="1EC9B2C3">
            <w:pPr>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cs="Times New Roman"/>
                <w:color w:val="auto"/>
                <w:szCs w:val="21"/>
                <w:highlight w:val="none"/>
                <w:lang w:eastAsia="zh-CN"/>
              </w:rPr>
              <w:t>（</w:t>
            </w:r>
            <w:r>
              <w:rPr>
                <w:rFonts w:hint="default" w:cs="Times New Roman"/>
                <w:color w:val="auto"/>
                <w:szCs w:val="21"/>
                <w:highlight w:val="none"/>
                <w:lang w:val="en-US" w:eastAsia="zh-CN"/>
              </w:rPr>
              <w:t>3）</w:t>
            </w:r>
            <w:r>
              <w:rPr>
                <w:rFonts w:hint="default" w:ascii="Times New Roman" w:hAnsi="Times New Roman" w:cs="Times New Roman"/>
                <w:color w:val="auto"/>
                <w:szCs w:val="21"/>
                <w:highlight w:val="none"/>
              </w:rPr>
              <w:t>供热</w:t>
            </w:r>
            <w:r>
              <w:rPr>
                <w:rFonts w:hint="default" w:cs="Times New Roman"/>
                <w:color w:val="auto"/>
                <w:szCs w:val="21"/>
                <w:highlight w:val="none"/>
                <w:lang w:val="en-US" w:eastAsia="zh-CN"/>
              </w:rPr>
              <w:t>供暖</w:t>
            </w:r>
            <w:r>
              <w:rPr>
                <w:rFonts w:hint="default" w:ascii="Times New Roman" w:hAnsi="Times New Roman" w:cs="Times New Roman"/>
                <w:color w:val="auto"/>
                <w:szCs w:val="21"/>
                <w:highlight w:val="none"/>
              </w:rPr>
              <w:t>：</w:t>
            </w:r>
          </w:p>
          <w:p w14:paraId="0EFCC661">
            <w:pPr>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eastAsia"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生产不用热，生产车间及综合楼采用电锅炉供暖</w:t>
            </w:r>
            <w:r>
              <w:rPr>
                <w:rFonts w:hint="default" w:ascii="Times New Roman" w:hAnsi="Times New Roman" w:cs="Times New Roman"/>
                <w:bCs w:val="0"/>
                <w:color w:val="auto"/>
                <w:sz w:val="21"/>
                <w:szCs w:val="21"/>
                <w:highlight w:val="none"/>
              </w:rPr>
              <w:t>。</w:t>
            </w:r>
            <w:r>
              <w:rPr>
                <w:rFonts w:hint="eastAsia" w:cs="Times New Roman"/>
                <w:bCs w:val="0"/>
                <w:color w:val="auto"/>
                <w:sz w:val="21"/>
                <w:szCs w:val="21"/>
                <w:highlight w:val="none"/>
                <w:lang w:val="en-US" w:eastAsia="zh-CN"/>
              </w:rPr>
              <w:t xml:space="preserve"> </w:t>
            </w:r>
          </w:p>
          <w:p w14:paraId="154A03A5">
            <w:pPr>
              <w:pStyle w:val="12"/>
              <w:keepNext w:val="0"/>
              <w:keepLines w:val="0"/>
              <w:pageBreakBefore w:val="0"/>
              <w:widowControl/>
              <w:suppressLineNumbers w:val="0"/>
              <w:kinsoku/>
              <w:wordWrap/>
              <w:overflowPunct/>
              <w:topLinePunct w:val="0"/>
              <w:autoSpaceDE/>
              <w:autoSpaceDN/>
              <w:bidi w:val="0"/>
              <w:snapToGrid/>
              <w:spacing w:before="0" w:beforeAutospacing="0" w:after="0" w:afterAutospacing="0" w:line="360" w:lineRule="auto"/>
              <w:ind w:left="0" w:right="0" w:firstLine="422" w:firstLineChars="200"/>
              <w:jc w:val="both"/>
              <w:textAlignment w:val="auto"/>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lang w:val="en-US" w:eastAsia="zh-CN"/>
              </w:rPr>
              <w:t>7</w:t>
            </w:r>
            <w:r>
              <w:rPr>
                <w:rFonts w:hint="default" w:ascii="Times New Roman" w:hAnsi="Times New Roman" w:cs="Times New Roman"/>
                <w:b/>
                <w:bCs/>
                <w:color w:val="auto"/>
                <w:kern w:val="21"/>
                <w:sz w:val="21"/>
                <w:szCs w:val="21"/>
                <w:highlight w:val="none"/>
              </w:rPr>
              <w:t>、本项目平面布置</w:t>
            </w:r>
          </w:p>
          <w:p w14:paraId="7C9E7F9D">
            <w:pPr>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lang w:val="en-US" w:eastAsia="zh-CN"/>
              </w:rPr>
              <w:t>采用工艺流程就近原则合理布置。厂区出入口满足消防及运输车辆的通行，出入口处有供人员集散用的空地。同时按照建筑环境关系的原则，对建筑布局、道路、绿化进行了综合性的场地设计</w:t>
            </w:r>
            <w:r>
              <w:rPr>
                <w:rFonts w:hint="eastAsia" w:ascii="Times New Roman" w:hAnsi="Times New Roman" w:cs="Times New Roman"/>
                <w:color w:val="auto"/>
                <w:sz w:val="21"/>
                <w:szCs w:val="21"/>
                <w:highlight w:val="none"/>
                <w:lang w:val="en-US" w:eastAsia="zh-CN"/>
              </w:rPr>
              <w:t>，出入口位于厂区南侧，连接兴国西路，厂区入口向北侧依次为给水泵房、净水间、深度处理车间</w:t>
            </w:r>
            <w:r>
              <w:rPr>
                <w:rFonts w:hint="default" w:ascii="Times New Roman" w:hAnsi="Times New Roman" w:cs="Times New Roman"/>
                <w:color w:val="auto"/>
                <w:sz w:val="21"/>
                <w:szCs w:val="21"/>
                <w:highlight w:val="none"/>
                <w:lang w:val="en-US" w:eastAsia="zh-CN"/>
              </w:rPr>
              <w:t>。</w:t>
            </w:r>
          </w:p>
          <w:p w14:paraId="33BE18C9">
            <w:pPr>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color w:val="auto"/>
                <w:lang w:val="en-US" w:eastAsia="zh-CN"/>
              </w:rPr>
            </w:pPr>
            <w:r>
              <w:rPr>
                <w:rFonts w:hint="default" w:ascii="Times New Roman" w:hAnsi="Times New Roman" w:cs="Times New Roman"/>
                <w:color w:val="auto"/>
                <w:sz w:val="21"/>
                <w:szCs w:val="21"/>
                <w:highlight w:val="none"/>
                <w:lang w:val="en-US" w:eastAsia="zh-CN"/>
              </w:rPr>
              <w:t>厂区布置力求实用、便捷、规整、美观，充分满足本项目的实际需求。本项目综合考虑厂区供电等基础设施的建设，生产流程顺畅，物流运输路线合理，满足消防安全等要求。厂区平面布置功能区明确，交通便利，建筑构筑物布置规范，本项目平面布置合理。</w:t>
            </w:r>
          </w:p>
          <w:p w14:paraId="167F9789">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auto"/>
                <w:sz w:val="21"/>
                <w:szCs w:val="21"/>
                <w:highlight w:val="none"/>
              </w:rPr>
            </w:pPr>
            <w:r>
              <w:rPr>
                <w:rFonts w:hint="eastAsia" w:cs="Times New Roman"/>
                <w:b/>
                <w:color w:val="auto"/>
                <w:kern w:val="0"/>
                <w:sz w:val="21"/>
                <w:szCs w:val="21"/>
                <w:highlight w:val="none"/>
                <w:lang w:val="en-US" w:eastAsia="zh-CN" w:bidi="ar"/>
              </w:rPr>
              <w:t>8</w:t>
            </w:r>
            <w:r>
              <w:rPr>
                <w:rFonts w:hint="default" w:ascii="Times New Roman" w:hAnsi="Times New Roman" w:cs="Times New Roman"/>
                <w:b/>
                <w:color w:val="auto"/>
                <w:kern w:val="0"/>
                <w:sz w:val="21"/>
                <w:szCs w:val="21"/>
                <w:highlight w:val="none"/>
                <w:lang w:bidi="ar"/>
              </w:rPr>
              <w:t>、环保投资</w:t>
            </w:r>
          </w:p>
          <w:p w14:paraId="2A48894D">
            <w:pPr>
              <w:keepNext w:val="0"/>
              <w:keepLines w:val="0"/>
              <w:widowControl/>
              <w:suppressLineNumbers w:val="0"/>
              <w:spacing w:before="0" w:beforeAutospacing="0" w:after="0" w:afterAutospacing="0" w:line="360" w:lineRule="auto"/>
              <w:ind w:left="0" w:right="0" w:firstLine="420" w:firstLineChars="200"/>
              <w:rPr>
                <w:rFonts w:hint="default"/>
                <w:b/>
                <w:color w:val="auto"/>
                <w:sz w:val="21"/>
                <w:szCs w:val="21"/>
                <w:highlight w:val="none"/>
              </w:rPr>
            </w:pPr>
            <w:r>
              <w:rPr>
                <w:rFonts w:hint="default"/>
                <w:color w:val="auto"/>
                <w:sz w:val="21"/>
                <w:szCs w:val="21"/>
                <w:highlight w:val="none"/>
              </w:rPr>
              <w:t>本项目总投资</w:t>
            </w:r>
            <w:r>
              <w:rPr>
                <w:rFonts w:hint="eastAsia"/>
                <w:color w:val="auto"/>
                <w:szCs w:val="21"/>
                <w:highlight w:val="none"/>
                <w:lang w:val="en-US" w:eastAsia="zh-CN"/>
              </w:rPr>
              <w:t>12813.91</w:t>
            </w:r>
            <w:r>
              <w:rPr>
                <w:rFonts w:hint="default"/>
                <w:color w:val="auto"/>
                <w:sz w:val="21"/>
                <w:szCs w:val="21"/>
                <w:highlight w:val="none"/>
              </w:rPr>
              <w:t>万元，其中环保投资</w:t>
            </w:r>
            <w:r>
              <w:rPr>
                <w:rFonts w:hint="eastAsia"/>
                <w:color w:val="auto"/>
                <w:sz w:val="21"/>
                <w:szCs w:val="21"/>
                <w:highlight w:val="none"/>
                <w:lang w:val="en-US" w:eastAsia="zh-CN"/>
              </w:rPr>
              <w:t>12</w:t>
            </w:r>
            <w:r>
              <w:rPr>
                <w:rFonts w:hint="default"/>
                <w:color w:val="auto"/>
                <w:sz w:val="21"/>
                <w:szCs w:val="21"/>
                <w:highlight w:val="none"/>
              </w:rPr>
              <w:t>万元，占总投资的</w:t>
            </w:r>
            <w:r>
              <w:rPr>
                <w:rFonts w:hint="eastAsia"/>
                <w:color w:val="auto"/>
                <w:sz w:val="21"/>
                <w:szCs w:val="21"/>
                <w:highlight w:val="none"/>
                <w:lang w:val="en-US" w:eastAsia="zh-CN"/>
              </w:rPr>
              <w:t>0.09%</w:t>
            </w:r>
            <w:r>
              <w:rPr>
                <w:rFonts w:hint="default"/>
                <w:color w:val="auto"/>
                <w:sz w:val="21"/>
                <w:szCs w:val="21"/>
                <w:highlight w:val="none"/>
              </w:rPr>
              <w:t>，详见表2-</w:t>
            </w:r>
            <w:r>
              <w:rPr>
                <w:rFonts w:hint="eastAsia"/>
                <w:color w:val="auto"/>
                <w:sz w:val="21"/>
                <w:szCs w:val="21"/>
                <w:highlight w:val="none"/>
                <w:lang w:val="en-US" w:eastAsia="zh-CN"/>
              </w:rPr>
              <w:t>8</w:t>
            </w:r>
            <w:r>
              <w:rPr>
                <w:rFonts w:hint="default"/>
                <w:color w:val="auto"/>
                <w:sz w:val="21"/>
                <w:szCs w:val="21"/>
                <w:highlight w:val="none"/>
              </w:rPr>
              <w:t>。</w:t>
            </w:r>
          </w:p>
          <w:p w14:paraId="37DDC33E">
            <w:pPr>
              <w:keepNext w:val="0"/>
              <w:keepLines w:val="0"/>
              <w:widowControl/>
              <w:suppressLineNumbers w:val="0"/>
              <w:spacing w:before="0" w:beforeAutospacing="0" w:after="0" w:afterAutospacing="0"/>
              <w:ind w:left="0" w:right="0" w:firstLine="422" w:firstLineChars="200"/>
              <w:jc w:val="center"/>
              <w:rPr>
                <w:rFonts w:hint="default"/>
                <w:b/>
                <w:color w:val="auto"/>
                <w:sz w:val="24"/>
                <w:szCs w:val="28"/>
                <w:highlight w:val="none"/>
              </w:rPr>
            </w:pPr>
            <w:r>
              <w:rPr>
                <w:rFonts w:hint="default"/>
                <w:b/>
                <w:color w:val="auto"/>
                <w:szCs w:val="21"/>
                <w:highlight w:val="none"/>
              </w:rPr>
              <w:t>表2-</w:t>
            </w:r>
            <w:r>
              <w:rPr>
                <w:rFonts w:hint="eastAsia"/>
                <w:b/>
                <w:color w:val="auto"/>
                <w:szCs w:val="21"/>
                <w:highlight w:val="none"/>
                <w:lang w:val="en-US" w:eastAsia="zh-CN"/>
              </w:rPr>
              <w:t>8</w:t>
            </w:r>
            <w:r>
              <w:rPr>
                <w:rFonts w:hint="default"/>
                <w:b/>
                <w:color w:val="auto"/>
                <w:szCs w:val="21"/>
                <w:highlight w:val="none"/>
              </w:rPr>
              <w:t>环保投资一览表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0"/>
              <w:gridCol w:w="1626"/>
              <w:gridCol w:w="4105"/>
              <w:gridCol w:w="1306"/>
            </w:tblGrid>
            <w:tr w14:paraId="7B2941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1221" w:type="dxa"/>
                  <w:tcBorders>
                    <w:tl2br w:val="nil"/>
                    <w:tr2bl w:val="nil"/>
                  </w:tcBorders>
                  <w:noWrap w:val="0"/>
                  <w:vAlign w:val="center"/>
                </w:tcPr>
                <w:p w14:paraId="7C069441">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eastAsia="zh-CN"/>
                    </w:rPr>
                    <w:t>序号</w:t>
                  </w:r>
                </w:p>
              </w:tc>
              <w:tc>
                <w:tcPr>
                  <w:tcW w:w="1627" w:type="dxa"/>
                  <w:tcBorders>
                    <w:tl2br w:val="nil"/>
                    <w:tr2bl w:val="nil"/>
                  </w:tcBorders>
                  <w:noWrap w:val="0"/>
                  <w:vAlign w:val="center"/>
                </w:tcPr>
                <w:p w14:paraId="2734D2EF">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处理项目</w:t>
                  </w:r>
                </w:p>
              </w:tc>
              <w:tc>
                <w:tcPr>
                  <w:tcW w:w="4108" w:type="dxa"/>
                  <w:tcBorders>
                    <w:tl2br w:val="nil"/>
                    <w:tr2bl w:val="nil"/>
                  </w:tcBorders>
                  <w:noWrap w:val="0"/>
                  <w:vAlign w:val="center"/>
                </w:tcPr>
                <w:p w14:paraId="5EF7E7AF">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处理措施</w:t>
                  </w:r>
                </w:p>
              </w:tc>
              <w:tc>
                <w:tcPr>
                  <w:tcW w:w="1307" w:type="dxa"/>
                  <w:tcBorders>
                    <w:tl2br w:val="nil"/>
                    <w:tr2bl w:val="nil"/>
                  </w:tcBorders>
                  <w:noWrap w:val="0"/>
                  <w:vAlign w:val="center"/>
                </w:tcPr>
                <w:p w14:paraId="536A5DDA">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投资（万元）</w:t>
                  </w:r>
                </w:p>
              </w:tc>
            </w:tr>
            <w:tr w14:paraId="606B9D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1" w:type="dxa"/>
                  <w:tcBorders>
                    <w:tl2br w:val="nil"/>
                    <w:tr2bl w:val="nil"/>
                  </w:tcBorders>
                  <w:noWrap w:val="0"/>
                  <w:vAlign w:val="center"/>
                </w:tcPr>
                <w:p w14:paraId="3C882F7D">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p>
              </w:tc>
              <w:tc>
                <w:tcPr>
                  <w:tcW w:w="1627" w:type="dxa"/>
                  <w:tcBorders>
                    <w:tl2br w:val="nil"/>
                    <w:tr2bl w:val="nil"/>
                  </w:tcBorders>
                  <w:noWrap w:val="0"/>
                  <w:vAlign w:val="center"/>
                </w:tcPr>
                <w:p w14:paraId="4D6A6E35">
                  <w:pPr>
                    <w:pStyle w:val="102"/>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噪声</w:t>
                  </w:r>
                </w:p>
              </w:tc>
              <w:tc>
                <w:tcPr>
                  <w:tcW w:w="4108" w:type="dxa"/>
                  <w:tcBorders>
                    <w:tl2br w:val="nil"/>
                    <w:tr2bl w:val="nil"/>
                  </w:tcBorders>
                  <w:noWrap w:val="0"/>
                  <w:vAlign w:val="center"/>
                </w:tcPr>
                <w:p w14:paraId="721C39F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highlight w:val="none"/>
                      <w:lang w:val="en-US" w:eastAsia="zh-CN"/>
                    </w:rPr>
                  </w:pPr>
                  <w:r>
                    <w:rPr>
                      <w:rFonts w:hint="default" w:ascii="Times New Roman" w:hAnsi="Times New Roman" w:eastAsia="宋体" w:cs="Times New Roman"/>
                      <w:color w:val="auto"/>
                      <w:sz w:val="18"/>
                      <w:szCs w:val="18"/>
                      <w:highlight w:val="none"/>
                    </w:rPr>
                    <w:t>选用低噪声设备、基础减振</w:t>
                  </w:r>
                  <w:r>
                    <w:rPr>
                      <w:rFonts w:hint="default" w:ascii="Times New Roman" w:hAnsi="Times New Roman" w:cs="Times New Roman"/>
                      <w:color w:val="auto"/>
                      <w:sz w:val="18"/>
                      <w:szCs w:val="18"/>
                      <w:highlight w:val="none"/>
                    </w:rPr>
                    <w:t>措施</w:t>
                  </w:r>
                </w:p>
              </w:tc>
              <w:tc>
                <w:tcPr>
                  <w:tcW w:w="1307" w:type="dxa"/>
                  <w:tcBorders>
                    <w:tl2br w:val="nil"/>
                    <w:tr2bl w:val="nil"/>
                  </w:tcBorders>
                  <w:noWrap w:val="0"/>
                  <w:vAlign w:val="center"/>
                </w:tcPr>
                <w:p w14:paraId="25CA927E">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kern w:val="2"/>
                      <w:sz w:val="18"/>
                      <w:szCs w:val="18"/>
                      <w:highlight w:val="none"/>
                      <w:lang w:val="en-US" w:eastAsia="zh-CN" w:bidi="ar-SA"/>
                    </w:rPr>
                    <w:t>1</w:t>
                  </w:r>
                </w:p>
              </w:tc>
            </w:tr>
            <w:tr w14:paraId="6A6E8B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1" w:type="dxa"/>
                  <w:tcBorders>
                    <w:tl2br w:val="nil"/>
                    <w:tr2bl w:val="nil"/>
                  </w:tcBorders>
                  <w:noWrap w:val="0"/>
                  <w:vAlign w:val="center"/>
                </w:tcPr>
                <w:p w14:paraId="64E0D70A">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p>
              </w:tc>
              <w:tc>
                <w:tcPr>
                  <w:tcW w:w="1627" w:type="dxa"/>
                  <w:tcBorders>
                    <w:tl2br w:val="nil"/>
                    <w:tr2bl w:val="nil"/>
                  </w:tcBorders>
                  <w:noWrap w:val="0"/>
                  <w:vAlign w:val="center"/>
                </w:tcPr>
                <w:p w14:paraId="1BF4B918">
                  <w:pPr>
                    <w:pStyle w:val="102"/>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rPr>
                  </w:pPr>
                  <w:r>
                    <w:rPr>
                      <w:rFonts w:hint="eastAsia" w:cs="Times New Roman"/>
                      <w:color w:val="auto"/>
                      <w:sz w:val="18"/>
                      <w:szCs w:val="18"/>
                      <w:highlight w:val="none"/>
                      <w:lang w:val="en-US" w:eastAsia="zh-CN"/>
                    </w:rPr>
                    <w:t>地下水、土壤</w:t>
                  </w:r>
                </w:p>
              </w:tc>
              <w:tc>
                <w:tcPr>
                  <w:tcW w:w="4108" w:type="dxa"/>
                  <w:tcBorders>
                    <w:tl2br w:val="nil"/>
                    <w:tr2bl w:val="nil"/>
                  </w:tcBorders>
                  <w:noWrap w:val="0"/>
                  <w:vAlign w:val="center"/>
                </w:tcPr>
                <w:p w14:paraId="5E52EAB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加氯间防渗措施</w:t>
                  </w:r>
                </w:p>
              </w:tc>
              <w:tc>
                <w:tcPr>
                  <w:tcW w:w="1307" w:type="dxa"/>
                  <w:tcBorders>
                    <w:tl2br w:val="nil"/>
                    <w:tr2bl w:val="nil"/>
                  </w:tcBorders>
                  <w:noWrap w:val="0"/>
                  <w:vAlign w:val="center"/>
                </w:tcPr>
                <w:p w14:paraId="6153FDAB">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kern w:val="2"/>
                      <w:sz w:val="18"/>
                      <w:szCs w:val="18"/>
                      <w:highlight w:val="none"/>
                      <w:lang w:val="en-US" w:eastAsia="zh-CN" w:bidi="ar-SA"/>
                    </w:rPr>
                    <w:t>2</w:t>
                  </w:r>
                </w:p>
              </w:tc>
            </w:tr>
            <w:tr w14:paraId="17C52F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1" w:type="dxa"/>
                  <w:tcBorders>
                    <w:tl2br w:val="nil"/>
                    <w:tr2bl w:val="nil"/>
                  </w:tcBorders>
                  <w:noWrap w:val="0"/>
                  <w:vAlign w:val="center"/>
                </w:tcPr>
                <w:p w14:paraId="33D1A497">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w:t>
                  </w:r>
                </w:p>
              </w:tc>
              <w:tc>
                <w:tcPr>
                  <w:tcW w:w="1627" w:type="dxa"/>
                  <w:tcBorders>
                    <w:tl2br w:val="nil"/>
                    <w:tr2bl w:val="nil"/>
                  </w:tcBorders>
                  <w:noWrap w:val="0"/>
                  <w:vAlign w:val="center"/>
                </w:tcPr>
                <w:p w14:paraId="1BB89DCE">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环境管理</w:t>
                  </w:r>
                </w:p>
              </w:tc>
              <w:tc>
                <w:tcPr>
                  <w:tcW w:w="4108" w:type="dxa"/>
                  <w:tcBorders>
                    <w:tl2br w:val="nil"/>
                    <w:tr2bl w:val="nil"/>
                  </w:tcBorders>
                  <w:noWrap w:val="0"/>
                  <w:vAlign w:val="center"/>
                </w:tcPr>
                <w:p w14:paraId="018AA7F0">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厂区环境管理</w:t>
                  </w:r>
                </w:p>
              </w:tc>
              <w:tc>
                <w:tcPr>
                  <w:tcW w:w="1307" w:type="dxa"/>
                  <w:tcBorders>
                    <w:tl2br w:val="nil"/>
                    <w:tr2bl w:val="nil"/>
                  </w:tcBorders>
                  <w:noWrap w:val="0"/>
                  <w:vAlign w:val="center"/>
                </w:tcPr>
                <w:p w14:paraId="0D167FEA">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w:t>
                  </w:r>
                </w:p>
              </w:tc>
            </w:tr>
            <w:tr w14:paraId="3F785D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1" w:type="dxa"/>
                  <w:tcBorders>
                    <w:tl2br w:val="nil"/>
                    <w:tr2bl w:val="nil"/>
                  </w:tcBorders>
                  <w:noWrap w:val="0"/>
                  <w:vAlign w:val="center"/>
                </w:tcPr>
                <w:p w14:paraId="6FFDD815">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1627" w:type="dxa"/>
                  <w:tcBorders>
                    <w:tl2br w:val="nil"/>
                    <w:tr2bl w:val="nil"/>
                  </w:tcBorders>
                  <w:noWrap w:val="0"/>
                  <w:vAlign w:val="center"/>
                </w:tcPr>
                <w:p w14:paraId="6BA3F1F3">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监测费用</w:t>
                  </w:r>
                </w:p>
              </w:tc>
              <w:tc>
                <w:tcPr>
                  <w:tcW w:w="4108" w:type="dxa"/>
                  <w:tcBorders>
                    <w:tl2br w:val="nil"/>
                    <w:tr2bl w:val="nil"/>
                  </w:tcBorders>
                  <w:noWrap w:val="0"/>
                  <w:vAlign w:val="center"/>
                </w:tcPr>
                <w:p w14:paraId="76A44A50">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废水监测</w:t>
                  </w:r>
                </w:p>
              </w:tc>
              <w:tc>
                <w:tcPr>
                  <w:tcW w:w="1307" w:type="dxa"/>
                  <w:tcBorders>
                    <w:tl2br w:val="nil"/>
                    <w:tr2bl w:val="nil"/>
                  </w:tcBorders>
                  <w:noWrap w:val="0"/>
                  <w:vAlign w:val="center"/>
                </w:tcPr>
                <w:p w14:paraId="6FD84AC5">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r>
            <w:tr w14:paraId="42126F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1" w:type="dxa"/>
                  <w:tcBorders>
                    <w:tl2br w:val="nil"/>
                    <w:tr2bl w:val="nil"/>
                  </w:tcBorders>
                  <w:noWrap w:val="0"/>
                  <w:vAlign w:val="center"/>
                </w:tcPr>
                <w:p w14:paraId="663EA264">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5735" w:type="dxa"/>
                  <w:gridSpan w:val="2"/>
                  <w:tcBorders>
                    <w:tl2br w:val="nil"/>
                    <w:tr2bl w:val="nil"/>
                  </w:tcBorders>
                  <w:noWrap w:val="0"/>
                  <w:vAlign w:val="center"/>
                </w:tcPr>
                <w:p w14:paraId="7AED026B">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环保设施运营及维护</w:t>
                  </w:r>
                </w:p>
              </w:tc>
              <w:tc>
                <w:tcPr>
                  <w:tcW w:w="1307" w:type="dxa"/>
                  <w:tcBorders>
                    <w:tl2br w:val="nil"/>
                    <w:tr2bl w:val="nil"/>
                  </w:tcBorders>
                  <w:noWrap w:val="0"/>
                  <w:vAlign w:val="center"/>
                </w:tcPr>
                <w:p w14:paraId="55DE36BA">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r>
            <w:tr w14:paraId="2A6DBF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6" w:type="dxa"/>
                  <w:gridSpan w:val="3"/>
                  <w:tcBorders>
                    <w:tl2br w:val="nil"/>
                    <w:tr2bl w:val="nil"/>
                  </w:tcBorders>
                  <w:noWrap w:val="0"/>
                  <w:vAlign w:val="center"/>
                </w:tcPr>
                <w:p w14:paraId="3EB27F3E">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eastAsia="zh-CN"/>
                    </w:rPr>
                    <w:t>环保投资（万元）</w:t>
                  </w:r>
                </w:p>
              </w:tc>
              <w:tc>
                <w:tcPr>
                  <w:tcW w:w="1307" w:type="dxa"/>
                  <w:tcBorders>
                    <w:tl2br w:val="nil"/>
                    <w:tr2bl w:val="nil"/>
                  </w:tcBorders>
                  <w:noWrap w:val="0"/>
                  <w:vAlign w:val="center"/>
                </w:tcPr>
                <w:p w14:paraId="21AA9811">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12</w:t>
                  </w:r>
                </w:p>
              </w:tc>
            </w:tr>
            <w:tr w14:paraId="7F070B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6" w:type="dxa"/>
                  <w:gridSpan w:val="3"/>
                  <w:tcBorders>
                    <w:tl2br w:val="nil"/>
                    <w:tr2bl w:val="nil"/>
                  </w:tcBorders>
                  <w:noWrap w:val="0"/>
                  <w:vAlign w:val="center"/>
                </w:tcPr>
                <w:p w14:paraId="14F59308">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总投资（万元）</w:t>
                  </w:r>
                </w:p>
              </w:tc>
              <w:tc>
                <w:tcPr>
                  <w:tcW w:w="1307" w:type="dxa"/>
                  <w:tcBorders>
                    <w:tl2br w:val="nil"/>
                    <w:tr2bl w:val="nil"/>
                  </w:tcBorders>
                  <w:noWrap w:val="0"/>
                  <w:vAlign w:val="center"/>
                </w:tcPr>
                <w:p w14:paraId="4C9DED81">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12813.91</w:t>
                  </w:r>
                </w:p>
              </w:tc>
            </w:tr>
            <w:tr w14:paraId="310161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6" w:type="dxa"/>
                  <w:gridSpan w:val="3"/>
                  <w:tcBorders>
                    <w:tl2br w:val="nil"/>
                    <w:tr2bl w:val="nil"/>
                  </w:tcBorders>
                  <w:noWrap w:val="0"/>
                  <w:vAlign w:val="center"/>
                </w:tcPr>
                <w:p w14:paraId="19905FEC">
                  <w:pPr>
                    <w:pStyle w:val="8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lang w:val="en-US" w:eastAsia="zh-CN"/>
                    </w:rPr>
                    <w:t>占总投资比例（%）</w:t>
                  </w:r>
                </w:p>
              </w:tc>
              <w:tc>
                <w:tcPr>
                  <w:tcW w:w="1307" w:type="dxa"/>
                  <w:tcBorders>
                    <w:tl2br w:val="nil"/>
                    <w:tr2bl w:val="nil"/>
                  </w:tcBorders>
                  <w:noWrap w:val="0"/>
                  <w:vAlign w:val="center"/>
                </w:tcPr>
                <w:p w14:paraId="63420388">
                  <w:pPr>
                    <w:pStyle w:val="102"/>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bidi="ar-SA"/>
                    </w:rPr>
                    <w:t>0.09%</w:t>
                  </w:r>
                </w:p>
              </w:tc>
            </w:tr>
          </w:tbl>
          <w:p w14:paraId="43BC95BA">
            <w:pPr>
              <w:pStyle w:val="12"/>
              <w:keepNext w:val="0"/>
              <w:keepLines w:val="0"/>
              <w:widowControl w:val="0"/>
              <w:suppressLineNumbers w:val="0"/>
              <w:snapToGrid/>
              <w:spacing w:before="0" w:beforeAutospacing="0" w:after="0" w:afterAutospacing="0" w:line="360" w:lineRule="auto"/>
              <w:ind w:left="0" w:right="0"/>
              <w:rPr>
                <w:rFonts w:hint="default" w:ascii="Times New Roman" w:hAnsi="Times New Roman" w:eastAsia="宋体" w:cs="Times New Roman"/>
                <w:color w:val="auto"/>
                <w:kern w:val="21"/>
                <w:sz w:val="24"/>
                <w:szCs w:val="21"/>
                <w:highlight w:val="none"/>
                <w:lang w:val="en-US" w:eastAsia="zh-CN"/>
              </w:rPr>
            </w:pPr>
          </w:p>
        </w:tc>
      </w:tr>
      <w:tr w14:paraId="6CB95A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vAlign w:val="center"/>
          </w:tcPr>
          <w:p w14:paraId="6DDD5EE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p>
        </w:tc>
        <w:tc>
          <w:tcPr>
            <w:tcW w:w="8473" w:type="dxa"/>
            <w:vAlign w:val="center"/>
          </w:tcPr>
          <w:p w14:paraId="4584C8A2">
            <w:pPr>
              <w:pStyle w:val="12"/>
              <w:keepNext w:val="0"/>
              <w:keepLines w:val="0"/>
              <w:widowControl w:val="0"/>
              <w:suppressLineNumbers w:val="0"/>
              <w:snapToGrid/>
              <w:spacing w:before="0" w:beforeAutospacing="0" w:after="0" w:afterAutospacing="0" w:line="360" w:lineRule="auto"/>
              <w:ind w:left="0" w:right="0"/>
              <w:rPr>
                <w:rFonts w:hint="default" w:ascii="Times New Roman" w:hAnsi="Times New Roman" w:eastAsia="宋体" w:cs="Times New Roman"/>
                <w:color w:val="auto"/>
                <w:kern w:val="21"/>
                <w:sz w:val="24"/>
                <w:szCs w:val="21"/>
                <w:highlight w:val="none"/>
                <w:lang w:val="en-US" w:eastAsia="zh-CN"/>
              </w:rPr>
            </w:pPr>
          </w:p>
        </w:tc>
      </w:tr>
      <w:tr w14:paraId="5357DF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748" w:type="dxa"/>
            <w:vAlign w:val="center"/>
          </w:tcPr>
          <w:p w14:paraId="4A84EFC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p>
          <w:p w14:paraId="3A851A6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工艺流程和产排污环节</w:t>
            </w:r>
          </w:p>
        </w:tc>
        <w:tc>
          <w:tcPr>
            <w:tcW w:w="8473" w:type="dxa"/>
            <w:vAlign w:val="center"/>
          </w:tcPr>
          <w:p w14:paraId="15EDC2C0">
            <w:pPr>
              <w:keepNext w:val="0"/>
              <w:keepLines w:val="0"/>
              <w:widowControl/>
              <w:numPr>
                <w:ilvl w:val="0"/>
                <w:numId w:val="3"/>
              </w:numPr>
              <w:suppressLineNumbers w:val="0"/>
              <w:spacing w:before="0" w:beforeAutospacing="0" w:after="0" w:afterAutospacing="0" w:line="360" w:lineRule="auto"/>
              <w:ind w:right="0"/>
              <w:rPr>
                <w:rFonts w:hint="default"/>
                <w:b/>
                <w:bCs/>
                <w:color w:val="auto"/>
                <w:szCs w:val="21"/>
                <w:highlight w:val="none"/>
              </w:rPr>
            </w:pPr>
            <w:r>
              <w:rPr>
                <w:rFonts w:hint="default"/>
                <w:b/>
                <w:bCs/>
                <w:color w:val="auto"/>
                <w:szCs w:val="21"/>
                <w:highlight w:val="none"/>
              </w:rPr>
              <w:t>施工期工艺流程分析</w:t>
            </w:r>
          </w:p>
          <w:p w14:paraId="7BD845D7">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color w:val="auto"/>
                <w:sz w:val="21"/>
                <w:szCs w:val="21"/>
                <w:highlight w:val="none"/>
              </w:rPr>
              <w:t>本项目已建成，本次不对施工期进行环境影响分析。</w:t>
            </w:r>
          </w:p>
          <w:p w14:paraId="2152AF9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sz w:val="21"/>
                <w:szCs w:val="21"/>
                <w:highlight w:val="none"/>
                <w:lang w:eastAsia="zh-CN"/>
              </w:rPr>
              <w:t>二、</w:t>
            </w:r>
            <w:r>
              <w:rPr>
                <w:rFonts w:hint="default" w:ascii="Times New Roman" w:hAnsi="Times New Roman" w:eastAsia="宋体" w:cs="Times New Roman"/>
                <w:b/>
                <w:color w:val="auto"/>
                <w:kern w:val="21"/>
                <w:sz w:val="21"/>
                <w:szCs w:val="21"/>
                <w:highlight w:val="none"/>
              </w:rPr>
              <w:t>运营期工艺流程</w:t>
            </w:r>
            <w:r>
              <w:rPr>
                <w:rFonts w:hint="eastAsia" w:cs="Times New Roman"/>
                <w:b/>
                <w:color w:val="auto"/>
                <w:kern w:val="21"/>
                <w:sz w:val="21"/>
                <w:szCs w:val="21"/>
                <w:highlight w:val="none"/>
                <w:lang w:val="en-US" w:eastAsia="zh-CN"/>
              </w:rPr>
              <w:t>分析</w:t>
            </w:r>
          </w:p>
          <w:p w14:paraId="425F8D3C">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21"/>
                <w:szCs w:val="21"/>
                <w:highlight w:val="none"/>
              </w:rPr>
            </w:pPr>
            <w:r>
              <w:rPr>
                <w:rFonts w:hint="default"/>
                <w:color w:val="auto"/>
              </w:rPr>
              <w:drawing>
                <wp:inline distT="0" distB="0" distL="114300" distR="114300">
                  <wp:extent cx="5226685" cy="3235960"/>
                  <wp:effectExtent l="0" t="0" r="12065" b="2540"/>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11"/>
                          <a:stretch>
                            <a:fillRect/>
                          </a:stretch>
                        </pic:blipFill>
                        <pic:spPr>
                          <a:xfrm>
                            <a:off x="0" y="0"/>
                            <a:ext cx="5226685" cy="3235960"/>
                          </a:xfrm>
                          <a:prstGeom prst="rect">
                            <a:avLst/>
                          </a:prstGeom>
                          <a:noFill/>
                          <a:ln>
                            <a:noFill/>
                          </a:ln>
                        </pic:spPr>
                      </pic:pic>
                    </a:graphicData>
                  </a:graphic>
                </wp:inline>
              </w:drawing>
            </w:r>
          </w:p>
          <w:p w14:paraId="16A7C696">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snapToGrid w:val="0"/>
                <w:color w:val="auto"/>
                <w:szCs w:val="21"/>
                <w:highlight w:val="none"/>
              </w:rPr>
            </w:pPr>
            <w:r>
              <w:rPr>
                <w:rFonts w:hint="default" w:ascii="Times New Roman" w:hAnsi="Times New Roman" w:eastAsia="宋体" w:cs="Times New Roman"/>
                <w:b/>
                <w:bCs/>
                <w:snapToGrid w:val="0"/>
                <w:color w:val="auto"/>
                <w:szCs w:val="21"/>
                <w:highlight w:val="none"/>
              </w:rPr>
              <w:t>图2</w:t>
            </w:r>
            <w:r>
              <w:rPr>
                <w:rFonts w:hint="eastAsia" w:cs="Times New Roman"/>
                <w:b/>
                <w:bCs/>
                <w:snapToGrid w:val="0"/>
                <w:color w:val="auto"/>
                <w:szCs w:val="21"/>
                <w:highlight w:val="none"/>
                <w:lang w:val="en-US" w:eastAsia="zh-CN"/>
              </w:rPr>
              <w:t>-2工艺</w:t>
            </w:r>
            <w:r>
              <w:rPr>
                <w:rFonts w:hint="default" w:ascii="Times New Roman" w:hAnsi="Times New Roman" w:eastAsia="宋体" w:cs="Times New Roman"/>
                <w:b/>
                <w:bCs/>
                <w:snapToGrid w:val="0"/>
                <w:color w:val="auto"/>
                <w:szCs w:val="21"/>
                <w:highlight w:val="none"/>
              </w:rPr>
              <w:t>流程及产污环节图</w:t>
            </w:r>
          </w:p>
          <w:p w14:paraId="38258F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val="0"/>
                <w:bCs w:val="0"/>
                <w:color w:val="auto"/>
                <w:spacing w:val="0"/>
                <w:w w:val="100"/>
                <w:kern w:val="21"/>
                <w:sz w:val="21"/>
                <w:szCs w:val="21"/>
                <w:highlight w:val="none"/>
                <w:lang w:eastAsia="zh-CN"/>
              </w:rPr>
            </w:pPr>
            <w:r>
              <w:rPr>
                <w:rFonts w:hint="default" w:ascii="Times New Roman" w:hAnsi="Times New Roman" w:eastAsia="宋体" w:cs="Times New Roman"/>
                <w:b w:val="0"/>
                <w:bCs w:val="0"/>
                <w:color w:val="auto"/>
                <w:spacing w:val="0"/>
                <w:w w:val="100"/>
                <w:kern w:val="21"/>
                <w:sz w:val="21"/>
                <w:szCs w:val="21"/>
                <w:highlight w:val="none"/>
                <w:lang w:eastAsia="zh-CN"/>
              </w:rPr>
              <w:t>工艺流程简述：</w:t>
            </w:r>
          </w:p>
          <w:p w14:paraId="25666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pacing w:val="0"/>
                <w:w w:val="100"/>
                <w:kern w:val="21"/>
                <w:sz w:val="21"/>
                <w:szCs w:val="21"/>
                <w:highlight w:val="none"/>
                <w:lang w:eastAsia="zh-CN"/>
              </w:rPr>
            </w:pPr>
            <w:r>
              <w:rPr>
                <w:rFonts w:hint="eastAsia" w:ascii="Times New Roman" w:hAnsi="Times New Roman" w:eastAsia="宋体" w:cs="Times New Roman"/>
                <w:color w:val="auto"/>
                <w:highlight w:val="none"/>
                <w:lang w:val="en-US" w:eastAsia="zh-CN"/>
              </w:rPr>
              <w:t>本项目净水工艺主要包括加药、絮凝、沉淀、过滤及消毒。一部分原水经絮凝剂（聚合氯化铝）在池中反应，初步除去水中的杂质；后排入沉淀池，经沉淀完成固态分离使浊水变清；后经过滤池过滤；过滤后的水进入深度处理车间，首先经过臭氧接触池进行曝气处理，然后经活性炭滤池过滤，在经次氯酸钠进行消毒处理后进入净水池，通过配水管网供水。沉淀过程中产生的排泥水进入排泥池，反冲洗过程中产生的反冲洗废水回收至配水间与原水混合处理，不外排，排泥池内的排泥水经絮凝、压滤处理后，污泥经压滤脱水形成泥饼后外运，上清液排放至穆棱河。</w:t>
            </w:r>
          </w:p>
          <w:p w14:paraId="039C38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b/>
                <w:bCs/>
                <w:color w:val="auto"/>
                <w:highlight w:val="none"/>
                <w:lang w:val="en-US" w:eastAsia="zh-CN"/>
              </w:rPr>
            </w:pPr>
            <w:r>
              <w:rPr>
                <w:rFonts w:hint="default"/>
                <w:b/>
                <w:bCs/>
                <w:color w:val="auto"/>
                <w:highlight w:val="none"/>
                <w:lang w:val="en-US" w:eastAsia="zh-CN"/>
              </w:rPr>
              <w:t>本项目生产过程中产污如下：</w:t>
            </w:r>
          </w:p>
          <w:p w14:paraId="63B1A3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宋体" w:hAnsi="宋体" w:eastAsia="宋体" w:cs="宋体"/>
                <w:bCs/>
                <w:color w:val="auto"/>
                <w:szCs w:val="21"/>
                <w:highlight w:val="none"/>
                <w:lang w:val="en-US" w:eastAsia="zh-CN"/>
              </w:rPr>
            </w:pPr>
            <w:r>
              <w:rPr>
                <w:rFonts w:hint="default"/>
                <w:color w:val="auto"/>
                <w:highlight w:val="none"/>
              </w:rPr>
              <w:t>废气：本项目废气</w:t>
            </w:r>
            <w:r>
              <w:rPr>
                <w:rFonts w:hint="eastAsia"/>
                <w:color w:val="auto"/>
                <w:highlight w:val="none"/>
                <w:lang w:val="en-US" w:eastAsia="zh-CN"/>
              </w:rPr>
              <w:t>主要为污泥间产生的少量恶臭气体。</w:t>
            </w:r>
          </w:p>
          <w:p w14:paraId="1F1A75B2">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eastAsia="宋体" w:cs="Times New Roman"/>
                <w:bCs/>
                <w:color w:val="auto"/>
                <w:szCs w:val="21"/>
                <w:highlight w:val="none"/>
                <w:lang w:val="en-US" w:eastAsia="zh-CN"/>
              </w:rPr>
            </w:pPr>
            <w:r>
              <w:rPr>
                <w:rFonts w:hint="default"/>
                <w:color w:val="auto"/>
                <w:highlight w:val="none"/>
                <w:lang w:val="en-US" w:eastAsia="zh-CN"/>
              </w:rPr>
              <w:t>废水：本项目废水为</w:t>
            </w:r>
            <w:r>
              <w:rPr>
                <w:rFonts w:hint="eastAsia" w:ascii="宋体" w:hAnsi="宋体" w:cs="宋体"/>
                <w:color w:val="auto"/>
                <w:szCs w:val="21"/>
                <w:highlight w:val="none"/>
              </w:rPr>
              <w:t>员工</w:t>
            </w:r>
            <w:r>
              <w:rPr>
                <w:rFonts w:hint="default" w:ascii="Times New Roman" w:hAnsi="Times New Roman" w:eastAsia="宋体" w:cs="Times New Roman"/>
                <w:color w:val="auto"/>
                <w:spacing w:val="0"/>
                <w:sz w:val="21"/>
                <w:szCs w:val="21"/>
                <w:highlight w:val="none"/>
              </w:rPr>
              <w:t>生活污水</w:t>
            </w:r>
            <w:r>
              <w:rPr>
                <w:rFonts w:hint="eastAsia" w:cs="Times New Roman"/>
                <w:color w:val="auto"/>
                <w:spacing w:val="0"/>
                <w:sz w:val="21"/>
                <w:szCs w:val="21"/>
                <w:highlight w:val="none"/>
                <w:lang w:eastAsia="zh-CN"/>
              </w:rPr>
              <w:t>、</w:t>
            </w:r>
            <w:r>
              <w:rPr>
                <w:rFonts w:hint="eastAsia" w:cs="Times New Roman"/>
                <w:color w:val="auto"/>
                <w:spacing w:val="0"/>
                <w:sz w:val="21"/>
                <w:szCs w:val="21"/>
                <w:highlight w:val="none"/>
                <w:lang w:val="en-US" w:eastAsia="zh-CN"/>
              </w:rPr>
              <w:t>滤池反冲洗废水、排泥水。</w:t>
            </w:r>
          </w:p>
          <w:p w14:paraId="3B7CE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eastAsia="宋体"/>
                <w:color w:val="auto"/>
                <w:highlight w:val="none"/>
                <w:lang w:eastAsia="zh-CN"/>
              </w:rPr>
            </w:pPr>
            <w:r>
              <w:rPr>
                <w:rFonts w:hint="default"/>
                <w:color w:val="auto"/>
                <w:highlight w:val="none"/>
              </w:rPr>
              <w:t>噪声：本项目噪声主要来自生产设备运行时产生的噪声</w:t>
            </w:r>
            <w:r>
              <w:rPr>
                <w:rFonts w:hint="eastAsia"/>
                <w:color w:val="auto"/>
                <w:highlight w:val="none"/>
                <w:lang w:eastAsia="zh-CN"/>
              </w:rPr>
              <w:t>。</w:t>
            </w:r>
          </w:p>
          <w:p w14:paraId="683D6F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宋体" w:hAnsi="宋体" w:cs="宋体"/>
                <w:color w:val="auto"/>
                <w:sz w:val="21"/>
                <w:szCs w:val="21"/>
                <w:highlight w:val="none"/>
                <w:lang w:val="en-US"/>
              </w:rPr>
            </w:pPr>
            <w:r>
              <w:rPr>
                <w:rFonts w:hint="default"/>
                <w:color w:val="auto"/>
                <w:highlight w:val="none"/>
              </w:rPr>
              <w:t>固废：本项目固废主</w:t>
            </w:r>
            <w:r>
              <w:rPr>
                <w:rFonts w:hint="default"/>
                <w:color w:val="auto"/>
                <w:sz w:val="21"/>
                <w:szCs w:val="21"/>
                <w:highlight w:val="none"/>
              </w:rPr>
              <w:t>要为</w:t>
            </w:r>
            <w:r>
              <w:rPr>
                <w:rFonts w:hint="eastAsia" w:ascii="宋体" w:hAnsi="宋体" w:cs="宋体"/>
                <w:color w:val="auto"/>
                <w:sz w:val="21"/>
                <w:szCs w:val="21"/>
                <w:highlight w:val="none"/>
              </w:rPr>
              <w:t>生活垃圾</w:t>
            </w:r>
            <w:r>
              <w:rPr>
                <w:rFonts w:hint="eastAsia" w:ascii="宋体" w:hAnsi="宋体" w:cs="宋体"/>
                <w:color w:val="auto"/>
                <w:sz w:val="21"/>
                <w:szCs w:val="21"/>
                <w:highlight w:val="none"/>
                <w:lang w:val="en-US" w:eastAsia="zh-CN"/>
              </w:rPr>
              <w:t>、污泥、废包装袋、废活性炭。</w:t>
            </w:r>
          </w:p>
          <w:p w14:paraId="6915C0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本项目运营期工程主要排污节点见表</w:t>
            </w:r>
            <w:r>
              <w:rPr>
                <w:rFonts w:hint="eastAsia" w:ascii="Times New Roman" w:hAnsi="Times New Roman" w:eastAsia="宋体" w:cs="Times New Roman"/>
                <w:color w:val="auto"/>
                <w:spacing w:val="0"/>
                <w:sz w:val="21"/>
                <w:szCs w:val="21"/>
                <w:highlight w:val="none"/>
                <w:lang w:val="en-US" w:eastAsia="zh-CN"/>
              </w:rPr>
              <w:t>2</w:t>
            </w:r>
            <w:r>
              <w:rPr>
                <w:rFonts w:hint="default" w:ascii="Times New Roman" w:hAnsi="Times New Roman" w:eastAsia="宋体"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9</w:t>
            </w:r>
            <w:r>
              <w:rPr>
                <w:rFonts w:hint="default" w:ascii="Times New Roman" w:hAnsi="Times New Roman" w:eastAsia="宋体" w:cs="Times New Roman"/>
                <w:color w:val="auto"/>
                <w:spacing w:val="0"/>
                <w:sz w:val="21"/>
                <w:szCs w:val="21"/>
                <w:highlight w:val="none"/>
                <w:lang w:val="en-US" w:eastAsia="zh-CN"/>
              </w:rPr>
              <w:t>。</w:t>
            </w:r>
          </w:p>
          <w:p w14:paraId="1328D1D4">
            <w:pPr>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pacing w:val="0"/>
                <w:kern w:val="0"/>
                <w:sz w:val="21"/>
                <w:szCs w:val="21"/>
                <w:highlight w:val="none"/>
                <w:lang w:val="en-US" w:eastAsia="zh-CN" w:bidi="ar-SA"/>
              </w:rPr>
            </w:pPr>
            <w:r>
              <w:rPr>
                <w:rFonts w:hint="default" w:ascii="Times New Roman" w:hAnsi="Times New Roman" w:eastAsia="宋体" w:cs="Times New Roman"/>
                <w:b/>
                <w:bCs/>
                <w:color w:val="auto"/>
                <w:spacing w:val="0"/>
                <w:kern w:val="0"/>
                <w:sz w:val="21"/>
                <w:szCs w:val="21"/>
                <w:highlight w:val="none"/>
                <w:lang w:val="en-US" w:eastAsia="zh-CN" w:bidi="ar-SA"/>
              </w:rPr>
              <w:t>表</w:t>
            </w:r>
            <w:r>
              <w:rPr>
                <w:rFonts w:hint="eastAsia" w:ascii="Times New Roman" w:hAnsi="Times New Roman" w:eastAsia="宋体" w:cs="Times New Roman"/>
                <w:b/>
                <w:bCs/>
                <w:color w:val="auto"/>
                <w:spacing w:val="0"/>
                <w:kern w:val="0"/>
                <w:sz w:val="21"/>
                <w:szCs w:val="21"/>
                <w:highlight w:val="none"/>
                <w:lang w:val="en-US" w:eastAsia="zh-CN" w:bidi="ar-SA"/>
              </w:rPr>
              <w:t>2</w:t>
            </w:r>
            <w:r>
              <w:rPr>
                <w:rFonts w:hint="default" w:ascii="Times New Roman" w:hAnsi="Times New Roman" w:eastAsia="宋体" w:cs="Times New Roman"/>
                <w:b/>
                <w:bCs/>
                <w:color w:val="auto"/>
                <w:spacing w:val="0"/>
                <w:kern w:val="0"/>
                <w:sz w:val="21"/>
                <w:szCs w:val="21"/>
                <w:highlight w:val="none"/>
                <w:lang w:val="en-US" w:eastAsia="zh-CN" w:bidi="ar-SA"/>
              </w:rPr>
              <w:t>-</w:t>
            </w:r>
            <w:r>
              <w:rPr>
                <w:rFonts w:hint="eastAsia" w:cs="Times New Roman"/>
                <w:b/>
                <w:bCs/>
                <w:color w:val="auto"/>
                <w:spacing w:val="0"/>
                <w:kern w:val="0"/>
                <w:sz w:val="21"/>
                <w:szCs w:val="21"/>
                <w:highlight w:val="none"/>
                <w:lang w:val="en-US" w:eastAsia="zh-CN" w:bidi="ar-SA"/>
              </w:rPr>
              <w:t>9</w:t>
            </w:r>
            <w:r>
              <w:rPr>
                <w:rFonts w:hint="default" w:ascii="Times New Roman" w:hAnsi="Times New Roman" w:eastAsia="宋体" w:cs="Times New Roman"/>
                <w:b/>
                <w:bCs/>
                <w:color w:val="auto"/>
                <w:spacing w:val="0"/>
                <w:kern w:val="0"/>
                <w:sz w:val="21"/>
                <w:szCs w:val="21"/>
                <w:highlight w:val="none"/>
                <w:lang w:val="en-US" w:eastAsia="zh-CN" w:bidi="ar-SA"/>
              </w:rPr>
              <w:t>本项目运营期工程主要排污节点一览表</w:t>
            </w:r>
          </w:p>
          <w:tbl>
            <w:tblPr>
              <w:tblStyle w:val="3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1"/>
              <w:gridCol w:w="1552"/>
              <w:gridCol w:w="1613"/>
              <w:gridCol w:w="1062"/>
              <w:gridCol w:w="3326"/>
            </w:tblGrid>
            <w:tr w14:paraId="780A46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tcBorders>
                    <w:tl2br w:val="nil"/>
                    <w:tr2bl w:val="nil"/>
                  </w:tcBorders>
                  <w:noWrap w:val="0"/>
                  <w:vAlign w:val="center"/>
                </w:tcPr>
                <w:p w14:paraId="04F7F3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项目</w:t>
                  </w:r>
                </w:p>
              </w:tc>
              <w:tc>
                <w:tcPr>
                  <w:tcW w:w="1552" w:type="dxa"/>
                  <w:tcBorders>
                    <w:tl2br w:val="nil"/>
                    <w:tr2bl w:val="nil"/>
                  </w:tcBorders>
                  <w:noWrap w:val="0"/>
                  <w:vAlign w:val="center"/>
                </w:tcPr>
                <w:p w14:paraId="07585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污染源</w:t>
                  </w:r>
                </w:p>
              </w:tc>
              <w:tc>
                <w:tcPr>
                  <w:tcW w:w="1613" w:type="dxa"/>
                  <w:tcBorders>
                    <w:tl2br w:val="nil"/>
                    <w:tr2bl w:val="nil"/>
                  </w:tcBorders>
                  <w:noWrap w:val="0"/>
                  <w:vAlign w:val="center"/>
                </w:tcPr>
                <w:p w14:paraId="765DAD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污染物</w:t>
                  </w:r>
                </w:p>
              </w:tc>
              <w:tc>
                <w:tcPr>
                  <w:tcW w:w="1062" w:type="dxa"/>
                  <w:tcBorders>
                    <w:tl2br w:val="nil"/>
                    <w:tr2bl w:val="nil"/>
                  </w:tcBorders>
                  <w:noWrap w:val="0"/>
                  <w:vAlign w:val="center"/>
                </w:tcPr>
                <w:p w14:paraId="377AD8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排放特点</w:t>
                  </w:r>
                </w:p>
              </w:tc>
              <w:tc>
                <w:tcPr>
                  <w:tcW w:w="3326" w:type="dxa"/>
                  <w:tcBorders>
                    <w:tl2br w:val="nil"/>
                    <w:tr2bl w:val="nil"/>
                  </w:tcBorders>
                  <w:noWrap w:val="0"/>
                  <w:vAlign w:val="center"/>
                </w:tcPr>
                <w:p w14:paraId="6D7E8A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治理措施</w:t>
                  </w:r>
                </w:p>
              </w:tc>
            </w:tr>
            <w:tr w14:paraId="2E5319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tcBorders>
                    <w:tl2br w:val="nil"/>
                    <w:tr2bl w:val="nil"/>
                  </w:tcBorders>
                  <w:noWrap w:val="0"/>
                  <w:vAlign w:val="center"/>
                </w:tcPr>
                <w:p w14:paraId="079170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废气</w:t>
                  </w:r>
                </w:p>
              </w:tc>
              <w:tc>
                <w:tcPr>
                  <w:tcW w:w="1552" w:type="dxa"/>
                  <w:tcBorders>
                    <w:tl2br w:val="nil"/>
                    <w:tr2bl w:val="nil"/>
                  </w:tcBorders>
                  <w:noWrap w:val="0"/>
                  <w:vAlign w:val="center"/>
                </w:tcPr>
                <w:p w14:paraId="5EDCD3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ascii="宋体" w:hAnsi="宋体" w:cs="宋体"/>
                      <w:color w:val="auto"/>
                      <w:sz w:val="18"/>
                      <w:szCs w:val="18"/>
                      <w:highlight w:val="none"/>
                      <w:lang w:val="en-US" w:eastAsia="zh-CN"/>
                    </w:rPr>
                    <w:t>污泥间</w:t>
                  </w:r>
                </w:p>
              </w:tc>
              <w:tc>
                <w:tcPr>
                  <w:tcW w:w="1613" w:type="dxa"/>
                  <w:tcBorders>
                    <w:tl2br w:val="nil"/>
                    <w:tr2bl w:val="nil"/>
                  </w:tcBorders>
                  <w:noWrap w:val="0"/>
                  <w:vAlign w:val="center"/>
                </w:tcPr>
                <w:p w14:paraId="58890C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臭气浓度</w:t>
                  </w:r>
                </w:p>
              </w:tc>
              <w:tc>
                <w:tcPr>
                  <w:tcW w:w="1062" w:type="dxa"/>
                  <w:tcBorders>
                    <w:tl2br w:val="nil"/>
                    <w:tr2bl w:val="nil"/>
                  </w:tcBorders>
                  <w:noWrap w:val="0"/>
                  <w:vAlign w:val="center"/>
                </w:tcPr>
                <w:p w14:paraId="52D05A27">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rPr>
                  </w:pPr>
                  <w:r>
                    <w:rPr>
                      <w:rFonts w:hint="eastAsia" w:cs="Times New Roman"/>
                      <w:color w:val="auto"/>
                      <w:sz w:val="18"/>
                      <w:szCs w:val="18"/>
                      <w:highlight w:val="none"/>
                      <w:lang w:val="en-US" w:eastAsia="zh-CN"/>
                    </w:rPr>
                    <w:t>连续</w:t>
                  </w:r>
                </w:p>
              </w:tc>
              <w:tc>
                <w:tcPr>
                  <w:tcW w:w="3326" w:type="dxa"/>
                  <w:tcBorders>
                    <w:tl2br w:val="nil"/>
                    <w:tr2bl w:val="nil"/>
                  </w:tcBorders>
                  <w:noWrap w:val="0"/>
                  <w:vAlign w:val="center"/>
                </w:tcPr>
                <w:p w14:paraId="7035EA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rPr>
                  </w:pPr>
                  <w:r>
                    <w:rPr>
                      <w:rFonts w:hint="eastAsia" w:ascii="宋体" w:hAnsi="宋体" w:cs="宋体"/>
                      <w:color w:val="auto"/>
                      <w:sz w:val="18"/>
                      <w:szCs w:val="18"/>
                      <w:highlight w:val="none"/>
                      <w:lang w:val="en-US" w:eastAsia="zh-CN"/>
                    </w:rPr>
                    <w:t>臭氧破坏器</w:t>
                  </w:r>
                  <w:r>
                    <w:rPr>
                      <w:rFonts w:hint="eastAsia" w:ascii="宋体" w:hAnsi="宋体" w:eastAsia="宋体" w:cs="宋体"/>
                      <w:color w:val="auto"/>
                      <w:sz w:val="18"/>
                      <w:szCs w:val="18"/>
                      <w:highlight w:val="none"/>
                      <w:lang w:val="en-US" w:eastAsia="zh-CN"/>
                    </w:rPr>
                    <w:t>设计尾气排放</w:t>
                  </w:r>
                  <w:r>
                    <w:rPr>
                      <w:rFonts w:hint="default" w:ascii="宋体" w:hAnsi="宋体" w:eastAsia="宋体" w:cs="宋体"/>
                      <w:color w:val="auto"/>
                      <w:sz w:val="18"/>
                      <w:szCs w:val="18"/>
                      <w:highlight w:val="none"/>
                      <w:lang w:val="en-US" w:eastAsia="zh-CN"/>
                    </w:rPr>
                    <w:t>臭氧浓度</w:t>
                  </w:r>
                  <w:r>
                    <w:rPr>
                      <w:rFonts w:hint="eastAsia" w:ascii="宋体" w:hAnsi="宋体" w:eastAsia="宋体" w:cs="宋体"/>
                      <w:color w:val="auto"/>
                      <w:sz w:val="18"/>
                      <w:szCs w:val="18"/>
                      <w:highlight w:val="none"/>
                      <w:lang w:val="en-US" w:eastAsia="zh-CN"/>
                    </w:rPr>
                    <w:t>低于</w:t>
                  </w:r>
                  <w:r>
                    <w:rPr>
                      <w:rFonts w:hint="default" w:ascii="Times New Roman" w:hAnsi="Times New Roman" w:eastAsia="宋体" w:cs="Times New Roman"/>
                      <w:color w:val="auto"/>
                      <w:sz w:val="18"/>
                      <w:szCs w:val="18"/>
                      <w:highlight w:val="none"/>
                      <w:lang w:val="en-US" w:eastAsia="zh-CN"/>
                    </w:rPr>
                    <w:t>1ppm</w:t>
                  </w:r>
                  <w:r>
                    <w:rPr>
                      <w:rFonts w:hint="eastAsia" w:cs="Times New Roman"/>
                      <w:color w:val="auto"/>
                      <w:sz w:val="18"/>
                      <w:szCs w:val="18"/>
                      <w:highlight w:val="none"/>
                      <w:lang w:val="en-US" w:eastAsia="zh-CN"/>
                    </w:rPr>
                    <w:t>，</w:t>
                  </w:r>
                  <w:r>
                    <w:rPr>
                      <w:rFonts w:hint="eastAsia" w:cs="Times New Roman"/>
                      <w:color w:val="auto"/>
                      <w:kern w:val="2"/>
                      <w:sz w:val="18"/>
                      <w:szCs w:val="18"/>
                      <w:highlight w:val="none"/>
                      <w:lang w:val="en-US" w:eastAsia="zh-CN" w:bidi="ar-SA"/>
                    </w:rPr>
                    <w:t>污泥间加强通风、日产日清，厂界臭气浓度满足《恶臭污染物排放标准》（GB14554-93）表1中二级新扩改建标准限值</w:t>
                  </w:r>
                </w:p>
              </w:tc>
            </w:tr>
            <w:tr w14:paraId="658C8D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restart"/>
                  <w:tcBorders>
                    <w:tl2br w:val="nil"/>
                    <w:tr2bl w:val="nil"/>
                  </w:tcBorders>
                  <w:noWrap w:val="0"/>
                  <w:vAlign w:val="center"/>
                </w:tcPr>
                <w:p w14:paraId="5D4665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废水</w:t>
                  </w:r>
                </w:p>
              </w:tc>
              <w:tc>
                <w:tcPr>
                  <w:tcW w:w="1552" w:type="dxa"/>
                  <w:tcBorders>
                    <w:tl2br w:val="nil"/>
                    <w:tr2bl w:val="nil"/>
                  </w:tcBorders>
                  <w:noWrap w:val="0"/>
                  <w:vAlign w:val="center"/>
                </w:tcPr>
                <w:p w14:paraId="577918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eastAsia="zh-CN"/>
                    </w:rPr>
                    <w:t>生活污水</w:t>
                  </w:r>
                </w:p>
              </w:tc>
              <w:tc>
                <w:tcPr>
                  <w:tcW w:w="1613" w:type="dxa"/>
                  <w:tcBorders>
                    <w:tl2br w:val="nil"/>
                    <w:tr2bl w:val="nil"/>
                  </w:tcBorders>
                  <w:noWrap w:val="0"/>
                  <w:vAlign w:val="center"/>
                </w:tcPr>
                <w:p w14:paraId="0F099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rPr>
                    <w:t>COD</w:t>
                  </w:r>
                  <w:r>
                    <w:rPr>
                      <w:rFonts w:hint="default" w:ascii="Times New Roman" w:hAnsi="Times New Roman" w:eastAsia="宋体" w:cs="Times New Roman"/>
                      <w:color w:val="auto"/>
                      <w:kern w:val="21"/>
                      <w:sz w:val="18"/>
                      <w:szCs w:val="18"/>
                      <w:highlight w:val="none"/>
                    </w:rPr>
                    <w:t>、氨氮、</w:t>
                  </w:r>
                  <w:r>
                    <w:rPr>
                      <w:rFonts w:hint="default" w:ascii="Times New Roman" w:hAnsi="Times New Roman" w:eastAsia="宋体" w:cs="Times New Roman"/>
                      <w:color w:val="auto"/>
                      <w:kern w:val="21"/>
                      <w:sz w:val="18"/>
                      <w:szCs w:val="18"/>
                      <w:highlight w:val="none"/>
                      <w:lang w:val="en-US" w:eastAsia="zh-CN"/>
                    </w:rPr>
                    <w:t>SS</w:t>
                  </w:r>
                  <w:r>
                    <w:rPr>
                      <w:rFonts w:hint="default" w:ascii="Times New Roman" w:hAnsi="Times New Roman" w:eastAsia="宋体" w:cs="Times New Roman"/>
                      <w:color w:val="auto"/>
                      <w:kern w:val="21"/>
                      <w:sz w:val="18"/>
                      <w:szCs w:val="18"/>
                      <w:highlight w:val="none"/>
                    </w:rPr>
                    <w:t>、</w:t>
                  </w:r>
                  <w:r>
                    <w:rPr>
                      <w:rFonts w:hint="default" w:ascii="Times New Roman" w:hAnsi="Times New Roman" w:eastAsia="宋体" w:cs="Times New Roman"/>
                      <w:color w:val="auto"/>
                      <w:sz w:val="18"/>
                      <w:szCs w:val="18"/>
                      <w:highlight w:val="none"/>
                    </w:rPr>
                    <w:t>pH、</w:t>
                  </w:r>
                  <w:r>
                    <w:rPr>
                      <w:rFonts w:hint="default" w:ascii="Times New Roman" w:hAnsi="Times New Roman" w:eastAsia="宋体" w:cs="Times New Roman"/>
                      <w:color w:val="auto"/>
                      <w:kern w:val="21"/>
                      <w:sz w:val="18"/>
                      <w:szCs w:val="18"/>
                      <w:highlight w:val="none"/>
                      <w:lang w:val="en-US" w:eastAsia="zh-CN"/>
                    </w:rPr>
                    <w:t>BOD</w:t>
                  </w:r>
                  <w:r>
                    <w:rPr>
                      <w:rFonts w:hint="default" w:ascii="Times New Roman" w:hAnsi="Times New Roman" w:eastAsia="宋体" w:cs="Times New Roman"/>
                      <w:color w:val="auto"/>
                      <w:kern w:val="21"/>
                      <w:sz w:val="18"/>
                      <w:szCs w:val="18"/>
                      <w:highlight w:val="none"/>
                      <w:vertAlign w:val="subscript"/>
                      <w:lang w:val="en-US" w:eastAsia="zh-CN"/>
                    </w:rPr>
                    <w:t>5</w:t>
                  </w:r>
                </w:p>
              </w:tc>
              <w:tc>
                <w:tcPr>
                  <w:tcW w:w="1062" w:type="dxa"/>
                  <w:vMerge w:val="restart"/>
                  <w:tcBorders>
                    <w:tl2br w:val="nil"/>
                    <w:tr2bl w:val="nil"/>
                  </w:tcBorders>
                  <w:noWrap w:val="0"/>
                  <w:vAlign w:val="center"/>
                </w:tcPr>
                <w:p w14:paraId="02FAA3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间断</w:t>
                  </w:r>
                </w:p>
              </w:tc>
              <w:tc>
                <w:tcPr>
                  <w:tcW w:w="3326" w:type="dxa"/>
                  <w:vMerge w:val="restart"/>
                  <w:tcBorders>
                    <w:tl2br w:val="nil"/>
                    <w:tr2bl w:val="nil"/>
                  </w:tcBorders>
                  <w:noWrap w:val="0"/>
                  <w:vAlign w:val="center"/>
                </w:tcPr>
                <w:p w14:paraId="4C2621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z w:val="18"/>
                      <w:szCs w:val="18"/>
                      <w:highlight w:val="none"/>
                      <w:lang w:val="en-US" w:eastAsia="zh-CN"/>
                    </w:rPr>
                    <w:t>厂区生活污水收集至化粪池，处理后满足</w:t>
                  </w:r>
                  <w:r>
                    <w:rPr>
                      <w:rFonts w:hint="default" w:cs="Times New Roman"/>
                      <w:color w:val="auto"/>
                      <w:sz w:val="18"/>
                      <w:szCs w:val="18"/>
                      <w:highlight w:val="none"/>
                      <w:lang w:val="en-US" w:eastAsia="zh-CN"/>
                    </w:rPr>
                    <w:t>《污水综合排放标准》</w:t>
                  </w:r>
                  <w:r>
                    <w:rPr>
                      <w:rFonts w:hint="eastAsia" w:cs="Times New Roman"/>
                      <w:color w:val="auto"/>
                      <w:sz w:val="18"/>
                      <w:szCs w:val="18"/>
                      <w:highlight w:val="none"/>
                      <w:lang w:val="en-US" w:eastAsia="zh-CN"/>
                    </w:rPr>
                    <w:t>（GB8978-1996）三级标准</w:t>
                  </w:r>
                  <w:r>
                    <w:rPr>
                      <w:rFonts w:hint="eastAsia" w:cs="Times New Roman"/>
                      <w:color w:val="auto"/>
                      <w:spacing w:val="0"/>
                      <w:sz w:val="18"/>
                      <w:szCs w:val="18"/>
                      <w:highlight w:val="none"/>
                      <w:lang w:val="en-US" w:eastAsia="zh-CN"/>
                    </w:rPr>
                    <w:t>及</w:t>
                  </w:r>
                  <w:r>
                    <w:rPr>
                      <w:rFonts w:hint="default" w:cs="Times New Roman"/>
                      <w:color w:val="auto"/>
                      <w:spacing w:val="0"/>
                      <w:sz w:val="18"/>
                      <w:szCs w:val="18"/>
                      <w:highlight w:val="none"/>
                      <w:lang w:val="en-US" w:eastAsia="zh-CN"/>
                    </w:rPr>
                    <w:t>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w:t>
                  </w:r>
                  <w:r>
                    <w:rPr>
                      <w:rFonts w:hint="eastAsia" w:cs="Times New Roman"/>
                      <w:color w:val="auto"/>
                      <w:spacing w:val="0"/>
                      <w:sz w:val="18"/>
                      <w:szCs w:val="18"/>
                      <w:highlight w:val="none"/>
                      <w:lang w:val="en-US" w:eastAsia="zh-CN"/>
                    </w:rPr>
                    <w:t>进水标准</w:t>
                  </w:r>
                  <w:r>
                    <w:rPr>
                      <w:rFonts w:hint="eastAsia" w:cs="Times New Roman"/>
                      <w:color w:val="auto"/>
                      <w:sz w:val="18"/>
                      <w:szCs w:val="18"/>
                      <w:highlight w:val="none"/>
                      <w:lang w:val="en-US" w:eastAsia="zh-CN"/>
                    </w:rPr>
                    <w:t>，</w:t>
                  </w:r>
                  <w:r>
                    <w:rPr>
                      <w:rFonts w:hint="default" w:cs="Times New Roman"/>
                      <w:color w:val="auto"/>
                      <w:sz w:val="18"/>
                      <w:szCs w:val="18"/>
                      <w:highlight w:val="none"/>
                      <w:lang w:val="en-US" w:eastAsia="zh-CN"/>
                    </w:rPr>
                    <w:t>排入污水管网</w:t>
                  </w:r>
                  <w:r>
                    <w:rPr>
                      <w:rFonts w:hint="eastAsia" w:cs="Times New Roman"/>
                      <w:color w:val="auto"/>
                      <w:sz w:val="18"/>
                      <w:szCs w:val="18"/>
                      <w:highlight w:val="none"/>
                      <w:lang w:val="en-US" w:eastAsia="zh-CN"/>
                    </w:rPr>
                    <w:t>，</w:t>
                  </w:r>
                  <w:r>
                    <w:rPr>
                      <w:rFonts w:hint="default" w:cs="Times New Roman"/>
                      <w:color w:val="auto"/>
                      <w:sz w:val="18"/>
                      <w:szCs w:val="18"/>
                      <w:highlight w:val="none"/>
                      <w:lang w:val="en-US" w:eastAsia="zh-CN"/>
                    </w:rPr>
                    <w:t>经鸡西市</w:t>
                  </w:r>
                  <w:r>
                    <w:rPr>
                      <w:rFonts w:hint="eastAsia" w:cs="Times New Roman"/>
                      <w:color w:val="auto"/>
                      <w:sz w:val="18"/>
                      <w:szCs w:val="18"/>
                      <w:highlight w:val="none"/>
                      <w:lang w:val="en-US" w:eastAsia="zh-CN"/>
                    </w:rPr>
                    <w:t>鸡冠区</w:t>
                  </w:r>
                  <w:r>
                    <w:rPr>
                      <w:rFonts w:hint="default" w:cs="Times New Roman"/>
                      <w:color w:val="auto"/>
                      <w:sz w:val="18"/>
                      <w:szCs w:val="18"/>
                      <w:highlight w:val="none"/>
                      <w:lang w:val="en-US" w:eastAsia="zh-CN"/>
                    </w:rPr>
                    <w:t>污水处理厂处理后排入穆棱河</w:t>
                  </w:r>
                  <w:r>
                    <w:rPr>
                      <w:rFonts w:hint="eastAsia" w:cs="Times New Roman"/>
                      <w:color w:val="auto"/>
                      <w:sz w:val="18"/>
                      <w:szCs w:val="18"/>
                      <w:highlight w:val="none"/>
                      <w:lang w:val="en-US" w:eastAsia="zh-CN"/>
                    </w:rPr>
                    <w:t>。反冲洗废水回收至配水间与原水混合回用，排泥水经絮凝、压滤处理后满足</w:t>
                  </w:r>
                  <w:r>
                    <w:rPr>
                      <w:rFonts w:hint="eastAsia" w:cs="Times New Roman"/>
                      <w:color w:val="auto"/>
                      <w:spacing w:val="0"/>
                      <w:sz w:val="18"/>
                      <w:szCs w:val="18"/>
                      <w:highlight w:val="none"/>
                      <w:lang w:val="en-US" w:eastAsia="zh-CN"/>
                    </w:rPr>
                    <w:t>《地表水环境质量标准》（GB3838-2002）表1中三类标准</w:t>
                  </w:r>
                  <w:r>
                    <w:rPr>
                      <w:rFonts w:hint="eastAsia" w:cs="Times New Roman"/>
                      <w:color w:val="auto"/>
                      <w:sz w:val="18"/>
                      <w:szCs w:val="18"/>
                      <w:highlight w:val="none"/>
                      <w:lang w:val="en-US" w:eastAsia="zh-CN"/>
                    </w:rPr>
                    <w:t>、悬浮物满足</w:t>
                  </w:r>
                  <w:r>
                    <w:rPr>
                      <w:rFonts w:hint="default" w:cs="Times New Roman"/>
                      <w:color w:val="auto"/>
                      <w:sz w:val="18"/>
                      <w:szCs w:val="18"/>
                      <w:highlight w:val="none"/>
                      <w:lang w:val="en-US" w:eastAsia="zh-CN"/>
                    </w:rPr>
                    <w:t>《污水综合排放标准》</w:t>
                  </w:r>
                  <w:r>
                    <w:rPr>
                      <w:rFonts w:hint="eastAsia" w:cs="Times New Roman"/>
                      <w:color w:val="auto"/>
                      <w:sz w:val="18"/>
                      <w:szCs w:val="18"/>
                      <w:highlight w:val="none"/>
                      <w:lang w:val="en-US" w:eastAsia="zh-CN"/>
                    </w:rPr>
                    <w:t>（GB8978-1996）一级标准排入至穆棱河</w:t>
                  </w:r>
                </w:p>
              </w:tc>
            </w:tr>
            <w:tr w14:paraId="788C25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continue"/>
                  <w:tcBorders>
                    <w:tl2br w:val="nil"/>
                    <w:tr2bl w:val="nil"/>
                  </w:tcBorders>
                  <w:noWrap w:val="0"/>
                  <w:vAlign w:val="center"/>
                </w:tcPr>
                <w:p w14:paraId="7AA77C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52" w:type="dxa"/>
                  <w:tcBorders>
                    <w:tl2br w:val="nil"/>
                    <w:tr2bl w:val="nil"/>
                  </w:tcBorders>
                  <w:noWrap w:val="0"/>
                  <w:vAlign w:val="center"/>
                </w:tcPr>
                <w:p w14:paraId="185A40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滤池反冲洗废水</w:t>
                  </w:r>
                </w:p>
              </w:tc>
              <w:tc>
                <w:tcPr>
                  <w:tcW w:w="1613" w:type="dxa"/>
                  <w:tcBorders>
                    <w:tl2br w:val="nil"/>
                    <w:tr2bl w:val="nil"/>
                  </w:tcBorders>
                  <w:noWrap w:val="0"/>
                  <w:vAlign w:val="center"/>
                </w:tcPr>
                <w:p w14:paraId="0D3A1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vertAlign w:val="baseline"/>
                      <w:lang w:val="en-US" w:eastAsia="zh-CN"/>
                    </w:rPr>
                  </w:pPr>
                  <w:r>
                    <w:rPr>
                      <w:rFonts w:hint="eastAsia"/>
                      <w:color w:val="auto"/>
                      <w:sz w:val="18"/>
                      <w:szCs w:val="18"/>
                      <w:highlight w:val="none"/>
                      <w:lang w:val="en-US" w:eastAsia="zh-CN"/>
                    </w:rPr>
                    <w:t>SS</w:t>
                  </w:r>
                </w:p>
              </w:tc>
              <w:tc>
                <w:tcPr>
                  <w:tcW w:w="1062" w:type="dxa"/>
                  <w:vMerge w:val="continue"/>
                  <w:tcBorders>
                    <w:tl2br w:val="nil"/>
                    <w:tr2bl w:val="nil"/>
                  </w:tcBorders>
                  <w:noWrap w:val="0"/>
                  <w:vAlign w:val="center"/>
                </w:tcPr>
                <w:p w14:paraId="7724AB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326" w:type="dxa"/>
                  <w:vMerge w:val="continue"/>
                  <w:tcBorders>
                    <w:tl2br w:val="nil"/>
                    <w:tr2bl w:val="nil"/>
                  </w:tcBorders>
                  <w:noWrap w:val="0"/>
                  <w:vAlign w:val="center"/>
                </w:tcPr>
                <w:p w14:paraId="57564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r>
            <w:tr w14:paraId="1ED6F0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1" w:type="dxa"/>
                  <w:vMerge w:val="continue"/>
                  <w:tcBorders>
                    <w:tl2br w:val="nil"/>
                    <w:tr2bl w:val="nil"/>
                  </w:tcBorders>
                  <w:noWrap w:val="0"/>
                  <w:vAlign w:val="center"/>
                </w:tcPr>
                <w:p w14:paraId="25037C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52" w:type="dxa"/>
                  <w:tcBorders>
                    <w:tl2br w:val="nil"/>
                    <w:tr2bl w:val="nil"/>
                  </w:tcBorders>
                  <w:noWrap w:val="0"/>
                  <w:vAlign w:val="center"/>
                </w:tcPr>
                <w:p w14:paraId="05FEC7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0"/>
                      <w:sz w:val="18"/>
                      <w:szCs w:val="18"/>
                      <w:highlight w:val="none"/>
                      <w:lang w:val="en-US" w:eastAsia="zh-CN"/>
                    </w:rPr>
                    <w:t>排泥水</w:t>
                  </w:r>
                </w:p>
              </w:tc>
              <w:tc>
                <w:tcPr>
                  <w:tcW w:w="1613" w:type="dxa"/>
                  <w:tcBorders>
                    <w:tl2br w:val="nil"/>
                    <w:tr2bl w:val="nil"/>
                  </w:tcBorders>
                  <w:noWrap w:val="0"/>
                  <w:vAlign w:val="center"/>
                </w:tcPr>
                <w:p w14:paraId="3234C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COD</w:t>
                  </w:r>
                  <w:r>
                    <w:rPr>
                      <w:rFonts w:hint="default" w:ascii="Times New Roman" w:hAnsi="Times New Roman" w:eastAsia="宋体" w:cs="Times New Roman"/>
                      <w:color w:val="auto"/>
                      <w:kern w:val="21"/>
                      <w:sz w:val="18"/>
                      <w:szCs w:val="18"/>
                      <w:highlight w:val="none"/>
                    </w:rPr>
                    <w:t>、氨氮、</w:t>
                  </w:r>
                  <w:r>
                    <w:rPr>
                      <w:rFonts w:hint="default" w:ascii="Times New Roman" w:hAnsi="Times New Roman" w:eastAsia="宋体" w:cs="Times New Roman"/>
                      <w:color w:val="auto"/>
                      <w:kern w:val="21"/>
                      <w:sz w:val="18"/>
                      <w:szCs w:val="18"/>
                      <w:highlight w:val="none"/>
                      <w:lang w:val="en-US" w:eastAsia="zh-CN"/>
                    </w:rPr>
                    <w:t>SS</w:t>
                  </w:r>
                </w:p>
              </w:tc>
              <w:tc>
                <w:tcPr>
                  <w:tcW w:w="1062" w:type="dxa"/>
                  <w:vMerge w:val="continue"/>
                  <w:tcBorders>
                    <w:tl2br w:val="nil"/>
                    <w:tr2bl w:val="nil"/>
                  </w:tcBorders>
                  <w:noWrap w:val="0"/>
                  <w:vAlign w:val="center"/>
                </w:tcPr>
                <w:p w14:paraId="7C1F7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326" w:type="dxa"/>
                  <w:vMerge w:val="continue"/>
                  <w:tcBorders>
                    <w:tl2br w:val="nil"/>
                    <w:tr2bl w:val="nil"/>
                  </w:tcBorders>
                  <w:noWrap w:val="0"/>
                  <w:vAlign w:val="center"/>
                </w:tcPr>
                <w:p w14:paraId="4D23EC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r>
            <w:tr w14:paraId="628FA8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tcBorders>
                    <w:tl2br w:val="nil"/>
                    <w:tr2bl w:val="nil"/>
                  </w:tcBorders>
                  <w:noWrap w:val="0"/>
                  <w:vAlign w:val="center"/>
                </w:tcPr>
                <w:p w14:paraId="5579B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552" w:type="dxa"/>
                  <w:tcBorders>
                    <w:tl2br w:val="nil"/>
                    <w:tr2bl w:val="nil"/>
                  </w:tcBorders>
                  <w:noWrap w:val="0"/>
                  <w:vAlign w:val="center"/>
                </w:tcPr>
                <w:p w14:paraId="62F253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kern w:val="21"/>
                      <w:sz w:val="18"/>
                      <w:szCs w:val="18"/>
                      <w:highlight w:val="none"/>
                    </w:rPr>
                    <w:t>设备运行</w:t>
                  </w:r>
                </w:p>
              </w:tc>
              <w:tc>
                <w:tcPr>
                  <w:tcW w:w="1613" w:type="dxa"/>
                  <w:tcBorders>
                    <w:tl2br w:val="nil"/>
                    <w:tr2bl w:val="nil"/>
                  </w:tcBorders>
                  <w:noWrap w:val="0"/>
                  <w:vAlign w:val="center"/>
                </w:tcPr>
                <w:p w14:paraId="2928D9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062" w:type="dxa"/>
                  <w:tcBorders>
                    <w:tl2br w:val="nil"/>
                    <w:tr2bl w:val="nil"/>
                  </w:tcBorders>
                  <w:noWrap w:val="0"/>
                  <w:vAlign w:val="center"/>
                </w:tcPr>
                <w:p w14:paraId="63C23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326" w:type="dxa"/>
                  <w:tcBorders>
                    <w:tl2br w:val="nil"/>
                    <w:tr2bl w:val="nil"/>
                  </w:tcBorders>
                  <w:noWrap w:val="0"/>
                  <w:vAlign w:val="center"/>
                </w:tcPr>
                <w:p w14:paraId="12F38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sz w:val="18"/>
                      <w:szCs w:val="18"/>
                      <w:highlight w:val="none"/>
                    </w:rPr>
                    <w:t>选取低噪声设备，采取减振、隔声</w:t>
                  </w:r>
                  <w:r>
                    <w:rPr>
                      <w:rFonts w:hint="eastAsia" w:ascii="Times New Roman" w:hAnsi="Times New Roman" w:eastAsia="宋体" w:cs="Times New Roman"/>
                      <w:color w:val="auto"/>
                      <w:sz w:val="18"/>
                      <w:szCs w:val="18"/>
                      <w:highlight w:val="none"/>
                      <w:lang w:val="en-US" w:eastAsia="zh-CN"/>
                    </w:rPr>
                    <w:t>等</w:t>
                  </w:r>
                </w:p>
              </w:tc>
            </w:tr>
            <w:tr w14:paraId="677DEC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restart"/>
                  <w:tcBorders>
                    <w:tl2br w:val="nil"/>
                    <w:tr2bl w:val="nil"/>
                  </w:tcBorders>
                  <w:noWrap w:val="0"/>
                  <w:vAlign w:val="center"/>
                </w:tcPr>
                <w:p w14:paraId="4E9FB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rPr>
                    <w:t>固体废物</w:t>
                  </w:r>
                </w:p>
              </w:tc>
              <w:tc>
                <w:tcPr>
                  <w:tcW w:w="1552" w:type="dxa"/>
                  <w:tcBorders>
                    <w:tl2br w:val="nil"/>
                    <w:tr2bl w:val="nil"/>
                  </w:tcBorders>
                  <w:noWrap w:val="0"/>
                  <w:vAlign w:val="center"/>
                </w:tcPr>
                <w:p w14:paraId="579DB3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bCs/>
                      <w:color w:val="auto"/>
                      <w:sz w:val="18"/>
                      <w:szCs w:val="18"/>
                      <w:highlight w:val="none"/>
                      <w:lang w:val="en-US" w:eastAsia="zh-CN"/>
                    </w:rPr>
                    <w:t>员工</w:t>
                  </w:r>
                </w:p>
              </w:tc>
              <w:tc>
                <w:tcPr>
                  <w:tcW w:w="1613" w:type="dxa"/>
                  <w:tcBorders>
                    <w:tl2br w:val="nil"/>
                    <w:tr2bl w:val="nil"/>
                  </w:tcBorders>
                  <w:noWrap w:val="0"/>
                  <w:vAlign w:val="center"/>
                </w:tcPr>
                <w:p w14:paraId="729F74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lang w:val="en-US" w:eastAsia="zh-CN"/>
                    </w:rPr>
                    <w:t>生活垃圾</w:t>
                  </w:r>
                </w:p>
              </w:tc>
              <w:tc>
                <w:tcPr>
                  <w:tcW w:w="1062" w:type="dxa"/>
                  <w:vMerge w:val="restart"/>
                  <w:tcBorders>
                    <w:tl2br w:val="nil"/>
                    <w:tr2bl w:val="nil"/>
                  </w:tcBorders>
                  <w:noWrap w:val="0"/>
                  <w:vAlign w:val="center"/>
                </w:tcPr>
                <w:p w14:paraId="08786B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间断</w:t>
                  </w:r>
                </w:p>
              </w:tc>
              <w:tc>
                <w:tcPr>
                  <w:tcW w:w="3326" w:type="dxa"/>
                  <w:tcBorders>
                    <w:tl2br w:val="nil"/>
                    <w:tr2bl w:val="nil"/>
                  </w:tcBorders>
                  <w:noWrap w:val="0"/>
                  <w:vAlign w:val="center"/>
                </w:tcPr>
                <w:p w14:paraId="6D322C4A">
                  <w:pPr>
                    <w:pStyle w:val="1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委托环卫部门统一处理</w:t>
                  </w:r>
                </w:p>
              </w:tc>
            </w:tr>
            <w:tr w14:paraId="10FB47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continue"/>
                  <w:tcBorders>
                    <w:tl2br w:val="nil"/>
                    <w:tr2bl w:val="nil"/>
                  </w:tcBorders>
                  <w:noWrap w:val="0"/>
                  <w:vAlign w:val="center"/>
                </w:tcPr>
                <w:p w14:paraId="19FBCB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552" w:type="dxa"/>
                  <w:vMerge w:val="restart"/>
                  <w:tcBorders>
                    <w:tl2br w:val="nil"/>
                    <w:tr2bl w:val="nil"/>
                  </w:tcBorders>
                  <w:noWrap w:val="0"/>
                  <w:vAlign w:val="center"/>
                </w:tcPr>
                <w:p w14:paraId="5AA0BF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生产</w:t>
                  </w:r>
                </w:p>
              </w:tc>
              <w:tc>
                <w:tcPr>
                  <w:tcW w:w="1613" w:type="dxa"/>
                  <w:tcBorders>
                    <w:tl2br w:val="nil"/>
                    <w:tr2bl w:val="nil"/>
                  </w:tcBorders>
                  <w:noWrap w:val="0"/>
                  <w:vAlign w:val="center"/>
                </w:tcPr>
                <w:p w14:paraId="53421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脱水污泥</w:t>
                  </w:r>
                </w:p>
              </w:tc>
              <w:tc>
                <w:tcPr>
                  <w:tcW w:w="1062" w:type="dxa"/>
                  <w:vMerge w:val="continue"/>
                  <w:tcBorders>
                    <w:tl2br w:val="nil"/>
                    <w:tr2bl w:val="nil"/>
                  </w:tcBorders>
                  <w:noWrap w:val="0"/>
                  <w:vAlign w:val="center"/>
                </w:tcPr>
                <w:p w14:paraId="1ED15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326" w:type="dxa"/>
                  <w:tcBorders>
                    <w:tl2br w:val="nil"/>
                    <w:tr2bl w:val="nil"/>
                  </w:tcBorders>
                  <w:noWrap w:val="0"/>
                  <w:vAlign w:val="center"/>
                </w:tcPr>
                <w:p w14:paraId="393939F9">
                  <w:pPr>
                    <w:pStyle w:val="1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委托有资质单位处理</w:t>
                  </w:r>
                </w:p>
              </w:tc>
            </w:tr>
            <w:tr w14:paraId="66AF07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701" w:type="dxa"/>
                  <w:vMerge w:val="continue"/>
                  <w:tcBorders>
                    <w:tl2br w:val="nil"/>
                    <w:tr2bl w:val="nil"/>
                  </w:tcBorders>
                  <w:noWrap w:val="0"/>
                  <w:vAlign w:val="center"/>
                </w:tcPr>
                <w:p w14:paraId="4F966E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552" w:type="dxa"/>
                  <w:vMerge w:val="continue"/>
                  <w:tcBorders>
                    <w:tl2br w:val="nil"/>
                    <w:tr2bl w:val="nil"/>
                  </w:tcBorders>
                  <w:noWrap w:val="0"/>
                  <w:vAlign w:val="center"/>
                </w:tcPr>
                <w:p w14:paraId="635A8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1613" w:type="dxa"/>
                  <w:tcBorders>
                    <w:tl2br w:val="nil"/>
                    <w:tr2bl w:val="nil"/>
                  </w:tcBorders>
                  <w:noWrap w:val="0"/>
                  <w:vAlign w:val="center"/>
                </w:tcPr>
                <w:p w14:paraId="45E51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ascii="宋体" w:hAnsi="宋体" w:cs="宋体"/>
                      <w:color w:val="auto"/>
                      <w:sz w:val="18"/>
                      <w:szCs w:val="18"/>
                      <w:highlight w:val="none"/>
                      <w:lang w:val="en-US" w:eastAsia="zh-CN"/>
                    </w:rPr>
                  </w:pPr>
                  <w:r>
                    <w:rPr>
                      <w:rFonts w:hint="eastAsia" w:cs="Times New Roman"/>
                      <w:color w:val="auto"/>
                      <w:sz w:val="18"/>
                      <w:szCs w:val="18"/>
                      <w:highlight w:val="none"/>
                      <w:lang w:val="en-US" w:eastAsia="zh-CN"/>
                    </w:rPr>
                    <w:t>废活性炭</w:t>
                  </w:r>
                </w:p>
              </w:tc>
              <w:tc>
                <w:tcPr>
                  <w:tcW w:w="1062" w:type="dxa"/>
                  <w:vMerge w:val="continue"/>
                  <w:tcBorders>
                    <w:tl2br w:val="nil"/>
                    <w:tr2bl w:val="nil"/>
                  </w:tcBorders>
                  <w:noWrap w:val="0"/>
                  <w:vAlign w:val="center"/>
                </w:tcPr>
                <w:p w14:paraId="7D4B6A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326" w:type="dxa"/>
                  <w:tcBorders>
                    <w:tl2br w:val="nil"/>
                    <w:tr2bl w:val="nil"/>
                  </w:tcBorders>
                  <w:noWrap w:val="0"/>
                  <w:vAlign w:val="center"/>
                </w:tcPr>
                <w:p w14:paraId="21567D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由厂家更换后回收</w:t>
                  </w:r>
                </w:p>
              </w:tc>
            </w:tr>
            <w:tr w14:paraId="24BE2A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continue"/>
                  <w:tcBorders>
                    <w:tl2br w:val="nil"/>
                    <w:tr2bl w:val="nil"/>
                  </w:tcBorders>
                  <w:noWrap w:val="0"/>
                  <w:vAlign w:val="center"/>
                </w:tcPr>
                <w:p w14:paraId="14E68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552" w:type="dxa"/>
                  <w:vMerge w:val="continue"/>
                  <w:tcBorders>
                    <w:tl2br w:val="nil"/>
                    <w:tr2bl w:val="nil"/>
                  </w:tcBorders>
                  <w:noWrap w:val="0"/>
                  <w:vAlign w:val="center"/>
                </w:tcPr>
                <w:p w14:paraId="2132E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1613" w:type="dxa"/>
                  <w:tcBorders>
                    <w:tl2br w:val="nil"/>
                    <w:tr2bl w:val="nil"/>
                  </w:tcBorders>
                  <w:noWrap w:val="0"/>
                  <w:vAlign w:val="center"/>
                </w:tcPr>
                <w:p w14:paraId="503F3B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废弃过滤石英砂</w:t>
                  </w:r>
                </w:p>
              </w:tc>
              <w:tc>
                <w:tcPr>
                  <w:tcW w:w="1062" w:type="dxa"/>
                  <w:tcBorders>
                    <w:tl2br w:val="nil"/>
                    <w:tr2bl w:val="nil"/>
                  </w:tcBorders>
                  <w:noWrap w:val="0"/>
                  <w:vAlign w:val="center"/>
                </w:tcPr>
                <w:p w14:paraId="5B464A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间断</w:t>
                  </w:r>
                </w:p>
              </w:tc>
              <w:tc>
                <w:tcPr>
                  <w:tcW w:w="3326" w:type="dxa"/>
                  <w:tcBorders>
                    <w:tl2br w:val="nil"/>
                    <w:tr2bl w:val="nil"/>
                  </w:tcBorders>
                  <w:noWrap w:val="0"/>
                  <w:vAlign w:val="center"/>
                </w:tcPr>
                <w:p w14:paraId="09FD53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外售综合利用</w:t>
                  </w:r>
                </w:p>
              </w:tc>
            </w:tr>
          </w:tbl>
          <w:p w14:paraId="52D3C642">
            <w:pPr>
              <w:pStyle w:val="35"/>
              <w:keepNext w:val="0"/>
              <w:keepLines w:val="0"/>
              <w:suppressLineNumbers w:val="0"/>
              <w:spacing w:before="0" w:beforeAutospacing="0" w:after="0" w:afterAutospacing="0"/>
              <w:ind w:left="0" w:right="0"/>
              <w:rPr>
                <w:rFonts w:hint="default"/>
                <w:color w:val="auto"/>
                <w:highlight w:val="none"/>
                <w:lang w:val="en-US" w:eastAsia="zh-CN"/>
              </w:rPr>
            </w:pPr>
          </w:p>
        </w:tc>
      </w:tr>
      <w:tr w14:paraId="1C007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48" w:hRule="atLeast"/>
          <w:jc w:val="center"/>
        </w:trPr>
        <w:tc>
          <w:tcPr>
            <w:tcW w:w="748" w:type="dxa"/>
            <w:vAlign w:val="center"/>
          </w:tcPr>
          <w:p w14:paraId="4F197A4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与项目有关的原有环境污染问题</w:t>
            </w:r>
          </w:p>
        </w:tc>
        <w:tc>
          <w:tcPr>
            <w:tcW w:w="8473" w:type="dxa"/>
            <w:vAlign w:val="center"/>
          </w:tcPr>
          <w:p w14:paraId="7D25C070">
            <w:pPr>
              <w:keepNext w:val="0"/>
              <w:keepLines w:val="0"/>
              <w:widowControl/>
              <w:suppressLineNumbers w:val="0"/>
              <w:spacing w:before="0" w:beforeAutospacing="0" w:after="0" w:afterAutospacing="0" w:line="360" w:lineRule="auto"/>
              <w:ind w:left="0" w:right="0" w:firstLine="420" w:firstLineChars="200"/>
              <w:jc w:val="left"/>
              <w:rPr>
                <w:rFonts w:hint="default" w:eastAsia="宋体"/>
                <w:bCs/>
                <w:color w:val="auto"/>
                <w:kern w:val="0"/>
                <w:szCs w:val="21"/>
                <w:highlight w:val="none"/>
                <w:lang w:val="en-US" w:eastAsia="zh-CN"/>
              </w:rPr>
            </w:pPr>
            <w:r>
              <w:rPr>
                <w:rFonts w:hint="eastAsia" w:cs="Times New Roman"/>
                <w:b w:val="0"/>
                <w:bCs w:val="0"/>
                <w:color w:val="auto"/>
                <w:sz w:val="21"/>
                <w:szCs w:val="21"/>
                <w:highlight w:val="none"/>
                <w:lang w:val="en-US" w:eastAsia="zh-CN"/>
              </w:rPr>
              <w:t>鸡西市第三净水厂</w:t>
            </w:r>
            <w:r>
              <w:rPr>
                <w:rFonts w:hint="eastAsia"/>
                <w:bCs/>
                <w:color w:val="auto"/>
                <w:kern w:val="0"/>
                <w:szCs w:val="21"/>
                <w:highlight w:val="none"/>
                <w:lang w:val="en-US" w:eastAsia="zh-CN"/>
              </w:rPr>
              <w:t>现有工程</w:t>
            </w:r>
            <w:r>
              <w:rPr>
                <w:rFonts w:hint="default"/>
                <w:color w:val="auto"/>
                <w:szCs w:val="21"/>
                <w:highlight w:val="none"/>
              </w:rPr>
              <w:t>于</w:t>
            </w:r>
            <w:r>
              <w:rPr>
                <w:rFonts w:hint="eastAsia"/>
                <w:bCs/>
                <w:color w:val="auto"/>
                <w:szCs w:val="21"/>
                <w:highlight w:val="none"/>
                <w:lang w:bidi="ar"/>
              </w:rPr>
              <w:t>20</w:t>
            </w:r>
            <w:r>
              <w:rPr>
                <w:rFonts w:hint="eastAsia"/>
                <w:bCs/>
                <w:color w:val="auto"/>
                <w:szCs w:val="21"/>
                <w:highlight w:val="none"/>
                <w:lang w:val="en-US" w:eastAsia="zh-CN" w:bidi="ar"/>
              </w:rPr>
              <w:t>17</w:t>
            </w:r>
            <w:r>
              <w:rPr>
                <w:rFonts w:hint="default"/>
                <w:bCs/>
                <w:color w:val="auto"/>
                <w:szCs w:val="21"/>
                <w:highlight w:val="none"/>
                <w:lang w:bidi="ar"/>
              </w:rPr>
              <w:t>年</w:t>
            </w:r>
            <w:r>
              <w:rPr>
                <w:rFonts w:hint="eastAsia"/>
                <w:bCs/>
                <w:color w:val="auto"/>
                <w:szCs w:val="21"/>
                <w:highlight w:val="none"/>
                <w:lang w:val="en-US" w:eastAsia="zh-CN" w:bidi="ar"/>
              </w:rPr>
              <w:t>1</w:t>
            </w:r>
            <w:r>
              <w:rPr>
                <w:rFonts w:hint="eastAsia"/>
                <w:bCs/>
                <w:color w:val="auto"/>
                <w:szCs w:val="21"/>
                <w:highlight w:val="none"/>
                <w:lang w:bidi="ar"/>
              </w:rPr>
              <w:t>月</w:t>
            </w:r>
            <w:r>
              <w:rPr>
                <w:rFonts w:hint="eastAsia"/>
                <w:bCs/>
                <w:color w:val="auto"/>
                <w:szCs w:val="21"/>
                <w:highlight w:val="none"/>
                <w:lang w:val="en-US" w:eastAsia="zh-CN" w:bidi="ar"/>
              </w:rPr>
              <w:t>25</w:t>
            </w:r>
            <w:r>
              <w:rPr>
                <w:rFonts w:hint="eastAsia"/>
                <w:bCs/>
                <w:color w:val="auto"/>
                <w:szCs w:val="21"/>
                <w:highlight w:val="none"/>
                <w:lang w:bidi="ar"/>
              </w:rPr>
              <w:t>日</w:t>
            </w:r>
            <w:r>
              <w:rPr>
                <w:rFonts w:hint="eastAsia"/>
                <w:color w:val="auto"/>
                <w:szCs w:val="20"/>
                <w:highlight w:val="none"/>
              </w:rPr>
              <w:t>取得了《</w:t>
            </w:r>
            <w:r>
              <w:rPr>
                <w:rFonts w:hint="eastAsia" w:cs="Times New Roman"/>
                <w:b w:val="0"/>
                <w:bCs w:val="0"/>
                <w:color w:val="auto"/>
                <w:sz w:val="21"/>
                <w:szCs w:val="21"/>
                <w:highlight w:val="none"/>
                <w:lang w:val="en-US" w:eastAsia="zh-CN"/>
              </w:rPr>
              <w:t>关于鸡西市第三净水厂升级改造工程环境影响报告书的批复</w:t>
            </w:r>
            <w:r>
              <w:rPr>
                <w:rFonts w:hint="eastAsia"/>
                <w:color w:val="auto"/>
                <w:szCs w:val="20"/>
                <w:highlight w:val="none"/>
              </w:rPr>
              <w:t>》，批复文号为</w:t>
            </w:r>
            <w:r>
              <w:rPr>
                <w:rFonts w:hint="eastAsia"/>
                <w:color w:val="auto"/>
                <w:szCs w:val="20"/>
                <w:highlight w:val="none"/>
                <w:lang w:val="en-US" w:eastAsia="zh-CN"/>
              </w:rPr>
              <w:t>鸡</w:t>
            </w:r>
            <w:r>
              <w:rPr>
                <w:rFonts w:hint="eastAsia"/>
                <w:color w:val="auto"/>
                <w:szCs w:val="20"/>
                <w:highlight w:val="none"/>
              </w:rPr>
              <w:t>环审[20</w:t>
            </w:r>
            <w:r>
              <w:rPr>
                <w:rFonts w:hint="eastAsia"/>
                <w:color w:val="auto"/>
                <w:szCs w:val="20"/>
                <w:highlight w:val="none"/>
                <w:lang w:val="en-US" w:eastAsia="zh-CN"/>
              </w:rPr>
              <w:t>17</w:t>
            </w:r>
            <w:r>
              <w:rPr>
                <w:rFonts w:hint="eastAsia"/>
                <w:color w:val="auto"/>
                <w:szCs w:val="20"/>
                <w:highlight w:val="none"/>
              </w:rPr>
              <w:t>]</w:t>
            </w:r>
            <w:r>
              <w:rPr>
                <w:rFonts w:hint="eastAsia"/>
                <w:color w:val="auto"/>
                <w:szCs w:val="20"/>
                <w:highlight w:val="none"/>
                <w:lang w:val="en-US" w:eastAsia="zh-CN"/>
              </w:rPr>
              <w:t>1</w:t>
            </w:r>
            <w:r>
              <w:rPr>
                <w:rFonts w:hint="eastAsia"/>
                <w:color w:val="auto"/>
                <w:szCs w:val="20"/>
                <w:highlight w:val="none"/>
              </w:rPr>
              <w:t>号</w:t>
            </w:r>
            <w:r>
              <w:rPr>
                <w:rFonts w:hint="eastAsia"/>
                <w:color w:val="auto"/>
                <w:szCs w:val="20"/>
                <w:highlight w:val="none"/>
                <w:lang w:eastAsia="zh-CN"/>
              </w:rPr>
              <w:t>，</w:t>
            </w:r>
            <w:r>
              <w:rPr>
                <w:rFonts w:hint="eastAsia"/>
                <w:bCs/>
                <w:color w:val="auto"/>
                <w:kern w:val="0"/>
                <w:szCs w:val="21"/>
                <w:highlight w:val="none"/>
                <w:lang w:val="en-US" w:eastAsia="zh-CN"/>
              </w:rPr>
              <w:t>于2017年环评审批后开始建设，因深度处理车间未建设完成，故未进行环保验收。目前设备改造部分已建设完成。深度处理车间建设完成目前处于调试试运行状态，未投产，因废水由回用改为外排至穆棱河，属于重大变动，申请重新报批。</w:t>
            </w:r>
          </w:p>
          <w:p w14:paraId="7E339C54">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0" w:right="0" w:rightChars="0" w:firstLine="422" w:firstLineChars="200"/>
              <w:textAlignment w:val="baseline"/>
              <w:rPr>
                <w:rFonts w:hint="default"/>
                <w:b/>
                <w:bCs/>
                <w:color w:val="auto"/>
                <w:szCs w:val="21"/>
                <w:highlight w:val="none"/>
              </w:rPr>
            </w:pPr>
            <w:r>
              <w:rPr>
                <w:rFonts w:hint="eastAsia"/>
                <w:b/>
                <w:bCs/>
                <w:color w:val="auto"/>
                <w:szCs w:val="21"/>
                <w:highlight w:val="none"/>
                <w:lang w:val="en-US" w:eastAsia="zh-CN"/>
              </w:rPr>
              <w:t>1、环</w:t>
            </w:r>
            <w:r>
              <w:rPr>
                <w:rFonts w:hint="default"/>
                <w:b/>
                <w:bCs/>
                <w:color w:val="auto"/>
                <w:szCs w:val="21"/>
                <w:highlight w:val="none"/>
              </w:rPr>
              <w:t>评手续及排污许可履行情况</w:t>
            </w:r>
          </w:p>
          <w:p w14:paraId="2E55D43E">
            <w:pPr>
              <w:keepNext w:val="0"/>
              <w:keepLines w:val="0"/>
              <w:suppressLineNumbers w:val="0"/>
              <w:spacing w:before="0" w:beforeAutospacing="0" w:after="0" w:afterAutospacing="0"/>
              <w:ind w:left="0" w:right="0"/>
              <w:jc w:val="center"/>
              <w:rPr>
                <w:rFonts w:hint="default"/>
                <w:b/>
                <w:bCs/>
                <w:color w:val="auto"/>
                <w:szCs w:val="21"/>
                <w:highlight w:val="none"/>
              </w:rPr>
            </w:pPr>
            <w:r>
              <w:rPr>
                <w:rFonts w:hint="default"/>
                <w:b/>
                <w:bCs/>
                <w:color w:val="auto"/>
                <w:szCs w:val="21"/>
                <w:highlight w:val="none"/>
              </w:rPr>
              <w:t>表2-</w:t>
            </w:r>
            <w:r>
              <w:rPr>
                <w:rFonts w:hint="eastAsia"/>
                <w:b/>
                <w:bCs/>
                <w:color w:val="auto"/>
                <w:szCs w:val="21"/>
                <w:highlight w:val="none"/>
                <w:lang w:val="en-US" w:eastAsia="zh-CN"/>
              </w:rPr>
              <w:t>10</w:t>
            </w:r>
            <w:r>
              <w:rPr>
                <w:rFonts w:hint="default"/>
                <w:b/>
                <w:bCs/>
                <w:color w:val="auto"/>
                <w:szCs w:val="21"/>
                <w:highlight w:val="none"/>
              </w:rPr>
              <w:t>环评验收情况</w:t>
            </w:r>
          </w:p>
          <w:tbl>
            <w:tblPr>
              <w:tblStyle w:val="37"/>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9"/>
              <w:gridCol w:w="3580"/>
              <w:gridCol w:w="1854"/>
              <w:gridCol w:w="2014"/>
            </w:tblGrid>
            <w:tr w14:paraId="341A4E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287312A9">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序号</w:t>
                  </w:r>
                </w:p>
              </w:tc>
              <w:tc>
                <w:tcPr>
                  <w:tcW w:w="2167" w:type="pct"/>
                  <w:noWrap w:val="0"/>
                  <w:vAlign w:val="center"/>
                </w:tcPr>
                <w:p w14:paraId="7D107555">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项目名称</w:t>
                  </w:r>
                </w:p>
              </w:tc>
              <w:tc>
                <w:tcPr>
                  <w:tcW w:w="1122" w:type="pct"/>
                  <w:noWrap w:val="0"/>
                  <w:vAlign w:val="center"/>
                </w:tcPr>
                <w:p w14:paraId="2A41EA17">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审批部门</w:t>
                  </w:r>
                </w:p>
              </w:tc>
              <w:tc>
                <w:tcPr>
                  <w:tcW w:w="1219" w:type="pct"/>
                  <w:noWrap w:val="0"/>
                  <w:vAlign w:val="center"/>
                </w:tcPr>
                <w:p w14:paraId="37E6A08B">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环评批复</w:t>
                  </w:r>
                </w:p>
              </w:tc>
            </w:tr>
            <w:tr w14:paraId="67DA3F5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74D9C2B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cr/>
                  </w:r>
                  <w:r>
                    <w:rPr>
                      <w:rFonts w:hint="default"/>
                      <w:color w:val="auto"/>
                      <w:sz w:val="18"/>
                      <w:szCs w:val="18"/>
                      <w:highlight w:val="none"/>
                    </w:rPr>
                    <w:t>1</w:t>
                  </w:r>
                </w:p>
              </w:tc>
              <w:tc>
                <w:tcPr>
                  <w:tcW w:w="2167" w:type="pct"/>
                  <w:noWrap w:val="0"/>
                  <w:vAlign w:val="center"/>
                </w:tcPr>
                <w:p w14:paraId="3071F993">
                  <w:pPr>
                    <w:keepNext w:val="0"/>
                    <w:keepLines w:val="0"/>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鸡西市第三净水厂升级改造工程</w:t>
                  </w:r>
                  <w:r>
                    <w:rPr>
                      <w:rFonts w:hint="default"/>
                      <w:color w:val="auto"/>
                      <w:sz w:val="18"/>
                      <w:szCs w:val="18"/>
                      <w:highlight w:val="none"/>
                    </w:rPr>
                    <w:t>环境影响报告</w:t>
                  </w:r>
                  <w:r>
                    <w:rPr>
                      <w:rFonts w:hint="eastAsia"/>
                      <w:color w:val="auto"/>
                      <w:sz w:val="18"/>
                      <w:szCs w:val="18"/>
                      <w:highlight w:val="none"/>
                      <w:lang w:eastAsia="zh-CN"/>
                    </w:rPr>
                    <w:t>表</w:t>
                  </w:r>
                </w:p>
              </w:tc>
              <w:tc>
                <w:tcPr>
                  <w:tcW w:w="1122" w:type="pct"/>
                  <w:noWrap w:val="0"/>
                  <w:vAlign w:val="center"/>
                </w:tcPr>
                <w:p w14:paraId="5575EB5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eastAsia="宋体"/>
                      <w:color w:val="auto"/>
                      <w:sz w:val="18"/>
                      <w:szCs w:val="18"/>
                      <w:highlight w:val="none"/>
                      <w:lang w:val="en-US" w:eastAsia="zh-CN"/>
                    </w:rPr>
                    <w:t>鸡西市</w:t>
                  </w:r>
                  <w:r>
                    <w:rPr>
                      <w:rFonts w:hint="default"/>
                      <w:color w:val="auto"/>
                      <w:sz w:val="18"/>
                      <w:szCs w:val="18"/>
                      <w:highlight w:val="none"/>
                    </w:rPr>
                    <w:t>环境保护局</w:t>
                  </w:r>
                </w:p>
              </w:tc>
              <w:tc>
                <w:tcPr>
                  <w:tcW w:w="1219" w:type="pct"/>
                  <w:noWrap w:val="0"/>
                  <w:vAlign w:val="center"/>
                </w:tcPr>
                <w:p w14:paraId="36DFE8D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val="en-US" w:eastAsia="zh-CN"/>
                    </w:rPr>
                    <w:t>鸡</w:t>
                  </w:r>
                  <w:r>
                    <w:rPr>
                      <w:rFonts w:hint="default"/>
                      <w:color w:val="auto"/>
                      <w:sz w:val="18"/>
                      <w:szCs w:val="18"/>
                      <w:highlight w:val="none"/>
                    </w:rPr>
                    <w:t>环审[201</w:t>
                  </w:r>
                  <w:r>
                    <w:rPr>
                      <w:rFonts w:hint="eastAsia"/>
                      <w:color w:val="auto"/>
                      <w:sz w:val="18"/>
                      <w:szCs w:val="18"/>
                      <w:highlight w:val="none"/>
                      <w:lang w:val="en-US" w:eastAsia="zh-CN"/>
                    </w:rPr>
                    <w:t>7</w:t>
                  </w:r>
                  <w:r>
                    <w:rPr>
                      <w:rFonts w:hint="default"/>
                      <w:color w:val="auto"/>
                      <w:sz w:val="18"/>
                      <w:szCs w:val="18"/>
                      <w:highlight w:val="none"/>
                    </w:rPr>
                    <w:t>]</w:t>
                  </w:r>
                  <w:r>
                    <w:rPr>
                      <w:rFonts w:hint="eastAsia"/>
                      <w:color w:val="auto"/>
                      <w:sz w:val="18"/>
                      <w:szCs w:val="18"/>
                      <w:highlight w:val="none"/>
                      <w:lang w:val="en-US" w:eastAsia="zh-CN"/>
                    </w:rPr>
                    <w:t>1</w:t>
                  </w:r>
                  <w:r>
                    <w:rPr>
                      <w:rFonts w:hint="default"/>
                      <w:color w:val="auto"/>
                      <w:sz w:val="18"/>
                      <w:szCs w:val="18"/>
                      <w:highlight w:val="none"/>
                    </w:rPr>
                    <w:t>号</w:t>
                  </w:r>
                </w:p>
              </w:tc>
            </w:tr>
          </w:tbl>
          <w:p w14:paraId="213F81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eastAsia="宋体"/>
                <w:color w:val="auto"/>
                <w:sz w:val="21"/>
                <w:szCs w:val="21"/>
                <w:highlight w:val="none"/>
                <w:lang w:val="en-US" w:eastAsia="zh-CN"/>
              </w:rPr>
            </w:pPr>
            <w:r>
              <w:rPr>
                <w:rFonts w:hint="eastAsia"/>
                <w:color w:val="auto"/>
                <w:szCs w:val="21"/>
                <w:highlight w:val="none"/>
                <w:lang w:val="en-US" w:eastAsia="zh-CN"/>
              </w:rPr>
              <w:t>本项目于2020年4月16日进行排污登记，2025年4月16日完成排污登记延续，登</w:t>
            </w:r>
            <w:r>
              <w:rPr>
                <w:rFonts w:hint="eastAsia"/>
                <w:color w:val="auto"/>
                <w:sz w:val="21"/>
                <w:szCs w:val="21"/>
                <w:highlight w:val="none"/>
                <w:lang w:val="en-US" w:eastAsia="zh-CN"/>
              </w:rPr>
              <w:t>记编号为</w:t>
            </w:r>
            <w:r>
              <w:rPr>
                <w:rFonts w:hint="default"/>
                <w:color w:val="auto"/>
                <w:sz w:val="21"/>
                <w:szCs w:val="21"/>
                <w:highlight w:val="none"/>
              </w:rPr>
              <w:t>91230300129057358C001Z</w:t>
            </w:r>
            <w:r>
              <w:rPr>
                <w:rFonts w:hint="eastAsia"/>
                <w:color w:val="auto"/>
                <w:sz w:val="21"/>
                <w:szCs w:val="21"/>
                <w:highlight w:val="none"/>
                <w:lang w:eastAsia="zh-CN"/>
              </w:rPr>
              <w:t>。</w:t>
            </w:r>
          </w:p>
          <w:p w14:paraId="052247A4">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422" w:firstLineChars="200"/>
              <w:jc w:val="both"/>
              <w:textAlignment w:val="auto"/>
              <w:rPr>
                <w:rFonts w:hint="eastAsia"/>
                <w:b/>
                <w:bCs/>
                <w:color w:val="auto"/>
                <w:szCs w:val="21"/>
                <w:highlight w:val="none"/>
                <w:lang w:val="en-US" w:eastAsia="zh-CN"/>
              </w:rPr>
            </w:pPr>
            <w:r>
              <w:rPr>
                <w:rFonts w:hint="eastAsia" w:ascii="Times New Roman" w:hAnsi="Times New Roman" w:eastAsia="宋体" w:cs="Times New Roman"/>
                <w:b/>
                <w:bCs/>
                <w:color w:val="auto"/>
                <w:kern w:val="2"/>
                <w:sz w:val="21"/>
                <w:szCs w:val="21"/>
                <w:lang w:val="en-US" w:eastAsia="zh-CN" w:bidi="ar-SA"/>
              </w:rPr>
              <w:t>2、</w:t>
            </w:r>
            <w:r>
              <w:rPr>
                <w:rFonts w:hint="eastAsia"/>
                <w:b/>
                <w:bCs/>
                <w:color w:val="auto"/>
                <w:szCs w:val="21"/>
                <w:highlight w:val="none"/>
                <w:lang w:val="en-US" w:eastAsia="zh-CN"/>
              </w:rPr>
              <w:t>现有工程项目组成</w:t>
            </w:r>
          </w:p>
          <w:p w14:paraId="7491CF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b w:val="0"/>
                <w:bCs w:val="0"/>
                <w:color w:val="auto"/>
                <w:szCs w:val="21"/>
                <w:highlight w:val="none"/>
                <w:lang w:val="en-US" w:eastAsia="zh-CN"/>
              </w:rPr>
            </w:pPr>
            <w:r>
              <w:rPr>
                <w:rFonts w:hint="eastAsia" w:cs="Times New Roman"/>
                <w:color w:val="auto"/>
                <w:kern w:val="21"/>
                <w:sz w:val="21"/>
                <w:szCs w:val="21"/>
                <w:highlight w:val="none"/>
                <w:vertAlign w:val="baseline"/>
                <w:lang w:val="en-US" w:eastAsia="zh-CN"/>
              </w:rPr>
              <w:t>鸡西市第三净水厂现有工程设置2套净水系统，分别为1993年建设的老系统，2017年环评批复后已完成设备更换，设计规模5万m</w:t>
            </w:r>
            <w:r>
              <w:rPr>
                <w:rFonts w:hint="eastAsia" w:cs="Times New Roman"/>
                <w:color w:val="auto"/>
                <w:kern w:val="21"/>
                <w:sz w:val="21"/>
                <w:szCs w:val="21"/>
                <w:highlight w:val="none"/>
                <w:vertAlign w:val="superscript"/>
                <w:lang w:val="en-US" w:eastAsia="zh-CN"/>
              </w:rPr>
              <w:t>3</w:t>
            </w:r>
            <w:r>
              <w:rPr>
                <w:rFonts w:hint="eastAsia" w:cs="Times New Roman"/>
                <w:color w:val="auto"/>
                <w:kern w:val="21"/>
                <w:sz w:val="21"/>
                <w:szCs w:val="21"/>
                <w:highlight w:val="none"/>
                <w:vertAlign w:val="baseline"/>
                <w:lang w:val="en-US" w:eastAsia="zh-CN"/>
              </w:rPr>
              <w:t>/d。2010年建设的设计规模3万m</w:t>
            </w:r>
            <w:r>
              <w:rPr>
                <w:rFonts w:hint="eastAsia" w:cs="Times New Roman"/>
                <w:color w:val="auto"/>
                <w:kern w:val="21"/>
                <w:sz w:val="21"/>
                <w:szCs w:val="21"/>
                <w:highlight w:val="none"/>
                <w:vertAlign w:val="superscript"/>
                <w:lang w:val="en-US" w:eastAsia="zh-CN"/>
              </w:rPr>
              <w:t>3</w:t>
            </w:r>
            <w:r>
              <w:rPr>
                <w:rFonts w:hint="eastAsia" w:cs="Times New Roman"/>
                <w:color w:val="auto"/>
                <w:kern w:val="21"/>
                <w:sz w:val="21"/>
                <w:szCs w:val="21"/>
                <w:highlight w:val="none"/>
                <w:vertAlign w:val="baseline"/>
                <w:lang w:val="en-US" w:eastAsia="zh-CN"/>
              </w:rPr>
              <w:t>/d的净水系统。1套深度处理系统，设计规模8万m</w:t>
            </w:r>
            <w:r>
              <w:rPr>
                <w:rFonts w:hint="eastAsia" w:cs="Times New Roman"/>
                <w:color w:val="auto"/>
                <w:kern w:val="21"/>
                <w:sz w:val="21"/>
                <w:szCs w:val="21"/>
                <w:highlight w:val="none"/>
                <w:vertAlign w:val="superscript"/>
                <w:lang w:val="en-US" w:eastAsia="zh-CN"/>
              </w:rPr>
              <w:t>3</w:t>
            </w:r>
            <w:r>
              <w:rPr>
                <w:rFonts w:hint="eastAsia" w:cs="Times New Roman"/>
                <w:color w:val="auto"/>
                <w:kern w:val="21"/>
                <w:sz w:val="21"/>
                <w:szCs w:val="21"/>
                <w:highlight w:val="none"/>
                <w:vertAlign w:val="baseline"/>
                <w:lang w:val="en-US" w:eastAsia="zh-CN"/>
              </w:rPr>
              <w:t>/d。1套污泥处理系统，采用絮凝、压滤工艺。现有工程设计处理能力为8万m</w:t>
            </w:r>
            <w:r>
              <w:rPr>
                <w:rFonts w:hint="eastAsia" w:cs="Times New Roman"/>
                <w:color w:val="auto"/>
                <w:kern w:val="21"/>
                <w:sz w:val="21"/>
                <w:szCs w:val="21"/>
                <w:highlight w:val="none"/>
                <w:vertAlign w:val="superscript"/>
                <w:lang w:val="en-US" w:eastAsia="zh-CN"/>
              </w:rPr>
              <w:t>3</w:t>
            </w:r>
            <w:r>
              <w:rPr>
                <w:rFonts w:hint="eastAsia" w:cs="Times New Roman"/>
                <w:color w:val="auto"/>
                <w:kern w:val="21"/>
                <w:sz w:val="21"/>
                <w:szCs w:val="21"/>
                <w:highlight w:val="none"/>
                <w:vertAlign w:val="baseline"/>
                <w:lang w:val="en-US" w:eastAsia="zh-CN"/>
              </w:rPr>
              <w:t>/d。</w:t>
            </w:r>
          </w:p>
          <w:p w14:paraId="640A202C">
            <w:pPr>
              <w:keepNext w:val="0"/>
              <w:keepLines w:val="0"/>
              <w:suppressLineNumbers w:val="0"/>
              <w:spacing w:before="0" w:beforeAutospacing="0" w:after="0" w:afterAutospacing="0"/>
              <w:ind w:left="0" w:right="0"/>
              <w:jc w:val="center"/>
              <w:rPr>
                <w:rFonts w:hint="default"/>
                <w:b/>
                <w:bCs/>
                <w:color w:val="auto"/>
                <w:szCs w:val="21"/>
                <w:highlight w:val="none"/>
                <w:lang w:val="en-US" w:eastAsia="zh-CN"/>
              </w:rPr>
            </w:pPr>
            <w:r>
              <w:rPr>
                <w:rFonts w:hint="eastAsia"/>
                <w:b/>
                <w:bCs/>
                <w:color w:val="auto"/>
                <w:szCs w:val="21"/>
                <w:highlight w:val="none"/>
                <w:lang w:val="en-US" w:eastAsia="zh-CN"/>
              </w:rPr>
              <w:t>表2-11 现有工程项目内容</w:t>
            </w:r>
          </w:p>
          <w:tbl>
            <w:tblPr>
              <w:tblStyle w:val="38"/>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3"/>
              <w:gridCol w:w="765"/>
              <w:gridCol w:w="4631"/>
              <w:gridCol w:w="2064"/>
            </w:tblGrid>
            <w:tr w14:paraId="1F60B4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dxa"/>
                  <w:gridSpan w:val="2"/>
                  <w:tcBorders>
                    <w:tl2br w:val="nil"/>
                    <w:tr2bl w:val="nil"/>
                  </w:tcBorders>
                  <w:vAlign w:val="center"/>
                </w:tcPr>
                <w:p w14:paraId="5544DB2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color w:val="auto"/>
                      <w:sz w:val="18"/>
                      <w:szCs w:val="18"/>
                      <w:highlight w:val="none"/>
                    </w:rPr>
                    <w:t>建设内容</w:t>
                  </w:r>
                </w:p>
              </w:tc>
              <w:tc>
                <w:tcPr>
                  <w:tcW w:w="4631" w:type="dxa"/>
                  <w:tcBorders>
                    <w:tl2br w:val="nil"/>
                    <w:tr2bl w:val="nil"/>
                  </w:tcBorders>
                  <w:vAlign w:val="center"/>
                </w:tcPr>
                <w:p w14:paraId="26E47D7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color w:val="auto"/>
                      <w:sz w:val="18"/>
                      <w:szCs w:val="18"/>
                      <w:highlight w:val="none"/>
                    </w:rPr>
                    <w:t>建设规模及内容</w:t>
                  </w:r>
                </w:p>
              </w:tc>
              <w:tc>
                <w:tcPr>
                  <w:tcW w:w="2064" w:type="dxa"/>
                  <w:tcBorders>
                    <w:tl2br w:val="nil"/>
                    <w:tr2bl w:val="nil"/>
                  </w:tcBorders>
                  <w:vAlign w:val="center"/>
                </w:tcPr>
                <w:p w14:paraId="00A3CEF6">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ascii="宋体" w:hAnsi="宋体" w:cs="宋体"/>
                      <w:color w:val="auto"/>
                      <w:sz w:val="18"/>
                      <w:szCs w:val="18"/>
                      <w:highlight w:val="none"/>
                    </w:rPr>
                    <w:t>备注</w:t>
                  </w:r>
                </w:p>
              </w:tc>
            </w:tr>
            <w:tr w14:paraId="03EA85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3" w:type="dxa"/>
                  <w:vMerge w:val="restart"/>
                  <w:tcBorders>
                    <w:tl2br w:val="nil"/>
                    <w:tr2bl w:val="nil"/>
                  </w:tcBorders>
                  <w:vAlign w:val="center"/>
                </w:tcPr>
                <w:p w14:paraId="422AFA9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主体工程</w:t>
                  </w:r>
                </w:p>
              </w:tc>
              <w:tc>
                <w:tcPr>
                  <w:tcW w:w="765" w:type="dxa"/>
                  <w:vMerge w:val="restart"/>
                  <w:tcBorders>
                    <w:tl2br w:val="nil"/>
                    <w:tr2bl w:val="nil"/>
                  </w:tcBorders>
                  <w:vAlign w:val="center"/>
                </w:tcPr>
                <w:p w14:paraId="11B98714">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Cs/>
                      <w:color w:val="auto"/>
                      <w:sz w:val="18"/>
                      <w:szCs w:val="18"/>
                      <w:highlight w:val="none"/>
                      <w:lang w:val="en-US" w:eastAsia="zh-CN"/>
                    </w:rPr>
                    <w:t>净水系统</w:t>
                  </w:r>
                </w:p>
              </w:tc>
              <w:tc>
                <w:tcPr>
                  <w:tcW w:w="4631" w:type="dxa"/>
                  <w:tcBorders>
                    <w:tl2br w:val="nil"/>
                    <w:tr2bl w:val="nil"/>
                  </w:tcBorders>
                  <w:vAlign w:val="center"/>
                </w:tcPr>
                <w:p w14:paraId="7B564293">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
                    </w:rPr>
                    <w:t>1993年净水系统，设计规模5万m</w:t>
                  </w:r>
                  <w:r>
                    <w:rPr>
                      <w:rFonts w:hint="default" w:ascii="Times New Roman" w:hAnsi="Times New Roman" w:eastAsia="宋体" w:cs="Times New Roman"/>
                      <w:color w:val="auto"/>
                      <w:kern w:val="0"/>
                      <w:sz w:val="18"/>
                      <w:szCs w:val="18"/>
                      <w:highlight w:val="none"/>
                      <w:vertAlign w:val="superscript"/>
                      <w:lang w:val="en-US" w:eastAsia="zh-CN" w:bidi="ar"/>
                    </w:rPr>
                    <w:t>3</w:t>
                  </w:r>
                  <w:r>
                    <w:rPr>
                      <w:rFonts w:hint="default" w:ascii="Times New Roman" w:hAnsi="Times New Roman" w:eastAsia="宋体" w:cs="Times New Roman"/>
                      <w:color w:val="auto"/>
                      <w:kern w:val="0"/>
                      <w:sz w:val="18"/>
                      <w:szCs w:val="18"/>
                      <w:highlight w:val="none"/>
                      <w:lang w:val="en-US" w:eastAsia="zh-CN" w:bidi="ar"/>
                    </w:rPr>
                    <w:t>/d，砖混结构2层建筑，占地面积2100m</w:t>
                  </w:r>
                  <w:r>
                    <w:rPr>
                      <w:rFonts w:hint="default" w:ascii="Times New Roman" w:hAnsi="Times New Roman" w:eastAsia="宋体" w:cs="Times New Roman"/>
                      <w:color w:val="auto"/>
                      <w:kern w:val="0"/>
                      <w:sz w:val="18"/>
                      <w:szCs w:val="18"/>
                      <w:highlight w:val="none"/>
                      <w:vertAlign w:val="superscript"/>
                      <w:lang w:val="en-US" w:eastAsia="zh-CN" w:bidi="ar"/>
                    </w:rPr>
                    <w:t>2</w:t>
                  </w:r>
                  <w:r>
                    <w:rPr>
                      <w:rFonts w:hint="default" w:ascii="Times New Roman" w:hAnsi="Times New Roman" w:eastAsia="宋体" w:cs="Times New Roman"/>
                      <w:color w:val="auto"/>
                      <w:kern w:val="0"/>
                      <w:sz w:val="18"/>
                      <w:szCs w:val="18"/>
                      <w:highlight w:val="none"/>
                      <w:lang w:val="en-US" w:eastAsia="zh-CN" w:bidi="ar"/>
                    </w:rPr>
                    <w:t>，高9m，车间内设置网格絮凝池、斜板沉淀池、双阀滤池，</w:t>
                  </w:r>
                </w:p>
              </w:tc>
              <w:tc>
                <w:tcPr>
                  <w:tcW w:w="2064" w:type="dxa"/>
                  <w:tcBorders>
                    <w:tl2br w:val="nil"/>
                    <w:tr2bl w:val="nil"/>
                  </w:tcBorders>
                  <w:vAlign w:val="center"/>
                </w:tcPr>
                <w:p w14:paraId="42AE3B4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ascii="宋体" w:hAnsi="宋体" w:cs="宋体"/>
                      <w:color w:val="auto"/>
                      <w:sz w:val="18"/>
                      <w:szCs w:val="18"/>
                      <w:highlight w:val="none"/>
                      <w:lang w:val="en-US" w:eastAsia="zh-CN"/>
                    </w:rPr>
                    <w:t>/</w:t>
                  </w:r>
                </w:p>
              </w:tc>
            </w:tr>
            <w:tr w14:paraId="52BE64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7B67E7C8">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p>
              </w:tc>
              <w:tc>
                <w:tcPr>
                  <w:tcW w:w="765" w:type="dxa"/>
                  <w:vMerge w:val="continue"/>
                  <w:tcBorders>
                    <w:tl2br w:val="nil"/>
                    <w:tr2bl w:val="nil"/>
                  </w:tcBorders>
                  <w:vAlign w:val="center"/>
                </w:tcPr>
                <w:p w14:paraId="48AF4114">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p>
              </w:tc>
              <w:tc>
                <w:tcPr>
                  <w:tcW w:w="4631" w:type="dxa"/>
                  <w:tcBorders>
                    <w:tl2br w:val="nil"/>
                    <w:tr2bl w:val="nil"/>
                  </w:tcBorders>
                  <w:vAlign w:val="center"/>
                </w:tcPr>
                <w:p w14:paraId="18124B53">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2010年净水系统，设计规模3万m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/d，占地面积2200m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，高9m，车间内设置折板絮凝池，斜管沉淀池，V型滤池。</w:t>
                  </w:r>
                </w:p>
              </w:tc>
              <w:tc>
                <w:tcPr>
                  <w:tcW w:w="2064" w:type="dxa"/>
                  <w:tcBorders>
                    <w:tl2br w:val="nil"/>
                    <w:tr2bl w:val="nil"/>
                  </w:tcBorders>
                  <w:vAlign w:val="center"/>
                </w:tcPr>
                <w:p w14:paraId="6DB1A4E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ascii="宋体" w:hAnsi="宋体" w:cs="宋体"/>
                      <w:color w:val="auto"/>
                      <w:sz w:val="18"/>
                      <w:szCs w:val="18"/>
                      <w:highlight w:val="none"/>
                      <w:lang w:val="en-US" w:eastAsia="zh-CN"/>
                    </w:rPr>
                    <w:t>/</w:t>
                  </w:r>
                </w:p>
              </w:tc>
            </w:tr>
            <w:tr w14:paraId="1F6CF8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61452EF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p>
              </w:tc>
              <w:tc>
                <w:tcPr>
                  <w:tcW w:w="765" w:type="dxa"/>
                  <w:tcBorders>
                    <w:tl2br w:val="nil"/>
                    <w:tr2bl w:val="nil"/>
                  </w:tcBorders>
                  <w:vAlign w:val="center"/>
                </w:tcPr>
                <w:p w14:paraId="7AA18E58">
                  <w:pPr>
                    <w:pStyle w:val="148"/>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深度处理系统</w:t>
                  </w:r>
                </w:p>
              </w:tc>
              <w:tc>
                <w:tcPr>
                  <w:tcW w:w="4631" w:type="dxa"/>
                  <w:tcBorders>
                    <w:tl2br w:val="nil"/>
                    <w:tr2bl w:val="nil"/>
                  </w:tcBorders>
                  <w:vAlign w:val="center"/>
                </w:tcPr>
                <w:p w14:paraId="1FCAEA78">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新建1套深度处理系统，设计规模8万m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/d，砖混结构2层建筑，占地面积1800m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，高9m，车间内设置絮凝池、臭氧接触池、活性炭滤池、排泥池、废水回收池。</w:t>
                  </w:r>
                </w:p>
              </w:tc>
              <w:tc>
                <w:tcPr>
                  <w:tcW w:w="2064" w:type="dxa"/>
                  <w:tcBorders>
                    <w:tl2br w:val="nil"/>
                    <w:tr2bl w:val="nil"/>
                  </w:tcBorders>
                  <w:vAlign w:val="center"/>
                </w:tcPr>
                <w:p w14:paraId="0549172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ascii="宋体" w:hAnsi="宋体" w:cs="宋体"/>
                      <w:color w:val="auto"/>
                      <w:sz w:val="18"/>
                      <w:szCs w:val="18"/>
                      <w:highlight w:val="none"/>
                      <w:lang w:val="en-US" w:eastAsia="zh-CN"/>
                    </w:rPr>
                    <w:t>试运行调试中，未投产</w:t>
                  </w:r>
                </w:p>
              </w:tc>
            </w:tr>
            <w:tr w14:paraId="4BE341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609B16B8">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p>
              </w:tc>
              <w:tc>
                <w:tcPr>
                  <w:tcW w:w="765" w:type="dxa"/>
                  <w:tcBorders>
                    <w:tl2br w:val="nil"/>
                    <w:tr2bl w:val="nil"/>
                  </w:tcBorders>
                  <w:vAlign w:val="center"/>
                </w:tcPr>
                <w:p w14:paraId="7CF4A5AD">
                  <w:pPr>
                    <w:pStyle w:val="148"/>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给水泵房</w:t>
                  </w:r>
                </w:p>
              </w:tc>
              <w:tc>
                <w:tcPr>
                  <w:tcW w:w="4631" w:type="dxa"/>
                  <w:tcBorders>
                    <w:tl2br w:val="nil"/>
                    <w:tr2bl w:val="nil"/>
                  </w:tcBorders>
                  <w:vAlign w:val="center"/>
                </w:tcPr>
                <w:p w14:paraId="338DA098">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砖混结构，占地面积630m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，高3m，内置11台给水泵（其中2台备用）。</w:t>
                  </w:r>
                </w:p>
              </w:tc>
              <w:tc>
                <w:tcPr>
                  <w:tcW w:w="2064" w:type="dxa"/>
                  <w:tcBorders>
                    <w:tl2br w:val="nil"/>
                    <w:tr2bl w:val="nil"/>
                  </w:tcBorders>
                  <w:vAlign w:val="center"/>
                </w:tcPr>
                <w:p w14:paraId="33FAB59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ascii="宋体" w:hAnsi="宋体" w:cs="宋体"/>
                      <w:color w:val="auto"/>
                      <w:sz w:val="18"/>
                      <w:szCs w:val="18"/>
                      <w:highlight w:val="none"/>
                      <w:lang w:val="en-US" w:eastAsia="zh-CN"/>
                    </w:rPr>
                    <w:t>/</w:t>
                  </w:r>
                </w:p>
              </w:tc>
            </w:tr>
            <w:tr w14:paraId="367FAD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6F49AC5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p>
              </w:tc>
              <w:tc>
                <w:tcPr>
                  <w:tcW w:w="765" w:type="dxa"/>
                  <w:tcBorders>
                    <w:tl2br w:val="nil"/>
                    <w:tr2bl w:val="nil"/>
                  </w:tcBorders>
                  <w:vAlign w:val="center"/>
                </w:tcPr>
                <w:p w14:paraId="2CC8528B">
                  <w:pPr>
                    <w:pStyle w:val="148"/>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加药间</w:t>
                  </w:r>
                </w:p>
              </w:tc>
              <w:tc>
                <w:tcPr>
                  <w:tcW w:w="4631" w:type="dxa"/>
                  <w:tcBorders>
                    <w:tl2br w:val="nil"/>
                    <w:tr2bl w:val="nil"/>
                  </w:tcBorders>
                  <w:vAlign w:val="center"/>
                </w:tcPr>
                <w:p w14:paraId="433C51A9">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砖混结构，占地面积600m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，高3m，用于配置不同浓度的聚合氯化铝以及药剂储存，聚合氯化铝最大储存量360t，聚丙烯酰胺最大储存量40t，配药区域设置1个90m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、1个70m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的混药池。</w:t>
                  </w:r>
                </w:p>
              </w:tc>
              <w:tc>
                <w:tcPr>
                  <w:tcW w:w="2064" w:type="dxa"/>
                  <w:tcBorders>
                    <w:tl2br w:val="nil"/>
                    <w:tr2bl w:val="nil"/>
                  </w:tcBorders>
                  <w:vAlign w:val="center"/>
                </w:tcPr>
                <w:p w14:paraId="3D335EC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ascii="宋体" w:hAnsi="宋体" w:cs="宋体"/>
                      <w:color w:val="auto"/>
                      <w:sz w:val="18"/>
                      <w:szCs w:val="18"/>
                      <w:highlight w:val="none"/>
                      <w:lang w:val="en-US" w:eastAsia="zh-CN"/>
                    </w:rPr>
                    <w:t>/</w:t>
                  </w:r>
                </w:p>
              </w:tc>
            </w:tr>
            <w:tr w14:paraId="572280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35FDD44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p>
              </w:tc>
              <w:tc>
                <w:tcPr>
                  <w:tcW w:w="765" w:type="dxa"/>
                  <w:tcBorders>
                    <w:tl2br w:val="nil"/>
                    <w:tr2bl w:val="nil"/>
                  </w:tcBorders>
                  <w:vAlign w:val="center"/>
                </w:tcPr>
                <w:p w14:paraId="7ACDCF81">
                  <w:pPr>
                    <w:pStyle w:val="148"/>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污泥处理间</w:t>
                  </w:r>
                </w:p>
              </w:tc>
              <w:tc>
                <w:tcPr>
                  <w:tcW w:w="4631" w:type="dxa"/>
                  <w:tcBorders>
                    <w:tl2br w:val="nil"/>
                    <w:tr2bl w:val="nil"/>
                  </w:tcBorders>
                  <w:vAlign w:val="center"/>
                </w:tcPr>
                <w:p w14:paraId="6361F9A3">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砖混结构2层建筑，占地面积360m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lang w:val="en-US" w:eastAsia="zh-CN" w:bidi="ar"/>
                    </w:rPr>
                    <w:t>，高6m，内置2套污泥压滤处理系统，1用1备。</w:t>
                  </w:r>
                </w:p>
              </w:tc>
              <w:tc>
                <w:tcPr>
                  <w:tcW w:w="2064" w:type="dxa"/>
                  <w:tcBorders>
                    <w:tl2br w:val="nil"/>
                    <w:tr2bl w:val="nil"/>
                  </w:tcBorders>
                  <w:vAlign w:val="center"/>
                </w:tcPr>
                <w:p w14:paraId="263C77B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ascii="宋体" w:hAnsi="宋体" w:cs="宋体"/>
                      <w:color w:val="auto"/>
                      <w:sz w:val="18"/>
                      <w:szCs w:val="18"/>
                      <w:highlight w:val="none"/>
                      <w:lang w:val="en-US" w:eastAsia="zh-CN"/>
                    </w:rPr>
                    <w:t>/</w:t>
                  </w:r>
                </w:p>
              </w:tc>
            </w:tr>
            <w:tr w14:paraId="7C8EC4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4E5D9D82">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p>
              </w:tc>
              <w:tc>
                <w:tcPr>
                  <w:tcW w:w="765" w:type="dxa"/>
                  <w:tcBorders>
                    <w:tl2br w:val="nil"/>
                    <w:tr2bl w:val="nil"/>
                  </w:tcBorders>
                  <w:vAlign w:val="center"/>
                </w:tcPr>
                <w:p w14:paraId="12492C2B">
                  <w:pPr>
                    <w:pStyle w:val="148"/>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排泥池</w:t>
                  </w:r>
                </w:p>
              </w:tc>
              <w:tc>
                <w:tcPr>
                  <w:tcW w:w="4631" w:type="dxa"/>
                  <w:tcBorders>
                    <w:tl2br w:val="nil"/>
                    <w:tr2bl w:val="nil"/>
                  </w:tcBorders>
                  <w:vAlign w:val="center"/>
                </w:tcPr>
                <w:p w14:paraId="550037D2">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eastAsiaTheme="minorEastAsia"/>
                      <w:color w:val="auto"/>
                      <w:kern w:val="0"/>
                      <w:sz w:val="18"/>
                      <w:szCs w:val="18"/>
                      <w:highlight w:val="none"/>
                      <w:lang w:val="en-US" w:eastAsia="zh-CN" w:bidi="ar"/>
                    </w:rPr>
                    <w:t>位于污泥处理间地下，总容积450m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，污泥最大储存量380m</w:t>
                  </w:r>
                  <w:r>
                    <w:rPr>
                      <w:rFonts w:hint="eastAsia" w:cs="Times New Roman" w:eastAsiaTheme="minorEastAsia"/>
                      <w:color w:val="auto"/>
                      <w:kern w:val="0"/>
                      <w:sz w:val="18"/>
                      <w:szCs w:val="18"/>
                      <w:highlight w:val="none"/>
                      <w:vertAlign w:val="superscript"/>
                      <w:lang w:val="en-US" w:eastAsia="zh-CN" w:bidi="ar"/>
                    </w:rPr>
                    <w:t>3</w:t>
                  </w:r>
                  <w:r>
                    <w:rPr>
                      <w:rFonts w:hint="eastAsia" w:cs="Times New Roman" w:eastAsiaTheme="minorEastAsia"/>
                      <w:color w:val="auto"/>
                      <w:kern w:val="0"/>
                      <w:sz w:val="18"/>
                      <w:szCs w:val="18"/>
                      <w:highlight w:val="none"/>
                      <w:lang w:val="en-US" w:eastAsia="zh-CN" w:bidi="ar"/>
                    </w:rPr>
                    <w:t>。</w:t>
                  </w:r>
                </w:p>
              </w:tc>
              <w:tc>
                <w:tcPr>
                  <w:tcW w:w="2064" w:type="dxa"/>
                  <w:tcBorders>
                    <w:tl2br w:val="nil"/>
                    <w:tr2bl w:val="nil"/>
                  </w:tcBorders>
                  <w:vAlign w:val="center"/>
                </w:tcPr>
                <w:p w14:paraId="5A760FA8">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r>
                    <w:rPr>
                      <w:rFonts w:hint="eastAsia" w:ascii="宋体" w:hAnsi="宋体" w:cs="宋体"/>
                      <w:color w:val="auto"/>
                      <w:sz w:val="18"/>
                      <w:szCs w:val="18"/>
                      <w:highlight w:val="none"/>
                      <w:lang w:val="en-US" w:eastAsia="zh-CN"/>
                    </w:rPr>
                    <w:t>/</w:t>
                  </w:r>
                </w:p>
              </w:tc>
            </w:tr>
            <w:tr w14:paraId="30A4F4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0329215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p>
              </w:tc>
              <w:tc>
                <w:tcPr>
                  <w:tcW w:w="765" w:type="dxa"/>
                  <w:tcBorders>
                    <w:tl2br w:val="nil"/>
                    <w:tr2bl w:val="nil"/>
                  </w:tcBorders>
                  <w:vAlign w:val="center"/>
                </w:tcPr>
                <w:p w14:paraId="7A23A035">
                  <w:pPr>
                    <w:pStyle w:val="148"/>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加氯间</w:t>
                  </w:r>
                </w:p>
              </w:tc>
              <w:tc>
                <w:tcPr>
                  <w:tcW w:w="4631" w:type="dxa"/>
                  <w:tcBorders>
                    <w:tl2br w:val="nil"/>
                    <w:tr2bl w:val="nil"/>
                  </w:tcBorders>
                  <w:vAlign w:val="center"/>
                </w:tcPr>
                <w:p w14:paraId="681960A2">
                  <w:pPr>
                    <w:keepNext w:val="0"/>
                    <w:keepLines w:val="0"/>
                    <w:widowControl/>
                    <w:suppressLineNumbers w:val="0"/>
                    <w:spacing w:before="0" w:beforeAutospacing="0" w:after="0" w:afterAutospacing="0"/>
                    <w:ind w:left="0" w:leftChars="0" w:right="0" w:rightChars="0"/>
                    <w:jc w:val="center"/>
                    <w:rPr>
                      <w:rFonts w:hint="default"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砖混结构，占地面积200m</w:t>
                  </w:r>
                  <w:r>
                    <w:rPr>
                      <w:rFonts w:hint="eastAsia" w:cs="Times New Roman" w:eastAsiaTheme="minorEastAsia"/>
                      <w:color w:val="auto"/>
                      <w:kern w:val="0"/>
                      <w:sz w:val="18"/>
                      <w:szCs w:val="18"/>
                      <w:highlight w:val="none"/>
                      <w:vertAlign w:val="superscript"/>
                      <w:lang w:val="en-US" w:eastAsia="zh-CN" w:bidi="ar"/>
                    </w:rPr>
                    <w:t>2</w:t>
                  </w:r>
                  <w:r>
                    <w:rPr>
                      <w:rFonts w:hint="eastAsia" w:cs="Times New Roman" w:eastAsiaTheme="minorEastAsia"/>
                      <w:color w:val="auto"/>
                      <w:kern w:val="0"/>
                      <w:sz w:val="18"/>
                      <w:szCs w:val="18"/>
                      <w:highlight w:val="none"/>
                      <w:vertAlign w:val="baseline"/>
                      <w:lang w:val="en-US" w:eastAsia="zh-CN" w:bidi="ar"/>
                    </w:rPr>
                    <w:t>，采用罐状液氯用于净水消毒。</w:t>
                  </w:r>
                </w:p>
              </w:tc>
              <w:tc>
                <w:tcPr>
                  <w:tcW w:w="2064" w:type="dxa"/>
                  <w:tcBorders>
                    <w:tl2br w:val="nil"/>
                    <w:tr2bl w:val="nil"/>
                  </w:tcBorders>
                  <w:vAlign w:val="center"/>
                </w:tcPr>
                <w:p w14:paraId="61DB94D9">
                  <w:pPr>
                    <w:keepNext w:val="0"/>
                    <w:keepLines w:val="0"/>
                    <w:suppressLineNumbers w:val="0"/>
                    <w:spacing w:before="0" w:beforeAutospacing="0" w:after="0" w:afterAutospacing="0"/>
                    <w:ind w:left="0" w:leftChars="0" w:right="0" w:rightChars="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w:t>
                  </w:r>
                </w:p>
              </w:tc>
            </w:tr>
            <w:tr w14:paraId="261677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restart"/>
                  <w:tcBorders>
                    <w:tl2br w:val="nil"/>
                    <w:tr2bl w:val="nil"/>
                  </w:tcBorders>
                  <w:vAlign w:val="center"/>
                </w:tcPr>
                <w:p w14:paraId="3FFA125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辅助工程</w:t>
                  </w:r>
                </w:p>
              </w:tc>
              <w:tc>
                <w:tcPr>
                  <w:tcW w:w="765" w:type="dxa"/>
                  <w:tcBorders>
                    <w:tl2br w:val="nil"/>
                    <w:tr2bl w:val="nil"/>
                  </w:tcBorders>
                  <w:vAlign w:val="center"/>
                </w:tcPr>
                <w:p w14:paraId="542C4103">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s="Times New Roman"/>
                      <w:color w:val="auto"/>
                      <w:sz w:val="18"/>
                      <w:szCs w:val="18"/>
                      <w:highlight w:val="none"/>
                      <w:lang w:val="en-US" w:eastAsia="zh-CN"/>
                    </w:rPr>
                    <w:t>综合楼</w:t>
                  </w:r>
                </w:p>
              </w:tc>
              <w:tc>
                <w:tcPr>
                  <w:tcW w:w="4631" w:type="dxa"/>
                  <w:tcBorders>
                    <w:tl2br w:val="nil"/>
                    <w:tr2bl w:val="nil"/>
                  </w:tcBorders>
                  <w:vAlign w:val="center"/>
                </w:tcPr>
                <w:p w14:paraId="1F3DE44A">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s="Times New Roman"/>
                      <w:bCs/>
                      <w:color w:val="auto"/>
                      <w:sz w:val="18"/>
                      <w:szCs w:val="18"/>
                      <w:highlight w:val="none"/>
                      <w:lang w:val="en-US" w:eastAsia="zh-CN"/>
                    </w:rPr>
                    <w:t>占地面积500</w:t>
                  </w:r>
                  <w:r>
                    <w:rPr>
                      <w:rFonts w:hint="default"/>
                      <w:color w:val="auto"/>
                      <w:spacing w:val="4"/>
                      <w:sz w:val="18"/>
                      <w:szCs w:val="18"/>
                      <w:highlight w:val="none"/>
                    </w:rPr>
                    <w:t>m²</w:t>
                  </w:r>
                  <w:r>
                    <w:rPr>
                      <w:rFonts w:hint="eastAsia"/>
                      <w:color w:val="auto"/>
                      <w:spacing w:val="4"/>
                      <w:sz w:val="18"/>
                      <w:szCs w:val="18"/>
                      <w:highlight w:val="none"/>
                      <w:vertAlign w:val="baseline"/>
                      <w:lang w:eastAsia="zh-CN"/>
                    </w:rPr>
                    <w:t>，</w:t>
                  </w:r>
                  <w:r>
                    <w:rPr>
                      <w:rFonts w:hint="eastAsia"/>
                      <w:color w:val="auto"/>
                      <w:spacing w:val="4"/>
                      <w:sz w:val="18"/>
                      <w:szCs w:val="18"/>
                      <w:highlight w:val="none"/>
                      <w:vertAlign w:val="baseline"/>
                      <w:lang w:val="en-US" w:eastAsia="zh-CN"/>
                    </w:rPr>
                    <w:t>3层建筑，高9m，2-3层用于办公，1层设置门卫室、食堂、仓库等。</w:t>
                  </w:r>
                </w:p>
              </w:tc>
              <w:tc>
                <w:tcPr>
                  <w:tcW w:w="2064" w:type="dxa"/>
                  <w:tcBorders>
                    <w:tl2br w:val="nil"/>
                    <w:tr2bl w:val="nil"/>
                  </w:tcBorders>
                  <w:vAlign w:val="center"/>
                </w:tcPr>
                <w:p w14:paraId="45E36CEF">
                  <w:pPr>
                    <w:keepNext w:val="0"/>
                    <w:keepLines w:val="0"/>
                    <w:suppressLineNumbers w:val="0"/>
                    <w:spacing w:before="0" w:beforeAutospacing="0" w:after="0" w:afterAutospacing="0"/>
                    <w:ind w:left="0" w:leftChars="0" w:right="0" w:rightChars="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w:t>
                  </w:r>
                </w:p>
              </w:tc>
            </w:tr>
            <w:tr w14:paraId="6508F8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6CF08E8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vertAlign w:val="baseline"/>
                      <w:lang w:val="en-US" w:eastAsia="zh-CN"/>
                    </w:rPr>
                  </w:pPr>
                </w:p>
              </w:tc>
              <w:tc>
                <w:tcPr>
                  <w:tcW w:w="765" w:type="dxa"/>
                  <w:tcBorders>
                    <w:tl2br w:val="nil"/>
                    <w:tr2bl w:val="nil"/>
                  </w:tcBorders>
                  <w:vAlign w:val="center"/>
                </w:tcPr>
                <w:p w14:paraId="281DE69D">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olor w:val="auto"/>
                      <w:sz w:val="18"/>
                      <w:szCs w:val="18"/>
                      <w:highlight w:val="none"/>
                      <w:lang w:val="en-US" w:eastAsia="zh-CN"/>
                    </w:rPr>
                    <w:t>食堂</w:t>
                  </w:r>
                </w:p>
              </w:tc>
              <w:tc>
                <w:tcPr>
                  <w:tcW w:w="4631" w:type="dxa"/>
                  <w:tcBorders>
                    <w:tl2br w:val="nil"/>
                    <w:tr2bl w:val="nil"/>
                  </w:tcBorders>
                  <w:vAlign w:val="center"/>
                </w:tcPr>
                <w:p w14:paraId="682EC9D7">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s="Times New Roman"/>
                      <w:bCs/>
                      <w:color w:val="auto"/>
                      <w:sz w:val="18"/>
                      <w:szCs w:val="18"/>
                      <w:highlight w:val="none"/>
                      <w:lang w:val="en-US" w:eastAsia="zh-CN"/>
                    </w:rPr>
                    <w:t>1间，位于综合楼1层。</w:t>
                  </w:r>
                </w:p>
              </w:tc>
              <w:tc>
                <w:tcPr>
                  <w:tcW w:w="2064" w:type="dxa"/>
                  <w:tcBorders>
                    <w:tl2br w:val="nil"/>
                    <w:tr2bl w:val="nil"/>
                  </w:tcBorders>
                  <w:vAlign w:val="center"/>
                </w:tcPr>
                <w:p w14:paraId="5CC6829D">
                  <w:pPr>
                    <w:keepNext w:val="0"/>
                    <w:keepLines w:val="0"/>
                    <w:suppressLineNumbers w:val="0"/>
                    <w:spacing w:before="0" w:beforeAutospacing="0" w:after="0" w:afterAutospacing="0"/>
                    <w:ind w:left="0" w:leftChars="0" w:right="0" w:rightChars="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w:t>
                  </w:r>
                </w:p>
              </w:tc>
            </w:tr>
            <w:tr w14:paraId="6AD238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7E052CF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vertAlign w:val="baseline"/>
                      <w:lang w:val="en-US" w:eastAsia="zh-CN"/>
                    </w:rPr>
                  </w:pPr>
                </w:p>
              </w:tc>
              <w:tc>
                <w:tcPr>
                  <w:tcW w:w="765" w:type="dxa"/>
                  <w:tcBorders>
                    <w:tl2br w:val="nil"/>
                    <w:tr2bl w:val="nil"/>
                  </w:tcBorders>
                  <w:vAlign w:val="center"/>
                </w:tcPr>
                <w:p w14:paraId="48CDF43E">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olor w:val="auto"/>
                      <w:sz w:val="18"/>
                      <w:szCs w:val="18"/>
                      <w:highlight w:val="none"/>
                      <w:lang w:val="en-US" w:eastAsia="zh-CN"/>
                    </w:rPr>
                    <w:t>化验室</w:t>
                  </w:r>
                </w:p>
              </w:tc>
              <w:tc>
                <w:tcPr>
                  <w:tcW w:w="4631" w:type="dxa"/>
                  <w:tcBorders>
                    <w:tl2br w:val="nil"/>
                    <w:tr2bl w:val="nil"/>
                  </w:tcBorders>
                  <w:vAlign w:val="center"/>
                </w:tcPr>
                <w:p w14:paraId="4828AFCD">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s="Times New Roman"/>
                      <w:bCs/>
                      <w:color w:val="auto"/>
                      <w:sz w:val="18"/>
                      <w:szCs w:val="18"/>
                      <w:highlight w:val="none"/>
                      <w:lang w:val="en-US" w:eastAsia="zh-CN"/>
                    </w:rPr>
                    <w:t>综合楼内设置4间实验室，设置1台浊度仪，1台电热培养箱，1台热空气消毒箱，1台隔水式培养箱，主要药剂为乳糖蛋白胨培养基、营养琼脂、品红亚硫酸钠琼脂。不涉及危险物品，危险废物。</w:t>
                  </w:r>
                </w:p>
              </w:tc>
              <w:tc>
                <w:tcPr>
                  <w:tcW w:w="2064" w:type="dxa"/>
                  <w:tcBorders>
                    <w:tl2br w:val="nil"/>
                    <w:tr2bl w:val="nil"/>
                  </w:tcBorders>
                  <w:vAlign w:val="center"/>
                </w:tcPr>
                <w:p w14:paraId="2D3908BC">
                  <w:pPr>
                    <w:keepNext w:val="0"/>
                    <w:keepLines w:val="0"/>
                    <w:suppressLineNumbers w:val="0"/>
                    <w:spacing w:before="0" w:beforeAutospacing="0" w:after="0" w:afterAutospacing="0"/>
                    <w:ind w:left="0" w:leftChars="0" w:right="0" w:rightChars="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w:t>
                  </w:r>
                </w:p>
              </w:tc>
            </w:tr>
            <w:tr w14:paraId="66BA22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tcBorders>
                    <w:tl2br w:val="nil"/>
                    <w:tr2bl w:val="nil"/>
                  </w:tcBorders>
                  <w:vAlign w:val="center"/>
                </w:tcPr>
                <w:p w14:paraId="48955CB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储运工程</w:t>
                  </w:r>
                </w:p>
              </w:tc>
              <w:tc>
                <w:tcPr>
                  <w:tcW w:w="765" w:type="dxa"/>
                  <w:tcBorders>
                    <w:tl2br w:val="nil"/>
                    <w:tr2bl w:val="nil"/>
                  </w:tcBorders>
                  <w:vAlign w:val="center"/>
                </w:tcPr>
                <w:p w14:paraId="393B9CDA">
                  <w:pPr>
                    <w:pStyle w:val="148"/>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olor w:val="auto"/>
                      <w:sz w:val="18"/>
                      <w:szCs w:val="18"/>
                      <w:highlight w:val="none"/>
                      <w:lang w:val="en-US" w:eastAsia="zh-CN"/>
                    </w:rPr>
                    <w:t>仓库</w:t>
                  </w:r>
                </w:p>
              </w:tc>
              <w:tc>
                <w:tcPr>
                  <w:tcW w:w="4631" w:type="dxa"/>
                  <w:tcBorders>
                    <w:tl2br w:val="nil"/>
                    <w:tr2bl w:val="nil"/>
                  </w:tcBorders>
                  <w:vAlign w:val="center"/>
                </w:tcPr>
                <w:p w14:paraId="27704D80">
                  <w:pPr>
                    <w:pStyle w:val="148"/>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s="Times New Roman"/>
                      <w:bCs/>
                      <w:color w:val="auto"/>
                      <w:sz w:val="18"/>
                      <w:szCs w:val="18"/>
                      <w:highlight w:val="none"/>
                      <w:lang w:val="en-US" w:eastAsia="zh-CN"/>
                    </w:rPr>
                    <w:t>2间，位于综合楼1层。</w:t>
                  </w:r>
                </w:p>
              </w:tc>
              <w:tc>
                <w:tcPr>
                  <w:tcW w:w="2064" w:type="dxa"/>
                  <w:tcBorders>
                    <w:tl2br w:val="nil"/>
                    <w:tr2bl w:val="nil"/>
                  </w:tcBorders>
                  <w:vAlign w:val="center"/>
                </w:tcPr>
                <w:p w14:paraId="03E55B46">
                  <w:pPr>
                    <w:keepNext w:val="0"/>
                    <w:keepLines w:val="0"/>
                    <w:suppressLineNumbers w:val="0"/>
                    <w:spacing w:before="0" w:beforeAutospacing="0" w:after="0" w:afterAutospacing="0"/>
                    <w:ind w:left="0" w:leftChars="0" w:right="0" w:rightChars="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w:t>
                  </w:r>
                </w:p>
              </w:tc>
            </w:tr>
            <w:tr w14:paraId="26C837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restart"/>
                  <w:tcBorders>
                    <w:tl2br w:val="nil"/>
                    <w:tr2bl w:val="nil"/>
                  </w:tcBorders>
                  <w:vAlign w:val="center"/>
                </w:tcPr>
                <w:p w14:paraId="596CD83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公用工程</w:t>
                  </w:r>
                </w:p>
              </w:tc>
              <w:tc>
                <w:tcPr>
                  <w:tcW w:w="765" w:type="dxa"/>
                  <w:tcBorders>
                    <w:tl2br w:val="nil"/>
                    <w:tr2bl w:val="nil"/>
                  </w:tcBorders>
                  <w:vAlign w:val="center"/>
                </w:tcPr>
                <w:p w14:paraId="7F3B5BEA">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ascii="宋体" w:hAnsi="宋体" w:cs="宋体"/>
                      <w:color w:val="auto"/>
                      <w:sz w:val="18"/>
                      <w:szCs w:val="18"/>
                      <w:highlight w:val="none"/>
                    </w:rPr>
                    <w:t>供水</w:t>
                  </w:r>
                </w:p>
              </w:tc>
              <w:tc>
                <w:tcPr>
                  <w:tcW w:w="4631" w:type="dxa"/>
                  <w:tcBorders>
                    <w:tl2br w:val="nil"/>
                    <w:tr2bl w:val="nil"/>
                  </w:tcBorders>
                  <w:vAlign w:val="center"/>
                </w:tcPr>
                <w:p w14:paraId="602A0E61">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color w:val="auto"/>
                      <w:sz w:val="18"/>
                      <w:szCs w:val="18"/>
                      <w:highlight w:val="none"/>
                      <w:lang w:val="en-US" w:eastAsia="zh-CN"/>
                    </w:rPr>
                    <w:t>生产、生活用水由厂区供给</w:t>
                  </w:r>
                </w:p>
              </w:tc>
              <w:tc>
                <w:tcPr>
                  <w:tcW w:w="2064" w:type="dxa"/>
                  <w:tcBorders>
                    <w:tl2br w:val="nil"/>
                    <w:tr2bl w:val="nil"/>
                  </w:tcBorders>
                  <w:vAlign w:val="center"/>
                </w:tcPr>
                <w:p w14:paraId="1C6CB4EE">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w:t>
                  </w:r>
                </w:p>
              </w:tc>
            </w:tr>
            <w:tr w14:paraId="4A8DE4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74115BD4">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vertAlign w:val="baseline"/>
                      <w:lang w:val="en-US" w:eastAsia="zh-CN"/>
                    </w:rPr>
                  </w:pPr>
                </w:p>
              </w:tc>
              <w:tc>
                <w:tcPr>
                  <w:tcW w:w="765" w:type="dxa"/>
                  <w:tcBorders>
                    <w:tl2br w:val="nil"/>
                    <w:tr2bl w:val="nil"/>
                  </w:tcBorders>
                  <w:vAlign w:val="center"/>
                </w:tcPr>
                <w:p w14:paraId="5646D366">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ascii="宋体" w:hAnsi="宋体" w:cs="宋体"/>
                      <w:color w:val="auto"/>
                      <w:sz w:val="18"/>
                      <w:szCs w:val="18"/>
                      <w:highlight w:val="none"/>
                    </w:rPr>
                    <w:t>排水</w:t>
                  </w:r>
                </w:p>
              </w:tc>
              <w:tc>
                <w:tcPr>
                  <w:tcW w:w="4631" w:type="dxa"/>
                  <w:tcBorders>
                    <w:tl2br w:val="nil"/>
                    <w:tr2bl w:val="nil"/>
                  </w:tcBorders>
                  <w:vAlign w:val="center"/>
                </w:tcPr>
                <w:p w14:paraId="249E5F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eastAsiaTheme="minorEastAsia"/>
                      <w:color w:val="auto"/>
                      <w:kern w:val="0"/>
                      <w:sz w:val="18"/>
                      <w:szCs w:val="18"/>
                      <w:highlight w:val="none"/>
                      <w:lang w:val="en-US" w:eastAsia="zh-CN" w:bidi="ar"/>
                    </w:rPr>
                  </w:pPr>
                  <w:r>
                    <w:rPr>
                      <w:rFonts w:hint="eastAsia" w:cs="Times New Roman"/>
                      <w:color w:val="auto"/>
                      <w:kern w:val="0"/>
                      <w:sz w:val="18"/>
                      <w:szCs w:val="18"/>
                      <w:highlight w:val="none"/>
                      <w:lang w:val="en-US" w:eastAsia="zh-CN"/>
                    </w:rPr>
                    <w:t>排泥水经絮凝、压滤处理后的上清液、反冲洗废水回收至配水间与原水混合</w:t>
                  </w:r>
                  <w:r>
                    <w:rPr>
                      <w:rFonts w:hint="eastAsia" w:cs="Times New Roman"/>
                      <w:color w:val="auto"/>
                      <w:spacing w:val="0"/>
                      <w:sz w:val="18"/>
                      <w:szCs w:val="18"/>
                      <w:highlight w:val="none"/>
                      <w:lang w:val="en-US" w:eastAsia="zh-CN"/>
                    </w:rPr>
                    <w:t>回用，厂区生活污水收集至化粪池，处理后满足</w:t>
                  </w:r>
                  <w:r>
                    <w:rPr>
                      <w:rFonts w:hint="default" w:cs="Times New Roman"/>
                      <w:color w:val="auto"/>
                      <w:spacing w:val="0"/>
                      <w:sz w:val="18"/>
                      <w:szCs w:val="18"/>
                      <w:highlight w:val="none"/>
                      <w:lang w:val="en-US" w:eastAsia="zh-CN"/>
                    </w:rPr>
                    <w:t>《污水综合排放标准》</w:t>
                  </w:r>
                  <w:r>
                    <w:rPr>
                      <w:rFonts w:hint="eastAsia" w:cs="Times New Roman"/>
                      <w:color w:val="auto"/>
                      <w:spacing w:val="0"/>
                      <w:sz w:val="18"/>
                      <w:szCs w:val="18"/>
                      <w:highlight w:val="none"/>
                      <w:lang w:val="en-US" w:eastAsia="zh-CN"/>
                    </w:rPr>
                    <w:t>（GB8978-1996）三级标准及</w:t>
                  </w:r>
                  <w:r>
                    <w:rPr>
                      <w:rFonts w:hint="default" w:cs="Times New Roman"/>
                      <w:color w:val="auto"/>
                      <w:spacing w:val="0"/>
                      <w:sz w:val="18"/>
                      <w:szCs w:val="18"/>
                      <w:highlight w:val="none"/>
                      <w:lang w:val="en-US" w:eastAsia="zh-CN"/>
                    </w:rPr>
                    <w:t>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w:t>
                  </w:r>
                  <w:r>
                    <w:rPr>
                      <w:rFonts w:hint="eastAsia" w:cs="Times New Roman"/>
                      <w:color w:val="auto"/>
                      <w:spacing w:val="0"/>
                      <w:sz w:val="18"/>
                      <w:szCs w:val="18"/>
                      <w:highlight w:val="none"/>
                      <w:lang w:val="en-US" w:eastAsia="zh-CN"/>
                    </w:rPr>
                    <w:t>进水标准，</w:t>
                  </w:r>
                  <w:r>
                    <w:rPr>
                      <w:rFonts w:hint="default" w:cs="Times New Roman"/>
                      <w:color w:val="auto"/>
                      <w:spacing w:val="0"/>
                      <w:sz w:val="18"/>
                      <w:szCs w:val="18"/>
                      <w:highlight w:val="none"/>
                      <w:lang w:val="en-US" w:eastAsia="zh-CN"/>
                    </w:rPr>
                    <w:t>排入污水管网</w:t>
                  </w:r>
                  <w:r>
                    <w:rPr>
                      <w:rFonts w:hint="eastAsia" w:cs="Times New Roman"/>
                      <w:color w:val="auto"/>
                      <w:spacing w:val="0"/>
                      <w:sz w:val="18"/>
                      <w:szCs w:val="18"/>
                      <w:highlight w:val="none"/>
                      <w:lang w:val="en-US" w:eastAsia="zh-CN"/>
                    </w:rPr>
                    <w:t>，</w:t>
                  </w:r>
                  <w:r>
                    <w:rPr>
                      <w:rFonts w:hint="default" w:cs="Times New Roman"/>
                      <w:color w:val="auto"/>
                      <w:spacing w:val="0"/>
                      <w:sz w:val="18"/>
                      <w:szCs w:val="18"/>
                      <w:highlight w:val="none"/>
                      <w:lang w:val="en-US" w:eastAsia="zh-CN"/>
                    </w:rPr>
                    <w:t>经鸡西市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污水处理厂处理后排入穆棱河</w:t>
                  </w:r>
                  <w:r>
                    <w:rPr>
                      <w:rFonts w:hint="eastAsia" w:cs="Times New Roman"/>
                      <w:color w:val="auto"/>
                      <w:spacing w:val="0"/>
                      <w:sz w:val="18"/>
                      <w:szCs w:val="18"/>
                      <w:highlight w:val="none"/>
                      <w:lang w:val="en-US" w:eastAsia="zh-CN"/>
                    </w:rPr>
                    <w:t>。</w:t>
                  </w:r>
                </w:p>
              </w:tc>
              <w:tc>
                <w:tcPr>
                  <w:tcW w:w="2064" w:type="dxa"/>
                  <w:tcBorders>
                    <w:tl2br w:val="nil"/>
                    <w:tr2bl w:val="nil"/>
                  </w:tcBorders>
                  <w:vAlign w:val="center"/>
                </w:tcPr>
                <w:p w14:paraId="0ED75572">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w:t>
                  </w:r>
                </w:p>
              </w:tc>
            </w:tr>
            <w:tr w14:paraId="2CF059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61F3390B">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vertAlign w:val="baseline"/>
                      <w:lang w:val="en-US" w:eastAsia="zh-CN"/>
                    </w:rPr>
                  </w:pPr>
                </w:p>
              </w:tc>
              <w:tc>
                <w:tcPr>
                  <w:tcW w:w="765" w:type="dxa"/>
                  <w:tcBorders>
                    <w:tl2br w:val="nil"/>
                    <w:tr2bl w:val="nil"/>
                  </w:tcBorders>
                  <w:vAlign w:val="center"/>
                </w:tcPr>
                <w:p w14:paraId="34061530">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ascii="宋体" w:hAnsi="宋体" w:cs="宋体"/>
                      <w:color w:val="auto"/>
                      <w:sz w:val="18"/>
                      <w:szCs w:val="18"/>
                      <w:highlight w:val="none"/>
                    </w:rPr>
                    <w:t>供热/暖</w:t>
                  </w:r>
                </w:p>
              </w:tc>
              <w:tc>
                <w:tcPr>
                  <w:tcW w:w="4631" w:type="dxa"/>
                  <w:tcBorders>
                    <w:tl2br w:val="nil"/>
                    <w:tr2bl w:val="nil"/>
                  </w:tcBorders>
                  <w:vAlign w:val="center"/>
                </w:tcPr>
                <w:p w14:paraId="148BC29D">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ascii="宋体" w:hAnsi="宋体" w:cs="宋体"/>
                      <w:color w:val="auto"/>
                      <w:sz w:val="18"/>
                      <w:szCs w:val="18"/>
                      <w:highlight w:val="none"/>
                      <w:lang w:val="en-US" w:eastAsia="zh-CN"/>
                    </w:rPr>
                    <w:t>综合楼及生产车间采用电锅炉供热。</w:t>
                  </w:r>
                </w:p>
              </w:tc>
              <w:tc>
                <w:tcPr>
                  <w:tcW w:w="2064" w:type="dxa"/>
                  <w:tcBorders>
                    <w:tl2br w:val="nil"/>
                    <w:tr2bl w:val="nil"/>
                  </w:tcBorders>
                  <w:vAlign w:val="center"/>
                </w:tcPr>
                <w:p w14:paraId="5EA30B84">
                  <w:pPr>
                    <w:keepNext w:val="0"/>
                    <w:keepLines w:val="0"/>
                    <w:suppressLineNumbers w:val="0"/>
                    <w:spacing w:before="0" w:beforeAutospacing="0" w:after="0" w:afterAutospacing="0"/>
                    <w:ind w:left="0" w:leftChars="0" w:right="0" w:rightChars="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w:t>
                  </w:r>
                </w:p>
              </w:tc>
            </w:tr>
            <w:tr w14:paraId="1DA80C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7D99255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vertAlign w:val="baseline"/>
                      <w:lang w:val="en-US" w:eastAsia="zh-CN"/>
                    </w:rPr>
                  </w:pPr>
                </w:p>
              </w:tc>
              <w:tc>
                <w:tcPr>
                  <w:tcW w:w="765" w:type="dxa"/>
                  <w:tcBorders>
                    <w:tl2br w:val="nil"/>
                    <w:tr2bl w:val="nil"/>
                  </w:tcBorders>
                  <w:vAlign w:val="center"/>
                </w:tcPr>
                <w:p w14:paraId="5AA93115">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ascii="宋体" w:hAnsi="宋体" w:cs="宋体"/>
                      <w:color w:val="auto"/>
                      <w:sz w:val="18"/>
                      <w:szCs w:val="18"/>
                      <w:highlight w:val="none"/>
                    </w:rPr>
                    <w:t>供电</w:t>
                  </w:r>
                </w:p>
              </w:tc>
              <w:tc>
                <w:tcPr>
                  <w:tcW w:w="4631" w:type="dxa"/>
                  <w:tcBorders>
                    <w:tl2br w:val="nil"/>
                    <w:tr2bl w:val="nil"/>
                  </w:tcBorders>
                  <w:vAlign w:val="center"/>
                </w:tcPr>
                <w:p w14:paraId="2F69B5BF">
                  <w:pPr>
                    <w:keepNext w:val="0"/>
                    <w:keepLines w:val="0"/>
                    <w:suppressLineNumbers w:val="0"/>
                    <w:spacing w:before="0" w:beforeAutospacing="0" w:after="0" w:afterAutospacing="0"/>
                    <w:ind w:left="0" w:leftChars="0" w:right="0" w:rightChars="0"/>
                    <w:jc w:val="center"/>
                    <w:rPr>
                      <w:rFonts w:hint="eastAsia" w:cs="Times New Roman" w:eastAsiaTheme="minorEastAsia"/>
                      <w:color w:val="auto"/>
                      <w:kern w:val="0"/>
                      <w:sz w:val="18"/>
                      <w:szCs w:val="18"/>
                      <w:highlight w:val="none"/>
                      <w:lang w:val="en-US" w:eastAsia="zh-CN" w:bidi="ar"/>
                    </w:rPr>
                  </w:pPr>
                  <w:r>
                    <w:rPr>
                      <w:rFonts w:hint="eastAsia" w:ascii="宋体" w:hAnsi="宋体" w:cs="宋体"/>
                      <w:color w:val="auto"/>
                      <w:sz w:val="18"/>
                      <w:szCs w:val="18"/>
                      <w:highlight w:val="none"/>
                      <w:lang w:val="en-US" w:eastAsia="zh-CN"/>
                    </w:rPr>
                    <w:t>市政供电</w:t>
                  </w:r>
                </w:p>
              </w:tc>
              <w:tc>
                <w:tcPr>
                  <w:tcW w:w="2064" w:type="dxa"/>
                  <w:tcBorders>
                    <w:tl2br w:val="nil"/>
                    <w:tr2bl w:val="nil"/>
                  </w:tcBorders>
                  <w:vAlign w:val="center"/>
                </w:tcPr>
                <w:p w14:paraId="5154E4CA">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w:t>
                  </w:r>
                </w:p>
              </w:tc>
            </w:tr>
            <w:tr w14:paraId="5FC7B7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restart"/>
                  <w:tcBorders>
                    <w:tl2br w:val="nil"/>
                    <w:tr2bl w:val="nil"/>
                  </w:tcBorders>
                  <w:vAlign w:val="center"/>
                </w:tcPr>
                <w:p w14:paraId="2CDF34B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环保工程</w:t>
                  </w:r>
                </w:p>
              </w:tc>
              <w:tc>
                <w:tcPr>
                  <w:tcW w:w="765" w:type="dxa"/>
                  <w:tcBorders>
                    <w:tl2br w:val="nil"/>
                    <w:tr2bl w:val="nil"/>
                  </w:tcBorders>
                  <w:shd w:val="clear" w:color="auto" w:fill="auto"/>
                  <w:vAlign w:val="center"/>
                </w:tcPr>
                <w:p w14:paraId="339861EE">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rPr>
                    <w:t>废气</w:t>
                  </w:r>
                </w:p>
              </w:tc>
              <w:tc>
                <w:tcPr>
                  <w:tcW w:w="4631" w:type="dxa"/>
                  <w:tcBorders>
                    <w:tl2br w:val="nil"/>
                    <w:tr2bl w:val="nil"/>
                  </w:tcBorders>
                  <w:shd w:val="clear" w:color="auto" w:fill="auto"/>
                  <w:vAlign w:val="center"/>
                </w:tcPr>
                <w:p w14:paraId="167BE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宋体" w:hAnsi="宋体" w:cs="宋体"/>
                      <w:color w:val="auto"/>
                      <w:sz w:val="18"/>
                      <w:szCs w:val="18"/>
                      <w:highlight w:val="none"/>
                      <w:lang w:val="en-US" w:eastAsia="zh-CN"/>
                    </w:rPr>
                    <w:t>污泥间脱水过程产生少量臭气，采取加强通风，日产日清等措施。</w:t>
                  </w:r>
                </w:p>
              </w:tc>
              <w:tc>
                <w:tcPr>
                  <w:tcW w:w="2064" w:type="dxa"/>
                  <w:tcBorders>
                    <w:tl2br w:val="nil"/>
                    <w:tr2bl w:val="nil"/>
                  </w:tcBorders>
                  <w:shd w:val="clear" w:color="auto" w:fill="auto"/>
                  <w:vAlign w:val="center"/>
                </w:tcPr>
                <w:p w14:paraId="00AEE867">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w:t>
                  </w:r>
                </w:p>
              </w:tc>
            </w:tr>
            <w:tr w14:paraId="2A911D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3" w:type="dxa"/>
                  <w:vMerge w:val="continue"/>
                  <w:tcBorders>
                    <w:tl2br w:val="nil"/>
                    <w:tr2bl w:val="nil"/>
                  </w:tcBorders>
                  <w:vAlign w:val="center"/>
                </w:tcPr>
                <w:p w14:paraId="4AD2124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sz w:val="21"/>
                      <w:szCs w:val="21"/>
                      <w:highlight w:val="none"/>
                      <w:vertAlign w:val="baseline"/>
                      <w:lang w:val="en-US" w:eastAsia="zh-CN"/>
                    </w:rPr>
                  </w:pPr>
                </w:p>
              </w:tc>
              <w:tc>
                <w:tcPr>
                  <w:tcW w:w="765" w:type="dxa"/>
                  <w:tcBorders>
                    <w:tl2br w:val="nil"/>
                    <w:tr2bl w:val="nil"/>
                  </w:tcBorders>
                  <w:shd w:val="clear" w:color="auto" w:fill="auto"/>
                  <w:vAlign w:val="center"/>
                </w:tcPr>
                <w:p w14:paraId="2E863C1F">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rPr>
                    <w:t>废水</w:t>
                  </w:r>
                </w:p>
              </w:tc>
              <w:tc>
                <w:tcPr>
                  <w:tcW w:w="4631" w:type="dxa"/>
                  <w:tcBorders>
                    <w:tl2br w:val="nil"/>
                    <w:tr2bl w:val="nil"/>
                  </w:tcBorders>
                  <w:shd w:val="clear" w:color="auto" w:fill="auto"/>
                  <w:vAlign w:val="center"/>
                </w:tcPr>
                <w:p w14:paraId="6D19D7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宋体" w:hAnsi="宋体" w:eastAsia="宋体" w:cs="宋体"/>
                      <w:color w:val="auto"/>
                      <w:kern w:val="2"/>
                      <w:sz w:val="18"/>
                      <w:szCs w:val="18"/>
                      <w:highlight w:val="none"/>
                      <w:lang w:val="en-US" w:eastAsia="zh-CN" w:bidi="ar-SA"/>
                    </w:rPr>
                  </w:pPr>
                  <w:r>
                    <w:rPr>
                      <w:rFonts w:hint="eastAsia" w:cs="Times New Roman"/>
                      <w:color w:val="auto"/>
                      <w:kern w:val="0"/>
                      <w:sz w:val="18"/>
                      <w:szCs w:val="18"/>
                      <w:highlight w:val="none"/>
                      <w:lang w:val="en-US" w:eastAsia="zh-CN"/>
                    </w:rPr>
                    <w:t>排泥水经絮凝、压滤处理后的上清液、反冲洗废水回收至配水间与原水混合</w:t>
                  </w:r>
                  <w:r>
                    <w:rPr>
                      <w:rFonts w:hint="eastAsia" w:cs="Times New Roman"/>
                      <w:color w:val="auto"/>
                      <w:spacing w:val="0"/>
                      <w:sz w:val="18"/>
                      <w:szCs w:val="18"/>
                      <w:highlight w:val="none"/>
                      <w:lang w:val="en-US" w:eastAsia="zh-CN"/>
                    </w:rPr>
                    <w:t>回用，厂区生活污水收集至化粪池，处理后满足</w:t>
                  </w:r>
                  <w:r>
                    <w:rPr>
                      <w:rFonts w:hint="default" w:cs="Times New Roman"/>
                      <w:color w:val="auto"/>
                      <w:spacing w:val="0"/>
                      <w:sz w:val="18"/>
                      <w:szCs w:val="18"/>
                      <w:highlight w:val="none"/>
                      <w:lang w:val="en-US" w:eastAsia="zh-CN"/>
                    </w:rPr>
                    <w:t>《污水综合排放标准》</w:t>
                  </w:r>
                  <w:r>
                    <w:rPr>
                      <w:rFonts w:hint="eastAsia" w:cs="Times New Roman"/>
                      <w:color w:val="auto"/>
                      <w:spacing w:val="0"/>
                      <w:sz w:val="18"/>
                      <w:szCs w:val="18"/>
                      <w:highlight w:val="none"/>
                      <w:lang w:val="en-US" w:eastAsia="zh-CN"/>
                    </w:rPr>
                    <w:t>（GB8978-1996）三级标准及</w:t>
                  </w:r>
                  <w:r>
                    <w:rPr>
                      <w:rFonts w:hint="default" w:cs="Times New Roman"/>
                      <w:color w:val="auto"/>
                      <w:spacing w:val="0"/>
                      <w:sz w:val="18"/>
                      <w:szCs w:val="18"/>
                      <w:highlight w:val="none"/>
                      <w:lang w:val="en-US" w:eastAsia="zh-CN"/>
                    </w:rPr>
                    <w:t>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w:t>
                  </w:r>
                  <w:r>
                    <w:rPr>
                      <w:rFonts w:hint="eastAsia" w:cs="Times New Roman"/>
                      <w:color w:val="auto"/>
                      <w:spacing w:val="0"/>
                      <w:sz w:val="18"/>
                      <w:szCs w:val="18"/>
                      <w:highlight w:val="none"/>
                      <w:lang w:val="en-US" w:eastAsia="zh-CN"/>
                    </w:rPr>
                    <w:t>进水标准，</w:t>
                  </w:r>
                  <w:r>
                    <w:rPr>
                      <w:rFonts w:hint="default" w:cs="Times New Roman"/>
                      <w:color w:val="auto"/>
                      <w:spacing w:val="0"/>
                      <w:sz w:val="18"/>
                      <w:szCs w:val="18"/>
                      <w:highlight w:val="none"/>
                      <w:lang w:val="en-US" w:eastAsia="zh-CN"/>
                    </w:rPr>
                    <w:t>排入污水管网</w:t>
                  </w:r>
                  <w:r>
                    <w:rPr>
                      <w:rFonts w:hint="eastAsia" w:cs="Times New Roman"/>
                      <w:color w:val="auto"/>
                      <w:spacing w:val="0"/>
                      <w:sz w:val="18"/>
                      <w:szCs w:val="18"/>
                      <w:highlight w:val="none"/>
                      <w:lang w:val="en-US" w:eastAsia="zh-CN"/>
                    </w:rPr>
                    <w:t>，</w:t>
                  </w:r>
                  <w:r>
                    <w:rPr>
                      <w:rFonts w:hint="default" w:cs="Times New Roman"/>
                      <w:color w:val="auto"/>
                      <w:spacing w:val="0"/>
                      <w:sz w:val="18"/>
                      <w:szCs w:val="18"/>
                      <w:highlight w:val="none"/>
                      <w:lang w:val="en-US" w:eastAsia="zh-CN"/>
                    </w:rPr>
                    <w:t>经鸡西市</w:t>
                  </w:r>
                  <w:r>
                    <w:rPr>
                      <w:rFonts w:hint="eastAsia" w:cs="Times New Roman"/>
                      <w:color w:val="auto"/>
                      <w:spacing w:val="0"/>
                      <w:sz w:val="18"/>
                      <w:szCs w:val="18"/>
                      <w:highlight w:val="none"/>
                      <w:lang w:val="en-US" w:eastAsia="zh-CN"/>
                    </w:rPr>
                    <w:t>鸡冠区</w:t>
                  </w:r>
                  <w:r>
                    <w:rPr>
                      <w:rFonts w:hint="default" w:cs="Times New Roman"/>
                      <w:color w:val="auto"/>
                      <w:spacing w:val="0"/>
                      <w:sz w:val="18"/>
                      <w:szCs w:val="18"/>
                      <w:highlight w:val="none"/>
                      <w:lang w:val="en-US" w:eastAsia="zh-CN"/>
                    </w:rPr>
                    <w:t>污水处理厂处理后排入穆棱河</w:t>
                  </w:r>
                  <w:r>
                    <w:rPr>
                      <w:rFonts w:hint="eastAsia" w:cs="Times New Roman"/>
                      <w:color w:val="auto"/>
                      <w:spacing w:val="0"/>
                      <w:sz w:val="18"/>
                      <w:szCs w:val="18"/>
                      <w:highlight w:val="none"/>
                      <w:lang w:val="en-US" w:eastAsia="zh-CN"/>
                    </w:rPr>
                    <w:t>。</w:t>
                  </w:r>
                </w:p>
              </w:tc>
              <w:tc>
                <w:tcPr>
                  <w:tcW w:w="2064" w:type="dxa"/>
                  <w:tcBorders>
                    <w:tl2br w:val="nil"/>
                    <w:tr2bl w:val="nil"/>
                  </w:tcBorders>
                  <w:shd w:val="clear" w:color="auto" w:fill="auto"/>
                  <w:vAlign w:val="center"/>
                </w:tcPr>
                <w:p w14:paraId="3B0A26C2">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w:t>
                  </w:r>
                </w:p>
              </w:tc>
            </w:tr>
          </w:tbl>
          <w:p w14:paraId="3040D5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rPr>
              <w:t>现有项目污染情况</w:t>
            </w:r>
          </w:p>
          <w:p w14:paraId="4F53203C">
            <w:pPr>
              <w:pStyle w:val="1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r>
              <w:rPr>
                <w:rFonts w:hint="eastAsia" w:cs="Times New Roman"/>
                <w:color w:val="auto"/>
                <w:sz w:val="21"/>
                <w:szCs w:val="21"/>
                <w:highlight w:val="none"/>
                <w:lang w:val="en-US" w:eastAsia="zh-CN"/>
              </w:rPr>
              <w:t>污泥处理间产生少量臭气，通过加强通风，日产日清等措施，对周边环境影响较小。</w:t>
            </w:r>
          </w:p>
          <w:p w14:paraId="03CDA0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s="Times New Roman"/>
                <w:color w:val="auto"/>
                <w:spacing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r>
              <w:rPr>
                <w:rFonts w:hint="eastAsia" w:cs="Times New Roman"/>
                <w:color w:val="auto"/>
                <w:spacing w:val="0"/>
                <w:sz w:val="21"/>
                <w:szCs w:val="21"/>
                <w:highlight w:val="none"/>
                <w:lang w:val="en-US" w:eastAsia="zh-CN"/>
              </w:rPr>
              <w:t>排泥水经絮凝、压滤处理后的上清液、</w:t>
            </w:r>
            <w:r>
              <w:rPr>
                <w:rFonts w:hint="eastAsia" w:cs="Times New Roman"/>
                <w:color w:val="auto"/>
                <w:spacing w:val="0"/>
                <w:sz w:val="21"/>
                <w:szCs w:val="21"/>
                <w:highlight w:val="none"/>
                <w:lang w:eastAsia="zh-CN"/>
              </w:rPr>
              <w:t>反冲洗废水</w:t>
            </w:r>
            <w:r>
              <w:rPr>
                <w:rFonts w:hint="eastAsia" w:cs="Times New Roman"/>
                <w:color w:val="auto"/>
                <w:spacing w:val="0"/>
                <w:sz w:val="21"/>
                <w:szCs w:val="21"/>
                <w:highlight w:val="none"/>
                <w:lang w:val="en-US" w:eastAsia="zh-CN"/>
              </w:rPr>
              <w:t>回收至配水间于原水混合回用，</w:t>
            </w:r>
            <w:r>
              <w:rPr>
                <w:rFonts w:hint="eastAsia" w:cs="Times New Roman"/>
                <w:color w:val="auto"/>
                <w:sz w:val="21"/>
                <w:szCs w:val="21"/>
                <w:highlight w:val="none"/>
                <w:lang w:val="en-US" w:eastAsia="zh-CN"/>
              </w:rPr>
              <w:t>生活污水收集至化粪池，处理后满足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（GB8978-1996）三级标准及</w:t>
            </w:r>
            <w:r>
              <w:rPr>
                <w:rFonts w:hint="default" w:cs="Times New Roman"/>
                <w:color w:val="auto"/>
                <w:sz w:val="21"/>
                <w:szCs w:val="21"/>
                <w:highlight w:val="none"/>
                <w:lang w:val="en-US" w:eastAsia="zh-CN"/>
              </w:rPr>
              <w:t>鸡西市</w:t>
            </w:r>
            <w:r>
              <w:rPr>
                <w:rFonts w:hint="eastAsia" w:cs="Times New Roman"/>
                <w:color w:val="auto"/>
                <w:sz w:val="21"/>
                <w:szCs w:val="21"/>
                <w:highlight w:val="none"/>
                <w:lang w:val="en-US" w:eastAsia="zh-CN"/>
              </w:rPr>
              <w:t>鸡冠区</w:t>
            </w:r>
            <w:r>
              <w:rPr>
                <w:rFonts w:hint="default" w:cs="Times New Roman"/>
                <w:color w:val="auto"/>
                <w:sz w:val="21"/>
                <w:szCs w:val="21"/>
                <w:highlight w:val="none"/>
                <w:lang w:val="en-US" w:eastAsia="zh-CN"/>
              </w:rPr>
              <w:t>污水处理厂</w:t>
            </w:r>
            <w:r>
              <w:rPr>
                <w:rFonts w:hint="eastAsia" w:cs="Times New Roman"/>
                <w:color w:val="auto"/>
                <w:sz w:val="21"/>
                <w:szCs w:val="21"/>
                <w:highlight w:val="none"/>
                <w:lang w:val="en-US" w:eastAsia="zh-CN"/>
              </w:rPr>
              <w:t>进水标准，</w:t>
            </w:r>
            <w:r>
              <w:rPr>
                <w:rFonts w:hint="default" w:cs="Times New Roman"/>
                <w:color w:val="auto"/>
                <w:sz w:val="21"/>
                <w:szCs w:val="21"/>
                <w:highlight w:val="none"/>
                <w:lang w:val="en-US" w:eastAsia="zh-CN"/>
              </w:rPr>
              <w:t>排入</w:t>
            </w:r>
            <w:r>
              <w:rPr>
                <w:rFonts w:hint="default" w:ascii="Times New Roman" w:hAnsi="Times New Roman" w:cs="Times New Roman"/>
                <w:color w:val="auto"/>
                <w:sz w:val="21"/>
                <w:szCs w:val="21"/>
                <w:highlight w:val="none"/>
                <w:lang w:val="en-US" w:eastAsia="zh-CN"/>
              </w:rPr>
              <w:t>污水管网</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经鸡西市</w:t>
            </w:r>
            <w:r>
              <w:rPr>
                <w:rFonts w:hint="eastAsia" w:cs="Times New Roman"/>
                <w:color w:val="auto"/>
                <w:sz w:val="21"/>
                <w:szCs w:val="21"/>
                <w:highlight w:val="none"/>
                <w:lang w:val="en-US" w:eastAsia="zh-CN"/>
              </w:rPr>
              <w:t>鸡冠区</w:t>
            </w:r>
            <w:r>
              <w:rPr>
                <w:rFonts w:hint="default" w:ascii="Times New Roman" w:hAnsi="Times New Roman" w:cs="Times New Roman"/>
                <w:color w:val="auto"/>
                <w:sz w:val="21"/>
                <w:szCs w:val="21"/>
                <w:highlight w:val="none"/>
                <w:lang w:val="en-US" w:eastAsia="zh-CN"/>
              </w:rPr>
              <w:t>污水处理厂处理后排入穆棱河</w:t>
            </w:r>
            <w:r>
              <w:rPr>
                <w:rFonts w:hint="eastAsia" w:cs="Times New Roman"/>
                <w:color w:val="auto"/>
                <w:sz w:val="21"/>
                <w:szCs w:val="21"/>
                <w:highlight w:val="none"/>
                <w:lang w:val="en-US" w:eastAsia="zh-CN"/>
              </w:rPr>
              <w:t>，现有工程生活污水产生量</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w:t>
            </w:r>
            <w:r>
              <w:rPr>
                <w:rFonts w:hint="eastAsia" w:cs="Times New Roman"/>
                <w:bCs/>
                <w:color w:val="auto"/>
                <w:sz w:val="21"/>
                <w:szCs w:val="21"/>
                <w:highlight w:val="none"/>
                <w:lang w:val="en-US" w:eastAsia="zh-CN"/>
              </w:rPr>
              <w:t>0.768</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280.32</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shd w:val="clear" w:color="auto" w:fill="auto"/>
              </w:rPr>
              <w:t>生活污水COD</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浓度取值3</w:t>
            </w:r>
            <w:r>
              <w:rPr>
                <w:rFonts w:hint="default" w:ascii="Times New Roman" w:hAnsi="Times New Roman" w:eastAsia="宋体" w:cs="Times New Roman"/>
                <w:color w:val="auto"/>
                <w:kern w:val="0"/>
                <w:sz w:val="21"/>
                <w:szCs w:val="21"/>
                <w:highlight w:val="none"/>
                <w:shd w:val="clear" w:color="auto" w:fill="auto"/>
                <w:lang w:val="en-US" w:eastAsia="zh-CN"/>
              </w:rPr>
              <w:t>0</w:t>
            </w:r>
            <w:r>
              <w:rPr>
                <w:rFonts w:hint="default" w:ascii="Times New Roman" w:hAnsi="Times New Roman" w:eastAsia="宋体" w:cs="Times New Roman"/>
                <w:color w:val="auto"/>
                <w:kern w:val="0"/>
                <w:sz w:val="21"/>
                <w:szCs w:val="21"/>
                <w:highlight w:val="none"/>
                <w:shd w:val="clear" w:color="auto" w:fill="auto"/>
              </w:rPr>
              <w:t>0mg/L，氨氮</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浓度取值25mg/L，BOD</w:t>
            </w:r>
            <w:r>
              <w:rPr>
                <w:rFonts w:hint="default" w:ascii="Times New Roman" w:hAnsi="Times New Roman" w:eastAsia="宋体" w:cs="Times New Roman"/>
                <w:color w:val="auto"/>
                <w:kern w:val="0"/>
                <w:sz w:val="21"/>
                <w:szCs w:val="21"/>
                <w:highlight w:val="none"/>
                <w:shd w:val="clear" w:color="auto" w:fill="auto"/>
                <w:vertAlign w:val="subscript"/>
              </w:rPr>
              <w:t>5</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浓度取值200mg/L，SS</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浓度取值</w:t>
            </w:r>
            <w:r>
              <w:rPr>
                <w:rFonts w:hint="default" w:ascii="Times New Roman" w:hAnsi="Times New Roman" w:eastAsia="宋体" w:cs="Times New Roman"/>
                <w:color w:val="auto"/>
                <w:kern w:val="0"/>
                <w:sz w:val="21"/>
                <w:szCs w:val="21"/>
                <w:highlight w:val="none"/>
                <w:shd w:val="clear" w:color="auto" w:fill="auto"/>
                <w:lang w:val="en-US" w:eastAsia="zh-CN"/>
              </w:rPr>
              <w:t>2</w:t>
            </w:r>
            <w:r>
              <w:rPr>
                <w:rFonts w:hint="default" w:ascii="Times New Roman" w:hAnsi="Times New Roman" w:eastAsia="宋体" w:cs="Times New Roman"/>
                <w:color w:val="auto"/>
                <w:kern w:val="0"/>
                <w:sz w:val="21"/>
                <w:szCs w:val="21"/>
                <w:highlight w:val="none"/>
                <w:shd w:val="clear" w:color="auto" w:fill="auto"/>
              </w:rPr>
              <w:t>00mg/L，pH</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取值6.5~7.5。经计算生活污水COD</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w:t>
            </w:r>
            <w:r>
              <w:rPr>
                <w:rFonts w:hint="eastAsia" w:cs="Times New Roman"/>
                <w:color w:val="auto"/>
                <w:kern w:val="0"/>
                <w:sz w:val="21"/>
                <w:szCs w:val="21"/>
                <w:highlight w:val="none"/>
                <w:shd w:val="clear" w:color="auto" w:fill="auto"/>
                <w:lang w:val="en-US" w:eastAsia="zh-CN"/>
              </w:rPr>
              <w:t>0.084</w:t>
            </w:r>
            <w:r>
              <w:rPr>
                <w:rFonts w:hint="default" w:ascii="Times New Roman" w:hAnsi="Times New Roman" w:eastAsia="宋体" w:cs="Times New Roman"/>
                <w:color w:val="auto"/>
                <w:kern w:val="0"/>
                <w:sz w:val="21"/>
                <w:szCs w:val="21"/>
                <w:highlight w:val="none"/>
                <w:shd w:val="clear" w:color="auto" w:fill="auto"/>
              </w:rPr>
              <w:t>t/a、氨氮</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w:t>
            </w:r>
            <w:r>
              <w:rPr>
                <w:rFonts w:hint="eastAsia" w:cs="Times New Roman"/>
                <w:color w:val="auto"/>
                <w:kern w:val="0"/>
                <w:sz w:val="21"/>
                <w:szCs w:val="21"/>
                <w:highlight w:val="none"/>
                <w:shd w:val="clear" w:color="auto" w:fill="auto"/>
                <w:lang w:val="en-US" w:eastAsia="zh-CN"/>
              </w:rPr>
              <w:t>0.007</w:t>
            </w:r>
            <w:r>
              <w:rPr>
                <w:rFonts w:hint="default" w:ascii="Times New Roman" w:hAnsi="Times New Roman" w:eastAsia="宋体" w:cs="Times New Roman"/>
                <w:color w:val="auto"/>
                <w:kern w:val="0"/>
                <w:sz w:val="21"/>
                <w:szCs w:val="21"/>
                <w:highlight w:val="none"/>
                <w:shd w:val="clear" w:color="auto" w:fill="auto"/>
              </w:rPr>
              <w:t>t/a、SS</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量为0.</w:t>
            </w:r>
            <w:r>
              <w:rPr>
                <w:rFonts w:hint="eastAsia" w:cs="Times New Roman"/>
                <w:color w:val="auto"/>
                <w:kern w:val="0"/>
                <w:sz w:val="21"/>
                <w:szCs w:val="21"/>
                <w:highlight w:val="none"/>
                <w:shd w:val="clear" w:color="auto" w:fill="auto"/>
                <w:lang w:val="en-US" w:eastAsia="zh-CN"/>
              </w:rPr>
              <w:t>056</w:t>
            </w:r>
            <w:r>
              <w:rPr>
                <w:rFonts w:hint="default" w:ascii="Times New Roman" w:hAnsi="Times New Roman" w:eastAsia="宋体" w:cs="Times New Roman"/>
                <w:color w:val="auto"/>
                <w:kern w:val="0"/>
                <w:sz w:val="21"/>
                <w:szCs w:val="21"/>
                <w:highlight w:val="none"/>
                <w:shd w:val="clear" w:color="auto" w:fill="auto"/>
              </w:rPr>
              <w:t>t/a、BOD</w:t>
            </w:r>
            <w:r>
              <w:rPr>
                <w:rFonts w:hint="default" w:ascii="Times New Roman" w:hAnsi="Times New Roman" w:eastAsia="宋体" w:cs="Times New Roman"/>
                <w:color w:val="auto"/>
                <w:kern w:val="0"/>
                <w:sz w:val="21"/>
                <w:szCs w:val="21"/>
                <w:highlight w:val="none"/>
                <w:shd w:val="clear" w:color="auto" w:fill="auto"/>
                <w:vertAlign w:val="subscript"/>
              </w:rPr>
              <w:t>5</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量为0.</w:t>
            </w:r>
            <w:r>
              <w:rPr>
                <w:rFonts w:hint="eastAsia" w:cs="Times New Roman"/>
                <w:color w:val="auto"/>
                <w:kern w:val="0"/>
                <w:sz w:val="21"/>
                <w:szCs w:val="21"/>
                <w:highlight w:val="none"/>
                <w:shd w:val="clear" w:color="auto" w:fill="auto"/>
                <w:lang w:val="en-US" w:eastAsia="zh-CN"/>
              </w:rPr>
              <w:t>056</w:t>
            </w:r>
            <w:r>
              <w:rPr>
                <w:rFonts w:hint="default" w:ascii="Times New Roman" w:hAnsi="Times New Roman" w:eastAsia="宋体" w:cs="Times New Roman"/>
                <w:color w:val="auto"/>
                <w:kern w:val="0"/>
                <w:sz w:val="21"/>
                <w:szCs w:val="21"/>
                <w:highlight w:val="none"/>
                <w:shd w:val="clear" w:color="auto" w:fill="auto"/>
              </w:rPr>
              <w:t>t/a。</w:t>
            </w:r>
          </w:p>
          <w:p w14:paraId="0CF8B125">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asci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噪声：</w:t>
            </w:r>
            <w:r>
              <w:rPr>
                <w:rFonts w:hint="default" w:ascii="Times New Roman" w:hAnsi="Times New Roman" w:cs="Times New Roman"/>
                <w:color w:val="auto"/>
                <w:sz w:val="21"/>
                <w:szCs w:val="21"/>
                <w:highlight w:val="none"/>
              </w:rPr>
              <w:t>本项目采用低噪声设备、厂房隔声、基础减振</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安装消声器</w:t>
            </w:r>
            <w:r>
              <w:rPr>
                <w:rFonts w:hint="default" w:ascii="Times New Roman" w:hAnsi="Times New Roman" w:cs="Times New Roman"/>
                <w:color w:val="auto"/>
                <w:sz w:val="21"/>
                <w:szCs w:val="21"/>
                <w:highlight w:val="none"/>
              </w:rPr>
              <w:t>等措施。</w:t>
            </w:r>
            <w:r>
              <w:rPr>
                <w:rFonts w:hint="eastAsia" w:cs="Times New Roman"/>
                <w:color w:val="auto"/>
                <w:spacing w:val="0"/>
                <w:sz w:val="21"/>
                <w:szCs w:val="21"/>
                <w:highlight w:val="none"/>
                <w:lang w:val="en-US" w:eastAsia="zh-CN"/>
              </w:rPr>
              <w:t>根据现状监测结果，</w:t>
            </w:r>
            <w:r>
              <w:rPr>
                <w:rFonts w:hint="eastAsia" w:ascii="Times New Roman" w:cs="Times New Roman"/>
                <w:color w:val="auto"/>
                <w:sz w:val="21"/>
                <w:szCs w:val="21"/>
                <w:highlight w:val="none"/>
                <w:lang w:val="en-US" w:eastAsia="zh-CN"/>
              </w:rPr>
              <w:t>厂界及东侧居民区</w:t>
            </w:r>
            <w:r>
              <w:rPr>
                <w:rFonts w:hint="default" w:ascii="Times New Roman" w:hAnsi="Times New Roman" w:cs="Times New Roman"/>
                <w:color w:val="auto"/>
                <w:sz w:val="21"/>
                <w:szCs w:val="21"/>
                <w:highlight w:val="none"/>
              </w:rPr>
              <w:t>噪声满足《工业企业厂界环境噪声排放标准》（GB12348-2008）表1中</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类标准要求。</w:t>
            </w:r>
            <w:r>
              <w:rPr>
                <w:rFonts w:hint="eastAsia" w:ascii="Times New Roman" w:cs="Times New Roman"/>
                <w:color w:val="auto"/>
                <w:sz w:val="21"/>
                <w:szCs w:val="21"/>
                <w:highlight w:val="none"/>
                <w:lang w:val="en-US" w:eastAsia="zh-CN"/>
              </w:rPr>
              <w:t>噪声现状监测结果见下表。</w:t>
            </w:r>
          </w:p>
          <w:p w14:paraId="103F64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color w:val="auto"/>
                <w:lang w:val="en-US" w:eastAsia="zh-CN"/>
              </w:rPr>
            </w:pPr>
            <w:r>
              <w:rPr>
                <w:rFonts w:hint="eastAsia" w:cs="Times New Roman"/>
                <w:b/>
                <w:bCs/>
                <w:color w:val="auto"/>
                <w:spacing w:val="0"/>
                <w:sz w:val="21"/>
                <w:szCs w:val="21"/>
                <w:highlight w:val="none"/>
                <w:lang w:val="en-US" w:eastAsia="zh-CN"/>
              </w:rPr>
              <w:t>表2-12噪声监测结果</w:t>
            </w:r>
          </w:p>
          <w:tbl>
            <w:tblPr>
              <w:tblStyle w:val="38"/>
              <w:tblW w:w="8298"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9"/>
              <w:gridCol w:w="1025"/>
              <w:gridCol w:w="1274"/>
              <w:gridCol w:w="1923"/>
              <w:gridCol w:w="1112"/>
              <w:gridCol w:w="2"/>
              <w:gridCol w:w="1116"/>
              <w:gridCol w:w="1297"/>
            </w:tblGrid>
            <w:tr w14:paraId="085784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49" w:type="dxa"/>
                  <w:vMerge w:val="restart"/>
                  <w:tcBorders>
                    <w:tl2br w:val="nil"/>
                    <w:tr2bl w:val="nil"/>
                  </w:tcBorders>
                  <w:vAlign w:val="center"/>
                </w:tcPr>
                <w:p w14:paraId="20DAADD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s="Times New Roman"/>
                      <w:b/>
                      <w:bCs/>
                      <w:color w:val="auto"/>
                      <w:spacing w:val="0"/>
                      <w:sz w:val="18"/>
                      <w:szCs w:val="18"/>
                      <w:highlight w:val="none"/>
                      <w:vertAlign w:val="baseline"/>
                      <w:lang w:val="en-US" w:eastAsia="zh-CN"/>
                    </w:rPr>
                  </w:pPr>
                  <w:r>
                    <w:rPr>
                      <w:rFonts w:hint="default" w:ascii="Times New Roman" w:hAnsi="Times New Roman" w:eastAsia="宋体" w:cs="Times New Roman"/>
                      <w:b/>
                      <w:bCs/>
                      <w:color w:val="auto"/>
                      <w:kern w:val="2"/>
                      <w:sz w:val="18"/>
                      <w:szCs w:val="18"/>
                      <w:highlight w:val="none"/>
                      <w:lang w:val="en-US" w:eastAsia="zh-CN" w:bidi="ar-SA"/>
                    </w:rPr>
                    <w:t>序号</w:t>
                  </w:r>
                </w:p>
              </w:tc>
              <w:tc>
                <w:tcPr>
                  <w:tcW w:w="1025" w:type="dxa"/>
                  <w:vMerge w:val="restart"/>
                  <w:tcBorders>
                    <w:tl2br w:val="nil"/>
                    <w:tr2bl w:val="nil"/>
                  </w:tcBorders>
                  <w:shd w:val="clear" w:color="auto" w:fill="auto"/>
                  <w:vAlign w:val="center"/>
                </w:tcPr>
                <w:p w14:paraId="68B2420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kern w:val="2"/>
                      <w:sz w:val="18"/>
                      <w:szCs w:val="18"/>
                      <w:highlight w:val="none"/>
                      <w:vertAlign w:val="baseline"/>
                      <w:lang w:val="en-US" w:eastAsia="zh-CN" w:bidi="ar-SA"/>
                    </w:rPr>
                  </w:pPr>
                  <w:r>
                    <w:rPr>
                      <w:rFonts w:hint="default" w:ascii="Times New Roman" w:hAnsi="Times New Roman" w:cs="Times New Roman"/>
                      <w:b/>
                      <w:bCs/>
                      <w:color w:val="auto"/>
                      <w:sz w:val="18"/>
                      <w:szCs w:val="18"/>
                      <w:highlight w:val="none"/>
                    </w:rPr>
                    <w:t>检测点</w:t>
                  </w:r>
                  <w:r>
                    <w:rPr>
                      <w:rFonts w:hint="default" w:ascii="Times New Roman" w:hAnsi="Times New Roman" w:cs="Times New Roman"/>
                      <w:b/>
                      <w:bCs/>
                      <w:color w:val="auto"/>
                      <w:sz w:val="18"/>
                      <w:szCs w:val="18"/>
                      <w:highlight w:val="none"/>
                      <w:lang w:eastAsia="zh-CN"/>
                    </w:rPr>
                    <w:t>名称</w:t>
                  </w:r>
                </w:p>
              </w:tc>
              <w:tc>
                <w:tcPr>
                  <w:tcW w:w="1274" w:type="dxa"/>
                  <w:vMerge w:val="restart"/>
                  <w:tcBorders>
                    <w:tl2br w:val="nil"/>
                    <w:tr2bl w:val="nil"/>
                  </w:tcBorders>
                  <w:vAlign w:val="center"/>
                </w:tcPr>
                <w:p w14:paraId="67B721E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eastAsia="宋体" w:cs="Times New Roman"/>
                      <w:b/>
                      <w:bCs/>
                      <w:color w:val="auto"/>
                      <w:spacing w:val="0"/>
                      <w:sz w:val="18"/>
                      <w:szCs w:val="18"/>
                      <w:highlight w:val="none"/>
                      <w:vertAlign w:val="baseline"/>
                      <w:lang w:val="en-US" w:eastAsia="zh-CN"/>
                    </w:rPr>
                  </w:pPr>
                  <w:r>
                    <w:rPr>
                      <w:rFonts w:hint="eastAsia" w:cs="Times New Roman"/>
                      <w:b/>
                      <w:bCs/>
                      <w:color w:val="auto"/>
                      <w:spacing w:val="0"/>
                      <w:sz w:val="18"/>
                      <w:szCs w:val="18"/>
                      <w:highlight w:val="none"/>
                      <w:vertAlign w:val="baseline"/>
                      <w:lang w:val="en-US" w:eastAsia="zh-CN"/>
                    </w:rPr>
                    <w:t>检测时间</w:t>
                  </w:r>
                </w:p>
              </w:tc>
              <w:tc>
                <w:tcPr>
                  <w:tcW w:w="1923" w:type="dxa"/>
                  <w:vMerge w:val="restart"/>
                  <w:tcBorders>
                    <w:tl2br w:val="nil"/>
                    <w:tr2bl w:val="nil"/>
                  </w:tcBorders>
                  <w:vAlign w:val="center"/>
                </w:tcPr>
                <w:p w14:paraId="4CE5855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eastAsia="宋体" w:cs="Times New Roman"/>
                      <w:b/>
                      <w:bCs/>
                      <w:color w:val="auto"/>
                      <w:spacing w:val="0"/>
                      <w:sz w:val="18"/>
                      <w:szCs w:val="18"/>
                      <w:highlight w:val="none"/>
                      <w:vertAlign w:val="baseline"/>
                      <w:lang w:val="en-US" w:eastAsia="zh-CN"/>
                    </w:rPr>
                  </w:pPr>
                  <w:r>
                    <w:rPr>
                      <w:rFonts w:hint="eastAsia" w:cs="Times New Roman"/>
                      <w:b/>
                      <w:bCs/>
                      <w:color w:val="auto"/>
                      <w:sz w:val="18"/>
                      <w:szCs w:val="18"/>
                      <w:highlight w:val="none"/>
                      <w:lang w:val="en-US" w:eastAsia="zh-CN"/>
                    </w:rPr>
                    <w:t>单位</w:t>
                  </w:r>
                </w:p>
              </w:tc>
              <w:tc>
                <w:tcPr>
                  <w:tcW w:w="2230" w:type="dxa"/>
                  <w:gridSpan w:val="3"/>
                  <w:tcBorders>
                    <w:tl2br w:val="nil"/>
                    <w:tr2bl w:val="nil"/>
                  </w:tcBorders>
                  <w:vAlign w:val="center"/>
                </w:tcPr>
                <w:p w14:paraId="341C41F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bCs/>
                      <w:color w:val="auto"/>
                      <w:sz w:val="18"/>
                      <w:szCs w:val="18"/>
                      <w:highlight w:val="none"/>
                    </w:rPr>
                  </w:pPr>
                  <w:r>
                    <w:rPr>
                      <w:rFonts w:hint="eastAsia" w:cs="Times New Roman"/>
                      <w:b/>
                      <w:bCs/>
                      <w:color w:val="auto"/>
                      <w:sz w:val="18"/>
                      <w:szCs w:val="18"/>
                      <w:highlight w:val="none"/>
                      <w:lang w:val="en-US" w:eastAsia="zh-CN"/>
                    </w:rPr>
                    <w:t>检测结果</w:t>
                  </w:r>
                </w:p>
              </w:tc>
              <w:tc>
                <w:tcPr>
                  <w:tcW w:w="1297" w:type="dxa"/>
                  <w:vMerge w:val="restart"/>
                  <w:tcBorders>
                    <w:tl2br w:val="nil"/>
                    <w:tr2bl w:val="nil"/>
                  </w:tcBorders>
                  <w:vAlign w:val="center"/>
                </w:tcPr>
                <w:p w14:paraId="06DC24B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标准</w:t>
                  </w:r>
                </w:p>
              </w:tc>
            </w:tr>
            <w:tr w14:paraId="5AA738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49" w:type="dxa"/>
                  <w:vMerge w:val="continue"/>
                  <w:tcBorders>
                    <w:tl2br w:val="nil"/>
                    <w:tr2bl w:val="nil"/>
                  </w:tcBorders>
                  <w:vAlign w:val="center"/>
                </w:tcPr>
                <w:p w14:paraId="43F1B5F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color w:val="auto"/>
                      <w:sz w:val="18"/>
                      <w:szCs w:val="18"/>
                    </w:rPr>
                  </w:pPr>
                </w:p>
              </w:tc>
              <w:tc>
                <w:tcPr>
                  <w:tcW w:w="1025" w:type="dxa"/>
                  <w:vMerge w:val="continue"/>
                  <w:tcBorders>
                    <w:tl2br w:val="nil"/>
                    <w:tr2bl w:val="nil"/>
                  </w:tcBorders>
                  <w:shd w:val="clear" w:color="auto" w:fill="auto"/>
                  <w:vAlign w:val="center"/>
                </w:tcPr>
                <w:p w14:paraId="5E64DC5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color w:val="auto"/>
                      <w:sz w:val="18"/>
                      <w:szCs w:val="18"/>
                    </w:rPr>
                  </w:pPr>
                </w:p>
              </w:tc>
              <w:tc>
                <w:tcPr>
                  <w:tcW w:w="1274" w:type="dxa"/>
                  <w:vMerge w:val="continue"/>
                  <w:tcBorders>
                    <w:tl2br w:val="nil"/>
                    <w:tr2bl w:val="nil"/>
                  </w:tcBorders>
                  <w:vAlign w:val="center"/>
                </w:tcPr>
                <w:p w14:paraId="274EAE1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color w:val="auto"/>
                      <w:sz w:val="18"/>
                      <w:szCs w:val="18"/>
                    </w:rPr>
                  </w:pPr>
                </w:p>
              </w:tc>
              <w:tc>
                <w:tcPr>
                  <w:tcW w:w="1923" w:type="dxa"/>
                  <w:vMerge w:val="continue"/>
                  <w:tcBorders>
                    <w:tl2br w:val="nil"/>
                    <w:tr2bl w:val="nil"/>
                  </w:tcBorders>
                  <w:vAlign w:val="center"/>
                </w:tcPr>
                <w:p w14:paraId="5EACEAF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color w:val="auto"/>
                      <w:sz w:val="18"/>
                      <w:szCs w:val="18"/>
                    </w:rPr>
                  </w:pPr>
                </w:p>
              </w:tc>
              <w:tc>
                <w:tcPr>
                  <w:tcW w:w="1114" w:type="dxa"/>
                  <w:gridSpan w:val="2"/>
                  <w:tcBorders>
                    <w:tl2br w:val="nil"/>
                    <w:tr2bl w:val="nil"/>
                  </w:tcBorders>
                  <w:shd w:val="clear" w:color="auto" w:fill="auto"/>
                  <w:vAlign w:val="center"/>
                </w:tcPr>
                <w:p w14:paraId="4A93953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r>
                    <w:rPr>
                      <w:rFonts w:hint="eastAsia" w:cs="Times New Roman"/>
                      <w:color w:val="auto"/>
                      <w:spacing w:val="0"/>
                      <w:kern w:val="2"/>
                      <w:sz w:val="18"/>
                      <w:szCs w:val="18"/>
                      <w:highlight w:val="none"/>
                      <w:vertAlign w:val="baseline"/>
                      <w:lang w:val="en-US" w:eastAsia="zh-CN" w:bidi="ar-SA"/>
                    </w:rPr>
                    <w:t>昼间</w:t>
                  </w:r>
                </w:p>
              </w:tc>
              <w:tc>
                <w:tcPr>
                  <w:tcW w:w="1116" w:type="dxa"/>
                  <w:tcBorders>
                    <w:tl2br w:val="nil"/>
                    <w:tr2bl w:val="nil"/>
                  </w:tcBorders>
                  <w:shd w:val="clear" w:color="auto" w:fill="auto"/>
                  <w:vAlign w:val="center"/>
                </w:tcPr>
                <w:p w14:paraId="2FB1FB0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eastAsia" w:ascii="Times New Roman" w:hAnsi="Times New Roman" w:eastAsia="宋体" w:cs="Times New Roman"/>
                      <w:color w:val="auto"/>
                      <w:spacing w:val="0"/>
                      <w:kern w:val="2"/>
                      <w:sz w:val="18"/>
                      <w:szCs w:val="18"/>
                      <w:highlight w:val="none"/>
                      <w:vertAlign w:val="baseline"/>
                      <w:lang w:val="en-US" w:eastAsia="zh-CN" w:bidi="ar-SA"/>
                    </w:rPr>
                  </w:pPr>
                  <w:r>
                    <w:rPr>
                      <w:rFonts w:hint="eastAsia" w:cs="Times New Roman"/>
                      <w:color w:val="auto"/>
                      <w:spacing w:val="0"/>
                      <w:sz w:val="18"/>
                      <w:szCs w:val="18"/>
                      <w:highlight w:val="none"/>
                      <w:vertAlign w:val="baseline"/>
                      <w:lang w:val="en-US" w:eastAsia="zh-CN"/>
                    </w:rPr>
                    <w:t>夜间</w:t>
                  </w:r>
                </w:p>
              </w:tc>
              <w:tc>
                <w:tcPr>
                  <w:tcW w:w="1297" w:type="dxa"/>
                  <w:vMerge w:val="continue"/>
                  <w:tcBorders>
                    <w:tl2br w:val="nil"/>
                    <w:tr2bl w:val="nil"/>
                  </w:tcBorders>
                  <w:vAlign w:val="center"/>
                </w:tcPr>
                <w:p w14:paraId="3E8D5E4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bCs/>
                      <w:color w:val="auto"/>
                      <w:sz w:val="18"/>
                      <w:szCs w:val="18"/>
                      <w:highlight w:val="none"/>
                      <w:lang w:val="en-US" w:eastAsia="zh-CN"/>
                    </w:rPr>
                  </w:pPr>
                </w:p>
              </w:tc>
            </w:tr>
            <w:tr w14:paraId="561E20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549" w:type="dxa"/>
                  <w:tcBorders>
                    <w:tl2br w:val="nil"/>
                    <w:tr2bl w:val="nil"/>
                  </w:tcBorders>
                  <w:vAlign w:val="center"/>
                </w:tcPr>
                <w:p w14:paraId="4485589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sz w:val="18"/>
                      <w:szCs w:val="18"/>
                      <w:highlight w:val="none"/>
                      <w:vertAlign w:val="baseline"/>
                      <w:lang w:val="en-US" w:eastAsia="zh-CN"/>
                    </w:rPr>
                  </w:pPr>
                  <w:r>
                    <w:rPr>
                      <w:rFonts w:hint="default" w:ascii="Times New Roman" w:hAnsi="Times New Roman" w:eastAsia="宋体" w:cs="Times New Roman"/>
                      <w:b w:val="0"/>
                      <w:bCs w:val="0"/>
                      <w:color w:val="auto"/>
                      <w:spacing w:val="0"/>
                      <w:sz w:val="18"/>
                      <w:szCs w:val="18"/>
                      <w:highlight w:val="none"/>
                      <w:vertAlign w:val="baseline"/>
                      <w:lang w:val="en-US" w:eastAsia="zh-CN"/>
                    </w:rPr>
                    <w:t>1</w:t>
                  </w:r>
                </w:p>
              </w:tc>
              <w:tc>
                <w:tcPr>
                  <w:tcW w:w="1025" w:type="dxa"/>
                  <w:tcBorders>
                    <w:tl2br w:val="nil"/>
                    <w:tr2bl w:val="nil"/>
                  </w:tcBorders>
                  <w:vAlign w:val="center"/>
                </w:tcPr>
                <w:p w14:paraId="7AEACA1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sz w:val="18"/>
                      <w:szCs w:val="18"/>
                      <w:highlight w:val="none"/>
                      <w:vertAlign w:val="baseline"/>
                      <w:lang w:val="en-US" w:eastAsia="zh-CN"/>
                    </w:rPr>
                  </w:pPr>
                  <w:r>
                    <w:rPr>
                      <w:rFonts w:hint="default" w:ascii="Times New Roman" w:hAnsi="Times New Roman" w:eastAsia="宋体" w:cs="Times New Roman"/>
                      <w:b w:val="0"/>
                      <w:bCs w:val="0"/>
                      <w:color w:val="auto"/>
                      <w:spacing w:val="0"/>
                      <w:sz w:val="18"/>
                      <w:szCs w:val="18"/>
                      <w:highlight w:val="none"/>
                      <w:vertAlign w:val="baseline"/>
                      <w:lang w:val="en-US" w:eastAsia="zh-CN"/>
                    </w:rPr>
                    <w:t>东侧居民敏感点</w:t>
                  </w:r>
                </w:p>
              </w:tc>
              <w:tc>
                <w:tcPr>
                  <w:tcW w:w="1274" w:type="dxa"/>
                  <w:vMerge w:val="restart"/>
                  <w:tcBorders>
                    <w:tl2br w:val="nil"/>
                    <w:tr2bl w:val="nil"/>
                  </w:tcBorders>
                  <w:vAlign w:val="center"/>
                </w:tcPr>
                <w:p w14:paraId="3B3DF54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sz w:val="18"/>
                      <w:szCs w:val="18"/>
                      <w:highlight w:val="none"/>
                      <w:vertAlign w:val="baseline"/>
                      <w:lang w:val="en-US" w:eastAsia="zh-CN"/>
                    </w:rPr>
                  </w:pPr>
                  <w:r>
                    <w:rPr>
                      <w:rFonts w:hint="default" w:ascii="Times New Roman" w:hAnsi="Times New Roman" w:eastAsia="宋体" w:cs="Times New Roman"/>
                      <w:b w:val="0"/>
                      <w:bCs w:val="0"/>
                      <w:color w:val="auto"/>
                      <w:spacing w:val="0"/>
                      <w:sz w:val="18"/>
                      <w:szCs w:val="18"/>
                      <w:highlight w:val="none"/>
                      <w:vertAlign w:val="baseline"/>
                      <w:lang w:val="en-US" w:eastAsia="zh-CN"/>
                    </w:rPr>
                    <w:t>2025.6.22</w:t>
                  </w:r>
                </w:p>
              </w:tc>
              <w:tc>
                <w:tcPr>
                  <w:tcW w:w="1923" w:type="dxa"/>
                  <w:vMerge w:val="restart"/>
                  <w:tcBorders>
                    <w:tl2br w:val="nil"/>
                    <w:tr2bl w:val="nil"/>
                  </w:tcBorders>
                  <w:shd w:val="clear" w:color="auto" w:fill="auto"/>
                  <w:vAlign w:val="center"/>
                </w:tcPr>
                <w:p w14:paraId="44655CC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spacing w:val="0"/>
                      <w:kern w:val="2"/>
                      <w:sz w:val="18"/>
                      <w:szCs w:val="18"/>
                      <w:highlight w:val="none"/>
                      <w:vertAlign w:val="baseline"/>
                      <w:lang w:val="en-US" w:eastAsia="zh-CN" w:bidi="ar-SA"/>
                    </w:rPr>
                  </w:pPr>
                  <w:r>
                    <w:rPr>
                      <w:rFonts w:hint="default" w:ascii="Times New Roman" w:hAnsi="Times New Roman" w:eastAsia="宋体" w:cs="Times New Roman"/>
                      <w:b w:val="0"/>
                      <w:bCs w:val="0"/>
                      <w:color w:val="auto"/>
                      <w:spacing w:val="0"/>
                      <w:kern w:val="2"/>
                      <w:sz w:val="18"/>
                      <w:szCs w:val="18"/>
                      <w:highlight w:val="none"/>
                      <w:vertAlign w:val="baseline"/>
                      <w:lang w:val="en-US" w:eastAsia="zh-CN" w:bidi="ar-SA"/>
                    </w:rPr>
                    <w:t>dB（A）</w:t>
                  </w:r>
                </w:p>
              </w:tc>
              <w:tc>
                <w:tcPr>
                  <w:tcW w:w="1112" w:type="dxa"/>
                  <w:tcBorders>
                    <w:tl2br w:val="nil"/>
                    <w:tr2bl w:val="nil"/>
                  </w:tcBorders>
                  <w:vAlign w:val="center"/>
                </w:tcPr>
                <w:p w14:paraId="4034CBD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sz w:val="18"/>
                      <w:szCs w:val="18"/>
                      <w:highlight w:val="none"/>
                      <w:vertAlign w:val="baseline"/>
                      <w:lang w:val="en-US" w:eastAsia="zh-CN"/>
                    </w:rPr>
                  </w:pPr>
                  <w:r>
                    <w:rPr>
                      <w:rFonts w:hint="default" w:ascii="Times New Roman" w:hAnsi="Times New Roman" w:eastAsia="宋体" w:cs="Times New Roman"/>
                      <w:b w:val="0"/>
                      <w:bCs w:val="0"/>
                      <w:color w:val="auto"/>
                      <w:spacing w:val="0"/>
                      <w:sz w:val="18"/>
                      <w:szCs w:val="18"/>
                      <w:highlight w:val="none"/>
                      <w:vertAlign w:val="baseline"/>
                      <w:lang w:val="en-US" w:eastAsia="zh-CN"/>
                    </w:rPr>
                    <w:t>52.2</w:t>
                  </w:r>
                </w:p>
              </w:tc>
              <w:tc>
                <w:tcPr>
                  <w:tcW w:w="1118" w:type="dxa"/>
                  <w:gridSpan w:val="2"/>
                  <w:tcBorders>
                    <w:tl2br w:val="nil"/>
                    <w:tr2bl w:val="nil"/>
                  </w:tcBorders>
                  <w:vAlign w:val="center"/>
                </w:tcPr>
                <w:p w14:paraId="63DAFD9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pacing w:val="0"/>
                      <w:sz w:val="18"/>
                      <w:szCs w:val="18"/>
                      <w:highlight w:val="none"/>
                      <w:vertAlign w:val="baseline"/>
                      <w:lang w:val="en-US" w:eastAsia="zh-CN"/>
                    </w:rPr>
                  </w:pPr>
                  <w:r>
                    <w:rPr>
                      <w:rFonts w:hint="default" w:ascii="Times New Roman" w:hAnsi="Times New Roman" w:eastAsia="宋体" w:cs="Times New Roman"/>
                      <w:b w:val="0"/>
                      <w:bCs w:val="0"/>
                      <w:color w:val="auto"/>
                      <w:spacing w:val="0"/>
                      <w:sz w:val="18"/>
                      <w:szCs w:val="18"/>
                      <w:highlight w:val="none"/>
                      <w:vertAlign w:val="baseline"/>
                      <w:lang w:val="en-US" w:eastAsia="zh-CN"/>
                    </w:rPr>
                    <w:t>42.5</w:t>
                  </w:r>
                </w:p>
              </w:tc>
              <w:tc>
                <w:tcPr>
                  <w:tcW w:w="1297" w:type="dxa"/>
                  <w:vMerge w:val="restart"/>
                  <w:tcBorders>
                    <w:tl2br w:val="nil"/>
                    <w:tr2bl w:val="nil"/>
                  </w:tcBorders>
                  <w:vAlign w:val="center"/>
                </w:tcPr>
                <w:p w14:paraId="5F76AB1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sz w:val="18"/>
                      <w:szCs w:val="18"/>
                      <w:highlight w:val="none"/>
                      <w:vertAlign w:val="baseline"/>
                      <w:lang w:val="en-US" w:eastAsia="zh-CN"/>
                    </w:rPr>
                  </w:pPr>
                  <w:r>
                    <w:rPr>
                      <w:rFonts w:hint="default" w:ascii="Times New Roman" w:hAnsi="Times New Roman" w:eastAsia="宋体" w:cs="Times New Roman"/>
                      <w:b w:val="0"/>
                      <w:bCs w:val="0"/>
                      <w:color w:val="auto"/>
                      <w:kern w:val="2"/>
                      <w:sz w:val="18"/>
                      <w:szCs w:val="18"/>
                      <w:highlight w:val="none"/>
                      <w:lang w:val="en-US" w:eastAsia="zh-CN" w:bidi="ar-SA"/>
                    </w:rPr>
                    <w:t>《声环境质量标准》(GB 3096-2008)表1中2类</w:t>
                  </w:r>
                </w:p>
              </w:tc>
            </w:tr>
            <w:tr w14:paraId="51C499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49" w:type="dxa"/>
                  <w:tcBorders>
                    <w:tl2br w:val="nil"/>
                    <w:tr2bl w:val="nil"/>
                  </w:tcBorders>
                  <w:vAlign w:val="center"/>
                </w:tcPr>
                <w:p w14:paraId="301239F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2</w:t>
                  </w:r>
                </w:p>
              </w:tc>
              <w:tc>
                <w:tcPr>
                  <w:tcW w:w="1025" w:type="dxa"/>
                  <w:tcBorders>
                    <w:tl2br w:val="nil"/>
                    <w:tr2bl w:val="nil"/>
                  </w:tcBorders>
                  <w:vAlign w:val="center"/>
                </w:tcPr>
                <w:p w14:paraId="30888A1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厂界东侧</w:t>
                  </w:r>
                </w:p>
              </w:tc>
              <w:tc>
                <w:tcPr>
                  <w:tcW w:w="1274" w:type="dxa"/>
                  <w:vMerge w:val="continue"/>
                  <w:tcBorders>
                    <w:tl2br w:val="nil"/>
                    <w:tr2bl w:val="nil"/>
                  </w:tcBorders>
                  <w:shd w:val="clear" w:color="auto" w:fill="auto"/>
                  <w:vAlign w:val="center"/>
                </w:tcPr>
                <w:p w14:paraId="6391463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p>
              </w:tc>
              <w:tc>
                <w:tcPr>
                  <w:tcW w:w="1923" w:type="dxa"/>
                  <w:vMerge w:val="continue"/>
                  <w:tcBorders>
                    <w:tl2br w:val="nil"/>
                    <w:tr2bl w:val="nil"/>
                  </w:tcBorders>
                  <w:shd w:val="clear" w:color="auto" w:fill="auto"/>
                  <w:vAlign w:val="center"/>
                </w:tcPr>
                <w:p w14:paraId="74C285E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p>
              </w:tc>
              <w:tc>
                <w:tcPr>
                  <w:tcW w:w="1112" w:type="dxa"/>
                  <w:tcBorders>
                    <w:tl2br w:val="nil"/>
                    <w:tr2bl w:val="nil"/>
                  </w:tcBorders>
                  <w:vAlign w:val="center"/>
                </w:tcPr>
                <w:p w14:paraId="6A5247D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53.6</w:t>
                  </w:r>
                </w:p>
              </w:tc>
              <w:tc>
                <w:tcPr>
                  <w:tcW w:w="1118" w:type="dxa"/>
                  <w:gridSpan w:val="2"/>
                  <w:tcBorders>
                    <w:tl2br w:val="nil"/>
                    <w:tr2bl w:val="nil"/>
                  </w:tcBorders>
                  <w:vAlign w:val="center"/>
                </w:tcPr>
                <w:p w14:paraId="200F2E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45.7</w:t>
                  </w:r>
                </w:p>
              </w:tc>
              <w:tc>
                <w:tcPr>
                  <w:tcW w:w="1297" w:type="dxa"/>
                  <w:vMerge w:val="continue"/>
                  <w:tcBorders>
                    <w:tl2br w:val="nil"/>
                    <w:tr2bl w:val="nil"/>
                  </w:tcBorders>
                  <w:vAlign w:val="center"/>
                </w:tcPr>
                <w:p w14:paraId="0B6398D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p>
              </w:tc>
            </w:tr>
            <w:tr w14:paraId="76DD9E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549" w:type="dxa"/>
                  <w:tcBorders>
                    <w:tl2br w:val="nil"/>
                    <w:tr2bl w:val="nil"/>
                  </w:tcBorders>
                  <w:vAlign w:val="center"/>
                </w:tcPr>
                <w:p w14:paraId="5DC90BF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3</w:t>
                  </w:r>
                </w:p>
              </w:tc>
              <w:tc>
                <w:tcPr>
                  <w:tcW w:w="1025" w:type="dxa"/>
                  <w:tcBorders>
                    <w:tl2br w:val="nil"/>
                    <w:tr2bl w:val="nil"/>
                  </w:tcBorders>
                  <w:vAlign w:val="center"/>
                </w:tcPr>
                <w:p w14:paraId="6DCA55C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厂界南侧</w:t>
                  </w:r>
                </w:p>
              </w:tc>
              <w:tc>
                <w:tcPr>
                  <w:tcW w:w="1274" w:type="dxa"/>
                  <w:vMerge w:val="continue"/>
                  <w:tcBorders>
                    <w:tl2br w:val="nil"/>
                    <w:tr2bl w:val="nil"/>
                  </w:tcBorders>
                  <w:shd w:val="clear" w:color="auto" w:fill="auto"/>
                  <w:vAlign w:val="center"/>
                </w:tcPr>
                <w:p w14:paraId="376B5F1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p>
              </w:tc>
              <w:tc>
                <w:tcPr>
                  <w:tcW w:w="1923" w:type="dxa"/>
                  <w:vMerge w:val="continue"/>
                  <w:tcBorders>
                    <w:tl2br w:val="nil"/>
                    <w:tr2bl w:val="nil"/>
                  </w:tcBorders>
                  <w:shd w:val="clear" w:color="auto" w:fill="auto"/>
                  <w:vAlign w:val="center"/>
                </w:tcPr>
                <w:p w14:paraId="51CB504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p>
              </w:tc>
              <w:tc>
                <w:tcPr>
                  <w:tcW w:w="1112" w:type="dxa"/>
                  <w:tcBorders>
                    <w:tl2br w:val="nil"/>
                    <w:tr2bl w:val="nil"/>
                  </w:tcBorders>
                  <w:vAlign w:val="center"/>
                </w:tcPr>
                <w:p w14:paraId="5F658F0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53.3</w:t>
                  </w:r>
                </w:p>
              </w:tc>
              <w:tc>
                <w:tcPr>
                  <w:tcW w:w="1118" w:type="dxa"/>
                  <w:gridSpan w:val="2"/>
                  <w:tcBorders>
                    <w:tl2br w:val="nil"/>
                    <w:tr2bl w:val="nil"/>
                  </w:tcBorders>
                  <w:vAlign w:val="center"/>
                </w:tcPr>
                <w:p w14:paraId="1A09957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43.1</w:t>
                  </w:r>
                </w:p>
              </w:tc>
              <w:tc>
                <w:tcPr>
                  <w:tcW w:w="1297" w:type="dxa"/>
                  <w:vMerge w:val="continue"/>
                  <w:tcBorders>
                    <w:tl2br w:val="nil"/>
                    <w:tr2bl w:val="nil"/>
                  </w:tcBorders>
                  <w:vAlign w:val="center"/>
                </w:tcPr>
                <w:p w14:paraId="223AE94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p>
              </w:tc>
            </w:tr>
            <w:tr w14:paraId="59C67B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549" w:type="dxa"/>
                  <w:tcBorders>
                    <w:tl2br w:val="nil"/>
                    <w:tr2bl w:val="nil"/>
                  </w:tcBorders>
                  <w:vAlign w:val="center"/>
                </w:tcPr>
                <w:p w14:paraId="72E1540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4</w:t>
                  </w:r>
                </w:p>
              </w:tc>
              <w:tc>
                <w:tcPr>
                  <w:tcW w:w="1025" w:type="dxa"/>
                  <w:tcBorders>
                    <w:tl2br w:val="nil"/>
                    <w:tr2bl w:val="nil"/>
                  </w:tcBorders>
                  <w:vAlign w:val="center"/>
                </w:tcPr>
                <w:p w14:paraId="0E63FA0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厂界西侧</w:t>
                  </w:r>
                </w:p>
              </w:tc>
              <w:tc>
                <w:tcPr>
                  <w:tcW w:w="1274" w:type="dxa"/>
                  <w:vMerge w:val="continue"/>
                  <w:tcBorders>
                    <w:tl2br w:val="nil"/>
                    <w:tr2bl w:val="nil"/>
                  </w:tcBorders>
                  <w:shd w:val="clear" w:color="auto" w:fill="auto"/>
                  <w:vAlign w:val="center"/>
                </w:tcPr>
                <w:p w14:paraId="18BC119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p>
              </w:tc>
              <w:tc>
                <w:tcPr>
                  <w:tcW w:w="1923" w:type="dxa"/>
                  <w:vMerge w:val="continue"/>
                  <w:tcBorders>
                    <w:tl2br w:val="nil"/>
                    <w:tr2bl w:val="nil"/>
                  </w:tcBorders>
                  <w:shd w:val="clear" w:color="auto" w:fill="auto"/>
                  <w:vAlign w:val="center"/>
                </w:tcPr>
                <w:p w14:paraId="0225332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p>
              </w:tc>
              <w:tc>
                <w:tcPr>
                  <w:tcW w:w="1112" w:type="dxa"/>
                  <w:tcBorders>
                    <w:tl2br w:val="nil"/>
                    <w:tr2bl w:val="nil"/>
                  </w:tcBorders>
                  <w:vAlign w:val="center"/>
                </w:tcPr>
                <w:p w14:paraId="674A1C1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53.3</w:t>
                  </w:r>
                </w:p>
              </w:tc>
              <w:tc>
                <w:tcPr>
                  <w:tcW w:w="1118" w:type="dxa"/>
                  <w:gridSpan w:val="2"/>
                  <w:tcBorders>
                    <w:tl2br w:val="nil"/>
                    <w:tr2bl w:val="nil"/>
                  </w:tcBorders>
                  <w:vAlign w:val="center"/>
                </w:tcPr>
                <w:p w14:paraId="382419C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43.3</w:t>
                  </w:r>
                </w:p>
              </w:tc>
              <w:tc>
                <w:tcPr>
                  <w:tcW w:w="1297" w:type="dxa"/>
                  <w:vMerge w:val="continue"/>
                  <w:tcBorders>
                    <w:tl2br w:val="nil"/>
                    <w:tr2bl w:val="nil"/>
                  </w:tcBorders>
                  <w:vAlign w:val="center"/>
                </w:tcPr>
                <w:p w14:paraId="7D7664A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p>
              </w:tc>
            </w:tr>
            <w:tr w14:paraId="7BD8A2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549" w:type="dxa"/>
                  <w:tcBorders>
                    <w:tl2br w:val="nil"/>
                    <w:tr2bl w:val="nil"/>
                  </w:tcBorders>
                  <w:vAlign w:val="center"/>
                </w:tcPr>
                <w:p w14:paraId="610CF51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5</w:t>
                  </w:r>
                </w:p>
              </w:tc>
              <w:tc>
                <w:tcPr>
                  <w:tcW w:w="1025" w:type="dxa"/>
                  <w:tcBorders>
                    <w:tl2br w:val="nil"/>
                    <w:tr2bl w:val="nil"/>
                  </w:tcBorders>
                  <w:vAlign w:val="center"/>
                </w:tcPr>
                <w:p w14:paraId="32AD85E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厂界北侧</w:t>
                  </w:r>
                </w:p>
              </w:tc>
              <w:tc>
                <w:tcPr>
                  <w:tcW w:w="1274" w:type="dxa"/>
                  <w:vMerge w:val="continue"/>
                  <w:tcBorders>
                    <w:tl2br w:val="nil"/>
                    <w:tr2bl w:val="nil"/>
                  </w:tcBorders>
                  <w:shd w:val="clear" w:color="auto" w:fill="auto"/>
                  <w:vAlign w:val="center"/>
                </w:tcPr>
                <w:p w14:paraId="30417ED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p>
              </w:tc>
              <w:tc>
                <w:tcPr>
                  <w:tcW w:w="1923" w:type="dxa"/>
                  <w:vMerge w:val="continue"/>
                  <w:tcBorders>
                    <w:tl2br w:val="nil"/>
                    <w:tr2bl w:val="nil"/>
                  </w:tcBorders>
                  <w:shd w:val="clear" w:color="auto" w:fill="auto"/>
                  <w:vAlign w:val="center"/>
                </w:tcPr>
                <w:p w14:paraId="2BE5B47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p>
              </w:tc>
              <w:tc>
                <w:tcPr>
                  <w:tcW w:w="1112" w:type="dxa"/>
                  <w:tcBorders>
                    <w:tl2br w:val="nil"/>
                    <w:tr2bl w:val="nil"/>
                  </w:tcBorders>
                  <w:vAlign w:val="center"/>
                </w:tcPr>
                <w:p w14:paraId="4B80A28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r>
                    <w:rPr>
                      <w:rFonts w:hint="eastAsia" w:cs="Times New Roman"/>
                      <w:color w:val="auto"/>
                      <w:spacing w:val="0"/>
                      <w:sz w:val="18"/>
                      <w:szCs w:val="18"/>
                      <w:highlight w:val="none"/>
                      <w:vertAlign w:val="baseline"/>
                      <w:lang w:val="en-US" w:eastAsia="zh-CN"/>
                    </w:rPr>
                    <w:t>53.3</w:t>
                  </w:r>
                </w:p>
              </w:tc>
              <w:tc>
                <w:tcPr>
                  <w:tcW w:w="1118" w:type="dxa"/>
                  <w:gridSpan w:val="2"/>
                  <w:tcBorders>
                    <w:tl2br w:val="nil"/>
                    <w:tr2bl w:val="nil"/>
                  </w:tcBorders>
                  <w:shd w:val="clear" w:color="auto" w:fill="auto"/>
                  <w:vAlign w:val="center"/>
                </w:tcPr>
                <w:p w14:paraId="57247BC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color w:val="auto"/>
                      <w:spacing w:val="0"/>
                      <w:kern w:val="2"/>
                      <w:sz w:val="18"/>
                      <w:szCs w:val="18"/>
                      <w:highlight w:val="none"/>
                      <w:vertAlign w:val="baseline"/>
                      <w:lang w:val="en-US" w:eastAsia="zh-CN" w:bidi="ar-SA"/>
                    </w:rPr>
                  </w:pPr>
                  <w:r>
                    <w:rPr>
                      <w:rFonts w:hint="eastAsia" w:cs="Times New Roman"/>
                      <w:color w:val="auto"/>
                      <w:spacing w:val="0"/>
                      <w:kern w:val="2"/>
                      <w:sz w:val="18"/>
                      <w:szCs w:val="18"/>
                      <w:highlight w:val="none"/>
                      <w:vertAlign w:val="baseline"/>
                      <w:lang w:val="en-US" w:eastAsia="zh-CN" w:bidi="ar-SA"/>
                    </w:rPr>
                    <w:t>43.0</w:t>
                  </w:r>
                </w:p>
              </w:tc>
              <w:tc>
                <w:tcPr>
                  <w:tcW w:w="1297" w:type="dxa"/>
                  <w:vMerge w:val="continue"/>
                  <w:tcBorders>
                    <w:tl2br w:val="nil"/>
                    <w:tr2bl w:val="nil"/>
                  </w:tcBorders>
                  <w:vAlign w:val="center"/>
                </w:tcPr>
                <w:p w14:paraId="15DEFFA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cs="Times New Roman"/>
                      <w:color w:val="auto"/>
                      <w:spacing w:val="0"/>
                      <w:sz w:val="18"/>
                      <w:szCs w:val="18"/>
                      <w:highlight w:val="none"/>
                      <w:vertAlign w:val="baseline"/>
                      <w:lang w:val="en-US" w:eastAsia="zh-CN"/>
                    </w:rPr>
                  </w:pPr>
                </w:p>
              </w:tc>
            </w:tr>
          </w:tbl>
          <w:p w14:paraId="5BCF4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cs="Times New Roman"/>
                <w:color w:val="auto"/>
                <w:sz w:val="21"/>
                <w:szCs w:val="21"/>
                <w:highlight w:val="none"/>
                <w:lang w:val="en-US" w:eastAsia="zh-CN"/>
              </w:rPr>
            </w:pPr>
            <w:r>
              <w:rPr>
                <w:rFonts w:hint="default"/>
                <w:color w:val="auto"/>
                <w:sz w:val="24"/>
              </w:rPr>
              <mc:AlternateContent>
                <mc:Choice Requires="wps">
                  <w:drawing>
                    <wp:anchor distT="0" distB="0" distL="114300" distR="114300" simplePos="0" relativeHeight="251673600" behindDoc="0" locked="0" layoutInCell="1" allowOverlap="1">
                      <wp:simplePos x="0" y="0"/>
                      <wp:positionH relativeFrom="column">
                        <wp:posOffset>188595</wp:posOffset>
                      </wp:positionH>
                      <wp:positionV relativeFrom="paragraph">
                        <wp:posOffset>2449195</wp:posOffset>
                      </wp:positionV>
                      <wp:extent cx="161925" cy="95250"/>
                      <wp:effectExtent l="6350" t="6350" r="22225" b="12700"/>
                      <wp:wrapNone/>
                      <wp:docPr id="69" name="矩形 69"/>
                      <wp:cNvGraphicFramePr/>
                      <a:graphic xmlns:a="http://schemas.openxmlformats.org/drawingml/2006/main">
                        <a:graphicData uri="http://schemas.microsoft.com/office/word/2010/wordprocessingShape">
                          <wps:wsp>
                            <wps:cNvSpPr/>
                            <wps:spPr>
                              <a:xfrm>
                                <a:off x="0" y="0"/>
                                <a:ext cx="161925" cy="9525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85pt;margin-top:192.85pt;height:7.5pt;width:12.75pt;z-index:251673600;v-text-anchor:middle;mso-width-relative:page;mso-height-relative:page;" filled="f" stroked="t" coordsize="21600,21600" o:gfxdata="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Vo&#10;te3WAAAACQEAAA8AAAAAAAAAAQAgAAAAIgAAAGRycy9kb3ducmV2LnhtbFBLAQIUABQAAAAIAIdO&#10;4kAuWOTZXgIAALQEAAAOAAAAAAAAAAEAIAAAACUBAABkcnMvZTJvRG9jLnhtbFBLBQYAAAAABgAG&#10;AFkBAAD1BQAAAAA=&#10;">
                      <v:fill on="f" focussize="0,0"/>
                      <v:stroke weight="1pt" color="#FF0000 [2404]" joinstyle="round"/>
                      <v:imagedata o:title=""/>
                      <o:lock v:ext="edit" aspectratio="f"/>
                    </v:rect>
                  </w:pict>
                </mc:Fallback>
              </mc:AlternateContent>
            </w:r>
            <w:r>
              <w:rPr>
                <w:rFonts w:hint="default"/>
                <w:color w:val="auto"/>
              </w:rPr>
              <w:drawing>
                <wp:anchor distT="0" distB="0" distL="114300" distR="114300" simplePos="0" relativeHeight="251672576" behindDoc="0" locked="0" layoutInCell="1" allowOverlap="1">
                  <wp:simplePos x="0" y="0"/>
                  <wp:positionH relativeFrom="column">
                    <wp:posOffset>182880</wp:posOffset>
                  </wp:positionH>
                  <wp:positionV relativeFrom="paragraph">
                    <wp:posOffset>2668270</wp:posOffset>
                  </wp:positionV>
                  <wp:extent cx="187325" cy="125095"/>
                  <wp:effectExtent l="0" t="0" r="3175" b="8255"/>
                  <wp:wrapNone/>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12"/>
                          <a:stretch>
                            <a:fillRect/>
                          </a:stretch>
                        </pic:blipFill>
                        <pic:spPr>
                          <a:xfrm>
                            <a:off x="0" y="0"/>
                            <a:ext cx="187325" cy="125095"/>
                          </a:xfrm>
                          <a:prstGeom prst="rect">
                            <a:avLst/>
                          </a:prstGeom>
                          <a:noFill/>
                          <a:ln>
                            <a:noFill/>
                          </a:ln>
                        </pic:spPr>
                      </pic:pic>
                    </a:graphicData>
                  </a:graphic>
                </wp:anchor>
              </w:drawing>
            </w:r>
            <w:r>
              <w:rPr>
                <w:rFonts w:hint="eastAsia" w:cs="Times New Roman"/>
                <w:color w:val="auto"/>
                <w:sz w:val="21"/>
                <w:szCs w:val="21"/>
                <w:highlight w:val="none"/>
                <w:lang w:val="en-US" w:eastAsia="zh-CN"/>
              </w:rPr>
              <w:t>噪声监测点位见下图：</w:t>
            </w:r>
          </w:p>
          <w:p w14:paraId="13B327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default"/>
                <w:color w:val="auto"/>
              </w:rPr>
            </w:pPr>
            <w:r>
              <w:rPr>
                <w:rFonts w:hint="default"/>
                <w:color w:val="auto"/>
              </w:rPr>
              <w:drawing>
                <wp:anchor distT="0" distB="0" distL="114300" distR="114300" simplePos="0" relativeHeight="251676672" behindDoc="0" locked="0" layoutInCell="1" allowOverlap="1">
                  <wp:simplePos x="0" y="0"/>
                  <wp:positionH relativeFrom="column">
                    <wp:posOffset>190500</wp:posOffset>
                  </wp:positionH>
                  <wp:positionV relativeFrom="paragraph">
                    <wp:posOffset>2334260</wp:posOffset>
                  </wp:positionV>
                  <wp:extent cx="187325" cy="125095"/>
                  <wp:effectExtent l="0" t="0" r="3175" b="8255"/>
                  <wp:wrapNone/>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12"/>
                          <a:stretch>
                            <a:fillRect/>
                          </a:stretch>
                        </pic:blipFill>
                        <pic:spPr>
                          <a:xfrm>
                            <a:off x="0" y="0"/>
                            <a:ext cx="187325" cy="125095"/>
                          </a:xfrm>
                          <a:prstGeom prst="rect">
                            <a:avLst/>
                          </a:prstGeom>
                          <a:noFill/>
                          <a:ln>
                            <a:noFill/>
                          </a:ln>
                        </pic:spPr>
                      </pic:pic>
                    </a:graphicData>
                  </a:graphic>
                </wp:anchor>
              </w:drawing>
            </w:r>
            <w:r>
              <w:rPr>
                <w:rFonts w:hint="default"/>
                <w:color w:val="auto"/>
                <w:sz w:val="24"/>
              </w:rPr>
              <mc:AlternateContent>
                <mc:Choice Requires="wps">
                  <w:drawing>
                    <wp:anchor distT="0" distB="0" distL="114300" distR="114300" simplePos="0" relativeHeight="251675648" behindDoc="0" locked="0" layoutInCell="1" allowOverlap="1">
                      <wp:simplePos x="0" y="0"/>
                      <wp:positionH relativeFrom="column">
                        <wp:posOffset>180340</wp:posOffset>
                      </wp:positionH>
                      <wp:positionV relativeFrom="paragraph">
                        <wp:posOffset>2059305</wp:posOffset>
                      </wp:positionV>
                      <wp:extent cx="161925" cy="95250"/>
                      <wp:effectExtent l="6350" t="6350" r="22225" b="12700"/>
                      <wp:wrapNone/>
                      <wp:docPr id="3" name="矩形 3"/>
                      <wp:cNvGraphicFramePr/>
                      <a:graphic xmlns:a="http://schemas.openxmlformats.org/drawingml/2006/main">
                        <a:graphicData uri="http://schemas.microsoft.com/office/word/2010/wordprocessingShape">
                          <wps:wsp>
                            <wps:cNvSpPr/>
                            <wps:spPr>
                              <a:xfrm>
                                <a:off x="0" y="0"/>
                                <a:ext cx="161925" cy="9525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pt;margin-top:162.15pt;height:7.5pt;width:12.75pt;z-index:251675648;v-text-anchor:middle;mso-width-relative:page;mso-height-relative:page;" filled="f" stroked="t" coordsize="21600,21600" o:gfxdata="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C6YV&#10;89YAAAAJAQAADwAAAAAAAAABACAAAAAiAAAAZHJzL2Rvd25yZXYueG1sUEsBAhQAFAAAAAgAh07i&#10;QJ1VNaFdAgAAsgQAAA4AAAAAAAAAAQAgAAAAJQEAAGRycy9lMm9Eb2MueG1sUEsFBgAAAAAGAAYA&#10;WQEAAPQFAAAAAA==&#10;">
                      <v:fill on="f" focussize="0,0"/>
                      <v:stroke weight="1pt" color="#FF0000 [2404]" joinstyle="round"/>
                      <v:imagedata o:title=""/>
                      <o:lock v:ext="edit" aspectratio="f"/>
                    </v:rect>
                  </w:pict>
                </mc:Fallback>
              </mc:AlternateContent>
            </w:r>
            <w:r>
              <w:rPr>
                <w:rFonts w:hint="default"/>
                <w:color w:val="auto"/>
                <w:sz w:val="24"/>
              </w:rPr>
              <mc:AlternateContent>
                <mc:Choice Requires="wps">
                  <w:drawing>
                    <wp:anchor distT="0" distB="0" distL="114300" distR="114300" simplePos="0" relativeHeight="251674624" behindDoc="0" locked="0" layoutInCell="1" allowOverlap="1">
                      <wp:simplePos x="0" y="0"/>
                      <wp:positionH relativeFrom="column">
                        <wp:posOffset>83185</wp:posOffset>
                      </wp:positionH>
                      <wp:positionV relativeFrom="paragraph">
                        <wp:posOffset>1626235</wp:posOffset>
                      </wp:positionV>
                      <wp:extent cx="962660" cy="1252855"/>
                      <wp:effectExtent l="4445" t="5080" r="23495" b="18415"/>
                      <wp:wrapNone/>
                      <wp:docPr id="2" name="文本框 2"/>
                      <wp:cNvGraphicFramePr/>
                      <a:graphic xmlns:a="http://schemas.openxmlformats.org/drawingml/2006/main">
                        <a:graphicData uri="http://schemas.microsoft.com/office/word/2010/wordprocessingShape">
                          <wps:wsp>
                            <wps:cNvSpPr txBox="1"/>
                            <wps:spPr>
                              <a:xfrm>
                                <a:off x="0" y="0"/>
                                <a:ext cx="962660" cy="12528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56C26F1">
                                  <w:pPr>
                                    <w:keepNext w:val="0"/>
                                    <w:keepLines w:val="0"/>
                                    <w:pageBreakBefore w:val="0"/>
                                    <w:kinsoku/>
                                    <w:wordWrap/>
                                    <w:overflowPunct/>
                                    <w:topLinePunct w:val="0"/>
                                    <w:bidi w:val="0"/>
                                    <w:adjustRightInd/>
                                    <w:spacing w:line="360" w:lineRule="auto"/>
                                    <w:ind w:right="0"/>
                                    <w:jc w:val="center"/>
                                    <w:textAlignment w:val="auto"/>
                                    <w:rPr>
                                      <w:rFonts w:hint="eastAsia"/>
                                      <w:b/>
                                      <w:bCs/>
                                      <w:sz w:val="18"/>
                                      <w:szCs w:val="18"/>
                                      <w:lang w:eastAsia="zh-CN"/>
                                    </w:rPr>
                                  </w:pPr>
                                  <w:r>
                                    <w:rPr>
                                      <w:rFonts w:hint="eastAsia"/>
                                      <w:b/>
                                      <w:bCs/>
                                      <w:sz w:val="18"/>
                                      <w:szCs w:val="18"/>
                                      <w:lang w:eastAsia="zh-CN"/>
                                    </w:rPr>
                                    <w:t>图例</w:t>
                                  </w:r>
                                </w:p>
                                <w:p w14:paraId="54BB944A">
                                  <w:pPr>
                                    <w:pStyle w:val="35"/>
                                    <w:keepNext w:val="0"/>
                                    <w:keepLines w:val="0"/>
                                    <w:pageBreakBefore w:val="0"/>
                                    <w:kinsoku/>
                                    <w:wordWrap/>
                                    <w:overflowPunct/>
                                    <w:topLinePunct w:val="0"/>
                                    <w:bidi w:val="0"/>
                                    <w:adjustRightInd/>
                                    <w:spacing w:before="0" w:after="0" w:line="360" w:lineRule="auto"/>
                                    <w:ind w:left="0" w:leftChars="0" w:right="0" w:firstLine="360" w:firstLineChars="200"/>
                                    <w:textAlignment w:val="auto"/>
                                    <w:rPr>
                                      <w:rFonts w:hint="eastAsia"/>
                                      <w:sz w:val="18"/>
                                      <w:szCs w:val="18"/>
                                      <w:lang w:eastAsia="zh-CN"/>
                                    </w:rPr>
                                  </w:pPr>
                                  <w:r>
                                    <w:rPr>
                                      <w:rFonts w:hint="eastAsia"/>
                                      <w:sz w:val="18"/>
                                      <w:szCs w:val="18"/>
                                      <w:lang w:eastAsia="zh-CN"/>
                                    </w:rPr>
                                    <w:t>项目位置</w:t>
                                  </w:r>
                                </w:p>
                                <w:p w14:paraId="03220A89">
                                  <w:pPr>
                                    <w:pStyle w:val="36"/>
                                    <w:keepNext w:val="0"/>
                                    <w:keepLines w:val="0"/>
                                    <w:pageBreakBefore w:val="0"/>
                                    <w:kinsoku/>
                                    <w:wordWrap/>
                                    <w:overflowPunct/>
                                    <w:topLinePunct w:val="0"/>
                                    <w:bidi w:val="0"/>
                                    <w:adjustRightInd/>
                                    <w:spacing w:before="0" w:after="0" w:line="360" w:lineRule="auto"/>
                                    <w:ind w:left="0" w:leftChars="0" w:right="0" w:firstLine="360" w:firstLineChars="200"/>
                                    <w:textAlignment w:val="auto"/>
                                    <w:rPr>
                                      <w:rFonts w:hint="eastAsia"/>
                                      <w:sz w:val="18"/>
                                      <w:szCs w:val="18"/>
                                      <w:lang w:eastAsia="zh-CN"/>
                                    </w:rPr>
                                  </w:pPr>
                                  <w:r>
                                    <w:rPr>
                                      <w:rFonts w:hint="eastAsia"/>
                                      <w:sz w:val="18"/>
                                      <w:szCs w:val="18"/>
                                      <w:lang w:eastAsia="zh-CN"/>
                                    </w:rPr>
                                    <w:t>监测点位</w:t>
                                  </w:r>
                                </w:p>
                                <w:p w14:paraId="2543E77E">
                                  <w:pPr>
                                    <w:pStyle w:val="23"/>
                                    <w:keepNext w:val="0"/>
                                    <w:keepLines w:val="0"/>
                                    <w:pageBreakBefore w:val="0"/>
                                    <w:kinsoku/>
                                    <w:wordWrap/>
                                    <w:overflowPunct/>
                                    <w:topLinePunct w:val="0"/>
                                    <w:bidi w:val="0"/>
                                    <w:adjustRightInd/>
                                    <w:spacing w:line="360" w:lineRule="auto"/>
                                    <w:ind w:right="0"/>
                                    <w:textAlignment w:val="auto"/>
                                    <w:rPr>
                                      <w:rFonts w:hint="default"/>
                                      <w:sz w:val="18"/>
                                      <w:szCs w:val="18"/>
                                      <w:lang w:val="en-US" w:eastAsia="zh-CN"/>
                                    </w:rPr>
                                  </w:pPr>
                                  <w:r>
                                    <w:rPr>
                                      <w:rFonts w:hint="eastAsia"/>
                                      <w:sz w:val="18"/>
                                      <w:szCs w:val="18"/>
                                      <w:lang w:eastAsia="zh-CN"/>
                                    </w:rPr>
                                    <w:t>比例尺：</w:t>
                                  </w:r>
                                  <w:r>
                                    <w:rPr>
                                      <w:rFonts w:hint="eastAsia"/>
                                      <w:sz w:val="18"/>
                                      <w:szCs w:val="18"/>
                                      <w:lang w:val="en-US" w:eastAsia="zh-CN"/>
                                    </w:rPr>
                                    <w:t>1:2256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5pt;margin-top:128.05pt;height:98.65pt;width:75.8pt;z-index:251674624;mso-width-relative:page;mso-height-relative:page;" fillcolor="#FFFFFF [3201]" filled="t" stroked="t" coordsize="21600,21600" o:gfxdata="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Fz77tYAAAAK&#10;AQAADwAAAAAAAAABACAAAAAiAAAAZHJzL2Rvd25yZXYueG1sUEsBAhQAFAAAAAgAh07iQNW9llpX&#10;AgAAtwQAAA4AAAAAAAAAAQAgAAAAJQEAAGRycy9lMm9Eb2MueG1sUEsFBgAAAAAGAAYAWQEAAO4F&#10;AAAAAA==&#10;">
                      <v:fill on="t" focussize="0,0"/>
                      <v:stroke weight="0.5pt" color="#000000 [3204]" joinstyle="round"/>
                      <v:imagedata o:title=""/>
                      <o:lock v:ext="edit" aspectratio="f"/>
                      <v:textbox>
                        <w:txbxContent>
                          <w:p w14:paraId="056C26F1">
                            <w:pPr>
                              <w:keepNext w:val="0"/>
                              <w:keepLines w:val="0"/>
                              <w:pageBreakBefore w:val="0"/>
                              <w:kinsoku/>
                              <w:wordWrap/>
                              <w:overflowPunct/>
                              <w:topLinePunct w:val="0"/>
                              <w:bidi w:val="0"/>
                              <w:adjustRightInd/>
                              <w:spacing w:line="360" w:lineRule="auto"/>
                              <w:ind w:right="0"/>
                              <w:jc w:val="center"/>
                              <w:textAlignment w:val="auto"/>
                              <w:rPr>
                                <w:rFonts w:hint="eastAsia"/>
                                <w:b/>
                                <w:bCs/>
                                <w:sz w:val="18"/>
                                <w:szCs w:val="18"/>
                                <w:lang w:eastAsia="zh-CN"/>
                              </w:rPr>
                            </w:pPr>
                            <w:r>
                              <w:rPr>
                                <w:rFonts w:hint="eastAsia"/>
                                <w:b/>
                                <w:bCs/>
                                <w:sz w:val="18"/>
                                <w:szCs w:val="18"/>
                                <w:lang w:eastAsia="zh-CN"/>
                              </w:rPr>
                              <w:t>图例</w:t>
                            </w:r>
                          </w:p>
                          <w:p w14:paraId="54BB944A">
                            <w:pPr>
                              <w:pStyle w:val="35"/>
                              <w:keepNext w:val="0"/>
                              <w:keepLines w:val="0"/>
                              <w:pageBreakBefore w:val="0"/>
                              <w:kinsoku/>
                              <w:wordWrap/>
                              <w:overflowPunct/>
                              <w:topLinePunct w:val="0"/>
                              <w:bidi w:val="0"/>
                              <w:adjustRightInd/>
                              <w:spacing w:before="0" w:after="0" w:line="360" w:lineRule="auto"/>
                              <w:ind w:left="0" w:leftChars="0" w:right="0" w:firstLine="360" w:firstLineChars="200"/>
                              <w:textAlignment w:val="auto"/>
                              <w:rPr>
                                <w:rFonts w:hint="eastAsia"/>
                                <w:sz w:val="18"/>
                                <w:szCs w:val="18"/>
                                <w:lang w:eastAsia="zh-CN"/>
                              </w:rPr>
                            </w:pPr>
                            <w:r>
                              <w:rPr>
                                <w:rFonts w:hint="eastAsia"/>
                                <w:sz w:val="18"/>
                                <w:szCs w:val="18"/>
                                <w:lang w:eastAsia="zh-CN"/>
                              </w:rPr>
                              <w:t>项目位置</w:t>
                            </w:r>
                          </w:p>
                          <w:p w14:paraId="03220A89">
                            <w:pPr>
                              <w:pStyle w:val="36"/>
                              <w:keepNext w:val="0"/>
                              <w:keepLines w:val="0"/>
                              <w:pageBreakBefore w:val="0"/>
                              <w:kinsoku/>
                              <w:wordWrap/>
                              <w:overflowPunct/>
                              <w:topLinePunct w:val="0"/>
                              <w:bidi w:val="0"/>
                              <w:adjustRightInd/>
                              <w:spacing w:before="0" w:after="0" w:line="360" w:lineRule="auto"/>
                              <w:ind w:left="0" w:leftChars="0" w:right="0" w:firstLine="360" w:firstLineChars="200"/>
                              <w:textAlignment w:val="auto"/>
                              <w:rPr>
                                <w:rFonts w:hint="eastAsia"/>
                                <w:sz w:val="18"/>
                                <w:szCs w:val="18"/>
                                <w:lang w:eastAsia="zh-CN"/>
                              </w:rPr>
                            </w:pPr>
                            <w:r>
                              <w:rPr>
                                <w:rFonts w:hint="eastAsia"/>
                                <w:sz w:val="18"/>
                                <w:szCs w:val="18"/>
                                <w:lang w:eastAsia="zh-CN"/>
                              </w:rPr>
                              <w:t>监测点位</w:t>
                            </w:r>
                          </w:p>
                          <w:p w14:paraId="2543E77E">
                            <w:pPr>
                              <w:pStyle w:val="23"/>
                              <w:keepNext w:val="0"/>
                              <w:keepLines w:val="0"/>
                              <w:pageBreakBefore w:val="0"/>
                              <w:kinsoku/>
                              <w:wordWrap/>
                              <w:overflowPunct/>
                              <w:topLinePunct w:val="0"/>
                              <w:bidi w:val="0"/>
                              <w:adjustRightInd/>
                              <w:spacing w:line="360" w:lineRule="auto"/>
                              <w:ind w:right="0"/>
                              <w:textAlignment w:val="auto"/>
                              <w:rPr>
                                <w:rFonts w:hint="default"/>
                                <w:sz w:val="18"/>
                                <w:szCs w:val="18"/>
                                <w:lang w:val="en-US" w:eastAsia="zh-CN"/>
                              </w:rPr>
                            </w:pPr>
                            <w:r>
                              <w:rPr>
                                <w:rFonts w:hint="eastAsia"/>
                                <w:sz w:val="18"/>
                                <w:szCs w:val="18"/>
                                <w:lang w:eastAsia="zh-CN"/>
                              </w:rPr>
                              <w:t>比例尺：</w:t>
                            </w:r>
                            <w:r>
                              <w:rPr>
                                <w:rFonts w:hint="eastAsia"/>
                                <w:sz w:val="18"/>
                                <w:szCs w:val="18"/>
                                <w:lang w:val="en-US" w:eastAsia="zh-CN"/>
                              </w:rPr>
                              <w:t>1:2256</w:t>
                            </w:r>
                          </w:p>
                        </w:txbxContent>
                      </v:textbox>
                    </v:shape>
                  </w:pict>
                </mc:Fallback>
              </mc:AlternateContent>
            </w:r>
            <w:r>
              <w:rPr>
                <w:rFonts w:hint="default"/>
                <w:color w:val="auto"/>
              </w:rPr>
              <w:drawing>
                <wp:inline distT="0" distB="0" distL="114300" distR="114300">
                  <wp:extent cx="5205095" cy="2935605"/>
                  <wp:effectExtent l="0" t="0" r="14605" b="17145"/>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13"/>
                          <a:stretch>
                            <a:fillRect/>
                          </a:stretch>
                        </pic:blipFill>
                        <pic:spPr>
                          <a:xfrm>
                            <a:off x="0" y="0"/>
                            <a:ext cx="5205095" cy="2935605"/>
                          </a:xfrm>
                          <a:prstGeom prst="rect">
                            <a:avLst/>
                          </a:prstGeom>
                          <a:noFill/>
                          <a:ln>
                            <a:noFill/>
                          </a:ln>
                        </pic:spPr>
                      </pic:pic>
                    </a:graphicData>
                  </a:graphic>
                </wp:inline>
              </w:drawing>
            </w:r>
          </w:p>
          <w:p w14:paraId="3ACFF0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color w:val="auto"/>
                <w:lang w:val="en-US" w:eastAsia="zh-CN"/>
              </w:rPr>
            </w:pPr>
            <w:r>
              <w:rPr>
                <w:rFonts w:hint="eastAsia" w:cs="Times New Roman"/>
                <w:b/>
                <w:bCs/>
                <w:color w:val="auto"/>
                <w:sz w:val="21"/>
                <w:szCs w:val="21"/>
                <w:highlight w:val="none"/>
                <w:lang w:val="en-US" w:eastAsia="zh-CN"/>
              </w:rPr>
              <w:t>图2-4噪声监测点位图</w:t>
            </w:r>
          </w:p>
          <w:p w14:paraId="16CB7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固废：</w:t>
            </w:r>
            <w:r>
              <w:rPr>
                <w:rFonts w:hint="eastAsia" w:cs="Times New Roman"/>
                <w:color w:val="auto"/>
                <w:spacing w:val="0"/>
                <w:sz w:val="21"/>
                <w:szCs w:val="21"/>
                <w:highlight w:val="none"/>
                <w:lang w:eastAsia="zh-CN"/>
              </w:rPr>
              <w:t>生活垃圾委托环卫部门处理，污泥脱水处理后送至垃圾填埋场填埋处理。</w:t>
            </w:r>
          </w:p>
          <w:p w14:paraId="3667F709">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position w:val="0"/>
                <w:sz w:val="21"/>
                <w:szCs w:val="21"/>
                <w:highlight w:val="cyan"/>
                <w:lang w:eastAsia="zh-CN"/>
              </w:rPr>
            </w:pPr>
            <w:r>
              <w:rPr>
                <w:rFonts w:hint="eastAsia" w:cs="Times New Roman"/>
                <w:color w:val="auto"/>
                <w:sz w:val="21"/>
                <w:szCs w:val="21"/>
                <w:highlight w:val="none"/>
                <w:lang w:val="en-US" w:eastAsia="zh-CN"/>
              </w:rPr>
              <w:t>因建设单位无法提供废水排放量，根据前文计算，排泥水上清液排放量为362t/d，则</w:t>
            </w:r>
            <w:r>
              <w:rPr>
                <w:rFonts w:hint="eastAsia" w:ascii="Times New Roman" w:hAnsi="Times New Roman" w:cs="Times New Roman"/>
                <w:color w:val="auto"/>
                <w:spacing w:val="0"/>
                <w:sz w:val="21"/>
                <w:szCs w:val="21"/>
                <w:highlight w:val="none"/>
                <w:lang w:val="en-US" w:eastAsia="zh-CN"/>
              </w:rPr>
              <w:t>污染物排放量分别为</w:t>
            </w:r>
            <w:r>
              <w:rPr>
                <w:rFonts w:hint="default" w:ascii="Times New Roman" w:hAnsi="Times New Roman" w:cs="Times New Roman"/>
                <w:color w:val="auto"/>
                <w:spacing w:val="0"/>
                <w:sz w:val="21"/>
                <w:szCs w:val="21"/>
                <w:highlight w:val="none"/>
                <w:lang w:val="en-US" w:eastAsia="zh-CN"/>
              </w:rPr>
              <w:t>COD</w:t>
            </w:r>
            <w:r>
              <w:rPr>
                <w:rFonts w:hint="eastAsia" w:cs="Times New Roman"/>
                <w:color w:val="auto"/>
                <w:sz w:val="21"/>
                <w:szCs w:val="21"/>
                <w:highlight w:val="none"/>
                <w:lang w:val="en-US" w:eastAsia="zh-CN"/>
              </w:rPr>
              <w:t>2.25</w:t>
            </w:r>
            <w:r>
              <w:rPr>
                <w:rFonts w:hint="default" w:ascii="Times New Roman" w:hAnsi="Times New Roman" w:cs="Times New Roman"/>
                <w:color w:val="auto"/>
                <w:spacing w:val="0"/>
                <w:sz w:val="21"/>
                <w:szCs w:val="21"/>
                <w:highlight w:val="none"/>
                <w:lang w:val="en-US" w:eastAsia="zh-CN"/>
              </w:rPr>
              <w:t>t/a，氨氮</w:t>
            </w:r>
            <w:r>
              <w:rPr>
                <w:rFonts w:hint="eastAsia" w:cs="Times New Roman"/>
                <w:color w:val="auto"/>
                <w:spacing w:val="0"/>
                <w:sz w:val="21"/>
                <w:szCs w:val="21"/>
                <w:highlight w:val="none"/>
                <w:lang w:val="en-US" w:eastAsia="zh-CN"/>
              </w:rPr>
              <w:t>0.048</w:t>
            </w:r>
            <w:r>
              <w:rPr>
                <w:rFonts w:hint="default" w:ascii="Times New Roman" w:hAnsi="Times New Roman" w:cs="Times New Roman"/>
                <w:color w:val="auto"/>
                <w:spacing w:val="0"/>
                <w:sz w:val="21"/>
                <w:szCs w:val="21"/>
                <w:highlight w:val="none"/>
                <w:lang w:val="en-US" w:eastAsia="zh-CN"/>
              </w:rPr>
              <w:t>t/a</w:t>
            </w:r>
            <w:r>
              <w:rPr>
                <w:rFonts w:hint="eastAsia" w:cs="Times New Roman"/>
                <w:color w:val="auto"/>
                <w:spacing w:val="0"/>
                <w:sz w:val="21"/>
                <w:szCs w:val="21"/>
                <w:highlight w:val="none"/>
                <w:lang w:val="en-US" w:eastAsia="zh-CN"/>
              </w:rPr>
              <w:t>。</w:t>
            </w:r>
          </w:p>
          <w:p w14:paraId="503184C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eastAsia="宋体"/>
                <w:b/>
                <w:bCs/>
                <w:color w:val="auto"/>
                <w:sz w:val="21"/>
                <w:szCs w:val="21"/>
                <w:highlight w:val="none"/>
                <w:lang w:val="en-US" w:eastAsia="zh-CN"/>
              </w:rPr>
            </w:pPr>
            <w:r>
              <w:rPr>
                <w:rFonts w:hint="default"/>
                <w:b/>
                <w:bCs/>
                <w:color w:val="auto"/>
                <w:sz w:val="21"/>
                <w:szCs w:val="21"/>
                <w:highlight w:val="none"/>
              </w:rPr>
              <w:t>3、</w:t>
            </w:r>
            <w:r>
              <w:rPr>
                <w:rFonts w:hint="eastAsia"/>
                <w:b/>
                <w:bCs/>
                <w:color w:val="auto"/>
                <w:sz w:val="21"/>
                <w:szCs w:val="21"/>
                <w:highlight w:val="none"/>
              </w:rPr>
              <w:t>原有环境污染问题</w:t>
            </w:r>
          </w:p>
          <w:p w14:paraId="279D21D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cs="Times New Roman"/>
                <w:color w:val="auto"/>
                <w:kern w:val="21"/>
                <w:szCs w:val="21"/>
                <w:highlight w:val="none"/>
                <w:lang w:val="en-US" w:eastAsia="zh-CN"/>
              </w:rPr>
            </w:pPr>
            <w:r>
              <w:rPr>
                <w:rFonts w:hint="eastAsia" w:cs="Times New Roman"/>
                <w:color w:val="auto"/>
                <w:kern w:val="21"/>
                <w:szCs w:val="21"/>
                <w:highlight w:val="none"/>
                <w:lang w:val="en-US" w:eastAsia="zh-CN"/>
              </w:rPr>
              <w:t>①升级改造工程未全部建设完成，导致未进行环保验收。</w:t>
            </w:r>
          </w:p>
          <w:p w14:paraId="3B0FDF82">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eastAsia" w:cs="Times New Roman"/>
                <w:color w:val="auto"/>
                <w:kern w:val="21"/>
                <w:szCs w:val="21"/>
                <w:highlight w:val="none"/>
                <w:lang w:val="en-US" w:eastAsia="zh-CN"/>
              </w:rPr>
            </w:pPr>
            <w:r>
              <w:rPr>
                <w:rFonts w:hint="eastAsia" w:cs="Times New Roman"/>
                <w:color w:val="auto"/>
                <w:kern w:val="21"/>
                <w:szCs w:val="21"/>
                <w:highlight w:val="none"/>
                <w:lang w:val="en-US" w:eastAsia="zh-CN"/>
              </w:rPr>
              <w:t>②现有排污口未做排污论证。</w:t>
            </w:r>
          </w:p>
          <w:p w14:paraId="0AF68E7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jc w:val="left"/>
              <w:textAlignment w:val="auto"/>
              <w:rPr>
                <w:rFonts w:hint="eastAsia" w:cs="Times New Roman"/>
                <w:b/>
                <w:bCs/>
                <w:color w:val="auto"/>
                <w:kern w:val="21"/>
                <w:szCs w:val="21"/>
                <w:highlight w:val="none"/>
                <w:lang w:val="en-US" w:eastAsia="zh-CN"/>
              </w:rPr>
            </w:pPr>
            <w:r>
              <w:rPr>
                <w:rFonts w:hint="eastAsia" w:ascii="Times New Roman" w:hAnsi="Times New Roman" w:eastAsia="宋体" w:cs="Times New Roman"/>
                <w:b/>
                <w:bCs/>
                <w:color w:val="auto"/>
                <w:kern w:val="21"/>
                <w:sz w:val="21"/>
                <w:szCs w:val="21"/>
                <w:lang w:val="en-US" w:eastAsia="zh-CN" w:bidi="ar-SA"/>
              </w:rPr>
              <w:t>4、</w:t>
            </w:r>
            <w:r>
              <w:rPr>
                <w:rFonts w:hint="eastAsia" w:cs="Times New Roman"/>
                <w:b/>
                <w:bCs/>
                <w:color w:val="auto"/>
                <w:kern w:val="21"/>
                <w:szCs w:val="21"/>
                <w:highlight w:val="none"/>
                <w:lang w:val="en-US" w:eastAsia="zh-CN"/>
              </w:rPr>
              <w:t>整改措施</w:t>
            </w:r>
          </w:p>
          <w:p w14:paraId="53FB37B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jc w:val="left"/>
              <w:textAlignment w:val="auto"/>
              <w:rPr>
                <w:rFonts w:hint="eastAsia" w:cs="Times New Roman"/>
                <w:b w:val="0"/>
                <w:bCs w:val="0"/>
                <w:color w:val="auto"/>
                <w:kern w:val="21"/>
                <w:szCs w:val="21"/>
                <w:highlight w:val="none"/>
                <w:lang w:val="en-US" w:eastAsia="zh-CN"/>
              </w:rPr>
            </w:pPr>
            <w:r>
              <w:rPr>
                <w:rFonts w:hint="eastAsia" w:cs="Times New Roman"/>
                <w:b w:val="0"/>
                <w:bCs w:val="0"/>
                <w:color w:val="auto"/>
                <w:kern w:val="21"/>
                <w:szCs w:val="21"/>
                <w:highlight w:val="none"/>
                <w:lang w:val="en-US" w:eastAsia="zh-CN"/>
              </w:rPr>
              <w:t>①本次重新报批后完善环保手续。</w:t>
            </w:r>
          </w:p>
          <w:p w14:paraId="3A76684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jc w:val="left"/>
              <w:textAlignment w:val="auto"/>
              <w:rPr>
                <w:rFonts w:hint="default" w:cs="Times New Roman"/>
                <w:b/>
                <w:bCs/>
                <w:color w:val="auto"/>
                <w:kern w:val="21"/>
                <w:szCs w:val="21"/>
                <w:highlight w:val="none"/>
                <w:lang w:val="en-US" w:eastAsia="zh-CN"/>
              </w:rPr>
            </w:pPr>
            <w:r>
              <w:rPr>
                <w:rFonts w:hint="eastAsia" w:cs="Times New Roman"/>
                <w:b w:val="0"/>
                <w:bCs w:val="0"/>
                <w:color w:val="auto"/>
                <w:kern w:val="21"/>
                <w:szCs w:val="21"/>
                <w:highlight w:val="none"/>
                <w:lang w:val="en-US" w:eastAsia="zh-CN"/>
              </w:rPr>
              <w:t>②完善排污口论证。</w:t>
            </w:r>
          </w:p>
        </w:tc>
      </w:tr>
    </w:tbl>
    <w:p w14:paraId="4D2525E4">
      <w:pPr>
        <w:pStyle w:val="32"/>
        <w:spacing w:before="0" w:beforeAutospacing="0" w:after="158" w:afterLines="50" w:afterAutospacing="0"/>
        <w:jc w:val="center"/>
        <w:outlineLvl w:val="0"/>
        <w:rPr>
          <w:rFonts w:hint="default" w:ascii="Times New Roman" w:hAnsi="Times New Roman" w:eastAsia="仿宋_GB2312" w:cs="Times New Roman"/>
          <w:b/>
          <w:bCs/>
          <w:color w:val="auto"/>
          <w:highlight w:val="none"/>
        </w:rPr>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454092B9">
      <w:pPr>
        <w:pStyle w:val="32"/>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5" w:name="_Toc8233"/>
      <w:r>
        <w:rPr>
          <w:rFonts w:hint="default" w:ascii="Times New Roman" w:hAnsi="Times New Roman" w:eastAsia="黑体" w:cs="Times New Roman"/>
          <w:snapToGrid w:val="0"/>
          <w:color w:val="auto"/>
          <w:kern w:val="21"/>
          <w:sz w:val="30"/>
          <w:szCs w:val="30"/>
          <w:highlight w:val="none"/>
        </w:rPr>
        <w:t>三、区域环境质量现状、环境保护目标及评价标准</w:t>
      </w:r>
      <w:bookmarkEnd w:id="5"/>
    </w:p>
    <w:tbl>
      <w:tblPr>
        <w:tblStyle w:val="37"/>
        <w:tblW w:w="504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2"/>
        <w:gridCol w:w="8253"/>
      </w:tblGrid>
      <w:tr w14:paraId="3EEB5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66" w:hRule="atLeast"/>
          <w:jc w:val="center"/>
        </w:trPr>
        <w:tc>
          <w:tcPr>
            <w:tcW w:w="452" w:type="pct"/>
            <w:vAlign w:val="center"/>
          </w:tcPr>
          <w:p w14:paraId="2924820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区域环境质量现状</w:t>
            </w:r>
          </w:p>
        </w:tc>
        <w:tc>
          <w:tcPr>
            <w:tcW w:w="4547" w:type="pct"/>
            <w:vAlign w:val="center"/>
          </w:tcPr>
          <w:p w14:paraId="4B216241">
            <w:pPr>
              <w:keepNext w:val="0"/>
              <w:keepLines w:val="0"/>
              <w:widowControl/>
              <w:numPr>
                <w:ilvl w:val="0"/>
                <w:numId w:val="4"/>
              </w:numPr>
              <w:suppressLineNumbers w:val="0"/>
              <w:spacing w:before="0" w:beforeAutospacing="0" w:after="0" w:afterAutospacing="0" w:line="360" w:lineRule="auto"/>
              <w:ind w:left="0" w:right="0" w:firstLine="422" w:firstLineChars="200"/>
              <w:rPr>
                <w:rFonts w:hint="default"/>
                <w:b/>
                <w:bCs/>
                <w:color w:val="auto"/>
                <w:highlight w:val="none"/>
              </w:rPr>
            </w:pPr>
            <w:r>
              <w:rPr>
                <w:rFonts w:hint="default"/>
                <w:b/>
                <w:bCs/>
                <w:color w:val="auto"/>
                <w:highlight w:val="none"/>
              </w:rPr>
              <w:t>大气环境</w:t>
            </w:r>
          </w:p>
          <w:p w14:paraId="007035A5">
            <w:pPr>
              <w:keepNext w:val="0"/>
              <w:keepLines w:val="0"/>
              <w:widowControl/>
              <w:suppressLineNumbers w:val="0"/>
              <w:adjustRightInd/>
              <w:snapToGrid/>
              <w:spacing w:before="0" w:beforeAutospacing="0" w:after="0" w:afterAutospacing="0" w:line="360" w:lineRule="auto"/>
              <w:ind w:left="0" w:right="0" w:firstLine="420" w:firstLineChars="200"/>
              <w:rPr>
                <w:rFonts w:hint="default"/>
                <w:color w:val="auto"/>
                <w:highlight w:val="none"/>
              </w:rPr>
            </w:pPr>
            <w:r>
              <w:rPr>
                <w:rFonts w:hint="default"/>
                <w:color w:val="auto"/>
                <w:sz w:val="21"/>
                <w:highlight w:val="none"/>
              </w:rPr>
              <w:t>根据</w:t>
            </w:r>
            <w:r>
              <w:rPr>
                <w:rFonts w:hint="eastAsia" w:ascii="宋体" w:hAnsi="宋体" w:cs="宋体"/>
                <w:color w:val="auto"/>
                <w:szCs w:val="21"/>
                <w:highlight w:val="none"/>
              </w:rPr>
              <w:t>《</w:t>
            </w:r>
            <w:r>
              <w:rPr>
                <w:rFonts w:hint="default" w:ascii="Times New Roman" w:hAnsi="Times New Roman" w:cs="Times New Roman"/>
                <w:color w:val="auto"/>
                <w:szCs w:val="21"/>
                <w:highlight w:val="none"/>
              </w:rPr>
              <w:t>202</w:t>
            </w:r>
            <w:r>
              <w:rPr>
                <w:rFonts w:hint="eastAsia" w:cs="Times New Roman"/>
                <w:color w:val="auto"/>
                <w:szCs w:val="21"/>
                <w:highlight w:val="none"/>
                <w:lang w:val="en-US" w:eastAsia="zh-CN"/>
              </w:rPr>
              <w:t>4</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sz w:val="21"/>
                <w:szCs w:val="21"/>
                <w:highlight w:val="none"/>
                <w:lang w:val="en-US" w:eastAsia="zh-CN"/>
              </w:rPr>
              <w:t>黑龙江省生态环境质量状况</w:t>
            </w:r>
            <w:r>
              <w:rPr>
                <w:rFonts w:hint="eastAsia" w:ascii="宋体" w:hAnsi="宋体" w:cs="宋体"/>
                <w:color w:val="auto"/>
                <w:szCs w:val="21"/>
                <w:highlight w:val="none"/>
              </w:rPr>
              <w:t>》</w:t>
            </w:r>
            <w:r>
              <w:rPr>
                <w:rFonts w:hint="default"/>
                <w:color w:val="auto"/>
                <w:highlight w:val="none"/>
              </w:rPr>
              <w:t>中公布的数据。</w:t>
            </w:r>
            <w:r>
              <w:rPr>
                <w:rFonts w:hint="eastAsia"/>
                <w:color w:val="auto"/>
                <w:highlight w:val="none"/>
                <w:lang w:val="en-US" w:eastAsia="zh-CN"/>
              </w:rPr>
              <w:t>2024年鸡西市各项污染物年均浓度综合情况如下表。</w:t>
            </w:r>
          </w:p>
          <w:p w14:paraId="53CEFF6A">
            <w:pPr>
              <w:keepNext w:val="0"/>
              <w:keepLines w:val="0"/>
              <w:widowControl/>
              <w:suppressLineNumbers w:val="0"/>
              <w:adjustRightInd/>
              <w:snapToGrid/>
              <w:spacing w:before="0" w:beforeAutospacing="0" w:after="0" w:afterAutospacing="0"/>
              <w:ind w:left="0" w:right="0"/>
              <w:jc w:val="center"/>
              <w:rPr>
                <w:rFonts w:hint="default"/>
                <w:b/>
                <w:bCs/>
                <w:color w:val="auto"/>
                <w:highlight w:val="none"/>
              </w:rPr>
            </w:pPr>
            <w:r>
              <w:rPr>
                <w:rFonts w:hint="default"/>
                <w:b/>
                <w:bCs/>
                <w:color w:val="auto"/>
                <w:highlight w:val="none"/>
              </w:rPr>
              <w:t>表3-</w:t>
            </w:r>
            <w:r>
              <w:rPr>
                <w:rFonts w:hint="eastAsia"/>
                <w:b/>
                <w:bCs/>
                <w:color w:val="auto"/>
                <w:highlight w:val="none"/>
                <w:lang w:val="en-US" w:eastAsia="zh-CN"/>
              </w:rPr>
              <w:t>1 鸡西市</w:t>
            </w:r>
            <w:r>
              <w:rPr>
                <w:rFonts w:hint="default"/>
                <w:b/>
                <w:bCs/>
                <w:color w:val="auto"/>
                <w:highlight w:val="none"/>
              </w:rPr>
              <w:t>202</w:t>
            </w:r>
            <w:r>
              <w:rPr>
                <w:rFonts w:hint="eastAsia"/>
                <w:b/>
                <w:bCs/>
                <w:color w:val="auto"/>
                <w:highlight w:val="none"/>
                <w:lang w:val="en-US" w:eastAsia="zh-CN"/>
              </w:rPr>
              <w:t>4</w:t>
            </w:r>
            <w:r>
              <w:rPr>
                <w:rFonts w:hint="default"/>
                <w:b/>
                <w:bCs/>
                <w:color w:val="auto"/>
                <w:highlight w:val="none"/>
              </w:rPr>
              <w:t>年环境空气质量统计表   单位：μg/m</w:t>
            </w:r>
            <w:r>
              <w:rPr>
                <w:rFonts w:hint="default"/>
                <w:b/>
                <w:bCs/>
                <w:color w:val="auto"/>
                <w:highlight w:val="none"/>
                <w:vertAlign w:val="superscript"/>
              </w:rPr>
              <w:t>3</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2990"/>
              <w:gridCol w:w="1049"/>
              <w:gridCol w:w="829"/>
              <w:gridCol w:w="940"/>
              <w:gridCol w:w="1191"/>
            </w:tblGrid>
            <w:tr w14:paraId="7CE102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374B9912">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2979" w:type="dxa"/>
                  <w:tcBorders>
                    <w:tl2br w:val="nil"/>
                    <w:tr2bl w:val="nil"/>
                  </w:tcBorders>
                  <w:vAlign w:val="center"/>
                </w:tcPr>
                <w:p w14:paraId="61DC980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年评价指标</w:t>
                  </w:r>
                </w:p>
              </w:tc>
              <w:tc>
                <w:tcPr>
                  <w:tcW w:w="1045" w:type="dxa"/>
                  <w:tcBorders>
                    <w:tl2br w:val="nil"/>
                    <w:tr2bl w:val="nil"/>
                  </w:tcBorders>
                  <w:vAlign w:val="center"/>
                </w:tcPr>
                <w:p w14:paraId="3674E11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现状浓度</w:t>
                  </w:r>
                </w:p>
              </w:tc>
              <w:tc>
                <w:tcPr>
                  <w:tcW w:w="826" w:type="dxa"/>
                  <w:tcBorders>
                    <w:tl2br w:val="nil"/>
                    <w:tr2bl w:val="nil"/>
                  </w:tcBorders>
                  <w:vAlign w:val="center"/>
                </w:tcPr>
                <w:p w14:paraId="23769A0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标准值</w:t>
                  </w:r>
                </w:p>
              </w:tc>
              <w:tc>
                <w:tcPr>
                  <w:tcW w:w="936" w:type="dxa"/>
                  <w:tcBorders>
                    <w:tl2br w:val="nil"/>
                    <w:tr2bl w:val="nil"/>
                  </w:tcBorders>
                  <w:vAlign w:val="center"/>
                </w:tcPr>
                <w:p w14:paraId="3E64882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占标率</w:t>
                  </w:r>
                  <w:r>
                    <w:rPr>
                      <w:rFonts w:hint="default" w:ascii="Times New Roman" w:hAnsi="Times New Roman" w:eastAsia="宋体" w:cs="Times New Roman"/>
                      <w:color w:val="auto"/>
                      <w:sz w:val="18"/>
                      <w:szCs w:val="18"/>
                      <w:highlight w:val="none"/>
                      <w:lang w:val="en-US" w:eastAsia="zh-CN"/>
                    </w:rPr>
                    <w:t>%</w:t>
                  </w:r>
                </w:p>
              </w:tc>
              <w:tc>
                <w:tcPr>
                  <w:tcW w:w="1185" w:type="dxa"/>
                  <w:tcBorders>
                    <w:tl2br w:val="nil"/>
                    <w:tr2bl w:val="nil"/>
                  </w:tcBorders>
                  <w:vAlign w:val="center"/>
                </w:tcPr>
                <w:p w14:paraId="7F5A831E">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达标情况</w:t>
                  </w:r>
                </w:p>
              </w:tc>
            </w:tr>
            <w:tr w14:paraId="62145F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059B7B4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2.5</w:t>
                  </w:r>
                </w:p>
              </w:tc>
              <w:tc>
                <w:tcPr>
                  <w:tcW w:w="2979" w:type="dxa"/>
                  <w:tcBorders>
                    <w:tl2br w:val="nil"/>
                    <w:tr2bl w:val="nil"/>
                  </w:tcBorders>
                  <w:vAlign w:val="center"/>
                </w:tcPr>
                <w:p w14:paraId="26FF70F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37F12490">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27</w:t>
                  </w:r>
                </w:p>
              </w:tc>
              <w:tc>
                <w:tcPr>
                  <w:tcW w:w="826" w:type="dxa"/>
                  <w:tcBorders>
                    <w:tl2br w:val="nil"/>
                    <w:tr2bl w:val="nil"/>
                  </w:tcBorders>
                  <w:vAlign w:val="center"/>
                </w:tcPr>
                <w:p w14:paraId="08CD619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35</w:t>
                  </w:r>
                </w:p>
              </w:tc>
              <w:tc>
                <w:tcPr>
                  <w:tcW w:w="936" w:type="dxa"/>
                  <w:tcBorders>
                    <w:tl2br w:val="nil"/>
                    <w:tr2bl w:val="nil"/>
                  </w:tcBorders>
                  <w:vAlign w:val="center"/>
                </w:tcPr>
                <w:p w14:paraId="6FC49971">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77.1</w:t>
                  </w:r>
                </w:p>
              </w:tc>
              <w:tc>
                <w:tcPr>
                  <w:tcW w:w="1185" w:type="dxa"/>
                  <w:tcBorders>
                    <w:tl2br w:val="nil"/>
                    <w:tr2bl w:val="nil"/>
                  </w:tcBorders>
                  <w:vAlign w:val="center"/>
                </w:tcPr>
                <w:p w14:paraId="03975E1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达</w:t>
                  </w:r>
                  <w:r>
                    <w:rPr>
                      <w:rFonts w:hint="default" w:ascii="Times New Roman" w:hAnsi="Times New Roman" w:eastAsia="宋体" w:cs="Times New Roman"/>
                      <w:color w:val="auto"/>
                      <w:sz w:val="18"/>
                      <w:szCs w:val="18"/>
                      <w:highlight w:val="none"/>
                    </w:rPr>
                    <w:t>标</w:t>
                  </w:r>
                </w:p>
              </w:tc>
            </w:tr>
            <w:tr w14:paraId="127891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5B8B2A1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10</w:t>
                  </w:r>
                </w:p>
              </w:tc>
              <w:tc>
                <w:tcPr>
                  <w:tcW w:w="2979" w:type="dxa"/>
                  <w:tcBorders>
                    <w:tl2br w:val="nil"/>
                    <w:tr2bl w:val="nil"/>
                  </w:tcBorders>
                  <w:vAlign w:val="center"/>
                </w:tcPr>
                <w:p w14:paraId="41C8FC1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6BA130E3">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46</w:t>
                  </w:r>
                </w:p>
              </w:tc>
              <w:tc>
                <w:tcPr>
                  <w:tcW w:w="826" w:type="dxa"/>
                  <w:tcBorders>
                    <w:tl2br w:val="nil"/>
                    <w:tr2bl w:val="nil"/>
                  </w:tcBorders>
                  <w:vAlign w:val="center"/>
                </w:tcPr>
                <w:p w14:paraId="747F3CF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70</w:t>
                  </w:r>
                </w:p>
              </w:tc>
              <w:tc>
                <w:tcPr>
                  <w:tcW w:w="936" w:type="dxa"/>
                  <w:tcBorders>
                    <w:tl2br w:val="nil"/>
                    <w:tr2bl w:val="nil"/>
                  </w:tcBorders>
                  <w:vAlign w:val="center"/>
                </w:tcPr>
                <w:p w14:paraId="579B42D9">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65.7</w:t>
                  </w:r>
                </w:p>
              </w:tc>
              <w:tc>
                <w:tcPr>
                  <w:tcW w:w="1185" w:type="dxa"/>
                  <w:tcBorders>
                    <w:tl2br w:val="nil"/>
                    <w:tr2bl w:val="nil"/>
                  </w:tcBorders>
                  <w:vAlign w:val="center"/>
                </w:tcPr>
                <w:p w14:paraId="6E4914F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7E901C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0626020">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NO</w:t>
                  </w:r>
                  <w:r>
                    <w:rPr>
                      <w:rFonts w:hint="default" w:ascii="Times New Roman" w:hAnsi="Times New Roman" w:eastAsia="宋体" w:cs="Times New Roman"/>
                      <w:color w:val="auto"/>
                      <w:sz w:val="18"/>
                      <w:szCs w:val="18"/>
                      <w:highlight w:val="none"/>
                      <w:vertAlign w:val="subscript"/>
                    </w:rPr>
                    <w:t>2</w:t>
                  </w:r>
                </w:p>
              </w:tc>
              <w:tc>
                <w:tcPr>
                  <w:tcW w:w="2979" w:type="dxa"/>
                  <w:tcBorders>
                    <w:tl2br w:val="nil"/>
                    <w:tr2bl w:val="nil"/>
                  </w:tcBorders>
                  <w:vAlign w:val="center"/>
                </w:tcPr>
                <w:p w14:paraId="6AC15C6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6FA46EF4">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17</w:t>
                  </w:r>
                </w:p>
              </w:tc>
              <w:tc>
                <w:tcPr>
                  <w:tcW w:w="826" w:type="dxa"/>
                  <w:tcBorders>
                    <w:tl2br w:val="nil"/>
                    <w:tr2bl w:val="nil"/>
                  </w:tcBorders>
                  <w:vAlign w:val="center"/>
                </w:tcPr>
                <w:p w14:paraId="5D96B93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tcBorders>
                    <w:tl2br w:val="nil"/>
                    <w:tr2bl w:val="nil"/>
                  </w:tcBorders>
                  <w:vAlign w:val="center"/>
                </w:tcPr>
                <w:p w14:paraId="2EC4CE49">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42.5</w:t>
                  </w:r>
                </w:p>
              </w:tc>
              <w:tc>
                <w:tcPr>
                  <w:tcW w:w="1185" w:type="dxa"/>
                  <w:tcBorders>
                    <w:tl2br w:val="nil"/>
                    <w:tr2bl w:val="nil"/>
                  </w:tcBorders>
                  <w:vAlign w:val="center"/>
                </w:tcPr>
                <w:p w14:paraId="5030E95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4AED48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177691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SO</w:t>
                  </w:r>
                  <w:r>
                    <w:rPr>
                      <w:rFonts w:hint="default" w:ascii="Times New Roman" w:hAnsi="Times New Roman" w:eastAsia="宋体" w:cs="Times New Roman"/>
                      <w:color w:val="auto"/>
                      <w:sz w:val="18"/>
                      <w:szCs w:val="18"/>
                      <w:highlight w:val="none"/>
                      <w:vertAlign w:val="subscript"/>
                    </w:rPr>
                    <w:t>2</w:t>
                  </w:r>
                </w:p>
              </w:tc>
              <w:tc>
                <w:tcPr>
                  <w:tcW w:w="2979" w:type="dxa"/>
                  <w:tcBorders>
                    <w:tl2br w:val="nil"/>
                    <w:tr2bl w:val="nil"/>
                  </w:tcBorders>
                  <w:vAlign w:val="center"/>
                </w:tcPr>
                <w:p w14:paraId="7E360ECE">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3EA372BD">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826" w:type="dxa"/>
                  <w:tcBorders>
                    <w:tl2br w:val="nil"/>
                    <w:tr2bl w:val="nil"/>
                  </w:tcBorders>
                  <w:vAlign w:val="center"/>
                </w:tcPr>
                <w:p w14:paraId="08DA96A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60</w:t>
                  </w:r>
                </w:p>
              </w:tc>
              <w:tc>
                <w:tcPr>
                  <w:tcW w:w="936" w:type="dxa"/>
                  <w:tcBorders>
                    <w:tl2br w:val="nil"/>
                    <w:tr2bl w:val="nil"/>
                  </w:tcBorders>
                  <w:vAlign w:val="center"/>
                </w:tcPr>
                <w:p w14:paraId="587A822A">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13.3</w:t>
                  </w:r>
                </w:p>
              </w:tc>
              <w:tc>
                <w:tcPr>
                  <w:tcW w:w="1185" w:type="dxa"/>
                  <w:tcBorders>
                    <w:tl2br w:val="nil"/>
                    <w:tr2bl w:val="nil"/>
                  </w:tcBorders>
                  <w:vAlign w:val="center"/>
                </w:tcPr>
                <w:p w14:paraId="04C1C67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0EBFFB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1FA08DC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w:t>
                  </w:r>
                </w:p>
              </w:tc>
              <w:tc>
                <w:tcPr>
                  <w:tcW w:w="2979" w:type="dxa"/>
                  <w:tcBorders>
                    <w:tl2br w:val="nil"/>
                    <w:tr2bl w:val="nil"/>
                  </w:tcBorders>
                  <w:vAlign w:val="center"/>
                </w:tcPr>
                <w:p w14:paraId="00C5788D">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第95百分位数日平均浓度（</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eastAsia" w:ascii="Times New Roman" w:hAnsi="Times New Roman" w:eastAsia="宋体" w:cs="Times New Roman"/>
                      <w:color w:val="auto"/>
                      <w:sz w:val="18"/>
                      <w:szCs w:val="18"/>
                      <w:highlight w:val="none"/>
                      <w:vertAlign w:val="baseline"/>
                      <w:lang w:eastAsia="zh-CN"/>
                    </w:rPr>
                    <w:t>）</w:t>
                  </w:r>
                </w:p>
              </w:tc>
              <w:tc>
                <w:tcPr>
                  <w:tcW w:w="1045" w:type="dxa"/>
                  <w:tcBorders>
                    <w:tl2br w:val="nil"/>
                    <w:tr2bl w:val="nil"/>
                  </w:tcBorders>
                  <w:vAlign w:val="center"/>
                </w:tcPr>
                <w:p w14:paraId="39C4C102">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826" w:type="dxa"/>
                  <w:tcBorders>
                    <w:tl2br w:val="nil"/>
                    <w:tr2bl w:val="nil"/>
                  </w:tcBorders>
                  <w:vAlign w:val="center"/>
                </w:tcPr>
                <w:p w14:paraId="260C4A0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tcBorders>
                    <w:tl2br w:val="nil"/>
                    <w:tr2bl w:val="nil"/>
                  </w:tcBorders>
                  <w:vAlign w:val="center"/>
                </w:tcPr>
                <w:p w14:paraId="75668FB1">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25.0</w:t>
                  </w:r>
                </w:p>
              </w:tc>
              <w:tc>
                <w:tcPr>
                  <w:tcW w:w="1185" w:type="dxa"/>
                  <w:tcBorders>
                    <w:tl2br w:val="nil"/>
                    <w:tr2bl w:val="nil"/>
                  </w:tcBorders>
                  <w:vAlign w:val="center"/>
                </w:tcPr>
                <w:p w14:paraId="6B27EEF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738055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2429E5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O</w:t>
                  </w:r>
                  <w:r>
                    <w:rPr>
                      <w:rFonts w:hint="eastAsia" w:cs="Times New Roman"/>
                      <w:color w:val="auto"/>
                      <w:sz w:val="18"/>
                      <w:szCs w:val="18"/>
                      <w:highlight w:val="none"/>
                      <w:vertAlign w:val="subscript"/>
                      <w:lang w:val="en-US" w:eastAsia="zh-CN"/>
                    </w:rPr>
                    <w:t>3</w:t>
                  </w:r>
                </w:p>
              </w:tc>
              <w:tc>
                <w:tcPr>
                  <w:tcW w:w="2979" w:type="dxa"/>
                  <w:tcBorders>
                    <w:tl2br w:val="nil"/>
                    <w:tr2bl w:val="nil"/>
                  </w:tcBorders>
                  <w:vAlign w:val="center"/>
                </w:tcPr>
                <w:p w14:paraId="0F82A1E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第90</w:t>
                  </w:r>
                  <w:r>
                    <w:rPr>
                      <w:rFonts w:hint="default" w:ascii="Times New Roman" w:hAnsi="Times New Roman" w:eastAsia="宋体" w:cs="Times New Roman"/>
                      <w:color w:val="auto"/>
                      <w:sz w:val="18"/>
                      <w:szCs w:val="18"/>
                      <w:highlight w:val="none"/>
                    </w:rPr>
                    <w:t>百分位数8h平均</w:t>
                  </w:r>
                  <w:r>
                    <w:rPr>
                      <w:rFonts w:hint="eastAsia" w:cs="Times New Roman"/>
                      <w:color w:val="auto"/>
                      <w:sz w:val="18"/>
                      <w:szCs w:val="18"/>
                      <w:highlight w:val="none"/>
                      <w:lang w:val="en-US" w:eastAsia="zh-CN"/>
                    </w:rPr>
                    <w:t>质量</w:t>
                  </w:r>
                  <w:r>
                    <w:rPr>
                      <w:rFonts w:hint="default" w:ascii="Times New Roman" w:hAnsi="Times New Roman" w:eastAsia="宋体" w:cs="Times New Roman"/>
                      <w:color w:val="auto"/>
                      <w:sz w:val="18"/>
                      <w:szCs w:val="18"/>
                      <w:highlight w:val="none"/>
                    </w:rPr>
                    <w:t>浓度</w:t>
                  </w:r>
                </w:p>
              </w:tc>
              <w:tc>
                <w:tcPr>
                  <w:tcW w:w="1045" w:type="dxa"/>
                  <w:tcBorders>
                    <w:tl2br w:val="nil"/>
                    <w:tr2bl w:val="nil"/>
                  </w:tcBorders>
                  <w:vAlign w:val="center"/>
                </w:tcPr>
                <w:p w14:paraId="50B76786">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826" w:type="dxa"/>
                  <w:tcBorders>
                    <w:tl2br w:val="nil"/>
                    <w:tr2bl w:val="nil"/>
                  </w:tcBorders>
                  <w:vAlign w:val="center"/>
                </w:tcPr>
                <w:p w14:paraId="75ABEA62">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160</w:t>
                  </w:r>
                </w:p>
              </w:tc>
              <w:tc>
                <w:tcPr>
                  <w:tcW w:w="936" w:type="dxa"/>
                  <w:tcBorders>
                    <w:tl2br w:val="nil"/>
                    <w:tr2bl w:val="nil"/>
                  </w:tcBorders>
                  <w:vAlign w:val="center"/>
                </w:tcPr>
                <w:p w14:paraId="55497E8D">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56.3</w:t>
                  </w:r>
                </w:p>
              </w:tc>
              <w:tc>
                <w:tcPr>
                  <w:tcW w:w="1185" w:type="dxa"/>
                  <w:tcBorders>
                    <w:tl2br w:val="nil"/>
                    <w:tr2bl w:val="nil"/>
                  </w:tcBorders>
                  <w:vAlign w:val="center"/>
                </w:tcPr>
                <w:p w14:paraId="670BD83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bl>
          <w:p w14:paraId="791E0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val="en-US" w:eastAsia="zh-CN"/>
              </w:rPr>
            </w:pPr>
            <w:r>
              <w:rPr>
                <w:rFonts w:hint="eastAsia" w:cs="Times New Roman"/>
                <w:color w:val="auto"/>
                <w:sz w:val="21"/>
                <w:szCs w:val="21"/>
                <w:highlight w:val="none"/>
                <w:lang w:val="en-US" w:eastAsia="zh-CN"/>
              </w:rPr>
              <w:t>由表3-1可知，2024年鸡西市空气基本污染物中</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eastAsia"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val="en-US" w:eastAsia="zh-CN"/>
              </w:rPr>
              <w:t>年平均质量浓度</w:t>
            </w:r>
            <w:r>
              <w:rPr>
                <w:rFonts w:hint="eastAsia" w:cs="Times New Roman"/>
                <w:color w:val="auto"/>
                <w:sz w:val="21"/>
                <w:szCs w:val="21"/>
                <w:highlight w:val="none"/>
                <w:vertAlign w:val="baseline"/>
                <w:lang w:val="en-US" w:eastAsia="zh-CN"/>
              </w:rPr>
              <w:t>及</w:t>
            </w:r>
            <w:r>
              <w:rPr>
                <w:rFonts w:hint="default" w:ascii="Times New Roman" w:hAnsi="Times New Roman" w:eastAsia="宋体" w:cs="Times New Roman"/>
                <w:color w:val="auto"/>
                <w:sz w:val="21"/>
                <w:szCs w:val="21"/>
                <w:highlight w:val="none"/>
              </w:rPr>
              <w:t>CO</w:t>
            </w:r>
            <w:r>
              <w:rPr>
                <w:rFonts w:hint="eastAsia" w:cs="Times New Roman"/>
                <w:color w:val="auto"/>
                <w:sz w:val="21"/>
                <w:szCs w:val="21"/>
                <w:highlight w:val="none"/>
                <w:lang w:val="en-US" w:eastAsia="zh-CN"/>
              </w:rPr>
              <w:t>第95百分位数日平均浓度、O</w:t>
            </w:r>
            <w:r>
              <w:rPr>
                <w:rFonts w:hint="eastAsia" w:cs="Times New Roman"/>
                <w:color w:val="auto"/>
                <w:sz w:val="21"/>
                <w:szCs w:val="21"/>
                <w:highlight w:val="none"/>
                <w:vertAlign w:val="subscript"/>
                <w:lang w:val="en-US" w:eastAsia="zh-CN"/>
              </w:rPr>
              <w:t>3</w:t>
            </w:r>
            <w:r>
              <w:rPr>
                <w:rFonts w:hint="eastAsia" w:cs="Times New Roman"/>
                <w:color w:val="auto"/>
                <w:sz w:val="21"/>
                <w:szCs w:val="21"/>
                <w:highlight w:val="none"/>
                <w:lang w:val="en-US" w:eastAsia="zh-CN"/>
              </w:rPr>
              <w:t>第90</w:t>
            </w:r>
            <w:r>
              <w:rPr>
                <w:rFonts w:hint="default" w:ascii="Times New Roman" w:hAnsi="Times New Roman" w:eastAsia="宋体" w:cs="Times New Roman"/>
                <w:color w:val="auto"/>
                <w:sz w:val="21"/>
                <w:szCs w:val="21"/>
                <w:highlight w:val="none"/>
              </w:rPr>
              <w:t>百分位数8h平均</w:t>
            </w:r>
            <w:r>
              <w:rPr>
                <w:rFonts w:hint="eastAsia" w:cs="Times New Roman"/>
                <w:color w:val="auto"/>
                <w:sz w:val="21"/>
                <w:szCs w:val="21"/>
                <w:highlight w:val="none"/>
                <w:lang w:val="en-US" w:eastAsia="zh-CN"/>
              </w:rPr>
              <w:t>质量</w:t>
            </w:r>
            <w:r>
              <w:rPr>
                <w:rFonts w:hint="default" w:ascii="Times New Roman" w:hAnsi="Times New Roman" w:eastAsia="宋体" w:cs="Times New Roman"/>
                <w:color w:val="auto"/>
                <w:sz w:val="21"/>
                <w:szCs w:val="21"/>
                <w:highlight w:val="none"/>
              </w:rPr>
              <w:t>浓度</w:t>
            </w:r>
            <w:r>
              <w:rPr>
                <w:rFonts w:hint="eastAsia" w:ascii="Times New Roman" w:hAnsi="Times New Roman" w:eastAsia="宋体" w:cs="Times New Roman"/>
                <w:color w:val="auto"/>
                <w:sz w:val="21"/>
                <w:szCs w:val="21"/>
                <w:highlight w:val="none"/>
                <w:lang w:val="en-US" w:eastAsia="zh-CN"/>
              </w:rPr>
              <w:t>均</w:t>
            </w:r>
            <w:r>
              <w:rPr>
                <w:rFonts w:hint="eastAsia" w:ascii="Times New Roman" w:hAnsi="Times New Roman" w:eastAsia="宋体" w:cs="Times New Roman"/>
                <w:color w:val="auto"/>
                <w:sz w:val="21"/>
                <w:szCs w:val="21"/>
                <w:highlight w:val="none"/>
                <w:vertAlign w:val="baseline"/>
                <w:lang w:val="en-US" w:eastAsia="zh-CN"/>
              </w:rPr>
              <w:t>满足</w:t>
            </w:r>
            <w:r>
              <w:rPr>
                <w:rFonts w:hint="default" w:ascii="Times New Roman" w:hAnsi="Times New Roman" w:cs="Times New Roman"/>
                <w:color w:val="auto"/>
                <w:kern w:val="0"/>
                <w:sz w:val="21"/>
                <w:szCs w:val="21"/>
                <w:highlight w:val="none"/>
              </w:rPr>
              <w:t>《环境空气质量标准》（GB3095-2012）中的二级标准</w:t>
            </w:r>
            <w:r>
              <w:rPr>
                <w:rFonts w:hint="eastAsia" w:cs="Times New Roman"/>
                <w:color w:val="auto"/>
                <w:kern w:val="0"/>
                <w:sz w:val="21"/>
                <w:szCs w:val="21"/>
                <w:highlight w:val="none"/>
                <w:lang w:eastAsia="zh-CN"/>
              </w:rPr>
              <w:t>，</w:t>
            </w:r>
            <w:r>
              <w:rPr>
                <w:rFonts w:hint="eastAsia" w:ascii="Times New Roman" w:hAnsi="Times New Roman" w:cs="Times New Roman"/>
                <w:color w:val="auto"/>
                <w:kern w:val="0"/>
                <w:sz w:val="21"/>
                <w:szCs w:val="21"/>
                <w:highlight w:val="none"/>
                <w:lang w:val="en-US" w:eastAsia="zh-CN"/>
              </w:rPr>
              <w:t>因此判定本项目区域环境空气质量为达标区。</w:t>
            </w:r>
          </w:p>
          <w:p w14:paraId="518F0869">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2、地表水环境</w:t>
            </w:r>
          </w:p>
          <w:p w14:paraId="61B8A0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bCs/>
                <w:color w:val="auto"/>
                <w:szCs w:val="21"/>
                <w:highlight w:val="none"/>
                <w:lang w:val="en-US" w:eastAsia="zh-CN"/>
              </w:rPr>
            </w:pPr>
            <w:bookmarkStart w:id="6" w:name="_Toc207005094"/>
            <w:bookmarkStart w:id="7" w:name="_Toc318898968"/>
            <w:bookmarkStart w:id="8" w:name="_Toc218321831"/>
            <w:bookmarkStart w:id="9" w:name="_Toc301514512"/>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附近地表水体为穆棱河，</w:t>
            </w:r>
            <w:r>
              <w:rPr>
                <w:rFonts w:hint="eastAsia"/>
                <w:color w:val="auto"/>
                <w:kern w:val="0"/>
                <w:sz w:val="21"/>
                <w:szCs w:val="21"/>
                <w:highlight w:val="none"/>
              </w:rPr>
              <w:t>根据《全国重要江河湖泊水功能区划》（</w:t>
            </w:r>
            <w:r>
              <w:rPr>
                <w:rFonts w:hint="default"/>
                <w:color w:val="auto"/>
                <w:kern w:val="0"/>
                <w:sz w:val="21"/>
                <w:szCs w:val="21"/>
                <w:highlight w:val="none"/>
              </w:rPr>
              <w:t>2011-2030</w:t>
            </w:r>
            <w:r>
              <w:rPr>
                <w:rFonts w:hint="eastAsia"/>
                <w:color w:val="auto"/>
                <w:kern w:val="0"/>
                <w:sz w:val="21"/>
                <w:szCs w:val="21"/>
                <w:highlight w:val="none"/>
              </w:rPr>
              <w:t>年）</w:t>
            </w:r>
            <w:r>
              <w:rPr>
                <w:rFonts w:hint="eastAsia"/>
                <w:color w:val="auto"/>
                <w:kern w:val="0"/>
                <w:sz w:val="21"/>
                <w:szCs w:val="21"/>
                <w:highlight w:val="none"/>
                <w:lang w:eastAsia="zh-CN"/>
              </w:rPr>
              <w:t>，本项目位于碱场煤矿铁路大桥至</w:t>
            </w:r>
            <w:r>
              <w:rPr>
                <w:rFonts w:hint="eastAsia"/>
                <w:color w:val="auto"/>
                <w:kern w:val="0"/>
                <w:sz w:val="21"/>
                <w:szCs w:val="21"/>
                <w:highlight w:val="none"/>
                <w:lang w:val="en-US" w:eastAsia="zh-CN"/>
              </w:rPr>
              <w:t>S206省道公路桥段落，属于饮用区，水质目标为Ⅱ-Ⅲ类。</w:t>
            </w:r>
            <w:r>
              <w:rPr>
                <w:rFonts w:hint="eastAsia"/>
                <w:color w:val="auto"/>
                <w:sz w:val="21"/>
                <w:szCs w:val="21"/>
                <w:highlight w:val="none"/>
              </w:rPr>
              <w:t>根据</w:t>
            </w:r>
            <w:r>
              <w:rPr>
                <w:rFonts w:hint="default" w:ascii="Times New Roman" w:hAnsi="Times New Roman" w:cs="Times New Roman" w:eastAsiaTheme="minorEastAsia"/>
                <w:color w:val="auto"/>
                <w:sz w:val="21"/>
                <w:highlight w:val="none"/>
              </w:rPr>
              <w:t>《黑龙江省生态环境厅 黑龙江省财政厅关于 印发《黑龙江省水环境生态补偿办法》的通知》（黑环发〔2024〕22 号）</w:t>
            </w:r>
            <w:r>
              <w:rPr>
                <w:rFonts w:hint="eastAsia"/>
                <w:bCs/>
                <w:color w:val="auto"/>
                <w:sz w:val="21"/>
                <w:szCs w:val="21"/>
                <w:highlight w:val="none"/>
              </w:rPr>
              <w:t>，穆棱河</w:t>
            </w:r>
            <w:r>
              <w:rPr>
                <w:rFonts w:hint="eastAsia"/>
                <w:bCs/>
                <w:color w:val="auto"/>
                <w:sz w:val="21"/>
                <w:szCs w:val="21"/>
                <w:highlight w:val="none"/>
                <w:lang w:val="en-US" w:eastAsia="zh-CN"/>
              </w:rPr>
              <w:t>碱场桥、</w:t>
            </w:r>
            <w:r>
              <w:rPr>
                <w:rFonts w:hint="eastAsia"/>
                <w:bCs/>
                <w:color w:val="auto"/>
                <w:sz w:val="21"/>
                <w:szCs w:val="21"/>
                <w:highlight w:val="none"/>
              </w:rPr>
              <w:t>知一桥、穆棱河河口内断面</w:t>
            </w:r>
            <w:r>
              <w:rPr>
                <w:rFonts w:hint="eastAsia"/>
                <w:bCs/>
                <w:color w:val="auto"/>
                <w:sz w:val="21"/>
                <w:szCs w:val="21"/>
                <w:highlight w:val="none"/>
                <w:lang w:val="en-US" w:eastAsia="zh-CN"/>
              </w:rPr>
              <w:t>均</w:t>
            </w:r>
            <w:r>
              <w:rPr>
                <w:rFonts w:hint="eastAsia"/>
                <w:bCs/>
                <w:color w:val="auto"/>
                <w:sz w:val="21"/>
                <w:szCs w:val="21"/>
                <w:highlight w:val="none"/>
              </w:rPr>
              <w:t>达到</w:t>
            </w:r>
            <w:r>
              <w:rPr>
                <w:rFonts w:hint="eastAsia" w:ascii="宋体" w:hAnsi="宋体" w:cs="宋体"/>
                <w:bCs/>
                <w:color w:val="auto"/>
                <w:sz w:val="21"/>
                <w:szCs w:val="21"/>
                <w:highlight w:val="none"/>
              </w:rPr>
              <w:t>Ⅲ</w:t>
            </w:r>
            <w:r>
              <w:rPr>
                <w:rFonts w:hint="eastAsia"/>
                <w:bCs/>
                <w:color w:val="auto"/>
                <w:sz w:val="21"/>
                <w:szCs w:val="21"/>
                <w:highlight w:val="none"/>
              </w:rPr>
              <w:t>类水质类别标准</w:t>
            </w:r>
            <w:r>
              <w:rPr>
                <w:rFonts w:hint="default" w:ascii="Times New Roman" w:hAnsi="Times New Roman" w:eastAsia="宋体" w:cs="Times New Roman"/>
                <w:color w:val="auto"/>
                <w:sz w:val="21"/>
                <w:szCs w:val="21"/>
                <w:highlight w:val="none"/>
              </w:rPr>
              <w:t>。</w:t>
            </w:r>
            <w:bookmarkEnd w:id="6"/>
            <w:bookmarkEnd w:id="7"/>
            <w:bookmarkEnd w:id="8"/>
            <w:bookmarkEnd w:id="9"/>
          </w:p>
          <w:p w14:paraId="09EE4264">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3、声环境</w:t>
            </w:r>
          </w:p>
          <w:p w14:paraId="27927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根据《202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sz w:val="21"/>
                <w:szCs w:val="21"/>
                <w:highlight w:val="none"/>
                <w:lang w:val="en-US" w:eastAsia="zh-CN"/>
              </w:rPr>
              <w:t>黑龙江省生态环境质量状况</w:t>
            </w:r>
            <w:r>
              <w:rPr>
                <w:rFonts w:hint="default" w:ascii="Times New Roman" w:hAnsi="Times New Roman" w:eastAsia="宋体" w:cs="Times New Roman"/>
                <w:color w:val="auto"/>
                <w:sz w:val="21"/>
                <w:szCs w:val="21"/>
                <w:highlight w:val="none"/>
              </w:rPr>
              <w:t>》数据可知，202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kern w:val="0"/>
                <w:sz w:val="21"/>
                <w:szCs w:val="21"/>
                <w:highlight w:val="none"/>
                <w:lang w:val="en-US" w:eastAsia="zh-CN" w:bidi="ar"/>
              </w:rPr>
              <w:t>鸡西市区域昼间声环境质量为二级，等效声级为5</w:t>
            </w:r>
            <w:r>
              <w:rPr>
                <w:rFonts w:hint="eastAsia" w:cs="Times New Roman"/>
                <w:color w:val="auto"/>
                <w:kern w:val="0"/>
                <w:sz w:val="21"/>
                <w:szCs w:val="21"/>
                <w:highlight w:val="none"/>
                <w:lang w:val="en-US" w:eastAsia="zh-CN" w:bidi="ar"/>
              </w:rPr>
              <w:t>3.6</w:t>
            </w:r>
            <w:r>
              <w:rPr>
                <w:rFonts w:hint="default" w:ascii="Times New Roman" w:hAnsi="Times New Roman" w:eastAsia="宋体" w:cs="Times New Roman"/>
                <w:color w:val="auto"/>
                <w:kern w:val="0"/>
                <w:sz w:val="21"/>
                <w:szCs w:val="21"/>
                <w:highlight w:val="none"/>
                <w:lang w:val="en-US" w:eastAsia="zh-CN" w:bidi="ar"/>
              </w:rPr>
              <w:t>dB(A)</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道路交通昼间声环境质量为一级，等效声级为6</w:t>
            </w:r>
            <w:r>
              <w:rPr>
                <w:rFonts w:hint="eastAsia" w:cs="Times New Roman"/>
                <w:color w:val="auto"/>
                <w:kern w:val="0"/>
                <w:sz w:val="21"/>
                <w:szCs w:val="21"/>
                <w:highlight w:val="none"/>
                <w:lang w:val="en-US" w:eastAsia="zh-CN" w:bidi="ar"/>
              </w:rPr>
              <w:t>5.8</w:t>
            </w:r>
            <w:r>
              <w:rPr>
                <w:rFonts w:hint="default" w:ascii="Times New Roman" w:hAnsi="Times New Roman" w:eastAsia="宋体" w:cs="Times New Roman"/>
                <w:color w:val="auto"/>
                <w:kern w:val="0"/>
                <w:sz w:val="21"/>
                <w:szCs w:val="21"/>
                <w:highlight w:val="none"/>
                <w:lang w:val="en-US" w:eastAsia="zh-CN" w:bidi="ar"/>
              </w:rPr>
              <w:t>dB(A)；功能区昼间达标率100%；功能区夜间达标率100%。</w:t>
            </w: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厂界外周边50米范围声环境保护目标</w:t>
            </w:r>
            <w:r>
              <w:rPr>
                <w:rFonts w:hint="eastAsia" w:cs="Times New Roman"/>
                <w:color w:val="auto"/>
                <w:kern w:val="0"/>
                <w:sz w:val="21"/>
                <w:szCs w:val="21"/>
                <w:highlight w:val="none"/>
                <w:lang w:eastAsia="zh-CN"/>
              </w:rPr>
              <w:t>为厂区东侧拆迁区剩余部分散户，</w:t>
            </w:r>
            <w:r>
              <w:rPr>
                <w:rFonts w:hint="eastAsia" w:cs="Times New Roman"/>
                <w:color w:val="auto"/>
                <w:kern w:val="0"/>
                <w:sz w:val="21"/>
                <w:szCs w:val="21"/>
                <w:highlight w:val="none"/>
                <w:lang w:val="en-US" w:eastAsia="zh-CN"/>
              </w:rPr>
              <w:t>目前剩余9户左右未搬迁，居住人数约未14人。</w:t>
            </w:r>
            <w:r>
              <w:rPr>
                <w:rFonts w:hint="eastAsia" w:ascii="Times New Roman" w:hAnsi="Times New Roman" w:eastAsia="宋体" w:cs="Times New Roman"/>
                <w:color w:val="auto"/>
                <w:kern w:val="0"/>
                <w:sz w:val="21"/>
                <w:szCs w:val="21"/>
                <w:highlight w:val="none"/>
                <w:lang w:val="en-US" w:eastAsia="zh-CN" w:bidi="ar"/>
              </w:rPr>
              <w:t>本次委鸡西晟源环境检测有限公司进行监测，监测时间为</w:t>
            </w:r>
            <w:r>
              <w:rPr>
                <w:rFonts w:hint="default" w:ascii="Times New Roman" w:hAnsi="Times New Roman" w:eastAsia="宋体" w:cs="Times New Roman"/>
                <w:color w:val="auto"/>
                <w:kern w:val="0"/>
                <w:sz w:val="21"/>
                <w:szCs w:val="21"/>
                <w:highlight w:val="none"/>
                <w:lang w:val="en-US" w:eastAsia="zh-CN" w:bidi="ar"/>
              </w:rPr>
              <w:t>2025</w:t>
            </w:r>
            <w:r>
              <w:rPr>
                <w:rFonts w:hint="eastAsia" w:ascii="Times New Roman" w:hAnsi="Times New Roman" w:eastAsia="宋体" w:cs="Times New Roman"/>
                <w:color w:val="auto"/>
                <w:kern w:val="0"/>
                <w:sz w:val="21"/>
                <w:szCs w:val="21"/>
                <w:highlight w:val="none"/>
                <w:lang w:val="en-US" w:eastAsia="zh-CN" w:bidi="ar"/>
              </w:rPr>
              <w:t>年6月22日，监测点位为东侧散户居民区，监测频次为监测</w:t>
            </w:r>
            <w:r>
              <w:rPr>
                <w:rFonts w:hint="default" w:ascii="Times New Roman" w:hAnsi="Times New Roman" w:eastAsia="宋体"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天</w:t>
            </w:r>
            <w:r>
              <w:rPr>
                <w:rFonts w:hint="default" w:ascii="Times New Roman" w:hAnsi="Times New Roman" w:eastAsia="宋体" w:cs="Times New Roman"/>
                <w:color w:val="auto"/>
                <w:kern w:val="0"/>
                <w:sz w:val="21"/>
                <w:szCs w:val="21"/>
                <w:highlight w:val="none"/>
                <w:lang w:val="en-US" w:eastAsia="zh-CN" w:bidi="ar"/>
              </w:rPr>
              <w:t>。检测报告见附件。声环境现状检测统计结果见表3-</w:t>
            </w:r>
            <w:r>
              <w:rPr>
                <w:rFonts w:hint="eastAsia" w:ascii="Times New Roman" w:hAnsi="Times New Roman" w:eastAsia="宋体" w:cs="Times New Roman"/>
                <w:color w:val="auto"/>
                <w:kern w:val="0"/>
                <w:sz w:val="21"/>
                <w:szCs w:val="21"/>
                <w:highlight w:val="none"/>
                <w:lang w:val="en-US" w:eastAsia="zh-CN" w:bidi="ar"/>
              </w:rPr>
              <w:t>2</w:t>
            </w:r>
            <w:r>
              <w:rPr>
                <w:rFonts w:hint="default" w:ascii="Times New Roman" w:hAnsi="Times New Roman" w:eastAsia="宋体" w:cs="Times New Roman"/>
                <w:color w:val="auto"/>
                <w:kern w:val="0"/>
                <w:sz w:val="21"/>
                <w:szCs w:val="21"/>
                <w:highlight w:val="none"/>
                <w:lang w:val="en-US" w:eastAsia="zh-CN" w:bidi="ar"/>
              </w:rPr>
              <w:t>。</w:t>
            </w:r>
          </w:p>
          <w:p w14:paraId="7ADB018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default"/>
                <w:color w:val="auto"/>
                <w:sz w:val="21"/>
                <w:szCs w:val="21"/>
                <w:highlight w:val="none"/>
              </w:rPr>
            </w:pPr>
            <w:r>
              <w:rPr>
                <w:rFonts w:hint="eastAsia" w:ascii="Times New Roman" w:hAnsi="Times New Roman" w:eastAsia="宋体" w:cs="Times New Roman"/>
                <w:b/>
                <w:bCs/>
                <w:color w:val="auto"/>
                <w:kern w:val="0"/>
                <w:sz w:val="21"/>
                <w:szCs w:val="21"/>
                <w:highlight w:val="none"/>
                <w:lang w:val="en-US" w:eastAsia="zh-CN" w:bidi="ar-SA"/>
              </w:rPr>
              <w:t>表</w:t>
            </w:r>
            <w:r>
              <w:rPr>
                <w:rFonts w:hint="default" w:ascii="Times New Roman" w:hAnsi="Times New Roman" w:eastAsia="宋体" w:cs="Times New Roman"/>
                <w:b/>
                <w:bCs/>
                <w:color w:val="auto"/>
                <w:kern w:val="0"/>
                <w:sz w:val="21"/>
                <w:szCs w:val="21"/>
                <w:highlight w:val="none"/>
                <w:lang w:val="en-US" w:eastAsia="zh-CN" w:bidi="ar-SA"/>
              </w:rPr>
              <w:t>3</w:t>
            </w:r>
            <w:r>
              <w:rPr>
                <w:rFonts w:hint="eastAsia" w:ascii="Times New Roman" w:hAnsi="Times New Roman" w:eastAsia="宋体" w:cs="Times New Roman"/>
                <w:b/>
                <w:bCs/>
                <w:color w:val="auto"/>
                <w:kern w:val="0"/>
                <w:sz w:val="21"/>
                <w:szCs w:val="21"/>
                <w:highlight w:val="none"/>
                <w:lang w:val="en-US" w:eastAsia="zh-CN" w:bidi="ar-SA"/>
              </w:rPr>
              <w:t>-</w:t>
            </w:r>
            <w:r>
              <w:rPr>
                <w:rFonts w:hint="eastAsia" w:cs="Times New Roman"/>
                <w:b/>
                <w:bCs/>
                <w:color w:val="auto"/>
                <w:kern w:val="0"/>
                <w:sz w:val="21"/>
                <w:szCs w:val="21"/>
                <w:highlight w:val="none"/>
                <w:lang w:val="en-US" w:eastAsia="zh-CN" w:bidi="ar-SA"/>
              </w:rPr>
              <w:t>2</w:t>
            </w:r>
            <w:r>
              <w:rPr>
                <w:rFonts w:hint="eastAsia" w:ascii="Times New Roman" w:hAnsi="Times New Roman" w:eastAsia="宋体" w:cs="Times New Roman"/>
                <w:b/>
                <w:bCs/>
                <w:color w:val="auto"/>
                <w:kern w:val="0"/>
                <w:sz w:val="21"/>
                <w:szCs w:val="21"/>
                <w:highlight w:val="none"/>
                <w:lang w:val="en-US" w:eastAsia="zh-CN" w:bidi="ar-SA"/>
              </w:rPr>
              <w:t>声环境现状监测统计结果</w:t>
            </w:r>
            <w:r>
              <w:rPr>
                <w:rFonts w:hint="default" w:ascii="Times New Roman" w:hAnsi="Times New Roman" w:eastAsia="宋体" w:cs="Times New Roman"/>
                <w:b/>
                <w:bCs/>
                <w:color w:val="auto"/>
                <w:kern w:val="0"/>
                <w:sz w:val="21"/>
                <w:szCs w:val="21"/>
                <w:highlight w:val="none"/>
                <w:lang w:val="en-US" w:eastAsia="zh-CN" w:bidi="ar-SA"/>
              </w:rPr>
              <w:t>Leq</w:t>
            </w:r>
            <w:r>
              <w:rPr>
                <w:rFonts w:hint="eastAsia" w:ascii="Times New Roman" w:hAnsi="Times New Roman" w:eastAsia="宋体" w:cs="Times New Roman"/>
                <w:b/>
                <w:bCs/>
                <w:color w:val="auto"/>
                <w:kern w:val="0"/>
                <w:sz w:val="21"/>
                <w:szCs w:val="21"/>
                <w:highlight w:val="none"/>
                <w:lang w:val="en-US" w:eastAsia="zh-CN" w:bidi="ar-SA"/>
              </w:rPr>
              <w:t>[</w:t>
            </w:r>
            <w:r>
              <w:rPr>
                <w:rFonts w:hint="default" w:ascii="Times New Roman" w:hAnsi="Times New Roman" w:eastAsia="宋体" w:cs="Times New Roman"/>
                <w:b/>
                <w:bCs/>
                <w:color w:val="auto"/>
                <w:kern w:val="0"/>
                <w:sz w:val="21"/>
                <w:szCs w:val="21"/>
                <w:highlight w:val="none"/>
                <w:lang w:val="en-US" w:eastAsia="zh-CN" w:bidi="ar-SA"/>
              </w:rPr>
              <w:t>dB</w:t>
            </w:r>
            <w:r>
              <w:rPr>
                <w:rFonts w:hint="eastAsia" w:ascii="Times New Roman" w:hAnsi="Times New Roman" w:eastAsia="宋体" w:cs="Times New Roman"/>
                <w:b/>
                <w:bCs/>
                <w:color w:val="auto"/>
                <w:kern w:val="0"/>
                <w:sz w:val="21"/>
                <w:szCs w:val="21"/>
                <w:highlight w:val="none"/>
                <w:lang w:val="en-US" w:eastAsia="zh-CN" w:bidi="ar-SA"/>
              </w:rPr>
              <w:t>(</w:t>
            </w:r>
            <w:r>
              <w:rPr>
                <w:rFonts w:hint="default" w:ascii="Times New Roman" w:hAnsi="Times New Roman" w:eastAsia="宋体" w:cs="Times New Roman"/>
                <w:b/>
                <w:bCs/>
                <w:color w:val="auto"/>
                <w:kern w:val="0"/>
                <w:sz w:val="21"/>
                <w:szCs w:val="21"/>
                <w:highlight w:val="none"/>
                <w:lang w:val="en-US" w:eastAsia="zh-CN" w:bidi="ar-SA"/>
              </w:rPr>
              <w:t>A</w:t>
            </w:r>
            <w:r>
              <w:rPr>
                <w:rFonts w:hint="eastAsia" w:ascii="Times New Roman" w:hAnsi="Times New Roman" w:eastAsia="宋体" w:cs="Times New Roman"/>
                <w:b/>
                <w:bCs/>
                <w:color w:val="auto"/>
                <w:kern w:val="0"/>
                <w:sz w:val="21"/>
                <w:szCs w:val="21"/>
                <w:highlight w:val="none"/>
                <w:lang w:val="en-US" w:eastAsia="zh-CN" w:bidi="ar-SA"/>
              </w:rPr>
              <w:t>)]</w:t>
            </w:r>
          </w:p>
          <w:tbl>
            <w:tblPr>
              <w:tblStyle w:val="37"/>
              <w:tblW w:w="4995" w:type="pct"/>
              <w:tblInd w:w="5" w:type="dxa"/>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44"/>
              <w:gridCol w:w="2479"/>
              <w:gridCol w:w="2307"/>
              <w:gridCol w:w="1232"/>
              <w:gridCol w:w="1267"/>
            </w:tblGrid>
            <w:tr w14:paraId="4845CA02">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atLeast"/>
                <w:tblHeader/>
              </w:trPr>
              <w:tc>
                <w:tcPr>
                  <w:tcW w:w="463" w:type="pct"/>
                  <w:tcBorders>
                    <w:tl2br w:val="nil"/>
                    <w:tr2bl w:val="nil"/>
                  </w:tcBorders>
                  <w:noWrap/>
                  <w:tcMar>
                    <w:top w:w="15" w:type="dxa"/>
                    <w:left w:w="15" w:type="dxa"/>
                    <w:right w:w="15" w:type="dxa"/>
                  </w:tcMar>
                  <w:vAlign w:val="center"/>
                </w:tcPr>
                <w:p w14:paraId="6E5C31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i w:val="0"/>
                      <w:color w:val="auto"/>
                      <w:sz w:val="21"/>
                      <w:szCs w:val="21"/>
                      <w:highlight w:val="none"/>
                      <w:u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543" w:type="pct"/>
                  <w:tcBorders>
                    <w:tl2br w:val="nil"/>
                    <w:tr2bl w:val="nil"/>
                  </w:tcBorders>
                  <w:noWrap/>
                  <w:tcMar>
                    <w:top w:w="15" w:type="dxa"/>
                    <w:left w:w="15" w:type="dxa"/>
                    <w:right w:w="15" w:type="dxa"/>
                  </w:tcMar>
                  <w:vAlign w:val="center"/>
                </w:tcPr>
                <w:p w14:paraId="66AF43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i w:val="0"/>
                      <w:color w:val="auto"/>
                      <w:kern w:val="2"/>
                      <w:sz w:val="21"/>
                      <w:szCs w:val="21"/>
                      <w:highlight w:val="none"/>
                      <w:u w:val="none"/>
                      <w:lang w:val="en-US" w:eastAsia="zh-CN" w:bidi="ar-SA"/>
                    </w:rPr>
                  </w:pPr>
                  <w:r>
                    <w:rPr>
                      <w:rFonts w:hint="default" w:ascii="Times New Roman" w:hAnsi="Times New Roman" w:cs="Times New Roman"/>
                      <w:b/>
                      <w:bCs/>
                      <w:color w:val="auto"/>
                      <w:sz w:val="21"/>
                      <w:szCs w:val="21"/>
                      <w:highlight w:val="none"/>
                    </w:rPr>
                    <w:t>检测点</w:t>
                  </w:r>
                  <w:r>
                    <w:rPr>
                      <w:rFonts w:hint="default" w:ascii="Times New Roman" w:hAnsi="Times New Roman" w:cs="Times New Roman"/>
                      <w:b/>
                      <w:bCs/>
                      <w:color w:val="auto"/>
                      <w:sz w:val="21"/>
                      <w:szCs w:val="21"/>
                      <w:highlight w:val="none"/>
                      <w:lang w:eastAsia="zh-CN"/>
                    </w:rPr>
                    <w:t>名称</w:t>
                  </w:r>
                </w:p>
              </w:tc>
              <w:tc>
                <w:tcPr>
                  <w:tcW w:w="1436" w:type="pct"/>
                  <w:tcBorders>
                    <w:tl2br w:val="nil"/>
                    <w:tr2bl w:val="nil"/>
                  </w:tcBorders>
                  <w:tcMar>
                    <w:top w:w="15" w:type="dxa"/>
                    <w:left w:w="15" w:type="dxa"/>
                    <w:right w:w="15" w:type="dxa"/>
                  </w:tcMar>
                  <w:vAlign w:val="center"/>
                </w:tcPr>
                <w:p w14:paraId="4EBE2FC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i w:val="0"/>
                      <w:color w:val="auto"/>
                      <w:kern w:val="0"/>
                      <w:sz w:val="21"/>
                      <w:szCs w:val="21"/>
                      <w:highlight w:val="none"/>
                      <w:u w:val="none"/>
                      <w:lang w:val="en-US" w:eastAsia="zh-CN"/>
                    </w:rPr>
                  </w:pPr>
                  <w:r>
                    <w:rPr>
                      <w:rFonts w:hint="default" w:ascii="Times New Roman" w:hAnsi="Times New Roman" w:cs="Times New Roman"/>
                      <w:b/>
                      <w:bCs/>
                      <w:color w:val="auto"/>
                      <w:sz w:val="21"/>
                      <w:szCs w:val="21"/>
                      <w:highlight w:val="none"/>
                    </w:rPr>
                    <w:t>检测时间</w:t>
                  </w:r>
                </w:p>
              </w:tc>
              <w:tc>
                <w:tcPr>
                  <w:tcW w:w="767" w:type="pct"/>
                  <w:tcBorders>
                    <w:tl2br w:val="nil"/>
                    <w:tr2bl w:val="nil"/>
                  </w:tcBorders>
                  <w:tcMar>
                    <w:top w:w="15" w:type="dxa"/>
                    <w:left w:w="15" w:type="dxa"/>
                    <w:right w:w="15" w:type="dxa"/>
                  </w:tcMar>
                  <w:vAlign w:val="center"/>
                </w:tcPr>
                <w:p w14:paraId="5972B285">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b/>
                      <w:bCs/>
                      <w:i w:val="0"/>
                      <w:color w:val="auto"/>
                      <w:kern w:val="0"/>
                      <w:sz w:val="21"/>
                      <w:szCs w:val="21"/>
                      <w:highlight w:val="none"/>
                      <w:u w:val="none"/>
                      <w:lang w:val="en-US" w:eastAsia="zh-CN" w:bidi="ar-SA"/>
                    </w:rPr>
                  </w:pPr>
                  <w:r>
                    <w:rPr>
                      <w:rFonts w:hint="default" w:ascii="Times New Roman" w:hAnsi="Times New Roman" w:cs="Times New Roman"/>
                      <w:b/>
                      <w:bCs/>
                      <w:color w:val="auto"/>
                      <w:sz w:val="21"/>
                      <w:szCs w:val="21"/>
                      <w:highlight w:val="none"/>
                    </w:rPr>
                    <w:t>昼L</w:t>
                  </w:r>
                  <w:r>
                    <w:rPr>
                      <w:rFonts w:hint="default" w:ascii="Times New Roman" w:hAnsi="Times New Roman" w:cs="Times New Roman"/>
                      <w:b/>
                      <w:bCs/>
                      <w:color w:val="auto"/>
                      <w:sz w:val="21"/>
                      <w:szCs w:val="21"/>
                      <w:highlight w:val="none"/>
                      <w:vertAlign w:val="subscript"/>
                    </w:rPr>
                    <w:t>eq</w:t>
                  </w:r>
                </w:p>
              </w:tc>
              <w:tc>
                <w:tcPr>
                  <w:tcW w:w="789" w:type="pct"/>
                  <w:tcBorders>
                    <w:tl2br w:val="nil"/>
                    <w:tr2bl w:val="nil"/>
                  </w:tcBorders>
                  <w:tcMar>
                    <w:top w:w="15" w:type="dxa"/>
                    <w:left w:w="15" w:type="dxa"/>
                    <w:right w:w="15" w:type="dxa"/>
                  </w:tcMar>
                  <w:vAlign w:val="center"/>
                </w:tcPr>
                <w:p w14:paraId="5B36FBC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i w:val="0"/>
                      <w:color w:val="auto"/>
                      <w:kern w:val="0"/>
                      <w:sz w:val="21"/>
                      <w:szCs w:val="21"/>
                      <w:highlight w:val="none"/>
                      <w:u w:val="none"/>
                      <w:lang w:val="en-US" w:eastAsia="zh-CN"/>
                    </w:rPr>
                  </w:pPr>
                  <w:r>
                    <w:rPr>
                      <w:rFonts w:hint="default" w:ascii="Times New Roman" w:hAnsi="Times New Roman" w:cs="Times New Roman"/>
                      <w:b/>
                      <w:bCs/>
                      <w:color w:val="auto"/>
                      <w:sz w:val="21"/>
                      <w:szCs w:val="21"/>
                      <w:highlight w:val="none"/>
                    </w:rPr>
                    <w:t>夜L</w:t>
                  </w:r>
                  <w:r>
                    <w:rPr>
                      <w:rFonts w:hint="default" w:ascii="Times New Roman" w:hAnsi="Times New Roman" w:cs="Times New Roman"/>
                      <w:b/>
                      <w:bCs/>
                      <w:color w:val="auto"/>
                      <w:sz w:val="21"/>
                      <w:szCs w:val="21"/>
                      <w:highlight w:val="none"/>
                      <w:vertAlign w:val="subscript"/>
                    </w:rPr>
                    <w:t>eq</w:t>
                  </w:r>
                </w:p>
              </w:tc>
            </w:tr>
            <w:tr w14:paraId="3F8B52F1">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463" w:type="pct"/>
                  <w:tcBorders>
                    <w:tl2br w:val="nil"/>
                    <w:tr2bl w:val="nil"/>
                  </w:tcBorders>
                  <w:noWrap/>
                  <w:tcMar>
                    <w:top w:w="15" w:type="dxa"/>
                    <w:left w:w="15" w:type="dxa"/>
                    <w:right w:w="15" w:type="dxa"/>
                  </w:tcMar>
                  <w:vAlign w:val="center"/>
                </w:tcPr>
                <w:p w14:paraId="2DE0103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b w:val="0"/>
                      <w:bCs w:val="0"/>
                      <w:i w:val="0"/>
                      <w:color w:val="auto"/>
                      <w:sz w:val="21"/>
                      <w:szCs w:val="21"/>
                      <w:highlight w:val="none"/>
                      <w:u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1</w:t>
                  </w:r>
                </w:p>
              </w:tc>
              <w:tc>
                <w:tcPr>
                  <w:tcW w:w="1543" w:type="pct"/>
                  <w:tcBorders>
                    <w:tl2br w:val="nil"/>
                    <w:tr2bl w:val="nil"/>
                  </w:tcBorders>
                  <w:noWrap/>
                  <w:tcMar>
                    <w:top w:w="15" w:type="dxa"/>
                    <w:left w:w="15" w:type="dxa"/>
                    <w:right w:w="15" w:type="dxa"/>
                  </w:tcMar>
                  <w:vAlign w:val="center"/>
                </w:tcPr>
                <w:p w14:paraId="3B876A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厂区东侧居民区敏感点</w:t>
                  </w:r>
                </w:p>
              </w:tc>
              <w:tc>
                <w:tcPr>
                  <w:tcW w:w="1436" w:type="pct"/>
                  <w:tcBorders>
                    <w:tl2br w:val="nil"/>
                    <w:tr2bl w:val="nil"/>
                  </w:tcBorders>
                  <w:tcMar>
                    <w:top w:w="15" w:type="dxa"/>
                    <w:left w:w="15" w:type="dxa"/>
                    <w:right w:w="15" w:type="dxa"/>
                  </w:tcMar>
                  <w:vAlign w:val="center"/>
                </w:tcPr>
                <w:p w14:paraId="20988E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bCs/>
                      <w:i w:val="0"/>
                      <w:color w:val="auto"/>
                      <w:kern w:val="0"/>
                      <w:sz w:val="21"/>
                      <w:szCs w:val="21"/>
                      <w:highlight w:val="none"/>
                      <w:u w:val="none"/>
                      <w:lang w:val="en-US" w:eastAsia="zh-CN"/>
                    </w:rPr>
                  </w:pPr>
                  <w:r>
                    <w:rPr>
                      <w:rFonts w:hint="default" w:ascii="Times New Roman" w:hAnsi="Times New Roman" w:cs="Times New Roman"/>
                      <w:color w:val="auto"/>
                      <w:kern w:val="0"/>
                      <w:sz w:val="21"/>
                      <w:szCs w:val="21"/>
                      <w:highlight w:val="none"/>
                      <w:lang w:val="en-US" w:eastAsia="zh-CN"/>
                    </w:rPr>
                    <w:t>2025.</w:t>
                  </w:r>
                  <w:r>
                    <w:rPr>
                      <w:rFonts w:hint="eastAsia" w:ascii="Times New Roman" w:hAnsi="Times New Roman" w:cs="Times New Roman"/>
                      <w:color w:val="auto"/>
                      <w:kern w:val="0"/>
                      <w:sz w:val="21"/>
                      <w:szCs w:val="21"/>
                      <w:highlight w:val="none"/>
                      <w:lang w:val="en-US" w:eastAsia="zh-CN"/>
                    </w:rPr>
                    <w:t>6.22</w:t>
                  </w:r>
                </w:p>
              </w:tc>
              <w:tc>
                <w:tcPr>
                  <w:tcW w:w="767" w:type="pct"/>
                  <w:tcBorders>
                    <w:tl2br w:val="nil"/>
                    <w:tr2bl w:val="nil"/>
                  </w:tcBorders>
                  <w:tcMar>
                    <w:top w:w="15" w:type="dxa"/>
                    <w:left w:w="15" w:type="dxa"/>
                    <w:right w:w="15" w:type="dxa"/>
                  </w:tcMar>
                  <w:vAlign w:val="center"/>
                </w:tcPr>
                <w:p w14:paraId="34161F5A">
                  <w:pPr>
                    <w:pStyle w:val="30"/>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52.2</w:t>
                  </w:r>
                </w:p>
              </w:tc>
              <w:tc>
                <w:tcPr>
                  <w:tcW w:w="789" w:type="pct"/>
                  <w:tcBorders>
                    <w:tl2br w:val="nil"/>
                    <w:tr2bl w:val="nil"/>
                  </w:tcBorders>
                  <w:tcMar>
                    <w:top w:w="15" w:type="dxa"/>
                    <w:left w:w="15" w:type="dxa"/>
                    <w:right w:w="15" w:type="dxa"/>
                  </w:tcMar>
                  <w:vAlign w:val="center"/>
                </w:tcPr>
                <w:p w14:paraId="458A5DF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i w:val="0"/>
                      <w:color w:val="auto"/>
                      <w:kern w:val="0"/>
                      <w:sz w:val="21"/>
                      <w:szCs w:val="21"/>
                      <w:highlight w:val="none"/>
                      <w:u w:val="none"/>
                      <w:lang w:val="en-US" w:eastAsia="zh-CN"/>
                    </w:rPr>
                  </w:pPr>
                  <w:r>
                    <w:rPr>
                      <w:rFonts w:hint="eastAsia" w:ascii="Times New Roman" w:hAnsi="Times New Roman" w:cs="Times New Roman"/>
                      <w:b w:val="0"/>
                      <w:bCs w:val="0"/>
                      <w:i w:val="0"/>
                      <w:color w:val="auto"/>
                      <w:kern w:val="0"/>
                      <w:sz w:val="21"/>
                      <w:szCs w:val="21"/>
                      <w:highlight w:val="none"/>
                      <w:u w:val="none"/>
                      <w:lang w:val="en-US" w:eastAsia="zh-CN"/>
                    </w:rPr>
                    <w:t>42.5</w:t>
                  </w:r>
                </w:p>
              </w:tc>
            </w:tr>
          </w:tbl>
          <w:p w14:paraId="368FE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噪声监测点位见下图：</w:t>
            </w:r>
          </w:p>
          <w:p w14:paraId="7DBD4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default"/>
                <w:color w:val="auto"/>
              </w:rPr>
            </w:pPr>
            <w:r>
              <w:rPr>
                <w:rFonts w:hint="default"/>
                <w:color w:val="auto"/>
              </w:rPr>
              <w:drawing>
                <wp:inline distT="0" distB="0" distL="114300" distR="114300">
                  <wp:extent cx="5205095" cy="2935605"/>
                  <wp:effectExtent l="0" t="0" r="14605" b="17145"/>
                  <wp:docPr id="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
                          <pic:cNvPicPr>
                            <a:picLocks noChangeAspect="1"/>
                          </pic:cNvPicPr>
                        </pic:nvPicPr>
                        <pic:blipFill>
                          <a:blip r:embed="rId13"/>
                          <a:stretch>
                            <a:fillRect/>
                          </a:stretch>
                        </pic:blipFill>
                        <pic:spPr>
                          <a:xfrm>
                            <a:off x="0" y="0"/>
                            <a:ext cx="5205095" cy="2935605"/>
                          </a:xfrm>
                          <a:prstGeom prst="rect">
                            <a:avLst/>
                          </a:prstGeom>
                          <a:noFill/>
                          <a:ln>
                            <a:noFill/>
                          </a:ln>
                        </pic:spPr>
                      </pic:pic>
                    </a:graphicData>
                  </a:graphic>
                </wp:inline>
              </w:drawing>
            </w:r>
          </w:p>
          <w:p w14:paraId="24CAA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b/>
                <w:bCs/>
                <w:color w:val="auto"/>
                <w:sz w:val="21"/>
                <w:szCs w:val="21"/>
                <w:highlight w:val="none"/>
                <w:lang w:val="en-US" w:eastAsia="zh-CN"/>
              </w:rPr>
              <w:t>图3-1噪声监测点位图</w:t>
            </w:r>
          </w:p>
          <w:p w14:paraId="67F4EB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根据监测结果，居民点满足</w:t>
            </w:r>
            <w:r>
              <w:rPr>
                <w:rFonts w:hint="default" w:ascii="Times New Roman" w:hAnsi="Times New Roman" w:eastAsia="宋体" w:cs="Times New Roman"/>
                <w:color w:val="auto"/>
                <w:kern w:val="0"/>
                <w:sz w:val="21"/>
                <w:szCs w:val="21"/>
                <w:highlight w:val="none"/>
                <w:lang w:val="en-US" w:eastAsia="zh-CN" w:bidi="ar"/>
              </w:rPr>
              <w:t>《声环境质量标准》GB3096-2008中的</w:t>
            </w:r>
            <w:r>
              <w:rPr>
                <w:rFonts w:hint="eastAsia" w:ascii="Times New Roman" w:hAnsi="Times New Roman" w:eastAsia="宋体" w:cs="Times New Roman"/>
                <w:color w:val="auto"/>
                <w:kern w:val="0"/>
                <w:sz w:val="21"/>
                <w:szCs w:val="21"/>
                <w:highlight w:val="none"/>
                <w:lang w:val="en-US" w:eastAsia="zh-CN" w:bidi="ar"/>
              </w:rPr>
              <w:t>2类标准</w:t>
            </w:r>
            <w:r>
              <w:rPr>
                <w:rFonts w:hint="default" w:ascii="Times New Roman" w:hAnsi="Times New Roman" w:eastAsia="宋体" w:cs="Times New Roman"/>
                <w:color w:val="auto"/>
                <w:kern w:val="0"/>
                <w:sz w:val="21"/>
                <w:szCs w:val="21"/>
                <w:highlight w:val="none"/>
                <w:lang w:val="en-US" w:eastAsia="zh-CN" w:bidi="ar"/>
              </w:rPr>
              <w:t>要求。</w:t>
            </w:r>
          </w:p>
          <w:p w14:paraId="2B38BB99">
            <w:pPr>
              <w:pStyle w:val="51"/>
              <w:keepNext w:val="0"/>
              <w:keepLines w:val="0"/>
              <w:pageBreakBefore w:val="0"/>
              <w:widowControl/>
              <w:suppressLineNumbers w:val="0"/>
              <w:kinsoku/>
              <w:wordWrap/>
              <w:overflowPunct/>
              <w:topLinePunct w:val="0"/>
              <w:autoSpaceDE/>
              <w:autoSpaceDN/>
              <w:bidi w:val="0"/>
              <w:adjustRightInd/>
              <w:snapToGrid w:val="0"/>
              <w:spacing w:before="0" w:beforeLines="0" w:beforeAutospacing="0" w:after="0" w:afterLines="0" w:afterAutospacing="0" w:line="360" w:lineRule="auto"/>
              <w:ind w:left="0" w:right="0"/>
              <w:textAlignment w:val="auto"/>
              <w:rPr>
                <w:rFonts w:hint="default"/>
                <w:b/>
                <w:color w:val="auto"/>
                <w:sz w:val="21"/>
                <w:szCs w:val="21"/>
                <w:highlight w:val="none"/>
              </w:rPr>
            </w:pPr>
            <w:r>
              <w:rPr>
                <w:rFonts w:hint="default"/>
                <w:b/>
                <w:color w:val="auto"/>
                <w:sz w:val="21"/>
                <w:szCs w:val="21"/>
                <w:highlight w:val="none"/>
              </w:rPr>
              <w:t>4、生态环境</w:t>
            </w:r>
          </w:p>
          <w:p w14:paraId="1E25A15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left"/>
              <w:textAlignment w:val="auto"/>
              <w:rPr>
                <w:rFonts w:hint="default"/>
                <w:color w:val="auto"/>
                <w:kern w:val="0"/>
                <w:szCs w:val="21"/>
                <w:highlight w:val="none"/>
              </w:rPr>
            </w:pPr>
            <w:r>
              <w:rPr>
                <w:rFonts w:hint="default"/>
                <w:color w:val="auto"/>
                <w:kern w:val="0"/>
                <w:szCs w:val="21"/>
                <w:highlight w:val="none"/>
              </w:rPr>
              <w:t>本项目用地范围内无生态环境保护目标，因此不进行生态现状调查。</w:t>
            </w:r>
          </w:p>
          <w:p w14:paraId="515A9EFC">
            <w:pPr>
              <w:pStyle w:val="51"/>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Lines="0" w:beforeAutospacing="0" w:after="0" w:afterLines="0" w:afterAutospacing="0" w:line="360" w:lineRule="auto"/>
              <w:ind w:left="0" w:leftChars="0" w:right="0" w:rightChars="0" w:firstLine="422" w:firstLineChars="200"/>
              <w:textAlignment w:val="auto"/>
              <w:rPr>
                <w:rFonts w:hint="default"/>
                <w:b/>
                <w:color w:val="auto"/>
                <w:sz w:val="21"/>
                <w:szCs w:val="21"/>
                <w:highlight w:val="none"/>
              </w:rPr>
            </w:pPr>
            <w:r>
              <w:rPr>
                <w:rFonts w:hint="default" w:ascii="Times New Roman" w:hAnsi="Times New Roman" w:eastAsia="宋体" w:cs="Times New Roman"/>
                <w:b/>
                <w:color w:val="auto"/>
                <w:kern w:val="2"/>
                <w:sz w:val="21"/>
                <w:szCs w:val="21"/>
                <w:lang w:val="en-US" w:eastAsia="zh-CN" w:bidi="ar-SA"/>
              </w:rPr>
              <w:t>5、</w:t>
            </w:r>
            <w:r>
              <w:rPr>
                <w:rFonts w:hint="default"/>
                <w:b/>
                <w:color w:val="auto"/>
                <w:sz w:val="21"/>
                <w:szCs w:val="21"/>
                <w:highlight w:val="none"/>
              </w:rPr>
              <w:t>地下水环境</w:t>
            </w:r>
          </w:p>
          <w:p w14:paraId="73F7A80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left"/>
              <w:textAlignment w:val="auto"/>
              <w:rPr>
                <w:rFonts w:hint="eastAsia"/>
                <w:b/>
                <w:color w:val="auto"/>
                <w:sz w:val="21"/>
                <w:szCs w:val="21"/>
                <w:highlight w:val="none"/>
                <w:lang w:val="en-US" w:eastAsia="zh-CN"/>
              </w:rPr>
            </w:pPr>
            <w:r>
              <w:rPr>
                <w:rFonts w:hint="eastAsia"/>
                <w:color w:val="auto"/>
                <w:sz w:val="21"/>
                <w:szCs w:val="21"/>
              </w:rPr>
              <w:t>本项目对加氯间地面进行重点防渗，防渗措施应满足《环境影响评价技术导则地下水环境》（HJ 610—2016）中等效黏土防渗层Mb≥</w:t>
            </w:r>
            <w:r>
              <w:rPr>
                <w:rFonts w:hint="eastAsia"/>
                <w:color w:val="auto"/>
                <w:sz w:val="21"/>
                <w:szCs w:val="21"/>
                <w:lang w:val="en-US" w:eastAsia="zh-CN"/>
              </w:rPr>
              <w:t>6.0</w:t>
            </w:r>
            <w:r>
              <w:rPr>
                <w:rFonts w:hint="eastAsia"/>
                <w:color w:val="auto"/>
                <w:sz w:val="21"/>
                <w:szCs w:val="21"/>
              </w:rPr>
              <w:t>m，渗透系数K≤1×10</w:t>
            </w:r>
            <w:r>
              <w:rPr>
                <w:rFonts w:hint="eastAsia"/>
                <w:color w:val="auto"/>
                <w:sz w:val="21"/>
                <w:szCs w:val="21"/>
                <w:vertAlign w:val="superscript"/>
              </w:rPr>
              <w:t>-7</w:t>
            </w:r>
            <w:r>
              <w:rPr>
                <w:rFonts w:hint="eastAsia"/>
                <w:color w:val="auto"/>
                <w:sz w:val="21"/>
                <w:szCs w:val="21"/>
              </w:rPr>
              <w:t>cm/s</w:t>
            </w:r>
            <w:r>
              <w:rPr>
                <w:rFonts w:hint="eastAsia"/>
                <w:color w:val="auto"/>
                <w:sz w:val="21"/>
                <w:szCs w:val="21"/>
                <w:lang w:eastAsia="zh-CN"/>
              </w:rPr>
              <w:t>。</w:t>
            </w:r>
            <w:r>
              <w:rPr>
                <w:rFonts w:hint="eastAsia" w:ascii="宋体" w:hAnsi="宋体" w:eastAsia="宋体" w:cs="宋体"/>
                <w:color w:val="auto"/>
                <w:sz w:val="21"/>
                <w:szCs w:val="21"/>
                <w:lang w:val="en-US" w:eastAsia="zh-CN"/>
              </w:rPr>
              <w:t>同时采取截流措施，避免进入外环境；储罐采</w:t>
            </w:r>
            <w:r>
              <w:rPr>
                <w:rFonts w:hint="default" w:ascii="Times New Roman" w:hAnsi="Times New Roman" w:eastAsia="宋体" w:cs="Times New Roman"/>
                <w:color w:val="auto"/>
                <w:sz w:val="21"/>
                <w:szCs w:val="21"/>
                <w:lang w:val="en-US" w:eastAsia="zh-CN"/>
              </w:rPr>
              <w:t>用加厚PE材质；定</w:t>
            </w:r>
            <w:r>
              <w:rPr>
                <w:rFonts w:hint="eastAsia" w:ascii="宋体" w:hAnsi="宋体" w:eastAsia="宋体" w:cs="宋体"/>
                <w:color w:val="auto"/>
                <w:sz w:val="21"/>
                <w:szCs w:val="21"/>
                <w:lang w:val="en-US" w:eastAsia="zh-CN"/>
              </w:rPr>
              <w:t>期检查储罐是否完整无损</w:t>
            </w:r>
            <w:r>
              <w:rPr>
                <w:rFonts w:hint="eastAsia" w:ascii="宋体" w:hAnsi="宋体" w:cs="宋体"/>
                <w:color w:val="auto"/>
                <w:sz w:val="21"/>
                <w:szCs w:val="21"/>
                <w:lang w:val="en-US" w:eastAsia="zh-CN"/>
              </w:rPr>
              <w:t>。</w:t>
            </w:r>
            <w:r>
              <w:rPr>
                <w:rFonts w:hint="eastAsia" w:ascii="Times New Roman" w:hAnsi="Times New Roman" w:eastAsia="宋体" w:cs="Times New Roman"/>
                <w:color w:val="auto"/>
                <w:kern w:val="0"/>
                <w:sz w:val="21"/>
                <w:szCs w:val="21"/>
                <w:highlight w:val="none"/>
                <w:lang w:val="en-US" w:eastAsia="zh-CN"/>
              </w:rPr>
              <w:t>厂区其他区域为简单防渗，进行一般地面硬化。本项</w:t>
            </w:r>
            <w:r>
              <w:rPr>
                <w:rFonts w:hint="eastAsia" w:ascii="宋体" w:hAnsi="宋体" w:cs="宋体"/>
                <w:color w:val="auto"/>
                <w:sz w:val="21"/>
                <w:szCs w:val="21"/>
                <w:lang w:val="en-US" w:eastAsia="zh-CN"/>
              </w:rPr>
              <w:t>目</w:t>
            </w:r>
            <w:r>
              <w:rPr>
                <w:rFonts w:hint="eastAsia" w:ascii="Times New Roman" w:hAnsi="Times New Roman" w:eastAsia="宋体" w:cs="Times New Roman"/>
                <w:color w:val="auto"/>
                <w:kern w:val="0"/>
                <w:sz w:val="21"/>
                <w:szCs w:val="21"/>
                <w:highlight w:val="none"/>
                <w:lang w:val="en-US" w:eastAsia="zh-CN"/>
              </w:rPr>
              <w:t>不存在明显的土壤、地下水环境污染途径，故可不开展环境质量现状调查。</w:t>
            </w:r>
          </w:p>
        </w:tc>
      </w:tr>
      <w:tr w14:paraId="2FCF70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3" w:hRule="atLeast"/>
          <w:jc w:val="center"/>
        </w:trPr>
        <w:tc>
          <w:tcPr>
            <w:tcW w:w="452" w:type="pct"/>
            <w:vAlign w:val="center"/>
          </w:tcPr>
          <w:p w14:paraId="4086135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环境保护目标</w:t>
            </w:r>
          </w:p>
        </w:tc>
        <w:tc>
          <w:tcPr>
            <w:tcW w:w="4547" w:type="pct"/>
            <w:vAlign w:val="center"/>
          </w:tcPr>
          <w:p w14:paraId="396877A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厂界外500m范围内环境空气敏感保护目标见下表3-</w:t>
            </w:r>
            <w:r>
              <w:rPr>
                <w:rFonts w:hint="eastAsia" w:cs="Times New Roman"/>
                <w:color w:val="auto"/>
                <w:kern w:val="0"/>
                <w:szCs w:val="21"/>
                <w:highlight w:val="none"/>
                <w:lang w:val="en-US" w:eastAsia="zh-CN"/>
              </w:rPr>
              <w:t>3</w:t>
            </w:r>
            <w:r>
              <w:rPr>
                <w:rFonts w:hint="eastAsia" w:ascii="Times New Roman" w:hAnsi="Times New Roman" w:eastAsia="宋体"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厂界外50m范围内声环境保护目标</w:t>
            </w:r>
            <w:r>
              <w:rPr>
                <w:rFonts w:hint="eastAsia" w:ascii="Times New Roman" w:hAnsi="Times New Roman" w:eastAsia="宋体" w:cs="Times New Roman"/>
                <w:color w:val="auto"/>
                <w:kern w:val="0"/>
                <w:szCs w:val="21"/>
                <w:highlight w:val="none"/>
                <w:lang w:val="en-US" w:eastAsia="zh-CN"/>
              </w:rPr>
              <w:t>见表</w:t>
            </w:r>
            <w:r>
              <w:rPr>
                <w:rFonts w:hint="default" w:ascii="Times New Roman" w:hAnsi="Times New Roman" w:eastAsia="宋体" w:cs="Times New Roman"/>
                <w:color w:val="auto"/>
                <w:kern w:val="0"/>
                <w:szCs w:val="21"/>
                <w:highlight w:val="none"/>
                <w:lang w:val="en-US" w:eastAsia="zh-CN"/>
              </w:rPr>
              <w:t>3</w:t>
            </w:r>
            <w:r>
              <w:rPr>
                <w:rFonts w:hint="eastAsia" w:ascii="Times New Roman" w:hAnsi="Times New Roman" w:eastAsia="宋体" w:cs="Times New Roman"/>
                <w:color w:val="auto"/>
                <w:kern w:val="0"/>
                <w:szCs w:val="21"/>
                <w:highlight w:val="none"/>
                <w:lang w:val="en-US" w:eastAsia="zh-CN"/>
              </w:rPr>
              <w:t>-</w:t>
            </w:r>
            <w:r>
              <w:rPr>
                <w:rFonts w:hint="eastAsia" w:cs="Times New Roman"/>
                <w:color w:val="auto"/>
                <w:kern w:val="0"/>
                <w:szCs w:val="21"/>
                <w:highlight w:val="none"/>
                <w:lang w:val="en-US" w:eastAsia="zh-CN"/>
              </w:rPr>
              <w:t>4</w:t>
            </w:r>
            <w:r>
              <w:rPr>
                <w:rFonts w:hint="default" w:ascii="Times New Roman" w:hAnsi="Times New Roman" w:eastAsia="宋体" w:cs="Times New Roman"/>
                <w:color w:val="auto"/>
                <w:kern w:val="0"/>
                <w:szCs w:val="21"/>
                <w:highlight w:val="none"/>
                <w:lang w:val="en-US" w:eastAsia="zh-CN"/>
              </w:rPr>
              <w:t>。</w:t>
            </w:r>
          </w:p>
          <w:p w14:paraId="6E735631">
            <w:pPr>
              <w:keepNext w:val="0"/>
              <w:keepLines w:val="0"/>
              <w:pageBreakBefore w:val="0"/>
              <w:widowControl w:val="0"/>
              <w:suppressLineNumbers w:val="0"/>
              <w:kinsoku/>
              <w:wordWrap/>
              <w:overflowPunct/>
              <w:topLinePunct/>
              <w:autoSpaceDE/>
              <w:autoSpaceDN/>
              <w:bidi w:val="0"/>
              <w:adjustRightInd/>
              <w:snapToGrid/>
              <w:spacing w:before="0" w:beforeAutospacing="0" w:after="0" w:afterAutospacing="0" w:line="360" w:lineRule="auto"/>
              <w:ind w:left="0" w:right="0" w:firstLine="0" w:firstLine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w:t>
            </w:r>
            <w:r>
              <w:rPr>
                <w:rFonts w:hint="default" w:ascii="Times New Roman" w:hAnsi="Times New Roman" w:eastAsia="黑体" w:cs="Times New Roman"/>
                <w:b/>
                <w:bCs/>
                <w:color w:val="auto"/>
                <w:sz w:val="21"/>
                <w:szCs w:val="21"/>
                <w:highlight w:val="none"/>
              </w:rPr>
              <w:t>3-</w:t>
            </w:r>
            <w:r>
              <w:rPr>
                <w:rFonts w:hint="eastAsia" w:eastAsia="黑体" w:cs="Times New Roman"/>
                <w:b/>
                <w:bCs/>
                <w:color w:val="auto"/>
                <w:sz w:val="21"/>
                <w:szCs w:val="21"/>
                <w:highlight w:val="none"/>
                <w:lang w:val="en-US" w:eastAsia="zh-CN"/>
              </w:rPr>
              <w:t>3</w:t>
            </w:r>
            <w:r>
              <w:rPr>
                <w:rFonts w:hint="eastAsia" w:ascii="宋体" w:hAnsi="宋体" w:eastAsia="宋体" w:cs="宋体"/>
                <w:b/>
                <w:bCs/>
                <w:color w:val="auto"/>
                <w:sz w:val="21"/>
                <w:szCs w:val="21"/>
                <w:highlight w:val="none"/>
              </w:rPr>
              <w:t>本项目</w:t>
            </w:r>
            <w:r>
              <w:rPr>
                <w:rFonts w:hint="eastAsia" w:ascii="宋体" w:hAnsi="宋体" w:eastAsia="宋体" w:cs="宋体"/>
                <w:b/>
                <w:bCs/>
                <w:color w:val="auto"/>
                <w:sz w:val="21"/>
                <w:szCs w:val="21"/>
                <w:highlight w:val="none"/>
                <w:lang w:eastAsia="zh-CN"/>
              </w:rPr>
              <w:t>环境空气敏感</w:t>
            </w:r>
            <w:r>
              <w:rPr>
                <w:rFonts w:hint="eastAsia" w:ascii="宋体" w:hAnsi="宋体" w:eastAsia="宋体" w:cs="宋体"/>
                <w:b/>
                <w:bCs/>
                <w:color w:val="auto"/>
                <w:sz w:val="21"/>
                <w:szCs w:val="21"/>
                <w:highlight w:val="none"/>
              </w:rPr>
              <w:t>保护目标情况一览表</w:t>
            </w:r>
          </w:p>
          <w:tbl>
            <w:tblPr>
              <w:tblStyle w:val="37"/>
              <w:tblW w:w="809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1172"/>
              <w:gridCol w:w="1097"/>
              <w:gridCol w:w="1058"/>
              <w:gridCol w:w="946"/>
              <w:gridCol w:w="807"/>
              <w:gridCol w:w="894"/>
              <w:gridCol w:w="1041"/>
            </w:tblGrid>
            <w:tr w14:paraId="4CB9AA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081" w:type="dxa"/>
                  <w:vMerge w:val="restart"/>
                  <w:noWrap w:val="0"/>
                  <w:vAlign w:val="center"/>
                </w:tcPr>
                <w:p w14:paraId="0EE8E56B">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名称</w:t>
                  </w:r>
                </w:p>
              </w:tc>
              <w:tc>
                <w:tcPr>
                  <w:tcW w:w="2269" w:type="dxa"/>
                  <w:gridSpan w:val="2"/>
                  <w:noWrap w:val="0"/>
                  <w:vAlign w:val="center"/>
                </w:tcPr>
                <w:p w14:paraId="1856F5A4">
                  <w:pPr>
                    <w:keepNext w:val="0"/>
                    <w:keepLines w:val="0"/>
                    <w:suppressLineNumbers w:val="0"/>
                    <w:spacing w:before="0" w:beforeAutospacing="0" w:after="0" w:afterAutospacing="0" w:line="280" w:lineRule="exact"/>
                    <w:ind w:left="0" w:right="0" w:firstLine="40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坐标</w:t>
                  </w:r>
                  <w:r>
                    <w:rPr>
                      <w:rFonts w:hint="default" w:ascii="Times New Roman" w:hAnsi="Times New Roman" w:cs="Times New Roman"/>
                      <w:b/>
                      <w:bCs/>
                      <w:color w:val="auto"/>
                      <w:sz w:val="18"/>
                      <w:szCs w:val="18"/>
                      <w:highlight w:val="none"/>
                    </w:rPr>
                    <w:t>/</w:t>
                  </w:r>
                  <w:r>
                    <w:rPr>
                      <w:rFonts w:hint="default" w:ascii="Times New Roman" w:hAnsi="Times New Roman" w:eastAsia="宋体" w:cs="Times New Roman"/>
                      <w:b/>
                      <w:bCs/>
                      <w:color w:val="auto"/>
                      <w:sz w:val="18"/>
                      <w:szCs w:val="18"/>
                      <w:highlight w:val="none"/>
                    </w:rPr>
                    <w:t>°</w:t>
                  </w:r>
                </w:p>
              </w:tc>
              <w:tc>
                <w:tcPr>
                  <w:tcW w:w="1058" w:type="dxa"/>
                  <w:vMerge w:val="restart"/>
                  <w:noWrap w:val="0"/>
                  <w:vAlign w:val="center"/>
                </w:tcPr>
                <w:p w14:paraId="7815943A">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保护对象</w:t>
                  </w:r>
                </w:p>
              </w:tc>
              <w:tc>
                <w:tcPr>
                  <w:tcW w:w="946" w:type="dxa"/>
                  <w:vMerge w:val="restart"/>
                  <w:noWrap w:val="0"/>
                  <w:vAlign w:val="center"/>
                </w:tcPr>
                <w:p w14:paraId="2EBABADF">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保护内容</w:t>
                  </w:r>
                </w:p>
              </w:tc>
              <w:tc>
                <w:tcPr>
                  <w:tcW w:w="807" w:type="dxa"/>
                  <w:vMerge w:val="restart"/>
                  <w:noWrap w:val="0"/>
                  <w:vAlign w:val="center"/>
                </w:tcPr>
                <w:p w14:paraId="5BBDD4A8">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环境功能区</w:t>
                  </w:r>
                </w:p>
              </w:tc>
              <w:tc>
                <w:tcPr>
                  <w:tcW w:w="894" w:type="dxa"/>
                  <w:vMerge w:val="restart"/>
                  <w:noWrap w:val="0"/>
                  <w:vAlign w:val="center"/>
                </w:tcPr>
                <w:p w14:paraId="4FDA1EDC">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相对厂址方位</w:t>
                  </w:r>
                </w:p>
              </w:tc>
              <w:tc>
                <w:tcPr>
                  <w:tcW w:w="1041" w:type="dxa"/>
                  <w:vMerge w:val="restart"/>
                  <w:noWrap w:val="0"/>
                  <w:vAlign w:val="center"/>
                </w:tcPr>
                <w:p w14:paraId="186041D4">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相对厂址距离</w:t>
                  </w:r>
                  <w:r>
                    <w:rPr>
                      <w:rFonts w:hint="default" w:ascii="Times New Roman" w:hAnsi="Times New Roman" w:cs="Times New Roman"/>
                      <w:b/>
                      <w:bCs/>
                      <w:color w:val="auto"/>
                      <w:sz w:val="18"/>
                      <w:szCs w:val="18"/>
                      <w:highlight w:val="none"/>
                    </w:rPr>
                    <w:t>/m</w:t>
                  </w:r>
                </w:p>
              </w:tc>
            </w:tr>
            <w:tr w14:paraId="0426FA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081" w:type="dxa"/>
                  <w:vMerge w:val="continue"/>
                  <w:noWrap w:val="0"/>
                  <w:vAlign w:val="center"/>
                </w:tcPr>
                <w:p w14:paraId="70BA9A93">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c>
                <w:tcPr>
                  <w:tcW w:w="1172" w:type="dxa"/>
                  <w:noWrap w:val="0"/>
                  <w:vAlign w:val="center"/>
                </w:tcPr>
                <w:p w14:paraId="79542862">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经度</w:t>
                  </w:r>
                </w:p>
              </w:tc>
              <w:tc>
                <w:tcPr>
                  <w:tcW w:w="1097" w:type="dxa"/>
                  <w:noWrap w:val="0"/>
                  <w:vAlign w:val="center"/>
                </w:tcPr>
                <w:p w14:paraId="1EB99104">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纬度</w:t>
                  </w:r>
                </w:p>
              </w:tc>
              <w:tc>
                <w:tcPr>
                  <w:tcW w:w="1058" w:type="dxa"/>
                  <w:vMerge w:val="continue"/>
                  <w:noWrap w:val="0"/>
                  <w:vAlign w:val="center"/>
                </w:tcPr>
                <w:p w14:paraId="2D8E5DDF">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c>
                <w:tcPr>
                  <w:tcW w:w="946" w:type="dxa"/>
                  <w:vMerge w:val="continue"/>
                  <w:noWrap w:val="0"/>
                  <w:vAlign w:val="center"/>
                </w:tcPr>
                <w:p w14:paraId="5BA41580">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c>
                <w:tcPr>
                  <w:tcW w:w="807" w:type="dxa"/>
                  <w:vMerge w:val="continue"/>
                  <w:noWrap w:val="0"/>
                  <w:vAlign w:val="center"/>
                </w:tcPr>
                <w:p w14:paraId="5815D058">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c>
                <w:tcPr>
                  <w:tcW w:w="894" w:type="dxa"/>
                  <w:vMerge w:val="continue"/>
                  <w:noWrap w:val="0"/>
                  <w:vAlign w:val="center"/>
                </w:tcPr>
                <w:p w14:paraId="31BFAA66">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c>
                <w:tcPr>
                  <w:tcW w:w="1041" w:type="dxa"/>
                  <w:vMerge w:val="continue"/>
                  <w:noWrap w:val="0"/>
                  <w:vAlign w:val="center"/>
                </w:tcPr>
                <w:p w14:paraId="68C2E4D9">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r>
            <w:tr w14:paraId="0DAB4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081" w:type="dxa"/>
                  <w:noWrap w:val="0"/>
                  <w:vAlign w:val="center"/>
                </w:tcPr>
                <w:p w14:paraId="7EF55CE6">
                  <w:pPr>
                    <w:keepNext w:val="0"/>
                    <w:keepLines w:val="0"/>
                    <w:suppressLineNumbers w:val="0"/>
                    <w:spacing w:before="0" w:beforeAutospacing="0" w:after="0" w:afterAutospacing="0" w:line="280" w:lineRule="exact"/>
                    <w:ind w:left="0" w:right="0" w:firstLine="0" w:firstLineChars="0"/>
                    <w:jc w:val="center"/>
                    <w:textAlignment w:val="baseline"/>
                    <w:rPr>
                      <w:rFonts w:hint="eastAsia"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西郊村</w:t>
                  </w:r>
                </w:p>
                <w:p w14:paraId="28E1BB26">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居民</w:t>
                  </w:r>
                </w:p>
              </w:tc>
              <w:tc>
                <w:tcPr>
                  <w:tcW w:w="1172" w:type="dxa"/>
                  <w:noWrap w:val="0"/>
                  <w:vAlign w:val="center"/>
                </w:tcPr>
                <w:p w14:paraId="00F9231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130.945250</w:t>
                  </w:r>
                </w:p>
              </w:tc>
              <w:tc>
                <w:tcPr>
                  <w:tcW w:w="1097" w:type="dxa"/>
                  <w:noWrap w:val="0"/>
                  <w:vAlign w:val="center"/>
                </w:tcPr>
                <w:p w14:paraId="3DBE12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45.313513</w:t>
                  </w:r>
                </w:p>
              </w:tc>
              <w:tc>
                <w:tcPr>
                  <w:tcW w:w="1058" w:type="dxa"/>
                  <w:noWrap w:val="0"/>
                  <w:vAlign w:val="center"/>
                </w:tcPr>
                <w:p w14:paraId="1BB22614">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农村人口集中区</w:t>
                  </w:r>
                </w:p>
              </w:tc>
              <w:tc>
                <w:tcPr>
                  <w:tcW w:w="946" w:type="dxa"/>
                  <w:vMerge w:val="restart"/>
                  <w:noWrap w:val="0"/>
                  <w:vAlign w:val="center"/>
                </w:tcPr>
                <w:p w14:paraId="2393D5A9">
                  <w:pPr>
                    <w:keepNext w:val="0"/>
                    <w:keepLines w:val="0"/>
                    <w:suppressLineNumbers w:val="0"/>
                    <w:spacing w:before="0" w:beforeAutospacing="0" w:after="0" w:afterAutospacing="0" w:line="280" w:lineRule="exact"/>
                    <w:ind w:left="0" w:right="0" w:firstLine="0" w:firstLineChars="0"/>
                    <w:jc w:val="center"/>
                    <w:textAlignment w:val="baseline"/>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人群</w:t>
                  </w:r>
                </w:p>
              </w:tc>
              <w:tc>
                <w:tcPr>
                  <w:tcW w:w="807" w:type="dxa"/>
                  <w:vMerge w:val="restart"/>
                  <w:noWrap w:val="0"/>
                  <w:vAlign w:val="center"/>
                </w:tcPr>
                <w:p w14:paraId="4B19540E">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rPr>
                    <w:t>二类区</w:t>
                  </w:r>
                </w:p>
              </w:tc>
              <w:tc>
                <w:tcPr>
                  <w:tcW w:w="894" w:type="dxa"/>
                  <w:noWrap w:val="0"/>
                  <w:vAlign w:val="center"/>
                </w:tcPr>
                <w:p w14:paraId="7ED20479">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东</w:t>
                  </w:r>
                </w:p>
              </w:tc>
              <w:tc>
                <w:tcPr>
                  <w:tcW w:w="1041" w:type="dxa"/>
                  <w:noWrap w:val="0"/>
                  <w:vAlign w:val="center"/>
                </w:tcPr>
                <w:p w14:paraId="16E715AB">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15</w:t>
                  </w:r>
                </w:p>
              </w:tc>
            </w:tr>
            <w:tr w14:paraId="4C979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081" w:type="dxa"/>
                  <w:noWrap w:val="0"/>
                  <w:vAlign w:val="center"/>
                </w:tcPr>
                <w:p w14:paraId="0FF3ABE0">
                  <w:pPr>
                    <w:keepNext w:val="0"/>
                    <w:keepLines w:val="0"/>
                    <w:suppressLineNumbers w:val="0"/>
                    <w:spacing w:before="0" w:beforeAutospacing="0" w:after="0" w:afterAutospacing="0" w:line="280" w:lineRule="exact"/>
                    <w:ind w:left="0" w:right="0" w:firstLine="0" w:firstLineChars="0"/>
                    <w:jc w:val="center"/>
                    <w:textAlignment w:val="baseline"/>
                    <w:rPr>
                      <w:rFonts w:hint="default"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铁北小区</w:t>
                  </w:r>
                </w:p>
              </w:tc>
              <w:tc>
                <w:tcPr>
                  <w:tcW w:w="1172" w:type="dxa"/>
                  <w:noWrap w:val="0"/>
                  <w:vAlign w:val="center"/>
                </w:tcPr>
                <w:p w14:paraId="2D95D887">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130.947396</w:t>
                  </w:r>
                </w:p>
              </w:tc>
              <w:tc>
                <w:tcPr>
                  <w:tcW w:w="1097" w:type="dxa"/>
                  <w:noWrap w:val="0"/>
                  <w:vAlign w:val="center"/>
                </w:tcPr>
                <w:p w14:paraId="110B0115">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45.310179</w:t>
                  </w:r>
                </w:p>
              </w:tc>
              <w:tc>
                <w:tcPr>
                  <w:tcW w:w="1058" w:type="dxa"/>
                  <w:shd w:val="clear" w:color="auto" w:fill="auto"/>
                  <w:noWrap w:val="0"/>
                  <w:vAlign w:val="center"/>
                </w:tcPr>
                <w:p w14:paraId="511216C1">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居住区</w:t>
                  </w:r>
                </w:p>
              </w:tc>
              <w:tc>
                <w:tcPr>
                  <w:tcW w:w="946" w:type="dxa"/>
                  <w:vMerge w:val="continue"/>
                  <w:shd w:val="clear" w:color="auto" w:fill="auto"/>
                  <w:noWrap w:val="0"/>
                  <w:vAlign w:val="center"/>
                </w:tcPr>
                <w:p w14:paraId="491B2E19">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eastAsia" w:ascii="Times New Roman" w:hAnsi="Times New Roman" w:eastAsia="宋体" w:cs="Times New Roman"/>
                      <w:color w:val="auto"/>
                      <w:kern w:val="2"/>
                      <w:sz w:val="18"/>
                      <w:szCs w:val="18"/>
                      <w:highlight w:val="none"/>
                      <w:lang w:val="en-US" w:eastAsia="zh-CN" w:bidi="ar-SA"/>
                    </w:rPr>
                  </w:pPr>
                </w:p>
              </w:tc>
              <w:tc>
                <w:tcPr>
                  <w:tcW w:w="807" w:type="dxa"/>
                  <w:vMerge w:val="continue"/>
                  <w:noWrap w:val="0"/>
                  <w:vAlign w:val="center"/>
                </w:tcPr>
                <w:p w14:paraId="0FCE7E4E">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rPr>
                  </w:pPr>
                </w:p>
              </w:tc>
              <w:tc>
                <w:tcPr>
                  <w:tcW w:w="894" w:type="dxa"/>
                  <w:noWrap w:val="0"/>
                  <w:vAlign w:val="center"/>
                </w:tcPr>
                <w:p w14:paraId="21A24044">
                  <w:pPr>
                    <w:keepNext w:val="0"/>
                    <w:keepLines w:val="0"/>
                    <w:suppressLineNumbers w:val="0"/>
                    <w:spacing w:before="0" w:beforeAutospacing="0" w:after="0" w:afterAutospacing="0" w:line="280" w:lineRule="exact"/>
                    <w:ind w:left="0" w:right="0" w:firstLine="0" w:firstLine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东南</w:t>
                  </w:r>
                </w:p>
              </w:tc>
              <w:tc>
                <w:tcPr>
                  <w:tcW w:w="1041" w:type="dxa"/>
                  <w:noWrap w:val="0"/>
                  <w:vAlign w:val="center"/>
                </w:tcPr>
                <w:p w14:paraId="7EEB92ED">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248</w:t>
                  </w:r>
                </w:p>
              </w:tc>
            </w:tr>
            <w:tr w14:paraId="0AFFB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081" w:type="dxa"/>
                  <w:noWrap w:val="0"/>
                  <w:vAlign w:val="center"/>
                </w:tcPr>
                <w:p w14:paraId="1F5C736D">
                  <w:pPr>
                    <w:keepNext w:val="0"/>
                    <w:keepLines w:val="0"/>
                    <w:suppressLineNumbers w:val="0"/>
                    <w:spacing w:before="0" w:beforeAutospacing="0" w:after="0" w:afterAutospacing="0" w:line="280" w:lineRule="exact"/>
                    <w:ind w:left="0" w:right="0" w:firstLine="0" w:firstLineChars="0"/>
                    <w:jc w:val="center"/>
                    <w:textAlignment w:val="baseline"/>
                    <w:rPr>
                      <w:rFonts w:hint="default"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金鼎小区</w:t>
                  </w:r>
                </w:p>
              </w:tc>
              <w:tc>
                <w:tcPr>
                  <w:tcW w:w="1172" w:type="dxa"/>
                  <w:noWrap w:val="0"/>
                  <w:vAlign w:val="center"/>
                </w:tcPr>
                <w:p w14:paraId="6C299193">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130.947901</w:t>
                  </w:r>
                </w:p>
              </w:tc>
              <w:tc>
                <w:tcPr>
                  <w:tcW w:w="1097" w:type="dxa"/>
                  <w:noWrap w:val="0"/>
                  <w:vAlign w:val="center"/>
                </w:tcPr>
                <w:p w14:paraId="658F1E03">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45.311295</w:t>
                  </w:r>
                </w:p>
              </w:tc>
              <w:tc>
                <w:tcPr>
                  <w:tcW w:w="1058" w:type="dxa"/>
                  <w:shd w:val="clear" w:color="auto" w:fill="auto"/>
                  <w:noWrap w:val="0"/>
                  <w:vAlign w:val="center"/>
                </w:tcPr>
                <w:p w14:paraId="51DE7FF5">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居住区</w:t>
                  </w:r>
                </w:p>
              </w:tc>
              <w:tc>
                <w:tcPr>
                  <w:tcW w:w="946" w:type="dxa"/>
                  <w:vMerge w:val="continue"/>
                  <w:shd w:val="clear" w:color="auto" w:fill="auto"/>
                  <w:noWrap w:val="0"/>
                  <w:vAlign w:val="center"/>
                </w:tcPr>
                <w:p w14:paraId="5CE0B76C">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eastAsia" w:ascii="Times New Roman" w:hAnsi="Times New Roman" w:eastAsia="宋体" w:cs="Times New Roman"/>
                      <w:color w:val="auto"/>
                      <w:kern w:val="2"/>
                      <w:sz w:val="18"/>
                      <w:szCs w:val="18"/>
                      <w:highlight w:val="none"/>
                      <w:lang w:val="en-US" w:eastAsia="zh-CN" w:bidi="ar-SA"/>
                    </w:rPr>
                  </w:pPr>
                </w:p>
              </w:tc>
              <w:tc>
                <w:tcPr>
                  <w:tcW w:w="807" w:type="dxa"/>
                  <w:vMerge w:val="continue"/>
                  <w:noWrap w:val="0"/>
                  <w:vAlign w:val="center"/>
                </w:tcPr>
                <w:p w14:paraId="44844044">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rPr>
                  </w:pPr>
                </w:p>
              </w:tc>
              <w:tc>
                <w:tcPr>
                  <w:tcW w:w="894" w:type="dxa"/>
                  <w:noWrap w:val="0"/>
                  <w:vAlign w:val="center"/>
                </w:tcPr>
                <w:p w14:paraId="0BF5932A">
                  <w:pPr>
                    <w:keepNext w:val="0"/>
                    <w:keepLines w:val="0"/>
                    <w:suppressLineNumbers w:val="0"/>
                    <w:spacing w:before="0" w:beforeAutospacing="0" w:after="0" w:afterAutospacing="0" w:line="280" w:lineRule="exact"/>
                    <w:ind w:left="0" w:right="0" w:firstLine="0" w:firstLine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东南</w:t>
                  </w:r>
                </w:p>
              </w:tc>
              <w:tc>
                <w:tcPr>
                  <w:tcW w:w="1041" w:type="dxa"/>
                  <w:noWrap w:val="0"/>
                  <w:vAlign w:val="center"/>
                </w:tcPr>
                <w:p w14:paraId="09052E7F">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144</w:t>
                  </w:r>
                </w:p>
              </w:tc>
            </w:tr>
            <w:tr w14:paraId="59B73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081" w:type="dxa"/>
                  <w:noWrap w:val="0"/>
                  <w:vAlign w:val="center"/>
                </w:tcPr>
                <w:p w14:paraId="158A4D02">
                  <w:pPr>
                    <w:keepNext w:val="0"/>
                    <w:keepLines w:val="0"/>
                    <w:suppressLineNumbers w:val="0"/>
                    <w:spacing w:before="0" w:beforeAutospacing="0" w:after="0" w:afterAutospacing="0" w:line="280" w:lineRule="exact"/>
                    <w:ind w:left="0" w:right="0" w:firstLine="0" w:firstLineChars="0"/>
                    <w:jc w:val="center"/>
                    <w:textAlignment w:val="baseline"/>
                    <w:rPr>
                      <w:rFonts w:hint="default"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大众医院</w:t>
                  </w:r>
                </w:p>
              </w:tc>
              <w:tc>
                <w:tcPr>
                  <w:tcW w:w="1172" w:type="dxa"/>
                  <w:noWrap w:val="0"/>
                  <w:vAlign w:val="center"/>
                </w:tcPr>
                <w:p w14:paraId="15DC8EC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130.941721</w:t>
                  </w:r>
                </w:p>
              </w:tc>
              <w:tc>
                <w:tcPr>
                  <w:tcW w:w="1097" w:type="dxa"/>
                  <w:noWrap w:val="0"/>
                  <w:vAlign w:val="center"/>
                </w:tcPr>
                <w:p w14:paraId="6F70083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45.315452</w:t>
                  </w:r>
                </w:p>
              </w:tc>
              <w:tc>
                <w:tcPr>
                  <w:tcW w:w="1058" w:type="dxa"/>
                  <w:noWrap w:val="0"/>
                  <w:vAlign w:val="center"/>
                </w:tcPr>
                <w:p w14:paraId="50BB629F">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医疗</w:t>
                  </w:r>
                </w:p>
              </w:tc>
              <w:tc>
                <w:tcPr>
                  <w:tcW w:w="946" w:type="dxa"/>
                  <w:vMerge w:val="continue"/>
                  <w:shd w:val="clear" w:color="auto" w:fill="auto"/>
                  <w:noWrap w:val="0"/>
                  <w:vAlign w:val="center"/>
                </w:tcPr>
                <w:p w14:paraId="21EBEC5F">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eastAsia" w:ascii="Times New Roman" w:hAnsi="Times New Roman" w:eastAsia="宋体" w:cs="Times New Roman"/>
                      <w:color w:val="auto"/>
                      <w:kern w:val="2"/>
                      <w:sz w:val="18"/>
                      <w:szCs w:val="18"/>
                      <w:highlight w:val="none"/>
                      <w:lang w:val="en-US" w:eastAsia="zh-CN" w:bidi="ar-SA"/>
                    </w:rPr>
                  </w:pPr>
                </w:p>
              </w:tc>
              <w:tc>
                <w:tcPr>
                  <w:tcW w:w="807" w:type="dxa"/>
                  <w:vMerge w:val="continue"/>
                  <w:noWrap w:val="0"/>
                  <w:vAlign w:val="center"/>
                </w:tcPr>
                <w:p w14:paraId="7BF61D47">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rPr>
                  </w:pPr>
                </w:p>
              </w:tc>
              <w:tc>
                <w:tcPr>
                  <w:tcW w:w="894" w:type="dxa"/>
                  <w:noWrap w:val="0"/>
                  <w:vAlign w:val="center"/>
                </w:tcPr>
                <w:p w14:paraId="37003BAE">
                  <w:pPr>
                    <w:keepNext w:val="0"/>
                    <w:keepLines w:val="0"/>
                    <w:suppressLineNumbers w:val="0"/>
                    <w:spacing w:before="0" w:beforeAutospacing="0" w:after="0" w:afterAutospacing="0" w:line="280" w:lineRule="exact"/>
                    <w:ind w:left="0" w:right="0" w:firstLine="0" w:firstLine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w:t>
                  </w:r>
                </w:p>
              </w:tc>
              <w:tc>
                <w:tcPr>
                  <w:tcW w:w="1041" w:type="dxa"/>
                  <w:noWrap w:val="0"/>
                  <w:vAlign w:val="center"/>
                </w:tcPr>
                <w:p w14:paraId="50C94A30">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347</w:t>
                  </w:r>
                </w:p>
              </w:tc>
            </w:tr>
            <w:tr w14:paraId="466EA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81" w:type="dxa"/>
                  <w:noWrap w:val="0"/>
                  <w:vAlign w:val="center"/>
                </w:tcPr>
                <w:p w14:paraId="3107D417">
                  <w:pPr>
                    <w:keepNext w:val="0"/>
                    <w:keepLines w:val="0"/>
                    <w:suppressLineNumbers w:val="0"/>
                    <w:spacing w:before="0" w:beforeAutospacing="0" w:after="0" w:afterAutospacing="0" w:line="280" w:lineRule="exact"/>
                    <w:ind w:left="0" w:right="0" w:firstLine="0" w:firstLineChars="0"/>
                    <w:jc w:val="center"/>
                    <w:textAlignment w:val="baseline"/>
                    <w:rPr>
                      <w:rFonts w:hint="eastAsia"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西郊乡</w:t>
                  </w:r>
                </w:p>
                <w:p w14:paraId="22F27B74">
                  <w:pPr>
                    <w:keepNext w:val="0"/>
                    <w:keepLines w:val="0"/>
                    <w:suppressLineNumbers w:val="0"/>
                    <w:spacing w:before="0" w:beforeAutospacing="0" w:after="0" w:afterAutospacing="0" w:line="280" w:lineRule="exact"/>
                    <w:ind w:left="0" w:right="0" w:firstLine="0" w:firstLineChars="0"/>
                    <w:jc w:val="center"/>
                    <w:textAlignment w:val="baseline"/>
                    <w:rPr>
                      <w:rFonts w:hint="default"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人民政府</w:t>
                  </w:r>
                </w:p>
              </w:tc>
              <w:tc>
                <w:tcPr>
                  <w:tcW w:w="1172" w:type="dxa"/>
                  <w:noWrap w:val="0"/>
                  <w:vAlign w:val="center"/>
                </w:tcPr>
                <w:p w14:paraId="0418CB4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130.943888</w:t>
                  </w:r>
                </w:p>
              </w:tc>
              <w:tc>
                <w:tcPr>
                  <w:tcW w:w="1097" w:type="dxa"/>
                  <w:noWrap w:val="0"/>
                  <w:vAlign w:val="center"/>
                </w:tcPr>
                <w:p w14:paraId="7A06633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45.314177</w:t>
                  </w:r>
                </w:p>
              </w:tc>
              <w:tc>
                <w:tcPr>
                  <w:tcW w:w="1058" w:type="dxa"/>
                  <w:noWrap w:val="0"/>
                  <w:vAlign w:val="center"/>
                </w:tcPr>
                <w:p w14:paraId="1FE118B5">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行政</w:t>
                  </w:r>
                </w:p>
              </w:tc>
              <w:tc>
                <w:tcPr>
                  <w:tcW w:w="946" w:type="dxa"/>
                  <w:vMerge w:val="continue"/>
                  <w:shd w:val="clear" w:color="auto" w:fill="auto"/>
                  <w:noWrap w:val="0"/>
                  <w:vAlign w:val="center"/>
                </w:tcPr>
                <w:p w14:paraId="089D480B">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eastAsia" w:ascii="Times New Roman" w:hAnsi="Times New Roman" w:eastAsia="宋体" w:cs="Times New Roman"/>
                      <w:color w:val="auto"/>
                      <w:kern w:val="2"/>
                      <w:sz w:val="18"/>
                      <w:szCs w:val="18"/>
                      <w:highlight w:val="none"/>
                      <w:lang w:val="en-US" w:eastAsia="zh-CN" w:bidi="ar-SA"/>
                    </w:rPr>
                  </w:pPr>
                </w:p>
              </w:tc>
              <w:tc>
                <w:tcPr>
                  <w:tcW w:w="807" w:type="dxa"/>
                  <w:vMerge w:val="continue"/>
                  <w:noWrap w:val="0"/>
                  <w:vAlign w:val="center"/>
                </w:tcPr>
                <w:p w14:paraId="7D0917BA">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rPr>
                  </w:pPr>
                </w:p>
              </w:tc>
              <w:tc>
                <w:tcPr>
                  <w:tcW w:w="894" w:type="dxa"/>
                  <w:noWrap w:val="0"/>
                  <w:vAlign w:val="center"/>
                </w:tcPr>
                <w:p w14:paraId="7D7DA097">
                  <w:pPr>
                    <w:keepNext w:val="0"/>
                    <w:keepLines w:val="0"/>
                    <w:suppressLineNumbers w:val="0"/>
                    <w:spacing w:before="0" w:beforeAutospacing="0" w:after="0" w:afterAutospacing="0" w:line="280" w:lineRule="exact"/>
                    <w:ind w:left="0" w:right="0" w:firstLine="0" w:firstLine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w:t>
                  </w:r>
                </w:p>
              </w:tc>
              <w:tc>
                <w:tcPr>
                  <w:tcW w:w="1041" w:type="dxa"/>
                  <w:noWrap w:val="0"/>
                  <w:vAlign w:val="center"/>
                </w:tcPr>
                <w:p w14:paraId="6B03A2E1">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151</w:t>
                  </w:r>
                </w:p>
              </w:tc>
            </w:tr>
          </w:tbl>
          <w:p w14:paraId="11A77FFC">
            <w:pPr>
              <w:keepNext w:val="0"/>
              <w:keepLines w:val="0"/>
              <w:pageBreakBefore w:val="0"/>
              <w:widowControl w:val="0"/>
              <w:suppressLineNumbers w:val="0"/>
              <w:kinsoku/>
              <w:wordWrap/>
              <w:overflowPunct/>
              <w:topLinePunct/>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黑体" w:cs="Times New Roman"/>
                <w:b w:val="0"/>
                <w:bCs w:val="0"/>
                <w:color w:val="auto"/>
                <w:sz w:val="21"/>
                <w:szCs w:val="21"/>
                <w:highlight w:val="none"/>
                <w:lang w:val="en-US" w:eastAsia="zh-CN"/>
              </w:rPr>
            </w:pPr>
            <w:r>
              <w:rPr>
                <w:rFonts w:hint="eastAsia" w:ascii="宋体" w:hAnsi="宋体" w:eastAsia="宋体" w:cs="宋体"/>
                <w:b/>
                <w:bCs/>
                <w:color w:val="auto"/>
                <w:sz w:val="21"/>
                <w:szCs w:val="21"/>
                <w:highlight w:val="none"/>
                <w:lang w:eastAsia="zh-CN"/>
              </w:rPr>
              <w:t>表</w:t>
            </w:r>
            <w:r>
              <w:rPr>
                <w:rFonts w:hint="default" w:ascii="Times New Roman" w:hAnsi="Times New Roman" w:eastAsia="黑体" w:cs="Times New Roman"/>
                <w:b/>
                <w:bCs/>
                <w:color w:val="auto"/>
                <w:sz w:val="21"/>
                <w:szCs w:val="21"/>
                <w:highlight w:val="none"/>
                <w:lang w:val="en-US" w:eastAsia="zh-CN"/>
              </w:rPr>
              <w:t>3</w:t>
            </w:r>
            <w:r>
              <w:rPr>
                <w:rFonts w:hint="eastAsia" w:ascii="Times New Roman" w:hAnsi="Times New Roman" w:eastAsia="黑体" w:cs="Times New Roman"/>
                <w:b/>
                <w:bCs/>
                <w:color w:val="auto"/>
                <w:sz w:val="21"/>
                <w:szCs w:val="21"/>
                <w:highlight w:val="none"/>
                <w:lang w:val="en-US" w:eastAsia="zh-CN"/>
              </w:rPr>
              <w:t>-</w:t>
            </w:r>
            <w:r>
              <w:rPr>
                <w:rFonts w:hint="eastAsia" w:eastAsia="黑体" w:cs="Times New Roman"/>
                <w:b/>
                <w:bCs/>
                <w:color w:val="auto"/>
                <w:sz w:val="21"/>
                <w:szCs w:val="21"/>
                <w:highlight w:val="none"/>
                <w:lang w:val="en-US" w:eastAsia="zh-CN"/>
              </w:rPr>
              <w:t>4</w:t>
            </w:r>
            <w:r>
              <w:rPr>
                <w:rFonts w:hint="eastAsia" w:ascii="宋体" w:hAnsi="宋体" w:eastAsia="宋体" w:cs="宋体"/>
                <w:b/>
                <w:bCs/>
                <w:color w:val="auto"/>
                <w:sz w:val="21"/>
                <w:szCs w:val="21"/>
                <w:highlight w:val="none"/>
                <w:lang w:val="en-US" w:eastAsia="zh-CN"/>
              </w:rPr>
              <w:t>本项目声环境敏感目标情况一览表</w:t>
            </w:r>
          </w:p>
          <w:tbl>
            <w:tblPr>
              <w:tblStyle w:val="37"/>
              <w:tblW w:w="803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137"/>
              <w:gridCol w:w="1034"/>
              <w:gridCol w:w="782"/>
              <w:gridCol w:w="630"/>
              <w:gridCol w:w="2135"/>
              <w:gridCol w:w="740"/>
              <w:gridCol w:w="829"/>
            </w:tblGrid>
            <w:tr w14:paraId="4C0BE5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750" w:type="dxa"/>
                  <w:vMerge w:val="restart"/>
                  <w:noWrap w:val="0"/>
                  <w:vAlign w:val="center"/>
                </w:tcPr>
                <w:p w14:paraId="5F220181">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名称</w:t>
                  </w:r>
                </w:p>
              </w:tc>
              <w:tc>
                <w:tcPr>
                  <w:tcW w:w="2171" w:type="dxa"/>
                  <w:gridSpan w:val="2"/>
                  <w:noWrap w:val="0"/>
                  <w:vAlign w:val="center"/>
                </w:tcPr>
                <w:p w14:paraId="6B196A5E">
                  <w:pPr>
                    <w:keepNext w:val="0"/>
                    <w:keepLines w:val="0"/>
                    <w:suppressLineNumbers w:val="0"/>
                    <w:spacing w:before="0" w:beforeAutospacing="0" w:after="0" w:afterAutospacing="0" w:line="280" w:lineRule="exact"/>
                    <w:ind w:left="0" w:right="0" w:firstLine="40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坐标</w:t>
                  </w:r>
                  <w:r>
                    <w:rPr>
                      <w:rFonts w:hint="default" w:ascii="Times New Roman" w:hAnsi="Times New Roman" w:cs="Times New Roman"/>
                      <w:b/>
                      <w:bCs/>
                      <w:color w:val="auto"/>
                      <w:sz w:val="18"/>
                      <w:szCs w:val="18"/>
                      <w:highlight w:val="none"/>
                    </w:rPr>
                    <w:t>/</w:t>
                  </w:r>
                  <w:r>
                    <w:rPr>
                      <w:rFonts w:hint="default" w:ascii="Times New Roman" w:hAnsi="Times New Roman" w:eastAsia="宋体" w:cs="Times New Roman"/>
                      <w:b/>
                      <w:bCs/>
                      <w:color w:val="auto"/>
                      <w:sz w:val="18"/>
                      <w:szCs w:val="18"/>
                      <w:highlight w:val="none"/>
                    </w:rPr>
                    <w:t>°</w:t>
                  </w:r>
                </w:p>
              </w:tc>
              <w:tc>
                <w:tcPr>
                  <w:tcW w:w="782" w:type="dxa"/>
                  <w:vMerge w:val="restart"/>
                  <w:noWrap w:val="0"/>
                  <w:vAlign w:val="center"/>
                </w:tcPr>
                <w:p w14:paraId="6FE0150D">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保护对象</w:t>
                  </w:r>
                </w:p>
              </w:tc>
              <w:tc>
                <w:tcPr>
                  <w:tcW w:w="630" w:type="dxa"/>
                  <w:vMerge w:val="restart"/>
                  <w:noWrap w:val="0"/>
                  <w:vAlign w:val="center"/>
                </w:tcPr>
                <w:p w14:paraId="58BBB124">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保护内容</w:t>
                  </w:r>
                </w:p>
              </w:tc>
              <w:tc>
                <w:tcPr>
                  <w:tcW w:w="2135" w:type="dxa"/>
                  <w:vMerge w:val="restart"/>
                  <w:noWrap w:val="0"/>
                  <w:vAlign w:val="center"/>
                </w:tcPr>
                <w:p w14:paraId="2BE579F7">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环境功能区</w:t>
                  </w:r>
                </w:p>
              </w:tc>
              <w:tc>
                <w:tcPr>
                  <w:tcW w:w="740" w:type="dxa"/>
                  <w:vMerge w:val="restart"/>
                  <w:noWrap w:val="0"/>
                  <w:vAlign w:val="center"/>
                </w:tcPr>
                <w:p w14:paraId="16B981B5">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相对厂址方位</w:t>
                  </w:r>
                </w:p>
              </w:tc>
              <w:tc>
                <w:tcPr>
                  <w:tcW w:w="829" w:type="dxa"/>
                  <w:vMerge w:val="restart"/>
                  <w:noWrap w:val="0"/>
                  <w:vAlign w:val="center"/>
                </w:tcPr>
                <w:p w14:paraId="1B964231">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相对厂址距离</w:t>
                  </w:r>
                  <w:r>
                    <w:rPr>
                      <w:rFonts w:hint="default" w:ascii="Times New Roman" w:hAnsi="Times New Roman" w:cs="Times New Roman"/>
                      <w:b/>
                      <w:bCs/>
                      <w:color w:val="auto"/>
                      <w:sz w:val="18"/>
                      <w:szCs w:val="18"/>
                      <w:highlight w:val="none"/>
                    </w:rPr>
                    <w:t>/m</w:t>
                  </w:r>
                </w:p>
              </w:tc>
            </w:tr>
            <w:tr w14:paraId="4C06E2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750" w:type="dxa"/>
                  <w:vMerge w:val="continue"/>
                  <w:noWrap w:val="0"/>
                  <w:vAlign w:val="center"/>
                </w:tcPr>
                <w:p w14:paraId="4A11DABE">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p>
              </w:tc>
              <w:tc>
                <w:tcPr>
                  <w:tcW w:w="1137" w:type="dxa"/>
                  <w:noWrap w:val="0"/>
                  <w:vAlign w:val="center"/>
                </w:tcPr>
                <w:p w14:paraId="1B85102E">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经度</w:t>
                  </w:r>
                </w:p>
              </w:tc>
              <w:tc>
                <w:tcPr>
                  <w:tcW w:w="1034" w:type="dxa"/>
                  <w:noWrap w:val="0"/>
                  <w:vAlign w:val="center"/>
                </w:tcPr>
                <w:p w14:paraId="41D4217D">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纬度</w:t>
                  </w:r>
                </w:p>
              </w:tc>
              <w:tc>
                <w:tcPr>
                  <w:tcW w:w="782" w:type="dxa"/>
                  <w:vMerge w:val="continue"/>
                  <w:noWrap w:val="0"/>
                  <w:vAlign w:val="center"/>
                </w:tcPr>
                <w:p w14:paraId="0EA67E06">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c>
                <w:tcPr>
                  <w:tcW w:w="630" w:type="dxa"/>
                  <w:vMerge w:val="continue"/>
                  <w:noWrap w:val="0"/>
                  <w:vAlign w:val="center"/>
                </w:tcPr>
                <w:p w14:paraId="47E89094">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c>
                <w:tcPr>
                  <w:tcW w:w="2135" w:type="dxa"/>
                  <w:vMerge w:val="continue"/>
                  <w:noWrap w:val="0"/>
                  <w:vAlign w:val="center"/>
                </w:tcPr>
                <w:p w14:paraId="3A2532C5">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c>
                <w:tcPr>
                  <w:tcW w:w="740" w:type="dxa"/>
                  <w:vMerge w:val="continue"/>
                  <w:noWrap w:val="0"/>
                  <w:vAlign w:val="center"/>
                </w:tcPr>
                <w:p w14:paraId="3EB8B45D">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c>
                <w:tcPr>
                  <w:tcW w:w="829" w:type="dxa"/>
                  <w:vMerge w:val="continue"/>
                  <w:noWrap w:val="0"/>
                  <w:vAlign w:val="center"/>
                </w:tcPr>
                <w:p w14:paraId="7665EDBD">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cs="Times New Roman"/>
                      <w:color w:val="auto"/>
                      <w:sz w:val="18"/>
                      <w:szCs w:val="18"/>
                      <w:highlight w:val="none"/>
                    </w:rPr>
                  </w:pPr>
                </w:p>
              </w:tc>
            </w:tr>
            <w:tr w14:paraId="5D404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8" w:hRule="atLeast"/>
              </w:trPr>
              <w:tc>
                <w:tcPr>
                  <w:tcW w:w="750" w:type="dxa"/>
                  <w:shd w:val="clear" w:color="auto" w:fill="auto"/>
                  <w:noWrap w:val="0"/>
                  <w:vAlign w:val="center"/>
                </w:tcPr>
                <w:p w14:paraId="4BB26401">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eastAsia="宋体" w:cs="Times New Roman"/>
                      <w:color w:val="auto"/>
                      <w:sz w:val="18"/>
                      <w:szCs w:val="18"/>
                      <w:highlight w:val="none"/>
                      <w:lang w:val="en-US" w:eastAsia="zh-CN"/>
                    </w:rPr>
                    <w:t>西郊村居民</w:t>
                  </w:r>
                </w:p>
              </w:tc>
              <w:tc>
                <w:tcPr>
                  <w:tcW w:w="1137" w:type="dxa"/>
                  <w:noWrap w:val="0"/>
                  <w:vAlign w:val="center"/>
                </w:tcPr>
                <w:p w14:paraId="657222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rPr>
                    <w:t>130.945250</w:t>
                  </w:r>
                </w:p>
              </w:tc>
              <w:tc>
                <w:tcPr>
                  <w:tcW w:w="1034" w:type="dxa"/>
                  <w:noWrap w:val="0"/>
                  <w:vAlign w:val="center"/>
                </w:tcPr>
                <w:p w14:paraId="2D069F2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rPr>
                    <w:t>45.313513</w:t>
                  </w:r>
                </w:p>
              </w:tc>
              <w:tc>
                <w:tcPr>
                  <w:tcW w:w="782" w:type="dxa"/>
                  <w:noWrap w:val="0"/>
                  <w:vAlign w:val="center"/>
                </w:tcPr>
                <w:p w14:paraId="74B21681">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居住区</w:t>
                  </w:r>
                </w:p>
              </w:tc>
              <w:tc>
                <w:tcPr>
                  <w:tcW w:w="630" w:type="dxa"/>
                  <w:noWrap w:val="0"/>
                  <w:vAlign w:val="center"/>
                </w:tcPr>
                <w:p w14:paraId="6F83A05F">
                  <w:pPr>
                    <w:keepNext w:val="0"/>
                    <w:keepLines w:val="0"/>
                    <w:suppressLineNumbers w:val="0"/>
                    <w:spacing w:before="0" w:beforeAutospacing="0" w:after="0" w:afterAutospacing="0" w:line="280" w:lineRule="exact"/>
                    <w:ind w:left="0" w:right="0" w:firstLine="0" w:firstLineChars="0"/>
                    <w:jc w:val="center"/>
                    <w:textAlignment w:val="baseline"/>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人群</w:t>
                  </w:r>
                </w:p>
              </w:tc>
              <w:tc>
                <w:tcPr>
                  <w:tcW w:w="2135" w:type="dxa"/>
                  <w:noWrap w:val="0"/>
                  <w:vAlign w:val="center"/>
                </w:tcPr>
                <w:p w14:paraId="778E02F9">
                  <w:pPr>
                    <w:keepNext w:val="0"/>
                    <w:keepLines w:val="0"/>
                    <w:suppressLineNumbers w:val="0"/>
                    <w:spacing w:before="0" w:beforeAutospacing="0" w:after="0" w:afterAutospacing="0" w:line="280" w:lineRule="exact"/>
                    <w:ind w:left="0" w:right="0" w:firstLine="0" w:firstLineChars="0"/>
                    <w:jc w:val="center"/>
                    <w:textAlignment w:val="baseline"/>
                    <w:rPr>
                      <w:rFonts w:hint="default" w:ascii="Times New Roman" w:hAnsi="Times New Roman" w:eastAsia="宋体" w:cs="Times New Roman"/>
                      <w:color w:val="auto"/>
                      <w:sz w:val="18"/>
                      <w:szCs w:val="18"/>
                      <w:highlight w:val="none"/>
                      <w:lang w:val="en-US" w:eastAsia="zh-CN"/>
                    </w:rPr>
                  </w:pPr>
                  <w:r>
                    <w:rPr>
                      <w:rFonts w:hint="default"/>
                      <w:color w:val="auto"/>
                      <w:kern w:val="0"/>
                      <w:sz w:val="18"/>
                      <w:szCs w:val="18"/>
                      <w:highlight w:val="none"/>
                    </w:rPr>
                    <w:t>《声环境质量标准》</w:t>
                  </w:r>
                  <w:r>
                    <w:rPr>
                      <w:rFonts w:hint="default" w:ascii="Times New Roman" w:hAnsi="Times New Roman" w:cs="Times New Roman"/>
                      <w:color w:val="auto"/>
                      <w:kern w:val="0"/>
                      <w:sz w:val="18"/>
                      <w:szCs w:val="18"/>
                      <w:highlight w:val="none"/>
                    </w:rPr>
                    <w:t>GB3096</w:t>
                  </w:r>
                  <w:r>
                    <w:rPr>
                      <w:rFonts w:hint="default"/>
                      <w:color w:val="auto"/>
                      <w:kern w:val="0"/>
                      <w:sz w:val="18"/>
                      <w:szCs w:val="18"/>
                      <w:highlight w:val="none"/>
                    </w:rPr>
                    <w:t>-</w:t>
                  </w:r>
                  <w:r>
                    <w:rPr>
                      <w:rFonts w:hint="default" w:ascii="Times New Roman" w:hAnsi="Times New Roman" w:cs="Times New Roman"/>
                      <w:color w:val="auto"/>
                      <w:kern w:val="0"/>
                      <w:sz w:val="18"/>
                      <w:szCs w:val="18"/>
                      <w:highlight w:val="none"/>
                    </w:rPr>
                    <w:t>2008</w:t>
                  </w:r>
                  <w:r>
                    <w:rPr>
                      <w:rFonts w:hint="eastAsia"/>
                      <w:color w:val="auto"/>
                      <w:kern w:val="0"/>
                      <w:sz w:val="18"/>
                      <w:szCs w:val="18"/>
                      <w:highlight w:val="none"/>
                      <w:lang w:eastAsia="zh-CN"/>
                    </w:rPr>
                    <w:t>中</w:t>
                  </w:r>
                  <w:r>
                    <w:rPr>
                      <w:rFonts w:hint="eastAsia" w:ascii="Times New Roman" w:hAnsi="Times New Roman" w:cs="Times New Roman"/>
                      <w:color w:val="auto"/>
                      <w:kern w:val="0"/>
                      <w:sz w:val="18"/>
                      <w:szCs w:val="18"/>
                      <w:highlight w:val="none"/>
                      <w:lang w:val="en-US" w:eastAsia="zh-CN"/>
                    </w:rPr>
                    <w:t>2类</w:t>
                  </w:r>
                  <w:r>
                    <w:rPr>
                      <w:rFonts w:hint="eastAsia"/>
                      <w:color w:val="auto"/>
                      <w:kern w:val="0"/>
                      <w:sz w:val="18"/>
                      <w:szCs w:val="18"/>
                      <w:highlight w:val="none"/>
                      <w:lang w:val="en-US" w:eastAsia="zh-CN"/>
                    </w:rPr>
                    <w:t>区</w:t>
                  </w:r>
                </w:p>
              </w:tc>
              <w:tc>
                <w:tcPr>
                  <w:tcW w:w="740" w:type="dxa"/>
                  <w:noWrap w:val="0"/>
                  <w:vAlign w:val="center"/>
                </w:tcPr>
                <w:p w14:paraId="4D631E76">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东</w:t>
                  </w:r>
                </w:p>
              </w:tc>
              <w:tc>
                <w:tcPr>
                  <w:tcW w:w="829" w:type="dxa"/>
                  <w:noWrap w:val="0"/>
                  <w:vAlign w:val="center"/>
                </w:tcPr>
                <w:p w14:paraId="36D73F0E">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eastAsia="宋体" w:cs="Times New Roman"/>
                      <w:color w:val="auto"/>
                      <w:sz w:val="18"/>
                      <w:szCs w:val="18"/>
                      <w:highlight w:val="none"/>
                      <w:lang w:val="en-US" w:eastAsia="zh-CN"/>
                    </w:rPr>
                    <w:t>15</w:t>
                  </w:r>
                </w:p>
              </w:tc>
            </w:tr>
          </w:tbl>
          <w:p w14:paraId="6A3199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eastAsia="宋体"/>
                <w:color w:val="auto"/>
                <w:highlight w:val="none"/>
                <w:lang w:val="en-US" w:eastAsia="zh-CN"/>
              </w:rPr>
            </w:pPr>
          </w:p>
        </w:tc>
      </w:tr>
      <w:tr w14:paraId="49BA6E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52" w:type="pct"/>
            <w:vAlign w:val="center"/>
          </w:tcPr>
          <w:p w14:paraId="18A0265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污染物排放控制标准</w:t>
            </w:r>
          </w:p>
        </w:tc>
        <w:tc>
          <w:tcPr>
            <w:tcW w:w="4547" w:type="pct"/>
            <w:vAlign w:val="center"/>
          </w:tcPr>
          <w:p w14:paraId="2666B0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eastAsia" w:cs="Times New Roman"/>
                <w:b/>
                <w:bCs/>
                <w:color w:val="auto"/>
                <w:sz w:val="21"/>
                <w:szCs w:val="21"/>
                <w:highlight w:val="none"/>
                <w:lang w:val="en-US" w:eastAsia="zh-CN"/>
              </w:rPr>
              <w:t>1</w:t>
            </w:r>
            <w:r>
              <w:rPr>
                <w:rFonts w:hint="default" w:ascii="Times New Roman" w:hAnsi="Times New Roman" w:cs="Times New Roman"/>
                <w:b/>
                <w:bCs/>
                <w:color w:val="auto"/>
                <w:sz w:val="21"/>
                <w:szCs w:val="21"/>
                <w:highlight w:val="none"/>
              </w:rPr>
              <w:t>、废水</w:t>
            </w:r>
          </w:p>
          <w:p w14:paraId="77166A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pacing w:val="-2"/>
                <w:sz w:val="21"/>
                <w:szCs w:val="21"/>
                <w:highlight w:val="none"/>
              </w:rPr>
            </w:pPr>
            <w:r>
              <w:rPr>
                <w:rFonts w:hint="default" w:ascii="Times New Roman" w:hAnsi="Times New Roman" w:eastAsia="宋体" w:cs="Times New Roman"/>
                <w:color w:val="auto"/>
                <w:sz w:val="21"/>
                <w:szCs w:val="21"/>
                <w:highlight w:val="none"/>
              </w:rPr>
              <w:t>本项目</w:t>
            </w:r>
            <w:r>
              <w:rPr>
                <w:rFonts w:hint="eastAsia" w:cs="Times New Roman"/>
                <w:color w:val="auto"/>
                <w:sz w:val="21"/>
                <w:szCs w:val="21"/>
                <w:highlight w:val="none"/>
                <w:lang w:val="en-US" w:eastAsia="zh-CN"/>
              </w:rPr>
              <w:t>生活污水收集至化粪池，处理后满足</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（GB8978-1996）三</w:t>
            </w:r>
            <w:r>
              <w:rPr>
                <w:rFonts w:hint="eastAsia" w:ascii="Times New Roman" w:hAnsi="Times New Roman" w:cs="Times New Roman"/>
                <w:color w:val="auto"/>
                <w:sz w:val="21"/>
                <w:szCs w:val="21"/>
                <w:highlight w:val="none"/>
                <w:lang w:val="en-US" w:eastAsia="zh-CN"/>
              </w:rPr>
              <w:t>级标准及</w:t>
            </w:r>
            <w:r>
              <w:rPr>
                <w:rFonts w:hint="default" w:ascii="Times New Roman" w:hAnsi="Times New Roman" w:cs="Times New Roman"/>
                <w:color w:val="auto"/>
                <w:sz w:val="21"/>
                <w:szCs w:val="21"/>
                <w:highlight w:val="none"/>
                <w:lang w:val="en-US" w:eastAsia="zh-CN"/>
              </w:rPr>
              <w:t>鸡西市</w:t>
            </w:r>
            <w:r>
              <w:rPr>
                <w:rFonts w:hint="eastAsia" w:ascii="Times New Roman" w:hAnsi="Times New Roman" w:cs="Times New Roman"/>
                <w:color w:val="auto"/>
                <w:sz w:val="21"/>
                <w:szCs w:val="21"/>
                <w:highlight w:val="none"/>
                <w:lang w:val="en-US" w:eastAsia="zh-CN"/>
              </w:rPr>
              <w:t>鸡冠区</w:t>
            </w:r>
            <w:r>
              <w:rPr>
                <w:rFonts w:hint="default" w:ascii="Times New Roman" w:hAnsi="Times New Roman" w:cs="Times New Roman"/>
                <w:color w:val="auto"/>
                <w:sz w:val="21"/>
                <w:szCs w:val="21"/>
                <w:highlight w:val="none"/>
                <w:lang w:val="en-US" w:eastAsia="zh-CN"/>
              </w:rPr>
              <w:t>污水处理厂</w:t>
            </w:r>
            <w:r>
              <w:rPr>
                <w:rFonts w:hint="eastAsia" w:ascii="Times New Roman" w:hAnsi="Times New Roman" w:cs="Times New Roman"/>
                <w:color w:val="auto"/>
                <w:sz w:val="21"/>
                <w:szCs w:val="21"/>
                <w:highlight w:val="none"/>
                <w:lang w:val="en-US" w:eastAsia="zh-CN"/>
              </w:rPr>
              <w:t>进水标准，</w:t>
            </w:r>
            <w:r>
              <w:rPr>
                <w:rFonts w:hint="default" w:ascii="Times New Roman" w:hAnsi="Times New Roman" w:cs="Times New Roman"/>
                <w:color w:val="auto"/>
                <w:sz w:val="21"/>
                <w:szCs w:val="21"/>
                <w:highlight w:val="none"/>
                <w:lang w:val="en-US" w:eastAsia="zh-CN"/>
              </w:rPr>
              <w:t>排入污水管网</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经鸡西市</w:t>
            </w:r>
            <w:r>
              <w:rPr>
                <w:rFonts w:hint="eastAsia" w:ascii="Times New Roman" w:hAnsi="Times New Roman" w:cs="Times New Roman"/>
                <w:color w:val="auto"/>
                <w:sz w:val="21"/>
                <w:szCs w:val="21"/>
                <w:highlight w:val="none"/>
                <w:lang w:val="en-US" w:eastAsia="zh-CN"/>
              </w:rPr>
              <w:t>鸡冠区</w:t>
            </w:r>
            <w:r>
              <w:rPr>
                <w:rFonts w:hint="default" w:ascii="Times New Roman" w:hAnsi="Times New Roman" w:cs="Times New Roman"/>
                <w:color w:val="auto"/>
                <w:sz w:val="21"/>
                <w:szCs w:val="21"/>
                <w:highlight w:val="none"/>
                <w:lang w:val="en-US" w:eastAsia="zh-CN"/>
              </w:rPr>
              <w:t>污水处理厂处理后排入穆棱河</w:t>
            </w:r>
            <w:r>
              <w:rPr>
                <w:rFonts w:hint="eastAsia" w:ascii="Times New Roman" w:hAnsi="Times New Roman" w:cs="Times New Roman"/>
                <w:color w:val="auto"/>
                <w:sz w:val="21"/>
                <w:szCs w:val="21"/>
                <w:highlight w:val="none"/>
                <w:lang w:val="en-US" w:eastAsia="zh-CN"/>
              </w:rPr>
              <w:t>。排泥水经絮凝，压滤处</w:t>
            </w:r>
            <w:r>
              <w:rPr>
                <w:rFonts w:hint="eastAsia" w:cs="Times New Roman"/>
                <w:color w:val="auto"/>
                <w:sz w:val="21"/>
                <w:szCs w:val="21"/>
                <w:highlight w:val="none"/>
                <w:lang w:val="en-US" w:eastAsia="zh-CN"/>
              </w:rPr>
              <w:t>理后排放至穆棱河。参照《鸡西市供水有限公司西郊净水厂入河排污口设置论证报告》，鸡西市生态环境局同意设置鸡西市供水有限公司西郊净水厂排污口的决定书（鸡排污口许准字 [2025] 第19号），执行</w:t>
            </w:r>
            <w:r>
              <w:rPr>
                <w:rFonts w:hint="eastAsia" w:cs="Times New Roman"/>
                <w:color w:val="auto"/>
                <w:spacing w:val="0"/>
                <w:sz w:val="21"/>
                <w:szCs w:val="21"/>
                <w:highlight w:val="none"/>
                <w:lang w:val="en-US" w:eastAsia="zh-CN"/>
              </w:rPr>
              <w:t>《地表水环境质量标准》（GB3838-2002）表1中三类标准，悬浮物为本项目废水中特征污染物，因《地表水环境质量标准》（GB3838-2002）无限值要求，故参照</w:t>
            </w:r>
            <w:r>
              <w:rPr>
                <w:rFonts w:hint="default" w:ascii="Times New Roman" w:hAnsi="Times New Roman" w:eastAsia="宋体" w:cs="Times New Roman"/>
                <w:color w:val="auto"/>
                <w:sz w:val="21"/>
                <w:szCs w:val="21"/>
                <w:highlight w:val="none"/>
                <w:lang w:val="en-US" w:eastAsia="zh-CN"/>
              </w:rPr>
              <w:t>《污水综合排放标准》</w:t>
            </w:r>
            <w:r>
              <w:rPr>
                <w:rFonts w:hint="eastAsia" w:cs="Times New Roman"/>
                <w:color w:val="auto"/>
                <w:sz w:val="21"/>
                <w:szCs w:val="21"/>
                <w:highlight w:val="none"/>
                <w:lang w:val="en-US" w:eastAsia="zh-CN"/>
              </w:rPr>
              <w:t>（GB8978-1996）执行一级标准</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标</w:t>
            </w:r>
            <w:r>
              <w:rPr>
                <w:rFonts w:hint="default" w:ascii="Times New Roman" w:hAnsi="Times New Roman" w:eastAsia="宋体" w:cs="Times New Roman"/>
                <w:color w:val="auto"/>
                <w:kern w:val="0"/>
                <w:sz w:val="21"/>
                <w:szCs w:val="21"/>
                <w:highlight w:val="none"/>
              </w:rPr>
              <w:t>值见表</w:t>
            </w:r>
            <w:r>
              <w:rPr>
                <w:rFonts w:hint="default" w:ascii="Times New Roman" w:hAnsi="Times New Roman" w:eastAsia="宋体" w:cs="Times New Roman"/>
                <w:color w:val="auto"/>
                <w:kern w:val="0"/>
                <w:sz w:val="21"/>
                <w:szCs w:val="21"/>
                <w:highlight w:val="none"/>
                <w:lang w:val="en-US" w:eastAsia="zh-CN"/>
              </w:rPr>
              <w:t>3-</w:t>
            </w:r>
            <w:r>
              <w:rPr>
                <w:rFonts w:hint="eastAsia" w:cs="Times New Roman"/>
                <w:color w:val="auto"/>
                <w:kern w:val="0"/>
                <w:sz w:val="21"/>
                <w:szCs w:val="21"/>
                <w:highlight w:val="none"/>
                <w:lang w:val="en-US" w:eastAsia="zh-CN"/>
              </w:rPr>
              <w:t>5、3-6</w:t>
            </w:r>
            <w:r>
              <w:rPr>
                <w:rFonts w:hint="default" w:ascii="Times New Roman" w:hAnsi="Times New Roman" w:eastAsia="宋体" w:cs="Times New Roman"/>
                <w:bCs/>
                <w:color w:val="auto"/>
                <w:spacing w:val="-2"/>
                <w:sz w:val="21"/>
                <w:szCs w:val="21"/>
                <w:highlight w:val="none"/>
              </w:rPr>
              <w:t>。</w:t>
            </w:r>
          </w:p>
          <w:p w14:paraId="5EB625E6">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cs="Times New Roman"/>
                <w:b/>
                <w:color w:val="auto"/>
                <w:position w:val="0"/>
                <w:sz w:val="21"/>
                <w:szCs w:val="21"/>
                <w:highlight w:val="yellow"/>
                <w:lang w:val="en-US" w:eastAsia="zh-CN"/>
              </w:rPr>
            </w:pPr>
            <w:r>
              <w:rPr>
                <w:rFonts w:hint="eastAsia" w:ascii="宋体" w:hAnsi="宋体" w:cs="宋体"/>
                <w:b/>
                <w:color w:val="auto"/>
                <w:position w:val="0"/>
                <w:sz w:val="21"/>
                <w:szCs w:val="21"/>
                <w:highlight w:val="none"/>
              </w:rPr>
              <w:t>表</w:t>
            </w:r>
            <w:r>
              <w:rPr>
                <w:rFonts w:hint="default" w:ascii="Times New Roman" w:hAnsi="Times New Roman" w:cs="Times New Roman"/>
                <w:b/>
                <w:color w:val="auto"/>
                <w:position w:val="0"/>
                <w:sz w:val="21"/>
                <w:szCs w:val="21"/>
                <w:highlight w:val="none"/>
              </w:rPr>
              <w:t>3-</w:t>
            </w:r>
            <w:r>
              <w:rPr>
                <w:rFonts w:hint="eastAsia" w:ascii="Times New Roman" w:hAnsi="Times New Roman" w:cs="Times New Roman"/>
                <w:b/>
                <w:color w:val="auto"/>
                <w:position w:val="0"/>
                <w:sz w:val="21"/>
                <w:szCs w:val="21"/>
                <w:highlight w:val="none"/>
                <w:lang w:val="en-US" w:eastAsia="zh-CN"/>
              </w:rPr>
              <w:t>5</w:t>
            </w:r>
            <w:r>
              <w:rPr>
                <w:rFonts w:hint="default" w:ascii="Times New Roman" w:hAnsi="Times New Roman" w:cs="Times New Roman"/>
                <w:b/>
                <w:bCs/>
                <w:color w:val="auto"/>
                <w:spacing w:val="0"/>
                <w:position w:val="0"/>
                <w:sz w:val="21"/>
                <w:szCs w:val="21"/>
                <w:highlight w:val="none"/>
                <w:lang w:val="en-US" w:eastAsia="zh-CN"/>
              </w:rPr>
              <w:t>《地表水环境质量标准》（GB3838-2002）表1中三类标准</w:t>
            </w:r>
            <w:r>
              <w:rPr>
                <w:rFonts w:hint="eastAsia" w:ascii="宋体" w:hAnsi="宋体" w:cs="宋体"/>
                <w:b/>
                <w:color w:val="auto"/>
                <w:position w:val="0"/>
                <w:sz w:val="21"/>
                <w:szCs w:val="21"/>
                <w:highlight w:val="none"/>
                <w:lang w:val="en-US" w:eastAsia="zh-CN"/>
              </w:rPr>
              <w:t xml:space="preserve">  </w:t>
            </w:r>
            <w:r>
              <w:rPr>
                <w:rFonts w:hint="default" w:ascii="Times New Roman" w:hAnsi="Times New Roman" w:cs="Times New Roman"/>
                <w:b/>
                <w:color w:val="auto"/>
                <w:position w:val="0"/>
                <w:sz w:val="21"/>
                <w:szCs w:val="21"/>
                <w:highlight w:val="none"/>
                <w:lang w:val="en-US" w:eastAsia="zh-CN"/>
              </w:rPr>
              <w:t>单位：mg/L</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2548"/>
              <w:gridCol w:w="2145"/>
              <w:gridCol w:w="2626"/>
            </w:tblGrid>
            <w:tr w14:paraId="00D06F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trPr>
              <w:tc>
                <w:tcPr>
                  <w:tcW w:w="760" w:type="dxa"/>
                  <w:vAlign w:val="center"/>
                </w:tcPr>
                <w:p w14:paraId="480C05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序号</w:t>
                  </w:r>
                </w:p>
              </w:tc>
              <w:tc>
                <w:tcPr>
                  <w:tcW w:w="2701" w:type="dxa"/>
                  <w:vAlign w:val="center"/>
                </w:tcPr>
                <w:p w14:paraId="1CDF95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标准号及名称</w:t>
                  </w:r>
                </w:p>
              </w:tc>
              <w:tc>
                <w:tcPr>
                  <w:tcW w:w="2274" w:type="dxa"/>
                  <w:vAlign w:val="center"/>
                </w:tcPr>
                <w:p w14:paraId="66133E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项目</w:t>
                  </w:r>
                </w:p>
              </w:tc>
              <w:tc>
                <w:tcPr>
                  <w:tcW w:w="2784" w:type="dxa"/>
                  <w:vAlign w:val="center"/>
                </w:tcPr>
                <w:p w14:paraId="230A5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标准限值（mg/L），Ⅲ类</w:t>
                  </w:r>
                </w:p>
              </w:tc>
            </w:tr>
            <w:tr w14:paraId="3639E7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7BE81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w:t>
                  </w:r>
                </w:p>
              </w:tc>
              <w:tc>
                <w:tcPr>
                  <w:tcW w:w="2701" w:type="dxa"/>
                  <w:vMerge w:val="restart"/>
                  <w:vAlign w:val="center"/>
                </w:tcPr>
                <w:p w14:paraId="2DB5C3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rPr>
                    <w:t>《地表水环境质量标准》(GB3838-2002)表1</w:t>
                  </w:r>
                  <w:r>
                    <w:rPr>
                      <w:rFonts w:hint="eastAsia" w:ascii="Times New Roman" w:hAnsi="Times New Roman" w:eastAsia="宋体" w:cs="Times New Roman"/>
                      <w:color w:val="auto"/>
                      <w:kern w:val="0"/>
                      <w:sz w:val="18"/>
                      <w:szCs w:val="18"/>
                      <w:highlight w:val="none"/>
                      <w:lang w:val="en-US" w:eastAsia="zh-CN"/>
                    </w:rPr>
                    <w:t>中三类</w:t>
                  </w:r>
                </w:p>
              </w:tc>
              <w:tc>
                <w:tcPr>
                  <w:tcW w:w="2274" w:type="dxa"/>
                  <w:vAlign w:val="center"/>
                </w:tcPr>
                <w:p w14:paraId="7E0FAE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pH</w:t>
                  </w:r>
                </w:p>
              </w:tc>
              <w:tc>
                <w:tcPr>
                  <w:tcW w:w="2784" w:type="dxa"/>
                  <w:vAlign w:val="center"/>
                </w:tcPr>
                <w:p w14:paraId="0CF576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6-9（无量纲）</w:t>
                  </w:r>
                </w:p>
              </w:tc>
            </w:tr>
            <w:tr w14:paraId="381B18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773246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2</w:t>
                  </w:r>
                </w:p>
              </w:tc>
              <w:tc>
                <w:tcPr>
                  <w:tcW w:w="2701" w:type="dxa"/>
                  <w:vMerge w:val="continue"/>
                  <w:vAlign w:val="center"/>
                </w:tcPr>
                <w:p w14:paraId="59CFC5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7F149B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溶解氧≥</w:t>
                  </w:r>
                </w:p>
              </w:tc>
              <w:tc>
                <w:tcPr>
                  <w:tcW w:w="2784" w:type="dxa"/>
                  <w:vAlign w:val="center"/>
                </w:tcPr>
                <w:p w14:paraId="6F11BA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5</w:t>
                  </w:r>
                </w:p>
              </w:tc>
            </w:tr>
            <w:tr w14:paraId="1B784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4DA7C8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3</w:t>
                  </w:r>
                </w:p>
              </w:tc>
              <w:tc>
                <w:tcPr>
                  <w:tcW w:w="2701" w:type="dxa"/>
                  <w:vMerge w:val="continue"/>
                  <w:vAlign w:val="center"/>
                </w:tcPr>
                <w:p w14:paraId="2707AE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3C910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高锰酸盐指数</w:t>
                  </w:r>
                </w:p>
              </w:tc>
              <w:tc>
                <w:tcPr>
                  <w:tcW w:w="2784" w:type="dxa"/>
                  <w:vAlign w:val="center"/>
                </w:tcPr>
                <w:p w14:paraId="5F377E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6</w:t>
                  </w:r>
                </w:p>
              </w:tc>
            </w:tr>
            <w:tr w14:paraId="28BA7A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16B36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4</w:t>
                  </w:r>
                </w:p>
              </w:tc>
              <w:tc>
                <w:tcPr>
                  <w:tcW w:w="2701" w:type="dxa"/>
                  <w:vMerge w:val="continue"/>
                  <w:vAlign w:val="center"/>
                </w:tcPr>
                <w:p w14:paraId="7FBCDF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19B09F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COD</w:t>
                  </w:r>
                </w:p>
              </w:tc>
              <w:tc>
                <w:tcPr>
                  <w:tcW w:w="2784" w:type="dxa"/>
                  <w:vAlign w:val="center"/>
                </w:tcPr>
                <w:p w14:paraId="173E9F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20</w:t>
                  </w:r>
                </w:p>
              </w:tc>
            </w:tr>
            <w:tr w14:paraId="3ACE7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36E4CF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5</w:t>
                  </w:r>
                </w:p>
              </w:tc>
              <w:tc>
                <w:tcPr>
                  <w:tcW w:w="2701" w:type="dxa"/>
                  <w:vMerge w:val="continue"/>
                  <w:vAlign w:val="center"/>
                </w:tcPr>
                <w:p w14:paraId="33A197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1E1E4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BOD</w:t>
                  </w:r>
                  <w:r>
                    <w:rPr>
                      <w:rFonts w:hint="default" w:ascii="Times New Roman" w:hAnsi="Times New Roman" w:eastAsia="宋体" w:cs="Times New Roman"/>
                      <w:color w:val="auto"/>
                      <w:kern w:val="0"/>
                      <w:sz w:val="18"/>
                      <w:szCs w:val="18"/>
                      <w:highlight w:val="none"/>
                      <w:vertAlign w:val="subscript"/>
                    </w:rPr>
                    <w:t>5</w:t>
                  </w:r>
                </w:p>
              </w:tc>
              <w:tc>
                <w:tcPr>
                  <w:tcW w:w="2784" w:type="dxa"/>
                  <w:vAlign w:val="center"/>
                </w:tcPr>
                <w:p w14:paraId="259DE6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4</w:t>
                  </w:r>
                </w:p>
              </w:tc>
            </w:tr>
            <w:tr w14:paraId="5C539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0554C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6</w:t>
                  </w:r>
                </w:p>
              </w:tc>
              <w:tc>
                <w:tcPr>
                  <w:tcW w:w="2701" w:type="dxa"/>
                  <w:vMerge w:val="continue"/>
                  <w:vAlign w:val="center"/>
                </w:tcPr>
                <w:p w14:paraId="4AAC2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09ACAB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氨氮</w:t>
                  </w:r>
                </w:p>
              </w:tc>
              <w:tc>
                <w:tcPr>
                  <w:tcW w:w="2784" w:type="dxa"/>
                  <w:vAlign w:val="center"/>
                </w:tcPr>
                <w:p w14:paraId="6B4F96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1.0</w:t>
                  </w:r>
                </w:p>
              </w:tc>
            </w:tr>
            <w:tr w14:paraId="48490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53EFE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7</w:t>
                  </w:r>
                </w:p>
              </w:tc>
              <w:tc>
                <w:tcPr>
                  <w:tcW w:w="2701" w:type="dxa"/>
                  <w:vMerge w:val="continue"/>
                  <w:vAlign w:val="center"/>
                </w:tcPr>
                <w:p w14:paraId="2B8000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5F06CB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总磷</w:t>
                  </w:r>
                </w:p>
              </w:tc>
              <w:tc>
                <w:tcPr>
                  <w:tcW w:w="2784" w:type="dxa"/>
                  <w:vAlign w:val="center"/>
                </w:tcPr>
                <w:p w14:paraId="12CEFD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0.2（湖、库0.05）</w:t>
                  </w:r>
                </w:p>
              </w:tc>
            </w:tr>
            <w:tr w14:paraId="4E4CB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3566CE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8</w:t>
                  </w:r>
                </w:p>
              </w:tc>
              <w:tc>
                <w:tcPr>
                  <w:tcW w:w="2701" w:type="dxa"/>
                  <w:vMerge w:val="continue"/>
                  <w:vAlign w:val="center"/>
                </w:tcPr>
                <w:p w14:paraId="50E9BB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2D6B75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总氮</w:t>
                  </w:r>
                </w:p>
              </w:tc>
              <w:tc>
                <w:tcPr>
                  <w:tcW w:w="2784" w:type="dxa"/>
                  <w:vAlign w:val="center"/>
                </w:tcPr>
                <w:p w14:paraId="3A22A3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1.0</w:t>
                  </w:r>
                </w:p>
              </w:tc>
            </w:tr>
            <w:tr w14:paraId="7D977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0F8E1D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9</w:t>
                  </w:r>
                </w:p>
              </w:tc>
              <w:tc>
                <w:tcPr>
                  <w:tcW w:w="2701" w:type="dxa"/>
                  <w:vMerge w:val="continue"/>
                  <w:vAlign w:val="center"/>
                </w:tcPr>
                <w:p w14:paraId="57C24F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3D147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铜</w:t>
                  </w:r>
                </w:p>
              </w:tc>
              <w:tc>
                <w:tcPr>
                  <w:tcW w:w="2784" w:type="dxa"/>
                  <w:vAlign w:val="center"/>
                </w:tcPr>
                <w:p w14:paraId="1CA65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1.0</w:t>
                  </w:r>
                </w:p>
              </w:tc>
            </w:tr>
            <w:tr w14:paraId="3086A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4CCFB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10</w:t>
                  </w:r>
                </w:p>
              </w:tc>
              <w:tc>
                <w:tcPr>
                  <w:tcW w:w="2701" w:type="dxa"/>
                  <w:vMerge w:val="continue"/>
                  <w:vAlign w:val="center"/>
                </w:tcPr>
                <w:p w14:paraId="49F76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53AE74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锌</w:t>
                  </w:r>
                </w:p>
              </w:tc>
              <w:tc>
                <w:tcPr>
                  <w:tcW w:w="2784" w:type="dxa"/>
                  <w:vAlign w:val="center"/>
                </w:tcPr>
                <w:p w14:paraId="23AD39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1.0</w:t>
                  </w:r>
                </w:p>
              </w:tc>
            </w:tr>
            <w:tr w14:paraId="5CBF7D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3C5870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11</w:t>
                  </w:r>
                </w:p>
              </w:tc>
              <w:tc>
                <w:tcPr>
                  <w:tcW w:w="2701" w:type="dxa"/>
                  <w:vMerge w:val="continue"/>
                  <w:vAlign w:val="center"/>
                </w:tcPr>
                <w:p w14:paraId="4105BF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16FB7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氟化物（以F</w:t>
                  </w:r>
                  <w:r>
                    <w:rPr>
                      <w:rFonts w:hint="default" w:ascii="Times New Roman" w:hAnsi="Times New Roman" w:eastAsia="宋体" w:cs="Times New Roman"/>
                      <w:color w:val="auto"/>
                      <w:kern w:val="0"/>
                      <w:sz w:val="18"/>
                      <w:szCs w:val="18"/>
                      <w:highlight w:val="none"/>
                      <w:vertAlign w:val="superscript"/>
                    </w:rPr>
                    <w:t>-</w:t>
                  </w:r>
                  <w:r>
                    <w:rPr>
                      <w:rFonts w:hint="default" w:ascii="Times New Roman" w:hAnsi="Times New Roman" w:eastAsia="宋体" w:cs="Times New Roman"/>
                      <w:color w:val="auto"/>
                      <w:kern w:val="0"/>
                      <w:sz w:val="18"/>
                      <w:szCs w:val="18"/>
                      <w:highlight w:val="none"/>
                    </w:rPr>
                    <w:t>计）</w:t>
                  </w:r>
                </w:p>
              </w:tc>
              <w:tc>
                <w:tcPr>
                  <w:tcW w:w="2784" w:type="dxa"/>
                  <w:vAlign w:val="center"/>
                </w:tcPr>
                <w:p w14:paraId="3CD7DD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1.0</w:t>
                  </w:r>
                </w:p>
              </w:tc>
            </w:tr>
            <w:tr w14:paraId="0EB484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13A02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12</w:t>
                  </w:r>
                </w:p>
              </w:tc>
              <w:tc>
                <w:tcPr>
                  <w:tcW w:w="2701" w:type="dxa"/>
                  <w:vMerge w:val="continue"/>
                  <w:vAlign w:val="center"/>
                </w:tcPr>
                <w:p w14:paraId="4F27ED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308573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硒</w:t>
                  </w:r>
                </w:p>
              </w:tc>
              <w:tc>
                <w:tcPr>
                  <w:tcW w:w="2784" w:type="dxa"/>
                  <w:vAlign w:val="center"/>
                </w:tcPr>
                <w:p w14:paraId="21D5EB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0.01</w:t>
                  </w:r>
                </w:p>
              </w:tc>
            </w:tr>
            <w:tr w14:paraId="78BA0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184A0B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13</w:t>
                  </w:r>
                </w:p>
              </w:tc>
              <w:tc>
                <w:tcPr>
                  <w:tcW w:w="2701" w:type="dxa"/>
                  <w:vMerge w:val="continue"/>
                  <w:vAlign w:val="center"/>
                </w:tcPr>
                <w:p w14:paraId="1661A4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6F4ECA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砷</w:t>
                  </w:r>
                </w:p>
              </w:tc>
              <w:tc>
                <w:tcPr>
                  <w:tcW w:w="2784" w:type="dxa"/>
                  <w:vAlign w:val="center"/>
                </w:tcPr>
                <w:p w14:paraId="4C3671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0.05</w:t>
                  </w:r>
                </w:p>
              </w:tc>
            </w:tr>
            <w:tr w14:paraId="681B4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73523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14</w:t>
                  </w:r>
                </w:p>
              </w:tc>
              <w:tc>
                <w:tcPr>
                  <w:tcW w:w="2701" w:type="dxa"/>
                  <w:vMerge w:val="continue"/>
                  <w:vAlign w:val="center"/>
                </w:tcPr>
                <w:p w14:paraId="14E3F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3D4DEE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汞</w:t>
                  </w:r>
                </w:p>
              </w:tc>
              <w:tc>
                <w:tcPr>
                  <w:tcW w:w="2784" w:type="dxa"/>
                  <w:vAlign w:val="center"/>
                </w:tcPr>
                <w:p w14:paraId="6AEEAC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0.0001</w:t>
                  </w:r>
                </w:p>
              </w:tc>
            </w:tr>
            <w:tr w14:paraId="02A5A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49CAC8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15</w:t>
                  </w:r>
                </w:p>
              </w:tc>
              <w:tc>
                <w:tcPr>
                  <w:tcW w:w="2701" w:type="dxa"/>
                  <w:vMerge w:val="continue"/>
                  <w:vAlign w:val="center"/>
                </w:tcPr>
                <w:p w14:paraId="69006D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229AA3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镉</w:t>
                  </w:r>
                </w:p>
              </w:tc>
              <w:tc>
                <w:tcPr>
                  <w:tcW w:w="2784" w:type="dxa"/>
                  <w:vAlign w:val="center"/>
                </w:tcPr>
                <w:p w14:paraId="6624C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0.005</w:t>
                  </w:r>
                </w:p>
              </w:tc>
            </w:tr>
            <w:tr w14:paraId="7EAF7E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1ED786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16</w:t>
                  </w:r>
                </w:p>
              </w:tc>
              <w:tc>
                <w:tcPr>
                  <w:tcW w:w="2701" w:type="dxa"/>
                  <w:vMerge w:val="continue"/>
                  <w:vAlign w:val="center"/>
                </w:tcPr>
                <w:p w14:paraId="1887DC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24CD0E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铬（六价）</w:t>
                  </w:r>
                </w:p>
              </w:tc>
              <w:tc>
                <w:tcPr>
                  <w:tcW w:w="2784" w:type="dxa"/>
                  <w:vAlign w:val="center"/>
                </w:tcPr>
                <w:p w14:paraId="205E2A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0.05</w:t>
                  </w:r>
                </w:p>
              </w:tc>
            </w:tr>
            <w:tr w14:paraId="6F4024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6A7C5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17</w:t>
                  </w:r>
                </w:p>
              </w:tc>
              <w:tc>
                <w:tcPr>
                  <w:tcW w:w="2701" w:type="dxa"/>
                  <w:vMerge w:val="continue"/>
                  <w:vAlign w:val="center"/>
                </w:tcPr>
                <w:p w14:paraId="6CB1CA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74130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铅</w:t>
                  </w:r>
                </w:p>
              </w:tc>
              <w:tc>
                <w:tcPr>
                  <w:tcW w:w="2784" w:type="dxa"/>
                  <w:vAlign w:val="center"/>
                </w:tcPr>
                <w:p w14:paraId="15C7AD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0.05</w:t>
                  </w:r>
                </w:p>
              </w:tc>
            </w:tr>
            <w:tr w14:paraId="65D179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34BA9C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18</w:t>
                  </w:r>
                </w:p>
              </w:tc>
              <w:tc>
                <w:tcPr>
                  <w:tcW w:w="2701" w:type="dxa"/>
                  <w:vMerge w:val="continue"/>
                  <w:vAlign w:val="center"/>
                </w:tcPr>
                <w:p w14:paraId="16F8D8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65A6D5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氰化物</w:t>
                  </w:r>
                </w:p>
              </w:tc>
              <w:tc>
                <w:tcPr>
                  <w:tcW w:w="2784" w:type="dxa"/>
                  <w:vAlign w:val="center"/>
                </w:tcPr>
                <w:p w14:paraId="3379CC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0.2</w:t>
                  </w:r>
                </w:p>
              </w:tc>
            </w:tr>
            <w:tr w14:paraId="78666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095194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19</w:t>
                  </w:r>
                </w:p>
              </w:tc>
              <w:tc>
                <w:tcPr>
                  <w:tcW w:w="2701" w:type="dxa"/>
                  <w:vMerge w:val="continue"/>
                  <w:vAlign w:val="center"/>
                </w:tcPr>
                <w:p w14:paraId="2690EA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13C78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挥发酚</w:t>
                  </w:r>
                </w:p>
              </w:tc>
              <w:tc>
                <w:tcPr>
                  <w:tcW w:w="2784" w:type="dxa"/>
                  <w:vAlign w:val="center"/>
                </w:tcPr>
                <w:p w14:paraId="0C54FB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0.005</w:t>
                  </w:r>
                </w:p>
              </w:tc>
            </w:tr>
            <w:tr w14:paraId="51AEFE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63C928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20</w:t>
                  </w:r>
                </w:p>
              </w:tc>
              <w:tc>
                <w:tcPr>
                  <w:tcW w:w="2701" w:type="dxa"/>
                  <w:vMerge w:val="continue"/>
                  <w:vAlign w:val="center"/>
                </w:tcPr>
                <w:p w14:paraId="2D14C2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451D7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石油类</w:t>
                  </w:r>
                </w:p>
              </w:tc>
              <w:tc>
                <w:tcPr>
                  <w:tcW w:w="2784" w:type="dxa"/>
                  <w:vAlign w:val="center"/>
                </w:tcPr>
                <w:p w14:paraId="377954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0.05</w:t>
                  </w:r>
                </w:p>
              </w:tc>
            </w:tr>
            <w:tr w14:paraId="2BD5D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2B1D1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21</w:t>
                  </w:r>
                </w:p>
              </w:tc>
              <w:tc>
                <w:tcPr>
                  <w:tcW w:w="2701" w:type="dxa"/>
                  <w:vMerge w:val="continue"/>
                  <w:vAlign w:val="center"/>
                </w:tcPr>
                <w:p w14:paraId="751857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1C630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阴离子表面活性剂</w:t>
                  </w:r>
                </w:p>
              </w:tc>
              <w:tc>
                <w:tcPr>
                  <w:tcW w:w="2784" w:type="dxa"/>
                  <w:vAlign w:val="center"/>
                </w:tcPr>
                <w:p w14:paraId="4E195C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0.2</w:t>
                  </w:r>
                </w:p>
              </w:tc>
            </w:tr>
            <w:tr w14:paraId="612220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221B51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22</w:t>
                  </w:r>
                </w:p>
              </w:tc>
              <w:tc>
                <w:tcPr>
                  <w:tcW w:w="2701" w:type="dxa"/>
                  <w:vMerge w:val="continue"/>
                  <w:vAlign w:val="center"/>
                </w:tcPr>
                <w:p w14:paraId="73CB6B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11365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硫化物</w:t>
                  </w:r>
                </w:p>
              </w:tc>
              <w:tc>
                <w:tcPr>
                  <w:tcW w:w="2784" w:type="dxa"/>
                  <w:vAlign w:val="center"/>
                </w:tcPr>
                <w:p w14:paraId="21D1BC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0.2</w:t>
                  </w:r>
                </w:p>
              </w:tc>
            </w:tr>
            <w:tr w14:paraId="29CC38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0" w:type="dxa"/>
                  <w:vAlign w:val="center"/>
                </w:tcPr>
                <w:p w14:paraId="068C71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23</w:t>
                  </w:r>
                </w:p>
              </w:tc>
              <w:tc>
                <w:tcPr>
                  <w:tcW w:w="2701" w:type="dxa"/>
                  <w:vMerge w:val="continue"/>
                  <w:vAlign w:val="center"/>
                </w:tcPr>
                <w:p w14:paraId="232266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p>
              </w:tc>
              <w:tc>
                <w:tcPr>
                  <w:tcW w:w="2274" w:type="dxa"/>
                  <w:vAlign w:val="center"/>
                </w:tcPr>
                <w:p w14:paraId="220742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粪大肠菌群（个/L）</w:t>
                  </w:r>
                </w:p>
              </w:tc>
              <w:tc>
                <w:tcPr>
                  <w:tcW w:w="2784" w:type="dxa"/>
                  <w:vAlign w:val="center"/>
                </w:tcPr>
                <w:p w14:paraId="3E6AB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10000</w:t>
                  </w:r>
                </w:p>
              </w:tc>
            </w:tr>
          </w:tbl>
          <w:p w14:paraId="2BCACA9C">
            <w:pPr>
              <w:pStyle w:val="35"/>
              <w:keepNext w:val="0"/>
              <w:keepLines w:val="0"/>
              <w:suppressLineNumbers w:val="0"/>
              <w:spacing w:before="0" w:beforeAutospacing="0" w:after="0" w:afterAutospacing="0"/>
              <w:ind w:left="0" w:leftChars="0" w:right="0" w:firstLine="0" w:firstLineChars="0"/>
              <w:rPr>
                <w:rFonts w:hint="default"/>
                <w:color w:val="auto"/>
                <w:lang w:val="en-US" w:eastAsia="zh-CN"/>
              </w:rPr>
            </w:pPr>
          </w:p>
          <w:p w14:paraId="75867646">
            <w:pPr>
              <w:pStyle w:val="28"/>
              <w:keepNext w:val="0"/>
              <w:keepLines w:val="0"/>
              <w:suppressLineNumbers w:val="0"/>
              <w:spacing w:before="0" w:beforeAutospacing="0" w:after="0" w:afterAutospacing="0"/>
              <w:ind w:right="0"/>
              <w:jc w:val="center"/>
              <w:rPr>
                <w:rFonts w:hint="default" w:ascii="宋体" w:hAnsi="宋体" w:eastAsia="宋体" w:cs="宋体"/>
                <w:b/>
                <w:color w:val="auto"/>
                <w:position w:val="6"/>
                <w:szCs w:val="21"/>
                <w:highlight w:val="none"/>
                <w:lang w:val="en-US" w:eastAsia="zh-CN"/>
              </w:rPr>
            </w:pPr>
            <w:r>
              <w:rPr>
                <w:rFonts w:hint="default" w:ascii="Times New Roman" w:hAnsi="Times New Roman" w:cs="Times New Roman"/>
                <w:b/>
                <w:color w:val="auto"/>
                <w:position w:val="6"/>
                <w:szCs w:val="21"/>
                <w:highlight w:val="none"/>
              </w:rPr>
              <w:t>表3-</w:t>
            </w:r>
            <w:r>
              <w:rPr>
                <w:rFonts w:hint="default" w:ascii="Times New Roman" w:hAnsi="Times New Roman" w:eastAsia="宋体" w:cs="Times New Roman"/>
                <w:b/>
                <w:color w:val="auto"/>
                <w:position w:val="6"/>
                <w:szCs w:val="21"/>
                <w:highlight w:val="none"/>
                <w:lang w:val="en-US" w:eastAsia="zh-CN"/>
              </w:rPr>
              <w:t>6</w:t>
            </w:r>
            <w:r>
              <w:rPr>
                <w:rFonts w:hint="default" w:ascii="宋体" w:hAnsi="宋体" w:eastAsia="宋体" w:cs="宋体"/>
                <w:b/>
                <w:color w:val="auto"/>
                <w:position w:val="6"/>
                <w:szCs w:val="21"/>
                <w:highlight w:val="none"/>
              </w:rPr>
              <w:t>污水综合排放标准</w:t>
            </w:r>
            <w:r>
              <w:rPr>
                <w:rFonts w:hint="eastAsia" w:ascii="宋体" w:hAnsi="宋体" w:eastAsia="宋体" w:cs="宋体"/>
                <w:b/>
                <w:color w:val="auto"/>
                <w:position w:val="6"/>
                <w:szCs w:val="21"/>
                <w:highlight w:val="none"/>
                <w:lang w:eastAsia="zh-CN"/>
              </w:rPr>
              <w:t>、</w:t>
            </w:r>
            <w:r>
              <w:rPr>
                <w:rFonts w:hint="eastAsia" w:ascii="宋体" w:hAnsi="宋体" w:eastAsia="宋体" w:cs="宋体"/>
                <w:b/>
                <w:color w:val="auto"/>
                <w:position w:val="6"/>
                <w:szCs w:val="21"/>
                <w:highlight w:val="none"/>
                <w:lang w:val="en-US" w:eastAsia="zh-CN"/>
              </w:rPr>
              <w:t xml:space="preserve">鸡冠区污水处理厂进水标准 </w:t>
            </w:r>
            <w:r>
              <w:rPr>
                <w:rFonts w:hint="eastAsia" w:ascii="宋体" w:hAnsi="宋体" w:cs="宋体"/>
                <w:b/>
                <w:color w:val="auto"/>
                <w:position w:val="6"/>
                <w:szCs w:val="21"/>
                <w:highlight w:val="none"/>
                <w:lang w:val="en-US" w:eastAsia="zh-CN"/>
              </w:rPr>
              <w:t xml:space="preserve"> </w:t>
            </w:r>
            <w:r>
              <w:rPr>
                <w:rFonts w:hint="default" w:ascii="Times New Roman" w:hAnsi="Times New Roman" w:cs="Times New Roman"/>
                <w:b/>
                <w:color w:val="auto"/>
                <w:position w:val="6"/>
                <w:szCs w:val="21"/>
                <w:highlight w:val="none"/>
                <w:lang w:val="en-US" w:eastAsia="zh-CN"/>
              </w:rPr>
              <w:t>单位：mg/L</w:t>
            </w:r>
          </w:p>
          <w:tbl>
            <w:tblPr>
              <w:tblStyle w:val="38"/>
              <w:tblW w:w="8038"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1305"/>
              <w:gridCol w:w="2385"/>
              <w:gridCol w:w="1860"/>
              <w:gridCol w:w="1758"/>
            </w:tblGrid>
            <w:tr w14:paraId="12D5BD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730" w:type="dxa"/>
                  <w:tcBorders>
                    <w:top w:val="single" w:color="auto" w:sz="12" w:space="0"/>
                  </w:tcBorders>
                  <w:vAlign w:val="center"/>
                </w:tcPr>
                <w:p w14:paraId="175B0B41">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序号</w:t>
                  </w:r>
                </w:p>
              </w:tc>
              <w:tc>
                <w:tcPr>
                  <w:tcW w:w="1305" w:type="dxa"/>
                  <w:tcBorders>
                    <w:top w:val="single" w:color="auto" w:sz="12" w:space="0"/>
                  </w:tcBorders>
                  <w:vAlign w:val="center"/>
                </w:tcPr>
                <w:p w14:paraId="0905E220">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污染物种类</w:t>
                  </w:r>
                </w:p>
              </w:tc>
              <w:tc>
                <w:tcPr>
                  <w:tcW w:w="2385" w:type="dxa"/>
                  <w:tcBorders>
                    <w:top w:val="single" w:color="auto" w:sz="12" w:space="0"/>
                  </w:tcBorders>
                  <w:vAlign w:val="center"/>
                </w:tcPr>
                <w:p w14:paraId="59FEED55">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生活污水执行</w:t>
                  </w:r>
                  <w:r>
                    <w:rPr>
                      <w:rFonts w:hint="default" w:cs="Times New Roman"/>
                      <w:b w:val="0"/>
                      <w:bCs/>
                      <w:color w:val="auto"/>
                      <w:sz w:val="18"/>
                      <w:szCs w:val="18"/>
                      <w:highlight w:val="none"/>
                      <w:vertAlign w:val="baseline"/>
                      <w:lang w:val="en-US" w:eastAsia="zh-CN"/>
                    </w:rPr>
                    <w:t>污水综合排放标准</w:t>
                  </w:r>
                  <w:r>
                    <w:rPr>
                      <w:rFonts w:hint="eastAsia" w:cs="Times New Roman"/>
                      <w:b w:val="0"/>
                      <w:bCs/>
                      <w:color w:val="auto"/>
                      <w:sz w:val="18"/>
                      <w:szCs w:val="18"/>
                      <w:highlight w:val="none"/>
                      <w:vertAlign w:val="baseline"/>
                      <w:lang w:val="en-US" w:eastAsia="zh-CN"/>
                    </w:rPr>
                    <w:t>三级标准</w:t>
                  </w:r>
                </w:p>
              </w:tc>
              <w:tc>
                <w:tcPr>
                  <w:tcW w:w="1860" w:type="dxa"/>
                  <w:tcBorders>
                    <w:top w:val="single" w:color="auto" w:sz="12" w:space="0"/>
                  </w:tcBorders>
                  <w:vAlign w:val="center"/>
                </w:tcPr>
                <w:p w14:paraId="2007700E">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eastAsia"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排泥水悬浮物执行</w:t>
                  </w:r>
                  <w:r>
                    <w:rPr>
                      <w:rFonts w:hint="default" w:cs="Times New Roman"/>
                      <w:b w:val="0"/>
                      <w:bCs/>
                      <w:color w:val="auto"/>
                      <w:sz w:val="18"/>
                      <w:szCs w:val="18"/>
                      <w:highlight w:val="none"/>
                      <w:vertAlign w:val="baseline"/>
                      <w:lang w:val="en-US" w:eastAsia="zh-CN"/>
                    </w:rPr>
                    <w:t>污水综合排放标准</w:t>
                  </w:r>
                  <w:r>
                    <w:rPr>
                      <w:rFonts w:hint="eastAsia" w:cs="Times New Roman"/>
                      <w:b w:val="0"/>
                      <w:bCs/>
                      <w:color w:val="auto"/>
                      <w:sz w:val="18"/>
                      <w:szCs w:val="18"/>
                      <w:highlight w:val="none"/>
                      <w:vertAlign w:val="baseline"/>
                      <w:lang w:val="en-US" w:eastAsia="zh-CN"/>
                    </w:rPr>
                    <w:t>一级标准</w:t>
                  </w:r>
                </w:p>
              </w:tc>
              <w:tc>
                <w:tcPr>
                  <w:tcW w:w="1758" w:type="dxa"/>
                  <w:tcBorders>
                    <w:top w:val="single" w:color="auto" w:sz="12" w:space="0"/>
                  </w:tcBorders>
                  <w:vAlign w:val="center"/>
                </w:tcPr>
                <w:p w14:paraId="66DDA146">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鸡冠区污水处理厂进水标准</w:t>
                  </w:r>
                </w:p>
              </w:tc>
            </w:tr>
            <w:tr w14:paraId="51A618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730" w:type="dxa"/>
                  <w:vAlign w:val="center"/>
                </w:tcPr>
                <w:p w14:paraId="6F93B9FF">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1</w:t>
                  </w:r>
                </w:p>
              </w:tc>
              <w:tc>
                <w:tcPr>
                  <w:tcW w:w="1305" w:type="dxa"/>
                  <w:vAlign w:val="center"/>
                </w:tcPr>
                <w:p w14:paraId="305F548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COD</w:t>
                  </w:r>
                </w:p>
              </w:tc>
              <w:tc>
                <w:tcPr>
                  <w:tcW w:w="2385" w:type="dxa"/>
                  <w:vAlign w:val="center"/>
                </w:tcPr>
                <w:p w14:paraId="624C1AD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500</w:t>
                  </w:r>
                </w:p>
              </w:tc>
              <w:tc>
                <w:tcPr>
                  <w:tcW w:w="1860" w:type="dxa"/>
                  <w:vAlign w:val="center"/>
                </w:tcPr>
                <w:p w14:paraId="010FD0A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w:t>
                  </w:r>
                </w:p>
              </w:tc>
              <w:tc>
                <w:tcPr>
                  <w:tcW w:w="1758" w:type="dxa"/>
                  <w:vAlign w:val="center"/>
                </w:tcPr>
                <w:p w14:paraId="174CB4C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400</w:t>
                  </w:r>
                </w:p>
              </w:tc>
            </w:tr>
            <w:tr w14:paraId="7A61AA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730" w:type="dxa"/>
                  <w:vAlign w:val="center"/>
                </w:tcPr>
                <w:p w14:paraId="5BC747BD">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2</w:t>
                  </w:r>
                </w:p>
              </w:tc>
              <w:tc>
                <w:tcPr>
                  <w:tcW w:w="1305" w:type="dxa"/>
                  <w:vAlign w:val="center"/>
                </w:tcPr>
                <w:p w14:paraId="2AAA866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氨氮</w:t>
                  </w:r>
                </w:p>
              </w:tc>
              <w:tc>
                <w:tcPr>
                  <w:tcW w:w="2385" w:type="dxa"/>
                  <w:vAlign w:val="center"/>
                </w:tcPr>
                <w:p w14:paraId="24242EA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w:t>
                  </w:r>
                </w:p>
              </w:tc>
              <w:tc>
                <w:tcPr>
                  <w:tcW w:w="1860" w:type="dxa"/>
                  <w:vAlign w:val="center"/>
                </w:tcPr>
                <w:p w14:paraId="225CDBC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w:t>
                  </w:r>
                </w:p>
              </w:tc>
              <w:tc>
                <w:tcPr>
                  <w:tcW w:w="1758" w:type="dxa"/>
                  <w:vAlign w:val="center"/>
                </w:tcPr>
                <w:p w14:paraId="43F2B21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35</w:t>
                  </w:r>
                </w:p>
              </w:tc>
            </w:tr>
            <w:tr w14:paraId="336816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730" w:type="dxa"/>
                  <w:vAlign w:val="center"/>
                </w:tcPr>
                <w:p w14:paraId="3B0C447F">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3</w:t>
                  </w:r>
                </w:p>
              </w:tc>
              <w:tc>
                <w:tcPr>
                  <w:tcW w:w="1305" w:type="dxa"/>
                  <w:vAlign w:val="center"/>
                </w:tcPr>
                <w:p w14:paraId="2C75C1F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SS</w:t>
                  </w:r>
                </w:p>
              </w:tc>
              <w:tc>
                <w:tcPr>
                  <w:tcW w:w="2385" w:type="dxa"/>
                  <w:vAlign w:val="center"/>
                </w:tcPr>
                <w:p w14:paraId="326A303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400</w:t>
                  </w:r>
                </w:p>
              </w:tc>
              <w:tc>
                <w:tcPr>
                  <w:tcW w:w="1860" w:type="dxa"/>
                  <w:vAlign w:val="center"/>
                </w:tcPr>
                <w:p w14:paraId="46FA802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70</w:t>
                  </w:r>
                </w:p>
              </w:tc>
              <w:tc>
                <w:tcPr>
                  <w:tcW w:w="1758" w:type="dxa"/>
                  <w:vAlign w:val="center"/>
                </w:tcPr>
                <w:p w14:paraId="62E865D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220</w:t>
                  </w:r>
                </w:p>
              </w:tc>
            </w:tr>
            <w:tr w14:paraId="06C72B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730" w:type="dxa"/>
                  <w:vAlign w:val="center"/>
                </w:tcPr>
                <w:p w14:paraId="5A3B13CC">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4</w:t>
                  </w:r>
                </w:p>
              </w:tc>
              <w:tc>
                <w:tcPr>
                  <w:tcW w:w="1305" w:type="dxa"/>
                  <w:vAlign w:val="center"/>
                </w:tcPr>
                <w:p w14:paraId="7FAB28C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BOD</w:t>
                  </w:r>
                  <w:r>
                    <w:rPr>
                      <w:rFonts w:hint="default" w:ascii="Times New Roman" w:hAnsi="Times New Roman" w:cs="Times New Roman"/>
                      <w:b w:val="0"/>
                      <w:bCs/>
                      <w:color w:val="auto"/>
                      <w:position w:val="6"/>
                      <w:sz w:val="18"/>
                      <w:szCs w:val="18"/>
                      <w:highlight w:val="none"/>
                      <w:vertAlign w:val="subscript"/>
                    </w:rPr>
                    <w:t>5</w:t>
                  </w:r>
                </w:p>
              </w:tc>
              <w:tc>
                <w:tcPr>
                  <w:tcW w:w="2385" w:type="dxa"/>
                  <w:vAlign w:val="center"/>
                </w:tcPr>
                <w:p w14:paraId="1446089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300</w:t>
                  </w:r>
                </w:p>
              </w:tc>
              <w:tc>
                <w:tcPr>
                  <w:tcW w:w="1860" w:type="dxa"/>
                  <w:vAlign w:val="center"/>
                </w:tcPr>
                <w:p w14:paraId="46879DD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w:t>
                  </w:r>
                </w:p>
              </w:tc>
              <w:tc>
                <w:tcPr>
                  <w:tcW w:w="1758" w:type="dxa"/>
                  <w:vAlign w:val="center"/>
                </w:tcPr>
                <w:p w14:paraId="4FC13F0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w:t>
                  </w:r>
                </w:p>
              </w:tc>
            </w:tr>
            <w:tr w14:paraId="2D5D2E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730" w:type="dxa"/>
                  <w:vAlign w:val="center"/>
                </w:tcPr>
                <w:p w14:paraId="0BCDA6B1">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rightChars="0"/>
                    <w:jc w:val="center"/>
                    <w:textAlignment w:val="auto"/>
                    <w:rPr>
                      <w:rFonts w:hint="default" w:cs="Times New Roman"/>
                      <w:b w:val="0"/>
                      <w:bCs/>
                      <w:color w:val="auto"/>
                      <w:sz w:val="18"/>
                      <w:szCs w:val="18"/>
                      <w:highlight w:val="none"/>
                      <w:vertAlign w:val="baseline"/>
                      <w:lang w:val="en-US" w:eastAsia="zh-CN"/>
                    </w:rPr>
                  </w:pPr>
                  <w:r>
                    <w:rPr>
                      <w:rFonts w:hint="eastAsia" w:cs="Times New Roman"/>
                      <w:b w:val="0"/>
                      <w:bCs/>
                      <w:color w:val="auto"/>
                      <w:sz w:val="18"/>
                      <w:szCs w:val="18"/>
                      <w:highlight w:val="none"/>
                      <w:vertAlign w:val="baseline"/>
                      <w:lang w:val="en-US" w:eastAsia="zh-CN"/>
                    </w:rPr>
                    <w:t>5</w:t>
                  </w:r>
                </w:p>
              </w:tc>
              <w:tc>
                <w:tcPr>
                  <w:tcW w:w="1305" w:type="dxa"/>
                  <w:vAlign w:val="center"/>
                </w:tcPr>
                <w:p w14:paraId="798C9E6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PH</w:t>
                  </w:r>
                </w:p>
              </w:tc>
              <w:tc>
                <w:tcPr>
                  <w:tcW w:w="2385" w:type="dxa"/>
                  <w:vAlign w:val="center"/>
                </w:tcPr>
                <w:p w14:paraId="6D17379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sz w:val="18"/>
                      <w:szCs w:val="18"/>
                      <w:highlight w:val="none"/>
                      <w:vertAlign w:val="baseline"/>
                      <w:lang w:val="en-US" w:eastAsia="zh-CN"/>
                    </w:rPr>
                  </w:pPr>
                  <w:r>
                    <w:rPr>
                      <w:rFonts w:hint="default" w:ascii="Times New Roman" w:hAnsi="Times New Roman" w:cs="Times New Roman"/>
                      <w:b w:val="0"/>
                      <w:bCs/>
                      <w:color w:val="auto"/>
                      <w:position w:val="6"/>
                      <w:sz w:val="18"/>
                      <w:szCs w:val="18"/>
                      <w:highlight w:val="none"/>
                    </w:rPr>
                    <w:t>6-9（无量纲）</w:t>
                  </w:r>
                </w:p>
              </w:tc>
              <w:tc>
                <w:tcPr>
                  <w:tcW w:w="1860" w:type="dxa"/>
                  <w:vAlign w:val="center"/>
                </w:tcPr>
                <w:p w14:paraId="359A31C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w:t>
                  </w:r>
                </w:p>
              </w:tc>
              <w:tc>
                <w:tcPr>
                  <w:tcW w:w="1758" w:type="dxa"/>
                  <w:vAlign w:val="center"/>
                </w:tcPr>
                <w:p w14:paraId="5F0FE44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b w:val="0"/>
                      <w:bCs/>
                      <w:color w:val="auto"/>
                      <w:position w:val="6"/>
                      <w:sz w:val="18"/>
                      <w:szCs w:val="18"/>
                      <w:highlight w:val="none"/>
                      <w:lang w:val="en-US" w:eastAsia="zh-CN"/>
                    </w:rPr>
                  </w:pPr>
                  <w:r>
                    <w:rPr>
                      <w:rFonts w:hint="eastAsia" w:cs="Times New Roman"/>
                      <w:b w:val="0"/>
                      <w:bCs/>
                      <w:color w:val="auto"/>
                      <w:position w:val="6"/>
                      <w:sz w:val="18"/>
                      <w:szCs w:val="18"/>
                      <w:highlight w:val="none"/>
                      <w:lang w:val="en-US" w:eastAsia="zh-CN"/>
                    </w:rPr>
                    <w:t>/</w:t>
                  </w:r>
                </w:p>
              </w:tc>
            </w:tr>
          </w:tbl>
          <w:p w14:paraId="1FE5BB44">
            <w:pPr>
              <w:keepNext w:val="0"/>
              <w:keepLines w:val="0"/>
              <w:widowControl/>
              <w:numPr>
                <w:ilvl w:val="0"/>
                <w:numId w:val="0"/>
              </w:numPr>
              <w:suppressLineNumbers w:val="0"/>
              <w:spacing w:before="0" w:beforeAutospacing="0" w:after="0" w:afterAutospacing="0" w:line="360" w:lineRule="auto"/>
              <w:ind w:left="0" w:right="0" w:rightChars="0" w:firstLine="422" w:firstLineChars="200"/>
              <w:rPr>
                <w:rFonts w:hint="default"/>
                <w:color w:val="auto"/>
                <w:highlight w:val="none"/>
              </w:rPr>
            </w:pPr>
            <w:r>
              <w:rPr>
                <w:rFonts w:hint="eastAsia" w:cs="Times New Roman"/>
                <w:b/>
                <w:color w:val="auto"/>
                <w:szCs w:val="21"/>
                <w:highlight w:val="none"/>
                <w:lang w:val="en-US" w:eastAsia="zh-CN"/>
              </w:rPr>
              <w:t>2、</w:t>
            </w:r>
            <w:r>
              <w:rPr>
                <w:rFonts w:hint="default" w:ascii="Times New Roman" w:hAnsi="Times New Roman" w:cs="Times New Roman"/>
                <w:b/>
                <w:color w:val="auto"/>
                <w:szCs w:val="21"/>
                <w:highlight w:val="none"/>
              </w:rPr>
              <w:t>噪声</w:t>
            </w:r>
          </w:p>
          <w:p w14:paraId="495E3EA3">
            <w:pPr>
              <w:pStyle w:val="109"/>
              <w:keepNext w:val="0"/>
              <w:keepLines w:val="0"/>
              <w:widowControl/>
              <w:suppressLineNumbers w:val="0"/>
              <w:spacing w:before="0" w:beforeAutospacing="0" w:after="0" w:afterAutospacing="0"/>
              <w:ind w:left="0" w:leftChars="0" w:right="0" w:firstLine="420" w:firstLineChars="200"/>
              <w:jc w:val="both"/>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运营期：</w:t>
            </w:r>
            <w:r>
              <w:rPr>
                <w:rFonts w:hint="eastAsia"/>
                <w:color w:val="auto"/>
                <w:sz w:val="21"/>
                <w:szCs w:val="21"/>
                <w:highlight w:val="none"/>
                <w:lang w:val="en-US" w:eastAsia="zh-CN"/>
              </w:rPr>
              <w:t>厂界</w:t>
            </w:r>
            <w:r>
              <w:rPr>
                <w:rFonts w:hint="default" w:ascii="Times New Roman" w:hAnsi="Times New Roman" w:cs="Times New Roman"/>
                <w:color w:val="auto"/>
                <w:szCs w:val="21"/>
                <w:highlight w:val="none"/>
              </w:rPr>
              <w:t>噪声执</w:t>
            </w:r>
            <w:r>
              <w:rPr>
                <w:rFonts w:hint="default" w:ascii="Times New Roman" w:hAnsi="Times New Roman" w:cs="Times New Roman"/>
                <w:color w:val="auto"/>
                <w:sz w:val="21"/>
                <w:szCs w:val="21"/>
                <w:highlight w:val="none"/>
              </w:rPr>
              <w:t>行《</w:t>
            </w:r>
            <w:r>
              <w:rPr>
                <w:rFonts w:hint="default" w:ascii="Times New Roman" w:hAnsi="Times New Roman" w:cs="Times New Roman"/>
                <w:color w:val="auto"/>
                <w:szCs w:val="21"/>
                <w:highlight w:val="none"/>
              </w:rPr>
              <w:t>工业企业厂界环境噪声排放标准》(GB12348-2008)表1中</w:t>
            </w:r>
            <w:r>
              <w:rPr>
                <w:rFonts w:hint="eastAsia" w:cs="Times New Roman"/>
                <w:color w:val="auto"/>
                <w:szCs w:val="21"/>
                <w:highlight w:val="none"/>
                <w:lang w:val="en-US" w:eastAsia="zh-CN"/>
              </w:rPr>
              <w:t>2</w:t>
            </w:r>
            <w:r>
              <w:rPr>
                <w:rFonts w:hint="default"/>
                <w:color w:val="auto"/>
                <w:sz w:val="21"/>
                <w:szCs w:val="21"/>
                <w:highlight w:val="none"/>
              </w:rPr>
              <w:t>类标准</w:t>
            </w:r>
            <w:r>
              <w:rPr>
                <w:rFonts w:hint="eastAsia"/>
                <w:color w:val="auto"/>
                <w:kern w:val="0"/>
                <w:szCs w:val="21"/>
                <w:highlight w:val="none"/>
                <w:lang w:val="en-US" w:eastAsia="zh-CN"/>
              </w:rPr>
              <w:t>。</w:t>
            </w:r>
          </w:p>
          <w:p w14:paraId="3508B0CE">
            <w:pPr>
              <w:pStyle w:val="73"/>
              <w:keepNext w:val="0"/>
              <w:keepLines w:val="0"/>
              <w:suppressLineNumbers w:val="0"/>
              <w:snapToGrid w:val="0"/>
              <w:spacing w:before="0" w:beforeLines="0" w:beforeAutospacing="0" w:after="0" w:afterLines="0" w:afterAutospacing="0" w:line="240" w:lineRule="auto"/>
              <w:ind w:left="0" w:right="0"/>
              <w:rPr>
                <w:rFonts w:hint="default" w:ascii="Times New Roman" w:hAnsi="Times New Roman" w:cs="Times New Roman"/>
                <w:snapToGrid w:val="0"/>
                <w:color w:val="auto"/>
                <w:spacing w:val="0"/>
                <w:sz w:val="21"/>
                <w:szCs w:val="21"/>
                <w:highlight w:val="none"/>
              </w:rPr>
            </w:pPr>
            <w:r>
              <w:rPr>
                <w:rFonts w:hint="default" w:ascii="Times New Roman" w:hAnsi="Times New Roman" w:eastAsia="宋体" w:cs="Times New Roman"/>
                <w:b/>
                <w:bCs/>
                <w:snapToGrid w:val="0"/>
                <w:color w:val="auto"/>
                <w:spacing w:val="0"/>
                <w:sz w:val="21"/>
                <w:szCs w:val="21"/>
                <w:highlight w:val="none"/>
              </w:rPr>
              <w:t>表3-</w:t>
            </w:r>
            <w:r>
              <w:rPr>
                <w:rFonts w:hint="eastAsia" w:ascii="Times New Roman" w:hAnsi="Times New Roman" w:eastAsia="宋体" w:cs="Times New Roman"/>
                <w:b/>
                <w:bCs/>
                <w:snapToGrid w:val="0"/>
                <w:color w:val="auto"/>
                <w:spacing w:val="0"/>
                <w:sz w:val="21"/>
                <w:szCs w:val="21"/>
                <w:highlight w:val="none"/>
                <w:lang w:val="en-US" w:eastAsia="zh-CN"/>
              </w:rPr>
              <w:t>7</w:t>
            </w:r>
            <w:r>
              <w:rPr>
                <w:rFonts w:hint="default" w:ascii="Times New Roman" w:hAnsi="Times New Roman" w:eastAsia="宋体" w:cs="Times New Roman"/>
                <w:b/>
                <w:bCs/>
                <w:snapToGrid w:val="0"/>
                <w:color w:val="auto"/>
                <w:spacing w:val="0"/>
                <w:sz w:val="21"/>
                <w:szCs w:val="21"/>
                <w:highlight w:val="none"/>
              </w:rPr>
              <w:t>工业企业厂界环境噪声排放标准</w:t>
            </w:r>
          </w:p>
          <w:tbl>
            <w:tblPr>
              <w:tblStyle w:val="37"/>
              <w:tblW w:w="805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7"/>
              <w:gridCol w:w="2812"/>
              <w:gridCol w:w="2850"/>
            </w:tblGrid>
            <w:tr w14:paraId="73CE1E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87" w:type="pct"/>
                  <w:vMerge w:val="restart"/>
                  <w:tcBorders>
                    <w:top w:val="single" w:color="auto" w:sz="12" w:space="0"/>
                  </w:tcBorders>
                  <w:vAlign w:val="center"/>
                </w:tcPr>
                <w:p w14:paraId="30ACD628">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类别</w:t>
                  </w:r>
                </w:p>
              </w:tc>
              <w:tc>
                <w:tcPr>
                  <w:tcW w:w="3512" w:type="pct"/>
                  <w:gridSpan w:val="2"/>
                  <w:tcBorders>
                    <w:top w:val="single" w:color="auto" w:sz="12" w:space="0"/>
                  </w:tcBorders>
                  <w:vAlign w:val="center"/>
                </w:tcPr>
                <w:p w14:paraId="7B11E554">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标准值（dB（A））</w:t>
                  </w:r>
                </w:p>
              </w:tc>
            </w:tr>
            <w:tr w14:paraId="030B06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87" w:type="pct"/>
                  <w:vMerge w:val="continue"/>
                  <w:vAlign w:val="center"/>
                </w:tcPr>
                <w:p w14:paraId="49A9604A">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p>
              </w:tc>
              <w:tc>
                <w:tcPr>
                  <w:tcW w:w="1744" w:type="pct"/>
                  <w:vAlign w:val="center"/>
                </w:tcPr>
                <w:p w14:paraId="3626C3A8">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昼间</w:t>
                  </w:r>
                </w:p>
              </w:tc>
              <w:tc>
                <w:tcPr>
                  <w:tcW w:w="1768" w:type="pct"/>
                  <w:vAlign w:val="center"/>
                </w:tcPr>
                <w:p w14:paraId="02981B89">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夜间</w:t>
                  </w:r>
                </w:p>
              </w:tc>
            </w:tr>
            <w:tr w14:paraId="625B01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487" w:type="pct"/>
                  <w:tcBorders>
                    <w:bottom w:val="single" w:color="auto" w:sz="12" w:space="0"/>
                  </w:tcBorders>
                  <w:vAlign w:val="center"/>
                </w:tcPr>
                <w:p w14:paraId="732454E0">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lang w:val="en-US" w:eastAsia="zh-CN"/>
                    </w:rPr>
                    <w:t>2</w:t>
                  </w:r>
                  <w:r>
                    <w:rPr>
                      <w:rFonts w:hint="default" w:ascii="Times New Roman" w:hAnsi="Times New Roman" w:cs="Times New Roman" w:eastAsiaTheme="minorEastAsia"/>
                      <w:color w:val="auto"/>
                      <w:sz w:val="18"/>
                      <w:szCs w:val="18"/>
                      <w:highlight w:val="none"/>
                    </w:rPr>
                    <w:t>类</w:t>
                  </w:r>
                </w:p>
              </w:tc>
              <w:tc>
                <w:tcPr>
                  <w:tcW w:w="1744" w:type="pct"/>
                  <w:tcBorders>
                    <w:bottom w:val="single" w:color="auto" w:sz="12" w:space="0"/>
                  </w:tcBorders>
                  <w:vAlign w:val="center"/>
                </w:tcPr>
                <w:p w14:paraId="0131969C">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60</w:t>
                  </w:r>
                </w:p>
              </w:tc>
              <w:tc>
                <w:tcPr>
                  <w:tcW w:w="1768" w:type="pct"/>
                  <w:tcBorders>
                    <w:bottom w:val="single" w:color="auto" w:sz="12" w:space="0"/>
                  </w:tcBorders>
                  <w:vAlign w:val="center"/>
                </w:tcPr>
                <w:p w14:paraId="2F535E3C">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50</w:t>
                  </w:r>
                </w:p>
              </w:tc>
            </w:tr>
          </w:tbl>
          <w:p w14:paraId="00D9A382">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auto"/>
                <w:kern w:val="21"/>
                <w:szCs w:val="21"/>
                <w:highlight w:val="none"/>
              </w:rPr>
            </w:pPr>
            <w:r>
              <w:rPr>
                <w:rFonts w:hint="eastAsia" w:cs="Times New Roman"/>
                <w:b/>
                <w:bCs/>
                <w:color w:val="auto"/>
                <w:kern w:val="21"/>
                <w:szCs w:val="21"/>
                <w:highlight w:val="none"/>
                <w:lang w:val="en-US" w:eastAsia="zh-CN"/>
              </w:rPr>
              <w:t>3</w:t>
            </w:r>
            <w:r>
              <w:rPr>
                <w:rFonts w:hint="default" w:ascii="Times New Roman" w:hAnsi="Times New Roman" w:cs="Times New Roman"/>
                <w:b/>
                <w:bCs/>
                <w:color w:val="auto"/>
                <w:kern w:val="21"/>
                <w:szCs w:val="21"/>
                <w:highlight w:val="none"/>
              </w:rPr>
              <w:t>、固体废物</w:t>
            </w:r>
          </w:p>
          <w:p w14:paraId="5B0289F5">
            <w:pPr>
              <w:keepNext w:val="0"/>
              <w:keepLines w:val="0"/>
              <w:widowControl/>
              <w:suppressLineNumbers w:val="0"/>
              <w:spacing w:before="0" w:beforeAutospacing="0" w:after="0" w:afterAutospacing="0" w:line="360" w:lineRule="auto"/>
              <w:ind w:left="0" w:right="0" w:firstLine="420" w:firstLineChars="200"/>
              <w:rPr>
                <w:rFonts w:hint="eastAsia" w:ascii="Times New Roman" w:hAnsi="Times New Roman" w:eastAsia="宋体" w:cs="Times New Roman"/>
                <w:color w:val="auto"/>
                <w:kern w:val="21"/>
                <w:szCs w:val="21"/>
                <w:highlight w:val="none"/>
                <w:lang w:eastAsia="zh-CN"/>
              </w:rPr>
            </w:pPr>
            <w:r>
              <w:rPr>
                <w:rFonts w:hint="default" w:ascii="Times New Roman" w:hAnsi="Times New Roman" w:cs="Times New Roman"/>
                <w:color w:val="auto"/>
                <w:kern w:val="21"/>
                <w:szCs w:val="21"/>
                <w:highlight w:val="none"/>
              </w:rPr>
              <w:t>一般固体废物处置执行《一般工业固体废物贮存和填埋污染控制标准》（GB18599-20</w:t>
            </w:r>
            <w:r>
              <w:rPr>
                <w:rFonts w:hint="default" w:ascii="Times New Roman" w:hAnsi="Times New Roman" w:eastAsia="宋体" w:cs="Times New Roman"/>
                <w:color w:val="auto"/>
                <w:kern w:val="21"/>
                <w:szCs w:val="21"/>
                <w:highlight w:val="none"/>
              </w:rPr>
              <w:t>20）</w:t>
            </w:r>
            <w:r>
              <w:rPr>
                <w:rFonts w:hint="eastAsia" w:ascii="Times New Roman" w:hAnsi="Times New Roman" w:eastAsia="宋体" w:cs="Times New Roman"/>
                <w:color w:val="auto"/>
                <w:kern w:val="21"/>
                <w:szCs w:val="21"/>
                <w:highlight w:val="none"/>
                <w:lang w:val="en-US" w:eastAsia="zh-CN"/>
              </w:rPr>
              <w:t>、</w:t>
            </w:r>
            <w:r>
              <w:rPr>
                <w:rFonts w:hint="eastAsia" w:ascii="Times New Roman" w:hAnsi="Times New Roman" w:eastAsia="宋体" w:cs="Times New Roman"/>
                <w:color w:val="auto"/>
                <w:kern w:val="21"/>
                <w:szCs w:val="21"/>
                <w:highlight w:val="none"/>
              </w:rPr>
              <w:t>《固体废物分类与代码</w:t>
            </w:r>
            <w:r>
              <w:rPr>
                <w:rFonts w:hint="eastAsia" w:ascii="Times New Roman" w:hAnsi="Times New Roman" w:eastAsia="宋体" w:cs="Times New Roman"/>
                <w:color w:val="auto"/>
                <w:kern w:val="21"/>
                <w:szCs w:val="21"/>
                <w:highlight w:val="none"/>
                <w:lang w:eastAsia="zh-CN"/>
              </w:rPr>
              <w:t>目录</w:t>
            </w:r>
            <w:r>
              <w:rPr>
                <w:rFonts w:hint="eastAsia" w:ascii="Times New Roman" w:hAnsi="Times New Roman" w:eastAsia="宋体" w:cs="Times New Roman"/>
                <w:color w:val="auto"/>
                <w:kern w:val="21"/>
                <w:szCs w:val="21"/>
                <w:highlight w:val="none"/>
              </w:rPr>
              <w:t>》（</w:t>
            </w:r>
            <w:r>
              <w:rPr>
                <w:rFonts w:hint="eastAsia" w:ascii="Times New Roman" w:hAnsi="Times New Roman" w:eastAsia="宋体" w:cs="Times New Roman"/>
                <w:color w:val="auto"/>
                <w:kern w:val="21"/>
                <w:szCs w:val="21"/>
                <w:highlight w:val="none"/>
                <w:lang w:eastAsia="zh-CN"/>
              </w:rPr>
              <w:t>公告</w:t>
            </w:r>
            <w:r>
              <w:rPr>
                <w:rFonts w:hint="eastAsia" w:ascii="Times New Roman" w:hAnsi="Times New Roman" w:eastAsia="宋体" w:cs="Times New Roman"/>
                <w:color w:val="auto"/>
                <w:kern w:val="21"/>
                <w:szCs w:val="21"/>
                <w:highlight w:val="none"/>
                <w:lang w:val="en-US" w:eastAsia="zh-CN"/>
              </w:rPr>
              <w:t>2024年第4号</w:t>
            </w:r>
            <w:r>
              <w:rPr>
                <w:rFonts w:hint="eastAsia" w:ascii="Times New Roman" w:hAnsi="Times New Roman" w:eastAsia="宋体" w:cs="Times New Roman"/>
                <w:color w:val="auto"/>
                <w:kern w:val="21"/>
                <w:szCs w:val="21"/>
                <w:highlight w:val="none"/>
              </w:rPr>
              <w:t>）</w:t>
            </w:r>
            <w:r>
              <w:rPr>
                <w:rFonts w:hint="eastAsia" w:ascii="Times New Roman" w:hAnsi="Times New Roman" w:eastAsia="宋体" w:cs="Times New Roman"/>
                <w:color w:val="auto"/>
                <w:kern w:val="21"/>
                <w:szCs w:val="21"/>
                <w:highlight w:val="none"/>
                <w:lang w:eastAsia="zh-CN"/>
              </w:rPr>
              <w:t>。</w:t>
            </w:r>
          </w:p>
          <w:p w14:paraId="552905CC">
            <w:pPr>
              <w:keepNext w:val="0"/>
              <w:keepLines w:val="0"/>
              <w:widowControl/>
              <w:numPr>
                <w:ilvl w:val="0"/>
                <w:numId w:val="0"/>
              </w:numPr>
              <w:suppressLineNumbers w:val="0"/>
              <w:spacing w:before="0" w:beforeAutospacing="0" w:after="0" w:afterAutospacing="0" w:line="360" w:lineRule="auto"/>
              <w:ind w:left="0" w:leftChars="0" w:right="0" w:rightChars="0" w:firstLine="422" w:firstLineChars="200"/>
              <w:rPr>
                <w:rFonts w:hint="eastAsia" w:cs="Times New Roman"/>
                <w:b/>
                <w:bCs/>
                <w:color w:val="auto"/>
                <w:kern w:val="21"/>
                <w:szCs w:val="21"/>
                <w:highlight w:val="none"/>
                <w:lang w:val="en-US" w:eastAsia="zh-CN"/>
              </w:rPr>
            </w:pPr>
            <w:r>
              <w:rPr>
                <w:rFonts w:hint="eastAsia" w:ascii="Times New Roman" w:hAnsi="Times New Roman" w:eastAsia="宋体" w:cs="Times New Roman"/>
                <w:b/>
                <w:bCs/>
                <w:color w:val="auto"/>
                <w:kern w:val="21"/>
                <w:sz w:val="21"/>
                <w:szCs w:val="21"/>
                <w:lang w:val="en-US" w:eastAsia="zh-CN" w:bidi="ar-SA"/>
              </w:rPr>
              <w:t>5、</w:t>
            </w:r>
            <w:r>
              <w:rPr>
                <w:rFonts w:hint="eastAsia" w:cs="Times New Roman"/>
                <w:b/>
                <w:bCs/>
                <w:color w:val="auto"/>
                <w:kern w:val="21"/>
                <w:szCs w:val="21"/>
                <w:highlight w:val="none"/>
                <w:lang w:val="en-US" w:eastAsia="zh-CN"/>
              </w:rPr>
              <w:t>废气</w:t>
            </w:r>
          </w:p>
          <w:p w14:paraId="0110D432">
            <w:pPr>
              <w:pStyle w:val="2"/>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right="0" w:firstLine="420" w:firstLineChars="200"/>
              <w:textAlignment w:val="auto"/>
              <w:rPr>
                <w:rFonts w:hint="eastAsia"/>
                <w:color w:val="auto"/>
                <w:lang w:val="en-US" w:eastAsia="zh-CN"/>
              </w:rPr>
            </w:pPr>
            <w:r>
              <w:rPr>
                <w:rFonts w:hint="eastAsia"/>
                <w:color w:val="auto"/>
                <w:lang w:val="en-US" w:eastAsia="zh-CN"/>
              </w:rPr>
              <w:t>本项</w:t>
            </w:r>
            <w:r>
              <w:rPr>
                <w:rFonts w:hint="eastAsia"/>
                <w:color w:val="auto"/>
                <w:sz w:val="21"/>
                <w:szCs w:val="21"/>
                <w:lang w:val="en-US" w:eastAsia="zh-CN"/>
              </w:rPr>
              <w:t>目</w:t>
            </w:r>
            <w:r>
              <w:rPr>
                <w:rFonts w:hint="eastAsia" w:ascii="宋体" w:hAnsi="宋体" w:cs="宋体"/>
                <w:color w:val="auto"/>
                <w:sz w:val="21"/>
                <w:szCs w:val="21"/>
                <w:highlight w:val="none"/>
                <w:lang w:val="en-US" w:eastAsia="zh-CN"/>
              </w:rPr>
              <w:t>臭氧破坏器</w:t>
            </w:r>
            <w:r>
              <w:rPr>
                <w:rFonts w:hint="eastAsia" w:ascii="宋体" w:hAnsi="宋体" w:eastAsia="宋体" w:cs="宋体"/>
                <w:color w:val="auto"/>
                <w:sz w:val="21"/>
                <w:szCs w:val="21"/>
                <w:highlight w:val="none"/>
                <w:lang w:val="en-US" w:eastAsia="zh-CN"/>
              </w:rPr>
              <w:t>设计尾气排放</w:t>
            </w:r>
            <w:r>
              <w:rPr>
                <w:rFonts w:hint="default" w:ascii="宋体" w:hAnsi="宋体" w:eastAsia="宋体" w:cs="宋体"/>
                <w:color w:val="auto"/>
                <w:sz w:val="21"/>
                <w:szCs w:val="21"/>
                <w:highlight w:val="none"/>
                <w:lang w:val="en-US" w:eastAsia="zh-CN"/>
              </w:rPr>
              <w:t>臭氧浓度</w:t>
            </w:r>
            <w:r>
              <w:rPr>
                <w:rFonts w:hint="eastAsia" w:ascii="宋体" w:hAnsi="宋体" w:eastAsia="宋体" w:cs="宋体"/>
                <w:color w:val="auto"/>
                <w:sz w:val="21"/>
                <w:szCs w:val="21"/>
                <w:highlight w:val="none"/>
                <w:lang w:val="en-US" w:eastAsia="zh-CN"/>
              </w:rPr>
              <w:t>低于</w:t>
            </w:r>
            <w:r>
              <w:rPr>
                <w:rFonts w:hint="default" w:ascii="Times New Roman" w:hAnsi="Times New Roman" w:eastAsia="宋体" w:cs="Times New Roman"/>
                <w:color w:val="auto"/>
                <w:sz w:val="21"/>
                <w:szCs w:val="21"/>
                <w:highlight w:val="none"/>
                <w:lang w:val="en-US" w:eastAsia="zh-CN"/>
              </w:rPr>
              <w:t>1ppm</w:t>
            </w:r>
            <w:r>
              <w:rPr>
                <w:rFonts w:hint="eastAsia" w:cs="Times New Roman"/>
                <w:color w:val="auto"/>
                <w:sz w:val="21"/>
                <w:szCs w:val="21"/>
                <w:highlight w:val="none"/>
                <w:lang w:val="en-US" w:eastAsia="zh-CN"/>
              </w:rPr>
              <w:t>，</w:t>
            </w:r>
            <w:r>
              <w:rPr>
                <w:rFonts w:hint="eastAsia"/>
                <w:color w:val="auto"/>
                <w:sz w:val="21"/>
                <w:szCs w:val="21"/>
                <w:lang w:val="en-US" w:eastAsia="zh-CN"/>
              </w:rPr>
              <w:t>污泥间脱水</w:t>
            </w:r>
            <w:r>
              <w:rPr>
                <w:rFonts w:hint="eastAsia"/>
                <w:color w:val="auto"/>
                <w:lang w:val="en-US" w:eastAsia="zh-CN"/>
              </w:rPr>
              <w:t>过程产生少量臭气，采取加强通风，日产日清等措施。厂界臭气浓度满足</w:t>
            </w:r>
            <w:r>
              <w:rPr>
                <w:rFonts w:hint="default"/>
                <w:color w:val="auto"/>
                <w:lang w:val="en-US" w:eastAsia="zh-CN"/>
              </w:rPr>
              <w:t>《恶臭污染物排放标准》（GB14554-93）表1中二级新扩改建标准限值</w:t>
            </w:r>
            <w:r>
              <w:rPr>
                <w:rFonts w:hint="eastAsia"/>
                <w:color w:val="auto"/>
                <w:lang w:val="en-US" w:eastAsia="zh-CN"/>
              </w:rPr>
              <w:t>。</w:t>
            </w:r>
          </w:p>
          <w:p w14:paraId="1AD2AC8E">
            <w:pPr>
              <w:pStyle w:val="73"/>
              <w:keepNext w:val="0"/>
              <w:keepLines w:val="0"/>
              <w:suppressLineNumbers w:val="0"/>
              <w:snapToGrid w:val="0"/>
              <w:spacing w:before="0" w:beforeLines="0" w:beforeAutospacing="0" w:after="0" w:afterLines="0" w:afterAutospacing="0" w:line="240" w:lineRule="auto"/>
              <w:ind w:left="0" w:right="0"/>
              <w:rPr>
                <w:rFonts w:hint="default" w:ascii="Times New Roman" w:hAnsi="Times New Roman" w:eastAsia="宋体" w:cs="Times New Roman"/>
                <w:b/>
                <w:bCs/>
                <w:snapToGrid w:val="0"/>
                <w:color w:val="auto"/>
                <w:spacing w:val="0"/>
                <w:sz w:val="21"/>
                <w:szCs w:val="21"/>
                <w:highlight w:val="none"/>
              </w:rPr>
            </w:pPr>
            <w:r>
              <w:rPr>
                <w:rFonts w:hint="default" w:ascii="Times New Roman" w:hAnsi="Times New Roman" w:eastAsia="宋体" w:cs="Times New Roman"/>
                <w:b/>
                <w:bCs/>
                <w:snapToGrid w:val="0"/>
                <w:color w:val="auto"/>
                <w:spacing w:val="0"/>
                <w:sz w:val="21"/>
                <w:szCs w:val="21"/>
                <w:highlight w:val="none"/>
              </w:rPr>
              <w:t>表3-</w:t>
            </w:r>
            <w:r>
              <w:rPr>
                <w:rFonts w:hint="eastAsia" w:ascii="Times New Roman" w:hAnsi="Times New Roman" w:eastAsia="宋体" w:cs="Times New Roman"/>
                <w:b/>
                <w:bCs/>
                <w:snapToGrid w:val="0"/>
                <w:color w:val="auto"/>
                <w:spacing w:val="0"/>
                <w:sz w:val="21"/>
                <w:szCs w:val="21"/>
                <w:highlight w:val="none"/>
                <w:lang w:val="en-US" w:eastAsia="zh-CN"/>
              </w:rPr>
              <w:t>8</w:t>
            </w:r>
            <w:r>
              <w:rPr>
                <w:rFonts w:hint="default" w:ascii="Times New Roman" w:hAnsi="Times New Roman" w:eastAsia="宋体" w:cs="Times New Roman"/>
                <w:b/>
                <w:bCs/>
                <w:snapToGrid w:val="0"/>
                <w:color w:val="auto"/>
                <w:spacing w:val="0"/>
                <w:sz w:val="21"/>
                <w:szCs w:val="21"/>
                <w:highlight w:val="none"/>
                <w:lang w:val="en-US" w:eastAsia="zh-CN"/>
              </w:rPr>
              <w:t>恶臭污染物排放标准</w:t>
            </w:r>
          </w:p>
          <w:tbl>
            <w:tblPr>
              <w:tblStyle w:val="38"/>
              <w:tblW w:w="803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5"/>
              <w:gridCol w:w="2715"/>
              <w:gridCol w:w="2477"/>
            </w:tblGrid>
            <w:tr w14:paraId="6C6170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5" w:type="dxa"/>
                  <w:tcBorders>
                    <w:tl2br w:val="nil"/>
                    <w:tr2bl w:val="nil"/>
                  </w:tcBorders>
                </w:tcPr>
                <w:p w14:paraId="78BFF7E5">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类别</w:t>
                  </w:r>
                </w:p>
              </w:tc>
              <w:tc>
                <w:tcPr>
                  <w:tcW w:w="2715" w:type="dxa"/>
                  <w:tcBorders>
                    <w:tl2br w:val="nil"/>
                    <w:tr2bl w:val="nil"/>
                  </w:tcBorders>
                </w:tcPr>
                <w:p w14:paraId="40F8AAB6">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控制项目</w:t>
                  </w:r>
                </w:p>
              </w:tc>
              <w:tc>
                <w:tcPr>
                  <w:tcW w:w="2477" w:type="dxa"/>
                  <w:tcBorders>
                    <w:tl2br w:val="nil"/>
                    <w:tr2bl w:val="nil"/>
                  </w:tcBorders>
                </w:tcPr>
                <w:p w14:paraId="28A3109D">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标准值</w:t>
                  </w:r>
                  <w:r>
                    <w:rPr>
                      <w:rFonts w:hint="eastAsia" w:cs="Times New Roman" w:eastAsiaTheme="minorEastAsia"/>
                      <w:color w:val="auto"/>
                      <w:sz w:val="18"/>
                      <w:szCs w:val="18"/>
                      <w:highlight w:val="none"/>
                      <w:lang w:val="en-US" w:eastAsia="zh-CN"/>
                    </w:rPr>
                    <w:t>（无量纲）</w:t>
                  </w:r>
                </w:p>
              </w:tc>
            </w:tr>
            <w:tr w14:paraId="5EF3D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5" w:type="dxa"/>
                  <w:tcBorders>
                    <w:tl2br w:val="nil"/>
                    <w:tr2bl w:val="nil"/>
                  </w:tcBorders>
                </w:tcPr>
                <w:p w14:paraId="6D32F910">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二级新扩改建</w:t>
                  </w:r>
                </w:p>
              </w:tc>
              <w:tc>
                <w:tcPr>
                  <w:tcW w:w="2715" w:type="dxa"/>
                  <w:tcBorders>
                    <w:tl2br w:val="nil"/>
                    <w:tr2bl w:val="nil"/>
                  </w:tcBorders>
                </w:tcPr>
                <w:p w14:paraId="1CFE7C27">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臭气浓度</w:t>
                  </w:r>
                </w:p>
              </w:tc>
              <w:tc>
                <w:tcPr>
                  <w:tcW w:w="2477" w:type="dxa"/>
                  <w:tcBorders>
                    <w:tl2br w:val="nil"/>
                    <w:tr2bl w:val="nil"/>
                  </w:tcBorders>
                </w:tcPr>
                <w:p w14:paraId="2AC3731B">
                  <w:pPr>
                    <w:pStyle w:val="8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20</w:t>
                  </w:r>
                </w:p>
              </w:tc>
            </w:tr>
          </w:tbl>
          <w:p w14:paraId="6F19B636">
            <w:pPr>
              <w:keepNext w:val="0"/>
              <w:keepLines w:val="0"/>
              <w:suppressLineNumbers w:val="0"/>
              <w:spacing w:before="0" w:beforeAutospacing="0" w:after="0" w:afterAutospacing="0"/>
              <w:ind w:left="0" w:right="0"/>
              <w:rPr>
                <w:rFonts w:hint="default"/>
                <w:color w:val="auto"/>
                <w:lang w:val="en-US" w:eastAsia="zh-CN"/>
              </w:rPr>
            </w:pPr>
          </w:p>
        </w:tc>
      </w:tr>
      <w:tr w14:paraId="7A93A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5" w:hRule="atLeast"/>
          <w:jc w:val="center"/>
        </w:trPr>
        <w:tc>
          <w:tcPr>
            <w:tcW w:w="452" w:type="pct"/>
            <w:tcBorders>
              <w:bottom w:val="single" w:color="auto" w:sz="4" w:space="0"/>
            </w:tcBorders>
            <w:vAlign w:val="center"/>
          </w:tcPr>
          <w:p w14:paraId="3320344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总量控制指标</w:t>
            </w:r>
          </w:p>
        </w:tc>
        <w:tc>
          <w:tcPr>
            <w:tcW w:w="4547" w:type="pct"/>
            <w:tcBorders>
              <w:bottom w:val="single" w:color="auto" w:sz="4" w:space="0"/>
            </w:tcBorders>
            <w:vAlign w:val="center"/>
          </w:tcPr>
          <w:p w14:paraId="393AC4C9">
            <w:pPr>
              <w:keepNext w:val="0"/>
              <w:keepLines w:val="0"/>
              <w:widowControl/>
              <w:suppressLineNumbers w:val="0"/>
              <w:spacing w:before="0" w:beforeAutospacing="0" w:after="0" w:afterAutospacing="0" w:line="240" w:lineRule="auto"/>
              <w:ind w:left="0" w:right="0" w:firstLine="422" w:firstLineChars="200"/>
              <w:jc w:val="center"/>
              <w:rPr>
                <w:rFonts w:hint="default"/>
                <w:b/>
                <w:color w:val="auto"/>
                <w:szCs w:val="21"/>
                <w:highlight w:val="none"/>
              </w:rPr>
            </w:pPr>
            <w:r>
              <w:rPr>
                <w:rFonts w:hint="eastAsia"/>
                <w:b/>
                <w:color w:val="auto"/>
                <w:szCs w:val="21"/>
                <w:highlight w:val="none"/>
              </w:rPr>
              <w:t>表</w:t>
            </w:r>
            <w:r>
              <w:rPr>
                <w:rFonts w:hint="default"/>
                <w:b/>
                <w:color w:val="auto"/>
                <w:szCs w:val="21"/>
                <w:highlight w:val="none"/>
              </w:rPr>
              <w:t>3</w:t>
            </w:r>
            <w:r>
              <w:rPr>
                <w:rFonts w:hint="eastAsia"/>
                <w:b/>
                <w:color w:val="auto"/>
                <w:szCs w:val="21"/>
                <w:highlight w:val="none"/>
                <w:lang w:val="en-US" w:eastAsia="zh-CN"/>
              </w:rPr>
              <w:t>-9</w:t>
            </w:r>
            <w:r>
              <w:rPr>
                <w:rFonts w:hint="default" w:ascii="Times New Roman" w:hAnsi="Times New Roman" w:eastAsia="宋体" w:cs="Times New Roman"/>
                <w:b/>
                <w:bCs/>
                <w:caps w:val="0"/>
                <w:color w:val="auto"/>
                <w:spacing w:val="0"/>
                <w:kern w:val="0"/>
                <w:position w:val="0"/>
                <w:sz w:val="21"/>
                <w:szCs w:val="21"/>
                <w:highlight w:val="none"/>
              </w:rPr>
              <w:t>三本帐及总量控制指标</w:t>
            </w:r>
            <w:r>
              <w:rPr>
                <w:rFonts w:hint="default"/>
                <w:b/>
                <w:color w:val="auto"/>
                <w:szCs w:val="21"/>
                <w:highlight w:val="none"/>
              </w:rPr>
              <w:t xml:space="preserve">  </w:t>
            </w:r>
            <w:r>
              <w:rPr>
                <w:rFonts w:hint="eastAsia"/>
                <w:b/>
                <w:color w:val="auto"/>
                <w:szCs w:val="21"/>
                <w:highlight w:val="none"/>
              </w:rPr>
              <w:t>单位：</w:t>
            </w:r>
            <w:r>
              <w:rPr>
                <w:rFonts w:hint="default"/>
                <w:b/>
                <w:color w:val="auto"/>
                <w:szCs w:val="21"/>
                <w:highlight w:val="none"/>
              </w:rPr>
              <w:t>t/a</w:t>
            </w:r>
          </w:p>
          <w:tbl>
            <w:tblPr>
              <w:tblStyle w:val="37"/>
              <w:tblW w:w="813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8"/>
              <w:gridCol w:w="1139"/>
              <w:gridCol w:w="1156"/>
              <w:gridCol w:w="1062"/>
              <w:gridCol w:w="1153"/>
              <w:gridCol w:w="1154"/>
              <w:gridCol w:w="1155"/>
            </w:tblGrid>
            <w:tr w14:paraId="07A824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4" w:hRule="atLeast"/>
                <w:jc w:val="center"/>
              </w:trPr>
              <w:tc>
                <w:tcPr>
                  <w:tcW w:w="1318" w:type="dxa"/>
                  <w:vAlign w:val="center"/>
                </w:tcPr>
                <w:p w14:paraId="0B1B6260">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bCs/>
                      <w:color w:val="auto"/>
                      <w:sz w:val="18"/>
                      <w:szCs w:val="18"/>
                      <w:highlight w:val="none"/>
                    </w:rPr>
                    <w:t>名称</w:t>
                  </w:r>
                </w:p>
              </w:tc>
              <w:tc>
                <w:tcPr>
                  <w:tcW w:w="1139" w:type="dxa"/>
                  <w:vAlign w:val="center"/>
                </w:tcPr>
                <w:p w14:paraId="7698F3DE">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现有工程</w:t>
                  </w:r>
                  <w:r>
                    <w:rPr>
                      <w:rFonts w:hint="eastAsia"/>
                      <w:color w:val="auto"/>
                      <w:sz w:val="18"/>
                      <w:szCs w:val="18"/>
                      <w:highlight w:val="none"/>
                    </w:rPr>
                    <w:t>实际排放量</w:t>
                  </w:r>
                  <w:r>
                    <w:rPr>
                      <w:rFonts w:hint="default"/>
                      <w:color w:val="auto"/>
                      <w:sz w:val="18"/>
                      <w:szCs w:val="18"/>
                      <w:highlight w:val="none"/>
                    </w:rPr>
                    <w:t>（t/a）</w:t>
                  </w:r>
                </w:p>
              </w:tc>
              <w:tc>
                <w:tcPr>
                  <w:tcW w:w="1156" w:type="dxa"/>
                  <w:vAlign w:val="center"/>
                </w:tcPr>
                <w:p w14:paraId="1C40231B">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本工程预测排放量（t/a）</w:t>
                  </w:r>
                </w:p>
              </w:tc>
              <w:tc>
                <w:tcPr>
                  <w:tcW w:w="1062" w:type="dxa"/>
                  <w:vAlign w:val="center"/>
                </w:tcPr>
                <w:p w14:paraId="1DED078E">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sz w:val="18"/>
                      <w:szCs w:val="18"/>
                      <w:highlight w:val="none"/>
                    </w:rPr>
                    <w:t>“以新带老”削</w:t>
                  </w:r>
                  <w:r>
                    <w:rPr>
                      <w:rFonts w:hint="default"/>
                      <w:color w:val="auto"/>
                      <w:sz w:val="18"/>
                      <w:szCs w:val="18"/>
                      <w:highlight w:val="none"/>
                    </w:rPr>
                    <w:t>减</w:t>
                  </w:r>
                </w:p>
                <w:p w14:paraId="0313E7CB">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量（t/a）</w:t>
                  </w:r>
                </w:p>
              </w:tc>
              <w:tc>
                <w:tcPr>
                  <w:tcW w:w="1153" w:type="dxa"/>
                  <w:vAlign w:val="center"/>
                </w:tcPr>
                <w:p w14:paraId="3F5B30E6">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总体工程预测排放总量（t/a）</w:t>
                  </w:r>
                </w:p>
              </w:tc>
              <w:tc>
                <w:tcPr>
                  <w:tcW w:w="1154" w:type="dxa"/>
                  <w:tcBorders>
                    <w:right w:val="nil"/>
                  </w:tcBorders>
                  <w:vAlign w:val="center"/>
                </w:tcPr>
                <w:p w14:paraId="063E128A">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总体工程排放增减量（t/a）</w:t>
                  </w:r>
                </w:p>
              </w:tc>
              <w:tc>
                <w:tcPr>
                  <w:tcW w:w="1155" w:type="dxa"/>
                  <w:vAlign w:val="center"/>
                </w:tcPr>
                <w:p w14:paraId="5469ED76">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本工程</w:t>
                  </w:r>
                  <w:r>
                    <w:rPr>
                      <w:rFonts w:hint="default"/>
                      <w:color w:val="auto"/>
                      <w:sz w:val="18"/>
                      <w:szCs w:val="18"/>
                      <w:highlight w:val="none"/>
                    </w:rPr>
                    <w:t>核定排放总量（t/a）</w:t>
                  </w:r>
                </w:p>
              </w:tc>
            </w:tr>
            <w:tr w14:paraId="5049A2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1318" w:type="dxa"/>
                  <w:vAlign w:val="center"/>
                </w:tcPr>
                <w:p w14:paraId="52802A07">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olor w:val="auto"/>
                      <w:sz w:val="18"/>
                      <w:szCs w:val="18"/>
                      <w:highlight w:val="none"/>
                    </w:rPr>
                  </w:pPr>
                  <w:r>
                    <w:rPr>
                      <w:rFonts w:hint="eastAsia"/>
                      <w:snapToGrid w:val="0"/>
                      <w:color w:val="auto"/>
                      <w:kern w:val="0"/>
                      <w:sz w:val="18"/>
                      <w:szCs w:val="18"/>
                      <w:highlight w:val="none"/>
                      <w:lang w:val="en-US" w:eastAsia="zh-CN"/>
                    </w:rPr>
                    <w:t>COD</w:t>
                  </w:r>
                </w:p>
              </w:tc>
              <w:tc>
                <w:tcPr>
                  <w:tcW w:w="1139" w:type="dxa"/>
                  <w:vAlign w:val="center"/>
                </w:tcPr>
                <w:p w14:paraId="55BEBA9D">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color w:val="auto"/>
                      <w:kern w:val="0"/>
                      <w:sz w:val="18"/>
                      <w:szCs w:val="18"/>
                      <w:highlight w:val="none"/>
                      <w:lang w:val="en-US"/>
                    </w:rPr>
                  </w:pPr>
                  <w:r>
                    <w:rPr>
                      <w:rFonts w:hint="eastAsia" w:cs="Times New Roman"/>
                      <w:color w:val="auto"/>
                      <w:sz w:val="18"/>
                      <w:szCs w:val="18"/>
                      <w:highlight w:val="none"/>
                      <w:lang w:val="en-US" w:eastAsia="zh-CN"/>
                    </w:rPr>
                    <w:t>0.084</w:t>
                  </w:r>
                </w:p>
              </w:tc>
              <w:tc>
                <w:tcPr>
                  <w:tcW w:w="1156" w:type="dxa"/>
                  <w:vAlign w:val="center"/>
                </w:tcPr>
                <w:p w14:paraId="39F4DC80">
                  <w:pPr>
                    <w:keepNext w:val="0"/>
                    <w:keepLines w:val="0"/>
                    <w:widowControl/>
                    <w:suppressLineNumbers w:val="0"/>
                    <w:spacing w:before="0" w:beforeAutospacing="0" w:after="0" w:afterAutospacing="0"/>
                    <w:ind w:left="0" w:right="0"/>
                    <w:jc w:val="center"/>
                    <w:rPr>
                      <w:rFonts w:hint="default" w:eastAsia="宋体"/>
                      <w:color w:val="auto"/>
                      <w:kern w:val="0"/>
                      <w:sz w:val="18"/>
                      <w:szCs w:val="18"/>
                      <w:highlight w:val="none"/>
                      <w:lang w:val="en-US" w:eastAsia="zh-CN"/>
                    </w:rPr>
                  </w:pPr>
                  <w:r>
                    <w:rPr>
                      <w:rFonts w:hint="eastAsia"/>
                      <w:color w:val="auto"/>
                      <w:sz w:val="18"/>
                      <w:szCs w:val="18"/>
                      <w:highlight w:val="none"/>
                      <w:lang w:val="en-US" w:eastAsia="zh-CN"/>
                    </w:rPr>
                    <w:t>2.25</w:t>
                  </w:r>
                </w:p>
              </w:tc>
              <w:tc>
                <w:tcPr>
                  <w:tcW w:w="1062" w:type="dxa"/>
                  <w:vAlign w:val="center"/>
                </w:tcPr>
                <w:p w14:paraId="4A00E0FF">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bCs/>
                      <w:color w:val="auto"/>
                      <w:sz w:val="18"/>
                      <w:szCs w:val="18"/>
                      <w:highlight w:val="none"/>
                      <w:lang w:val="en-US" w:eastAsia="zh-CN"/>
                    </w:rPr>
                    <w:t>0</w:t>
                  </w:r>
                </w:p>
              </w:tc>
              <w:tc>
                <w:tcPr>
                  <w:tcW w:w="1153" w:type="dxa"/>
                  <w:vAlign w:val="center"/>
                </w:tcPr>
                <w:p w14:paraId="3AFD411C">
                  <w:pPr>
                    <w:keepNext w:val="0"/>
                    <w:keepLines w:val="0"/>
                    <w:widowControl/>
                    <w:suppressLineNumbers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2.334</w:t>
                  </w:r>
                </w:p>
              </w:tc>
              <w:tc>
                <w:tcPr>
                  <w:tcW w:w="1154" w:type="dxa"/>
                  <w:vAlign w:val="center"/>
                </w:tcPr>
                <w:p w14:paraId="16FA5F6B">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bCs/>
                      <w:color w:val="auto"/>
                      <w:sz w:val="18"/>
                      <w:szCs w:val="18"/>
                      <w:highlight w:val="none"/>
                      <w:lang w:val="en-US" w:eastAsia="zh-CN"/>
                    </w:rPr>
                    <w:t>+</w:t>
                  </w:r>
                  <w:r>
                    <w:rPr>
                      <w:rFonts w:hint="eastAsia"/>
                      <w:color w:val="auto"/>
                      <w:sz w:val="18"/>
                      <w:szCs w:val="18"/>
                      <w:highlight w:val="none"/>
                      <w:lang w:val="en-US" w:eastAsia="zh-CN"/>
                    </w:rPr>
                    <w:t>2.25</w:t>
                  </w:r>
                </w:p>
              </w:tc>
              <w:tc>
                <w:tcPr>
                  <w:tcW w:w="1155" w:type="dxa"/>
                  <w:vAlign w:val="center"/>
                </w:tcPr>
                <w:p w14:paraId="2BCFA02C">
                  <w:pPr>
                    <w:pStyle w:val="35"/>
                    <w:keepNext w:val="0"/>
                    <w:keepLines w:val="0"/>
                    <w:widowControl/>
                    <w:suppressLineNumbers w:val="0"/>
                    <w:spacing w:before="0" w:beforeAutospacing="0" w:after="0" w:afterAutospacing="0"/>
                    <w:ind w:left="0" w:right="113" w:firstLine="0" w:firstLineChars="0"/>
                    <w:jc w:val="center"/>
                    <w:rPr>
                      <w:rFonts w:hint="default" w:eastAsia="宋体"/>
                      <w:color w:val="auto"/>
                      <w:kern w:val="0"/>
                      <w:sz w:val="18"/>
                      <w:szCs w:val="18"/>
                      <w:highlight w:val="none"/>
                      <w:lang w:val="en-US" w:eastAsia="zh-CN"/>
                    </w:rPr>
                  </w:pPr>
                  <w:r>
                    <w:rPr>
                      <w:rFonts w:hint="eastAsia"/>
                      <w:color w:val="auto"/>
                      <w:sz w:val="18"/>
                      <w:szCs w:val="18"/>
                      <w:highlight w:val="none"/>
                      <w:lang w:val="en-US" w:eastAsia="zh-CN"/>
                    </w:rPr>
                    <w:t>2.643</w:t>
                  </w:r>
                </w:p>
              </w:tc>
            </w:tr>
            <w:tr w14:paraId="7D6EC0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318" w:type="dxa"/>
                  <w:vAlign w:val="center"/>
                </w:tcPr>
                <w:p w14:paraId="001C5E7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olor w:val="auto"/>
                      <w:kern w:val="0"/>
                      <w:sz w:val="18"/>
                      <w:szCs w:val="18"/>
                      <w:highlight w:val="none"/>
                    </w:rPr>
                  </w:pPr>
                  <w:r>
                    <w:rPr>
                      <w:rFonts w:hint="eastAsia" w:cs="Times New Roman"/>
                      <w:color w:val="auto"/>
                      <w:kern w:val="0"/>
                      <w:sz w:val="18"/>
                      <w:szCs w:val="18"/>
                      <w:highlight w:val="none"/>
                      <w:lang w:val="en-US" w:eastAsia="zh-CN"/>
                    </w:rPr>
                    <w:t>氨氮</w:t>
                  </w:r>
                </w:p>
              </w:tc>
              <w:tc>
                <w:tcPr>
                  <w:tcW w:w="1139" w:type="dxa"/>
                  <w:vAlign w:val="center"/>
                </w:tcPr>
                <w:p w14:paraId="719B8103">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color w:val="auto"/>
                      <w:kern w:val="0"/>
                      <w:sz w:val="18"/>
                      <w:szCs w:val="18"/>
                      <w:highlight w:val="none"/>
                      <w:lang w:val="en-US"/>
                    </w:rPr>
                  </w:pPr>
                  <w:r>
                    <w:rPr>
                      <w:rFonts w:hint="eastAsia" w:cs="Times New Roman"/>
                      <w:color w:val="auto"/>
                      <w:kern w:val="0"/>
                      <w:sz w:val="18"/>
                      <w:szCs w:val="18"/>
                      <w:highlight w:val="none"/>
                      <w:lang w:val="en-US" w:eastAsia="zh-CN" w:bidi="ar-SA"/>
                    </w:rPr>
                    <w:t>0.007</w:t>
                  </w:r>
                </w:p>
              </w:tc>
              <w:tc>
                <w:tcPr>
                  <w:tcW w:w="1156" w:type="dxa"/>
                  <w:vAlign w:val="center"/>
                </w:tcPr>
                <w:p w14:paraId="1F6D739C">
                  <w:pPr>
                    <w:keepNext w:val="0"/>
                    <w:keepLines w:val="0"/>
                    <w:widowControl/>
                    <w:suppressLineNumbers w:val="0"/>
                    <w:spacing w:before="0" w:beforeAutospacing="0" w:after="0" w:afterAutospacing="0"/>
                    <w:ind w:left="0" w:right="0"/>
                    <w:jc w:val="center"/>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0.048</w:t>
                  </w:r>
                </w:p>
              </w:tc>
              <w:tc>
                <w:tcPr>
                  <w:tcW w:w="1062" w:type="dxa"/>
                  <w:vAlign w:val="center"/>
                </w:tcPr>
                <w:p w14:paraId="5B0099E4">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bCs/>
                      <w:color w:val="auto"/>
                      <w:sz w:val="18"/>
                      <w:szCs w:val="18"/>
                      <w:highlight w:val="none"/>
                      <w:lang w:val="en-US" w:eastAsia="zh-CN"/>
                    </w:rPr>
                    <w:t>0</w:t>
                  </w:r>
                </w:p>
              </w:tc>
              <w:tc>
                <w:tcPr>
                  <w:tcW w:w="1153" w:type="dxa"/>
                  <w:vAlign w:val="center"/>
                </w:tcPr>
                <w:p w14:paraId="57502BB1">
                  <w:pPr>
                    <w:keepNext w:val="0"/>
                    <w:keepLines w:val="0"/>
                    <w:widowControl/>
                    <w:suppressLineNumbers w:val="0"/>
                    <w:spacing w:before="0" w:beforeAutospacing="0" w:after="0" w:afterAutospacing="0"/>
                    <w:ind w:left="0" w:leftChars="0" w:right="0" w:rightChars="0"/>
                    <w:jc w:val="center"/>
                    <w:rPr>
                      <w:rFonts w:hint="default"/>
                      <w:color w:val="auto"/>
                      <w:kern w:val="0"/>
                      <w:sz w:val="18"/>
                      <w:szCs w:val="18"/>
                      <w:highlight w:val="none"/>
                    </w:rPr>
                  </w:pPr>
                  <w:r>
                    <w:rPr>
                      <w:rFonts w:hint="eastAsia"/>
                      <w:color w:val="auto"/>
                      <w:sz w:val="18"/>
                      <w:szCs w:val="18"/>
                      <w:highlight w:val="none"/>
                      <w:lang w:val="en-US" w:eastAsia="zh-CN"/>
                    </w:rPr>
                    <w:t>0.055</w:t>
                  </w:r>
                </w:p>
              </w:tc>
              <w:tc>
                <w:tcPr>
                  <w:tcW w:w="1154" w:type="dxa"/>
                  <w:vAlign w:val="center"/>
                </w:tcPr>
                <w:p w14:paraId="40BD8254">
                  <w:pPr>
                    <w:keepNext w:val="0"/>
                    <w:keepLines w:val="0"/>
                    <w:suppressLineNumbers w:val="0"/>
                    <w:spacing w:before="0" w:beforeAutospacing="0" w:after="0" w:afterAutospacing="0"/>
                    <w:ind w:left="0" w:right="0"/>
                    <w:jc w:val="center"/>
                    <w:rPr>
                      <w:rFonts w:hint="eastAsia" w:eastAsia="宋体"/>
                      <w:color w:val="auto"/>
                      <w:kern w:val="0"/>
                      <w:sz w:val="18"/>
                      <w:szCs w:val="18"/>
                      <w:highlight w:val="none"/>
                      <w:lang w:eastAsia="zh-CN"/>
                    </w:rPr>
                  </w:pPr>
                  <w:r>
                    <w:rPr>
                      <w:rFonts w:hint="eastAsia"/>
                      <w:bCs/>
                      <w:color w:val="auto"/>
                      <w:sz w:val="18"/>
                      <w:szCs w:val="18"/>
                      <w:highlight w:val="none"/>
                      <w:lang w:val="en-US" w:eastAsia="zh-CN"/>
                    </w:rPr>
                    <w:t>+</w:t>
                  </w:r>
                  <w:r>
                    <w:rPr>
                      <w:rFonts w:hint="eastAsia"/>
                      <w:color w:val="auto"/>
                      <w:kern w:val="0"/>
                      <w:sz w:val="18"/>
                      <w:szCs w:val="18"/>
                      <w:highlight w:val="none"/>
                      <w:lang w:val="en-US" w:eastAsia="zh-CN"/>
                    </w:rPr>
                    <w:t>0.048</w:t>
                  </w:r>
                </w:p>
              </w:tc>
              <w:tc>
                <w:tcPr>
                  <w:tcW w:w="1155" w:type="dxa"/>
                  <w:vAlign w:val="center"/>
                </w:tcPr>
                <w:p w14:paraId="7E9E87DA">
                  <w:pPr>
                    <w:pStyle w:val="35"/>
                    <w:keepNext w:val="0"/>
                    <w:keepLines w:val="0"/>
                    <w:widowControl/>
                    <w:suppressLineNumbers w:val="0"/>
                    <w:spacing w:before="0" w:beforeAutospacing="0" w:after="0" w:afterAutospacing="0"/>
                    <w:ind w:left="0" w:right="113" w:firstLine="0" w:firstLineChars="0"/>
                    <w:jc w:val="center"/>
                    <w:rPr>
                      <w:rFonts w:hint="default" w:eastAsia="宋体"/>
                      <w:color w:val="auto"/>
                      <w:kern w:val="0"/>
                      <w:sz w:val="18"/>
                      <w:szCs w:val="18"/>
                      <w:highlight w:val="none"/>
                      <w:lang w:val="en-US" w:eastAsia="zh-CN"/>
                    </w:rPr>
                  </w:pPr>
                  <w:r>
                    <w:rPr>
                      <w:rFonts w:hint="eastAsia"/>
                      <w:color w:val="auto"/>
                      <w:sz w:val="18"/>
                      <w:szCs w:val="18"/>
                      <w:highlight w:val="none"/>
                      <w:lang w:val="en-US" w:eastAsia="zh-CN"/>
                    </w:rPr>
                    <w:t>0.13213</w:t>
                  </w:r>
                </w:p>
              </w:tc>
            </w:tr>
          </w:tbl>
          <w:p w14:paraId="21FFE839">
            <w:pPr>
              <w:pStyle w:val="3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0"/>
                <w:szCs w:val="21"/>
                <w:highlight w:val="none"/>
                <w:lang w:val="en-US" w:eastAsia="zh-CN"/>
              </w:rPr>
            </w:pPr>
          </w:p>
        </w:tc>
      </w:tr>
    </w:tbl>
    <w:p w14:paraId="58B487A2">
      <w:pPr>
        <w:pStyle w:val="32"/>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
          <w:sz w:val="36"/>
          <w:szCs w:val="36"/>
          <w:highlight w:val="none"/>
        </w:rPr>
        <w:br w:type="page"/>
      </w:r>
      <w:bookmarkStart w:id="10" w:name="_Toc17537"/>
      <w:r>
        <w:rPr>
          <w:rFonts w:hint="default" w:ascii="Times New Roman" w:hAnsi="Times New Roman" w:eastAsia="黑体" w:cs="Times New Roman"/>
          <w:snapToGrid w:val="0"/>
          <w:color w:val="auto"/>
          <w:kern w:val="21"/>
          <w:sz w:val="30"/>
          <w:szCs w:val="30"/>
          <w:highlight w:val="none"/>
        </w:rPr>
        <w:t>四、主要环境影响和保护措施</w:t>
      </w:r>
      <w:bookmarkEnd w:id="10"/>
    </w:p>
    <w:tbl>
      <w:tblPr>
        <w:tblStyle w:val="37"/>
        <w:tblW w:w="905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8315"/>
      </w:tblGrid>
      <w:tr w14:paraId="61EFCF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11" w:hRule="atLeast"/>
          <w:jc w:val="center"/>
        </w:trPr>
        <w:tc>
          <w:tcPr>
            <w:tcW w:w="799" w:type="dxa"/>
            <w:noWrap w:val="0"/>
            <w:tcMar>
              <w:left w:w="28" w:type="dxa"/>
              <w:right w:w="28" w:type="dxa"/>
            </w:tcMar>
            <w:vAlign w:val="center"/>
          </w:tcPr>
          <w:p w14:paraId="73423E99">
            <w:pPr>
              <w:pStyle w:val="32"/>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施工</w:t>
            </w:r>
          </w:p>
          <w:p w14:paraId="19204E9C">
            <w:pPr>
              <w:pStyle w:val="32"/>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期环</w:t>
            </w:r>
          </w:p>
          <w:p w14:paraId="634AACFF">
            <w:pPr>
              <w:pStyle w:val="32"/>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境保</w:t>
            </w:r>
          </w:p>
          <w:p w14:paraId="1CA9EC1B">
            <w:pPr>
              <w:pStyle w:val="32"/>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护措</w:t>
            </w:r>
          </w:p>
          <w:p w14:paraId="28F96757">
            <w:pPr>
              <w:pStyle w:val="32"/>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kern w:val="2"/>
                <w:sz w:val="21"/>
                <w:szCs w:val="21"/>
                <w:highlight w:val="none"/>
              </w:rPr>
            </w:pPr>
            <w:r>
              <w:rPr>
                <w:rFonts w:hint="default" w:ascii="Times New Roman" w:hAnsi="Times New Roman"/>
                <w:color w:val="auto"/>
                <w:kern w:val="2"/>
                <w:sz w:val="21"/>
                <w:szCs w:val="21"/>
                <w:highlight w:val="none"/>
              </w:rPr>
              <w:t>施</w:t>
            </w:r>
          </w:p>
        </w:tc>
        <w:tc>
          <w:tcPr>
            <w:tcW w:w="8254" w:type="dxa"/>
            <w:noWrap w:val="0"/>
            <w:vAlign w:val="center"/>
          </w:tcPr>
          <w:p w14:paraId="34814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eastAsia="宋体"/>
                <w:bCs/>
                <w:color w:val="auto"/>
                <w:spacing w:val="-10"/>
                <w:szCs w:val="21"/>
                <w:highlight w:val="none"/>
                <w:lang w:val="en-US" w:eastAsia="zh-CN"/>
              </w:rPr>
            </w:pPr>
            <w:r>
              <w:rPr>
                <w:rFonts w:hint="default" w:ascii="Times New Roman" w:hAnsi="Times New Roman" w:eastAsia="宋体" w:cs="Times New Roman"/>
                <w:b w:val="0"/>
                <w:bCs/>
                <w:color w:val="auto"/>
                <w:sz w:val="21"/>
                <w:szCs w:val="21"/>
                <w:highlight w:val="none"/>
              </w:rPr>
              <w:t>本项目</w:t>
            </w:r>
            <w:r>
              <w:rPr>
                <w:rFonts w:hint="eastAsia" w:cs="Times New Roman"/>
                <w:b w:val="0"/>
                <w:bCs/>
                <w:color w:val="auto"/>
                <w:sz w:val="21"/>
                <w:szCs w:val="21"/>
                <w:highlight w:val="none"/>
                <w:lang w:eastAsia="zh-CN"/>
              </w:rPr>
              <w:t>主体已建成，无土建施工，剩余施工仅为部分小型设备更换，因此主要针对运营期进行分析。</w:t>
            </w:r>
          </w:p>
        </w:tc>
      </w:tr>
      <w:tr w14:paraId="561A06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45" w:hRule="atLeast"/>
          <w:jc w:val="center"/>
        </w:trPr>
        <w:tc>
          <w:tcPr>
            <w:tcW w:w="799" w:type="dxa"/>
            <w:noWrap w:val="0"/>
            <w:tcMar>
              <w:left w:w="28" w:type="dxa"/>
              <w:right w:w="28" w:type="dxa"/>
            </w:tcMar>
            <w:vAlign w:val="center"/>
          </w:tcPr>
          <w:p w14:paraId="0446BE6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2412E68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43D2CC3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0DFE2F06">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070F8FB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54D5306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tc>
        <w:tc>
          <w:tcPr>
            <w:tcW w:w="8254" w:type="dxa"/>
            <w:noWrap w:val="0"/>
            <w:vAlign w:val="top"/>
          </w:tcPr>
          <w:p w14:paraId="21146922">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21"/>
                <w:szCs w:val="21"/>
                <w:highlight w:val="none"/>
              </w:rPr>
            </w:pPr>
            <w:r>
              <w:rPr>
                <w:rFonts w:hint="default" w:ascii="Times New Roman" w:hAnsi="Times New Roman" w:cs="Times New Roman"/>
                <w:b/>
                <w:bCs/>
                <w:color w:val="auto"/>
                <w:kern w:val="21"/>
                <w:szCs w:val="21"/>
                <w:highlight w:val="none"/>
              </w:rPr>
              <w:t>1、废气</w:t>
            </w:r>
          </w:p>
          <w:p w14:paraId="6A9B56D5">
            <w:pPr>
              <w:pStyle w:val="1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本项目主要为污泥处理间产生少量臭气，通过加强通风，日产日清等措施，</w:t>
            </w:r>
            <w:r>
              <w:rPr>
                <w:rFonts w:hint="eastAsia" w:ascii="宋体" w:hAnsi="宋体" w:cs="宋体"/>
                <w:color w:val="auto"/>
                <w:sz w:val="21"/>
                <w:szCs w:val="21"/>
                <w:highlight w:val="none"/>
                <w:lang w:val="en-US" w:eastAsia="zh-CN"/>
              </w:rPr>
              <w:t>臭氧破坏器</w:t>
            </w:r>
            <w:r>
              <w:rPr>
                <w:rFonts w:hint="eastAsia" w:ascii="宋体" w:hAnsi="宋体" w:eastAsia="宋体" w:cs="宋体"/>
                <w:color w:val="auto"/>
                <w:sz w:val="21"/>
                <w:szCs w:val="21"/>
                <w:highlight w:val="none"/>
                <w:lang w:val="en-US" w:eastAsia="zh-CN"/>
              </w:rPr>
              <w:t>设计尾气排放</w:t>
            </w:r>
            <w:r>
              <w:rPr>
                <w:rFonts w:hint="default" w:ascii="宋体" w:hAnsi="宋体" w:eastAsia="宋体" w:cs="宋体"/>
                <w:color w:val="auto"/>
                <w:sz w:val="21"/>
                <w:szCs w:val="21"/>
                <w:highlight w:val="none"/>
                <w:lang w:val="en-US" w:eastAsia="zh-CN"/>
              </w:rPr>
              <w:t>臭氧浓度</w:t>
            </w:r>
            <w:r>
              <w:rPr>
                <w:rFonts w:hint="eastAsia" w:ascii="宋体" w:hAnsi="宋体" w:eastAsia="宋体" w:cs="宋体"/>
                <w:color w:val="auto"/>
                <w:sz w:val="21"/>
                <w:szCs w:val="21"/>
                <w:highlight w:val="none"/>
                <w:lang w:val="en-US" w:eastAsia="zh-CN"/>
              </w:rPr>
              <w:t>低于</w:t>
            </w:r>
            <w:r>
              <w:rPr>
                <w:rFonts w:hint="default" w:ascii="Times New Roman" w:hAnsi="Times New Roman" w:eastAsia="宋体" w:cs="Times New Roman"/>
                <w:color w:val="auto"/>
                <w:sz w:val="21"/>
                <w:szCs w:val="21"/>
                <w:highlight w:val="none"/>
                <w:lang w:val="en-US" w:eastAsia="zh-CN"/>
              </w:rPr>
              <w:t>1ppm</w:t>
            </w:r>
            <w:r>
              <w:rPr>
                <w:rFonts w:hint="eastAsia" w:cs="Times New Roman"/>
                <w:color w:val="auto"/>
                <w:sz w:val="21"/>
                <w:szCs w:val="21"/>
                <w:highlight w:val="none"/>
                <w:lang w:val="en-US" w:eastAsia="zh-CN"/>
              </w:rPr>
              <w:t>对周边环境影响较小，</w:t>
            </w:r>
            <w:r>
              <w:rPr>
                <w:rFonts w:hint="eastAsia" w:ascii="宋体" w:hAnsi="宋体" w:cs="宋体"/>
                <w:color w:val="auto"/>
                <w:sz w:val="21"/>
                <w:szCs w:val="21"/>
                <w:highlight w:val="none"/>
                <w:lang w:val="en-US" w:eastAsia="zh-CN"/>
              </w:rPr>
              <w:t>厂界臭气浓度满足</w:t>
            </w:r>
            <w:r>
              <w:rPr>
                <w:rFonts w:hint="default" w:ascii="Times New Roman" w:hAnsi="Times New Roman" w:cs="Times New Roman"/>
                <w:color w:val="auto"/>
                <w:sz w:val="21"/>
                <w:szCs w:val="21"/>
                <w:highlight w:val="none"/>
                <w:lang w:val="en-US" w:eastAsia="zh-CN"/>
              </w:rPr>
              <w:t>《恶臭污染物排放标准》（GB14554-93）表1中二级新扩改建标准限值</w:t>
            </w:r>
            <w:r>
              <w:rPr>
                <w:rFonts w:hint="eastAsia" w:cs="Times New Roman"/>
                <w:color w:val="auto"/>
                <w:sz w:val="21"/>
                <w:szCs w:val="21"/>
                <w:highlight w:val="none"/>
                <w:lang w:val="en-US" w:eastAsia="zh-CN"/>
              </w:rPr>
              <w:t>，废气监测计划下见表4-1。</w:t>
            </w:r>
          </w:p>
          <w:p w14:paraId="581299BC">
            <w:pPr>
              <w:keepNext w:val="0"/>
              <w:keepLines w:val="0"/>
              <w:widowControl/>
              <w:suppressLineNumbers w:val="0"/>
              <w:adjustRightInd/>
              <w:snapToGrid/>
              <w:spacing w:before="0" w:beforeAutospacing="0" w:after="0" w:afterAutospacing="0"/>
              <w:ind w:left="0" w:right="0"/>
              <w:jc w:val="center"/>
              <w:rPr>
                <w:rFonts w:hint="default" w:eastAsia="宋体"/>
                <w:color w:val="auto"/>
                <w:lang w:val="en-US" w:eastAsia="zh-CN"/>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-1</w:t>
            </w:r>
            <w:r>
              <w:rPr>
                <w:rFonts w:hint="eastAsia"/>
                <w:b/>
                <w:bCs/>
                <w:color w:val="auto"/>
                <w:szCs w:val="21"/>
                <w:highlight w:val="none"/>
                <w:lang w:val="en-US" w:eastAsia="zh-CN"/>
              </w:rPr>
              <w:t>厂界废气监测计划表</w:t>
            </w:r>
          </w:p>
          <w:tbl>
            <w:tblPr>
              <w:tblStyle w:val="38"/>
              <w:tblW w:w="809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98"/>
              <w:gridCol w:w="2700"/>
              <w:gridCol w:w="2701"/>
            </w:tblGrid>
            <w:tr w14:paraId="5844E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2698" w:type="dxa"/>
                  <w:tcBorders>
                    <w:tl2br w:val="nil"/>
                    <w:tr2bl w:val="nil"/>
                  </w:tcBorders>
                </w:tcPr>
                <w:p w14:paraId="0E0ECDA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监测点位</w:t>
                  </w:r>
                </w:p>
              </w:tc>
              <w:tc>
                <w:tcPr>
                  <w:tcW w:w="2700" w:type="dxa"/>
                  <w:tcBorders>
                    <w:tl2br w:val="nil"/>
                    <w:tr2bl w:val="nil"/>
                  </w:tcBorders>
                </w:tcPr>
                <w:p w14:paraId="445303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监测因子</w:t>
                  </w:r>
                </w:p>
              </w:tc>
              <w:tc>
                <w:tcPr>
                  <w:tcW w:w="2701" w:type="dxa"/>
                  <w:tcBorders>
                    <w:tl2br w:val="nil"/>
                    <w:tr2bl w:val="nil"/>
                  </w:tcBorders>
                </w:tcPr>
                <w:p w14:paraId="3760667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监测频次</w:t>
                  </w:r>
                </w:p>
              </w:tc>
            </w:tr>
            <w:tr w14:paraId="786E51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2698" w:type="dxa"/>
                  <w:tcBorders>
                    <w:tl2br w:val="nil"/>
                    <w:tr2bl w:val="nil"/>
                  </w:tcBorders>
                </w:tcPr>
                <w:p w14:paraId="1EB5234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厂界</w:t>
                  </w:r>
                </w:p>
              </w:tc>
              <w:tc>
                <w:tcPr>
                  <w:tcW w:w="2700" w:type="dxa"/>
                  <w:tcBorders>
                    <w:tl2br w:val="nil"/>
                    <w:tr2bl w:val="nil"/>
                  </w:tcBorders>
                </w:tcPr>
                <w:p w14:paraId="3C1451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臭气浓度</w:t>
                  </w:r>
                </w:p>
              </w:tc>
              <w:tc>
                <w:tcPr>
                  <w:tcW w:w="2701" w:type="dxa"/>
                  <w:tcBorders>
                    <w:tl2br w:val="nil"/>
                    <w:tr2bl w:val="nil"/>
                  </w:tcBorders>
                </w:tcPr>
                <w:p w14:paraId="0DAE3DC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1次/年</w:t>
                  </w:r>
                </w:p>
              </w:tc>
            </w:tr>
          </w:tbl>
          <w:p w14:paraId="51FA1222">
            <w:pPr>
              <w:keepNext w:val="0"/>
              <w:keepLines w:val="0"/>
              <w:widowControl/>
              <w:suppressLineNumbers w:val="0"/>
              <w:adjustRightInd/>
              <w:snapToGrid/>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p>
          <w:p w14:paraId="665308A7">
            <w:pPr>
              <w:keepNext w:val="0"/>
              <w:keepLines w:val="0"/>
              <w:widowControl/>
              <w:suppressLineNumbers w:val="0"/>
              <w:adjustRightInd/>
              <w:snapToGrid/>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2、废水</w:t>
            </w:r>
          </w:p>
          <w:p w14:paraId="6408929F">
            <w:pPr>
              <w:keepNext w:val="0"/>
              <w:keepLines w:val="0"/>
              <w:widowControl/>
              <w:suppressLineNumbers w:val="0"/>
              <w:adjustRightInd/>
              <w:snapToGrid/>
              <w:spacing w:before="0" w:beforeAutospacing="0" w:after="0" w:afterAutospacing="0" w:line="360" w:lineRule="auto"/>
              <w:ind w:left="0" w:right="0" w:firstLine="420" w:firstLineChars="200"/>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（1）废水源强详见表4-</w:t>
            </w:r>
            <w:r>
              <w:rPr>
                <w:rFonts w:hint="eastAsia" w:cs="Times New Roman"/>
                <w:bCs/>
                <w:color w:val="auto"/>
                <w:szCs w:val="21"/>
                <w:highlight w:val="none"/>
                <w:lang w:val="en-US" w:eastAsia="zh-CN"/>
              </w:rPr>
              <w:t>2</w:t>
            </w:r>
            <w:r>
              <w:rPr>
                <w:rFonts w:hint="default" w:ascii="Times New Roman" w:hAnsi="Times New Roman" w:cs="Times New Roman"/>
                <w:bCs/>
                <w:color w:val="auto"/>
                <w:szCs w:val="21"/>
                <w:highlight w:val="none"/>
              </w:rPr>
              <w:t>。</w:t>
            </w:r>
          </w:p>
          <w:p w14:paraId="1EBEDF95">
            <w:pPr>
              <w:keepNext w:val="0"/>
              <w:keepLines w:val="0"/>
              <w:widowControl/>
              <w:suppressLineNumbers w:val="0"/>
              <w:adjustRightInd/>
              <w:snapToGrid/>
              <w:spacing w:before="0" w:beforeAutospacing="0" w:after="0" w:afterAutospacing="0"/>
              <w:ind w:left="0" w:right="0"/>
              <w:jc w:val="center"/>
              <w:rPr>
                <w:rFonts w:hint="default"/>
                <w:b/>
                <w:bCs/>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-2</w:t>
            </w:r>
            <w:r>
              <w:rPr>
                <w:rFonts w:hint="default"/>
                <w:b/>
                <w:bCs/>
                <w:color w:val="auto"/>
                <w:szCs w:val="21"/>
                <w:highlight w:val="none"/>
              </w:rPr>
              <w:t>废水污染源源强核算结果及相关参数一览表</w:t>
            </w:r>
          </w:p>
          <w:tbl>
            <w:tblPr>
              <w:tblStyle w:val="3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5"/>
              <w:gridCol w:w="646"/>
              <w:gridCol w:w="719"/>
              <w:gridCol w:w="402"/>
              <w:gridCol w:w="758"/>
              <w:gridCol w:w="674"/>
              <w:gridCol w:w="719"/>
              <w:gridCol w:w="577"/>
              <w:gridCol w:w="523"/>
              <w:gridCol w:w="397"/>
              <w:gridCol w:w="760"/>
              <w:gridCol w:w="692"/>
              <w:gridCol w:w="714"/>
            </w:tblGrid>
            <w:tr w14:paraId="002B11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7" w:type="pct"/>
                  <w:gridSpan w:val="2"/>
                  <w:vMerge w:val="restart"/>
                  <w:tcBorders>
                    <w:top w:val="single" w:color="auto" w:sz="12" w:space="0"/>
                  </w:tcBorders>
                  <w:vAlign w:val="center"/>
                </w:tcPr>
                <w:p w14:paraId="508726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排放源</w:t>
                  </w:r>
                </w:p>
              </w:tc>
              <w:tc>
                <w:tcPr>
                  <w:tcW w:w="444" w:type="pct"/>
                  <w:vMerge w:val="restart"/>
                  <w:tcBorders>
                    <w:top w:val="single" w:color="auto" w:sz="12" w:space="0"/>
                  </w:tcBorders>
                  <w:vAlign w:val="center"/>
                </w:tcPr>
                <w:p w14:paraId="048E2E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1576" w:type="pct"/>
                  <w:gridSpan w:val="4"/>
                  <w:tcBorders>
                    <w:top w:val="single" w:color="auto" w:sz="12" w:space="0"/>
                  </w:tcBorders>
                  <w:vAlign w:val="center"/>
                </w:tcPr>
                <w:p w14:paraId="0ECB61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污染物产生</w:t>
                  </w:r>
                </w:p>
              </w:tc>
              <w:tc>
                <w:tcPr>
                  <w:tcW w:w="679" w:type="pct"/>
                  <w:gridSpan w:val="2"/>
                  <w:tcBorders>
                    <w:top w:val="single" w:color="auto" w:sz="12" w:space="0"/>
                  </w:tcBorders>
                  <w:vAlign w:val="center"/>
                </w:tcPr>
                <w:p w14:paraId="5C2D77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治理措施</w:t>
                  </w:r>
                </w:p>
              </w:tc>
              <w:tc>
                <w:tcPr>
                  <w:tcW w:w="1581" w:type="pct"/>
                  <w:gridSpan w:val="4"/>
                  <w:tcBorders>
                    <w:top w:val="single" w:color="auto" w:sz="12" w:space="0"/>
                  </w:tcBorders>
                  <w:vAlign w:val="center"/>
                </w:tcPr>
                <w:p w14:paraId="115DBF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污染物排放</w:t>
                  </w:r>
                </w:p>
              </w:tc>
            </w:tr>
            <w:tr w14:paraId="77B8CB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7" w:type="pct"/>
                  <w:gridSpan w:val="2"/>
                  <w:vMerge w:val="continue"/>
                  <w:vAlign w:val="center"/>
                </w:tcPr>
                <w:p w14:paraId="48A90E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44" w:type="pct"/>
                  <w:vMerge w:val="continue"/>
                  <w:vAlign w:val="center"/>
                </w:tcPr>
                <w:p w14:paraId="5EB8777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248" w:type="pct"/>
                  <w:vAlign w:val="center"/>
                </w:tcPr>
                <w:p w14:paraId="0B4355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核算方法</w:t>
                  </w:r>
                </w:p>
              </w:tc>
              <w:tc>
                <w:tcPr>
                  <w:tcW w:w="468" w:type="pct"/>
                  <w:vAlign w:val="center"/>
                </w:tcPr>
                <w:p w14:paraId="6913F0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废水量</w:t>
                  </w:r>
                  <w:r>
                    <w:rPr>
                      <w:rFonts w:hint="default" w:ascii="Times New Roman" w:hAnsi="Times New Roman" w:eastAsia="宋体" w:cs="Times New Roman"/>
                      <w:color w:val="auto"/>
                      <w:sz w:val="18"/>
                      <w:szCs w:val="18"/>
                      <w:highlight w:val="none"/>
                      <w:lang w:val="en-US" w:eastAsia="zh-CN"/>
                    </w:rPr>
                    <w:t>t</w:t>
                  </w:r>
                  <w:r>
                    <w:rPr>
                      <w:rFonts w:hint="default" w:ascii="Times New Roman" w:hAnsi="Times New Roman" w:eastAsia="宋体" w:cs="Times New Roman"/>
                      <w:color w:val="auto"/>
                      <w:sz w:val="18"/>
                      <w:szCs w:val="18"/>
                      <w:highlight w:val="none"/>
                    </w:rPr>
                    <w:t>/a</w:t>
                  </w:r>
                </w:p>
              </w:tc>
              <w:tc>
                <w:tcPr>
                  <w:tcW w:w="416" w:type="pct"/>
                  <w:vAlign w:val="center"/>
                </w:tcPr>
                <w:p w14:paraId="30421F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w:t>
                  </w:r>
                </w:p>
                <w:p w14:paraId="497D079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浓度mg/L</w:t>
                  </w:r>
                </w:p>
              </w:tc>
              <w:tc>
                <w:tcPr>
                  <w:tcW w:w="442" w:type="pct"/>
                  <w:vAlign w:val="center"/>
                </w:tcPr>
                <w:p w14:paraId="0F208C2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356" w:type="pct"/>
                  <w:vAlign w:val="center"/>
                </w:tcPr>
                <w:p w14:paraId="68C5F5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工艺</w:t>
                  </w:r>
                </w:p>
              </w:tc>
              <w:tc>
                <w:tcPr>
                  <w:tcW w:w="322" w:type="pct"/>
                  <w:vAlign w:val="center"/>
                </w:tcPr>
                <w:p w14:paraId="4A2891F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效率</w:t>
                  </w:r>
                </w:p>
                <w:p w14:paraId="0EED93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245" w:type="pct"/>
                  <w:vAlign w:val="center"/>
                </w:tcPr>
                <w:p w14:paraId="128718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核算方法</w:t>
                  </w:r>
                </w:p>
              </w:tc>
              <w:tc>
                <w:tcPr>
                  <w:tcW w:w="469" w:type="pct"/>
                  <w:vAlign w:val="center"/>
                </w:tcPr>
                <w:p w14:paraId="6FC9D5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废水量</w:t>
                  </w:r>
                  <w:r>
                    <w:rPr>
                      <w:rFonts w:hint="default" w:ascii="Times New Roman" w:hAnsi="Times New Roman" w:eastAsia="宋体" w:cs="Times New Roman"/>
                      <w:color w:val="auto"/>
                      <w:sz w:val="18"/>
                      <w:szCs w:val="18"/>
                      <w:highlight w:val="none"/>
                      <w:lang w:val="en-US" w:eastAsia="zh-CN"/>
                    </w:rPr>
                    <w:t>t</w:t>
                  </w:r>
                  <w:r>
                    <w:rPr>
                      <w:rFonts w:hint="default" w:ascii="Times New Roman" w:hAnsi="Times New Roman" w:eastAsia="宋体" w:cs="Times New Roman"/>
                      <w:color w:val="auto"/>
                      <w:sz w:val="18"/>
                      <w:szCs w:val="18"/>
                      <w:highlight w:val="none"/>
                    </w:rPr>
                    <w:t>/a</w:t>
                  </w:r>
                </w:p>
              </w:tc>
              <w:tc>
                <w:tcPr>
                  <w:tcW w:w="427" w:type="pct"/>
                  <w:vAlign w:val="center"/>
                </w:tcPr>
                <w:p w14:paraId="09CA779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排放浓度mg/L</w:t>
                  </w:r>
                </w:p>
              </w:tc>
              <w:tc>
                <w:tcPr>
                  <w:tcW w:w="439" w:type="pct"/>
                  <w:vAlign w:val="center"/>
                </w:tcPr>
                <w:p w14:paraId="4CD23BC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r>
            <w:tr w14:paraId="4D44D9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Merge w:val="restart"/>
                  <w:vAlign w:val="center"/>
                </w:tcPr>
                <w:p w14:paraId="6D76C8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员工生活</w:t>
                  </w:r>
                </w:p>
              </w:tc>
              <w:tc>
                <w:tcPr>
                  <w:tcW w:w="398" w:type="pct"/>
                  <w:vMerge w:val="restart"/>
                  <w:vAlign w:val="center"/>
                </w:tcPr>
                <w:p w14:paraId="48939F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生活污水</w:t>
                  </w:r>
                </w:p>
              </w:tc>
              <w:tc>
                <w:tcPr>
                  <w:tcW w:w="444" w:type="pct"/>
                  <w:vAlign w:val="center"/>
                </w:tcPr>
                <w:p w14:paraId="74E733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COD</w:t>
                  </w:r>
                </w:p>
              </w:tc>
              <w:tc>
                <w:tcPr>
                  <w:tcW w:w="248" w:type="pct"/>
                  <w:vMerge w:val="restart"/>
                  <w:vAlign w:val="center"/>
                </w:tcPr>
                <w:p w14:paraId="667CCF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类比法</w:t>
                  </w:r>
                </w:p>
              </w:tc>
              <w:tc>
                <w:tcPr>
                  <w:tcW w:w="468" w:type="pct"/>
                  <w:vMerge w:val="restart"/>
                  <w:vAlign w:val="center"/>
                </w:tcPr>
                <w:p w14:paraId="1987F3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280.32</w:t>
                  </w:r>
                </w:p>
              </w:tc>
              <w:tc>
                <w:tcPr>
                  <w:tcW w:w="416" w:type="pct"/>
                  <w:vAlign w:val="center"/>
                </w:tcPr>
                <w:p w14:paraId="36F03A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300</w:t>
                  </w:r>
                </w:p>
              </w:tc>
              <w:tc>
                <w:tcPr>
                  <w:tcW w:w="442" w:type="pct"/>
                  <w:vAlign w:val="center"/>
                </w:tcPr>
                <w:p w14:paraId="674747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0.084</w:t>
                  </w:r>
                </w:p>
              </w:tc>
              <w:tc>
                <w:tcPr>
                  <w:tcW w:w="356" w:type="pct"/>
                  <w:vMerge w:val="restart"/>
                  <w:vAlign w:val="center"/>
                </w:tcPr>
                <w:p w14:paraId="0673B20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化粪池处理后排入污水管网</w:t>
                  </w:r>
                </w:p>
              </w:tc>
              <w:tc>
                <w:tcPr>
                  <w:tcW w:w="322" w:type="pct"/>
                  <w:vMerge w:val="restart"/>
                  <w:vAlign w:val="center"/>
                </w:tcPr>
                <w:p w14:paraId="0AB372F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p w14:paraId="229F7CD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245" w:type="pct"/>
                  <w:vMerge w:val="restart"/>
                  <w:vAlign w:val="center"/>
                </w:tcPr>
                <w:p w14:paraId="13D5352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类比法</w:t>
                  </w:r>
                </w:p>
              </w:tc>
              <w:tc>
                <w:tcPr>
                  <w:tcW w:w="469" w:type="pct"/>
                  <w:vMerge w:val="restart"/>
                  <w:shd w:val="clear" w:color="auto" w:fill="auto"/>
                  <w:vAlign w:val="center"/>
                </w:tcPr>
                <w:p w14:paraId="721B565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280.32</w:t>
                  </w:r>
                </w:p>
              </w:tc>
              <w:tc>
                <w:tcPr>
                  <w:tcW w:w="427" w:type="pct"/>
                  <w:vAlign w:val="center"/>
                </w:tcPr>
                <w:p w14:paraId="095F0770">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300</w:t>
                  </w:r>
                </w:p>
              </w:tc>
              <w:tc>
                <w:tcPr>
                  <w:tcW w:w="439" w:type="pct"/>
                  <w:vAlign w:val="center"/>
                </w:tcPr>
                <w:p w14:paraId="3D2D6B5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0.084</w:t>
                  </w:r>
                </w:p>
              </w:tc>
            </w:tr>
            <w:tr w14:paraId="37FCAA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Merge w:val="continue"/>
                  <w:vAlign w:val="center"/>
                </w:tcPr>
                <w:p w14:paraId="35B01D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98" w:type="pct"/>
                  <w:vMerge w:val="continue"/>
                  <w:vAlign w:val="center"/>
                </w:tcPr>
                <w:p w14:paraId="4379C9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44" w:type="pct"/>
                  <w:vAlign w:val="center"/>
                </w:tcPr>
                <w:p w14:paraId="759CD8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BOD</w:t>
                  </w:r>
                  <w:r>
                    <w:rPr>
                      <w:rFonts w:hint="default" w:ascii="Times New Roman" w:hAnsi="Times New Roman" w:eastAsia="宋体" w:cs="Times New Roman"/>
                      <w:color w:val="auto"/>
                      <w:sz w:val="18"/>
                      <w:szCs w:val="18"/>
                      <w:highlight w:val="none"/>
                      <w:vertAlign w:val="subscript"/>
                    </w:rPr>
                    <w:t>5</w:t>
                  </w:r>
                </w:p>
              </w:tc>
              <w:tc>
                <w:tcPr>
                  <w:tcW w:w="248" w:type="pct"/>
                  <w:vMerge w:val="continue"/>
                  <w:vAlign w:val="center"/>
                </w:tcPr>
                <w:p w14:paraId="26CC28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8" w:type="pct"/>
                  <w:vMerge w:val="continue"/>
                  <w:vAlign w:val="center"/>
                </w:tcPr>
                <w:p w14:paraId="6762C0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6" w:type="pct"/>
                  <w:vAlign w:val="center"/>
                </w:tcPr>
                <w:p w14:paraId="3248680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200</w:t>
                  </w:r>
                </w:p>
              </w:tc>
              <w:tc>
                <w:tcPr>
                  <w:tcW w:w="442" w:type="pct"/>
                  <w:vAlign w:val="center"/>
                </w:tcPr>
                <w:p w14:paraId="0373E3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0.056</w:t>
                  </w:r>
                </w:p>
              </w:tc>
              <w:tc>
                <w:tcPr>
                  <w:tcW w:w="356" w:type="pct"/>
                  <w:vMerge w:val="continue"/>
                  <w:vAlign w:val="center"/>
                </w:tcPr>
                <w:p w14:paraId="0B6BB1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22" w:type="pct"/>
                  <w:vMerge w:val="continue"/>
                  <w:vAlign w:val="center"/>
                </w:tcPr>
                <w:p w14:paraId="36CD17F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245" w:type="pct"/>
                  <w:vMerge w:val="continue"/>
                  <w:vAlign w:val="center"/>
                </w:tcPr>
                <w:p w14:paraId="4BFB4C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9" w:type="pct"/>
                  <w:vMerge w:val="continue"/>
                  <w:vAlign w:val="center"/>
                </w:tcPr>
                <w:p w14:paraId="57C02BA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p>
              </w:tc>
              <w:tc>
                <w:tcPr>
                  <w:tcW w:w="427" w:type="pct"/>
                  <w:vAlign w:val="center"/>
                </w:tcPr>
                <w:p w14:paraId="637E8EFC">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200</w:t>
                  </w:r>
                </w:p>
              </w:tc>
              <w:tc>
                <w:tcPr>
                  <w:tcW w:w="439" w:type="pct"/>
                  <w:vAlign w:val="center"/>
                </w:tcPr>
                <w:p w14:paraId="52B9290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0.056</w:t>
                  </w:r>
                </w:p>
              </w:tc>
            </w:tr>
            <w:tr w14:paraId="09EDBB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Merge w:val="continue"/>
                  <w:vAlign w:val="center"/>
                </w:tcPr>
                <w:p w14:paraId="757648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98" w:type="pct"/>
                  <w:vMerge w:val="continue"/>
                  <w:vAlign w:val="center"/>
                </w:tcPr>
                <w:p w14:paraId="1D43475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44" w:type="pct"/>
                  <w:vAlign w:val="center"/>
                </w:tcPr>
                <w:p w14:paraId="3DCBE2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SS</w:t>
                  </w:r>
                </w:p>
              </w:tc>
              <w:tc>
                <w:tcPr>
                  <w:tcW w:w="248" w:type="pct"/>
                  <w:vMerge w:val="continue"/>
                  <w:vAlign w:val="center"/>
                </w:tcPr>
                <w:p w14:paraId="3D45BF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8" w:type="pct"/>
                  <w:vMerge w:val="continue"/>
                  <w:vAlign w:val="center"/>
                </w:tcPr>
                <w:p w14:paraId="4460DD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6" w:type="pct"/>
                  <w:vAlign w:val="center"/>
                </w:tcPr>
                <w:p w14:paraId="7084D7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200</w:t>
                  </w:r>
                </w:p>
              </w:tc>
              <w:tc>
                <w:tcPr>
                  <w:tcW w:w="442" w:type="pct"/>
                  <w:shd w:val="clear" w:color="auto" w:fill="auto"/>
                  <w:vAlign w:val="center"/>
                </w:tcPr>
                <w:p w14:paraId="092AA57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0.056</w:t>
                  </w:r>
                </w:p>
              </w:tc>
              <w:tc>
                <w:tcPr>
                  <w:tcW w:w="356" w:type="pct"/>
                  <w:vMerge w:val="continue"/>
                  <w:vAlign w:val="center"/>
                </w:tcPr>
                <w:p w14:paraId="25E0FB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22" w:type="pct"/>
                  <w:vMerge w:val="continue"/>
                  <w:vAlign w:val="center"/>
                </w:tcPr>
                <w:p w14:paraId="4EE551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245" w:type="pct"/>
                  <w:vMerge w:val="continue"/>
                  <w:vAlign w:val="center"/>
                </w:tcPr>
                <w:p w14:paraId="137874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9" w:type="pct"/>
                  <w:vMerge w:val="continue"/>
                  <w:vAlign w:val="center"/>
                </w:tcPr>
                <w:p w14:paraId="0521587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p>
              </w:tc>
              <w:tc>
                <w:tcPr>
                  <w:tcW w:w="427" w:type="pct"/>
                  <w:vAlign w:val="center"/>
                </w:tcPr>
                <w:p w14:paraId="2182B13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200</w:t>
                  </w:r>
                </w:p>
              </w:tc>
              <w:tc>
                <w:tcPr>
                  <w:tcW w:w="439" w:type="pct"/>
                  <w:vAlign w:val="center"/>
                </w:tcPr>
                <w:p w14:paraId="587851B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0.056</w:t>
                  </w:r>
                </w:p>
              </w:tc>
            </w:tr>
            <w:tr w14:paraId="0375B8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Merge w:val="continue"/>
                  <w:vAlign w:val="center"/>
                </w:tcPr>
                <w:p w14:paraId="464DFDB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98" w:type="pct"/>
                  <w:vMerge w:val="continue"/>
                  <w:vAlign w:val="center"/>
                </w:tcPr>
                <w:p w14:paraId="08B3F2D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44" w:type="pct"/>
                  <w:vAlign w:val="center"/>
                </w:tcPr>
                <w:p w14:paraId="0E1B1B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氨氮</w:t>
                  </w:r>
                </w:p>
              </w:tc>
              <w:tc>
                <w:tcPr>
                  <w:tcW w:w="248" w:type="pct"/>
                  <w:vMerge w:val="continue"/>
                  <w:vAlign w:val="center"/>
                </w:tcPr>
                <w:p w14:paraId="284314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8" w:type="pct"/>
                  <w:vMerge w:val="continue"/>
                  <w:vAlign w:val="center"/>
                </w:tcPr>
                <w:p w14:paraId="04790F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6" w:type="pct"/>
                  <w:vAlign w:val="center"/>
                </w:tcPr>
                <w:p w14:paraId="4B24F03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25</w:t>
                  </w:r>
                </w:p>
              </w:tc>
              <w:tc>
                <w:tcPr>
                  <w:tcW w:w="442" w:type="pct"/>
                  <w:vAlign w:val="center"/>
                </w:tcPr>
                <w:p w14:paraId="6391F76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0.007</w:t>
                  </w:r>
                </w:p>
              </w:tc>
              <w:tc>
                <w:tcPr>
                  <w:tcW w:w="356" w:type="pct"/>
                  <w:vMerge w:val="continue"/>
                  <w:vAlign w:val="center"/>
                </w:tcPr>
                <w:p w14:paraId="72C5F7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22" w:type="pct"/>
                  <w:vMerge w:val="continue"/>
                  <w:vAlign w:val="center"/>
                </w:tcPr>
                <w:p w14:paraId="4D7408C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245" w:type="pct"/>
                  <w:vMerge w:val="continue"/>
                  <w:vAlign w:val="center"/>
                </w:tcPr>
                <w:p w14:paraId="5495229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9" w:type="pct"/>
                  <w:vMerge w:val="continue"/>
                  <w:vAlign w:val="center"/>
                </w:tcPr>
                <w:p w14:paraId="28BADEC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p>
              </w:tc>
              <w:tc>
                <w:tcPr>
                  <w:tcW w:w="427" w:type="pct"/>
                  <w:vAlign w:val="center"/>
                </w:tcPr>
                <w:p w14:paraId="08E2725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25</w:t>
                  </w:r>
                </w:p>
              </w:tc>
              <w:tc>
                <w:tcPr>
                  <w:tcW w:w="439" w:type="pct"/>
                  <w:vAlign w:val="center"/>
                </w:tcPr>
                <w:p w14:paraId="36B1E83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0.007</w:t>
                  </w:r>
                </w:p>
              </w:tc>
            </w:tr>
            <w:tr w14:paraId="53250B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Merge w:val="restart"/>
                  <w:vAlign w:val="center"/>
                </w:tcPr>
                <w:p w14:paraId="1B6AD12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污泥处理车间</w:t>
                  </w:r>
                </w:p>
              </w:tc>
              <w:tc>
                <w:tcPr>
                  <w:tcW w:w="398" w:type="pct"/>
                  <w:vMerge w:val="restart"/>
                  <w:vAlign w:val="center"/>
                </w:tcPr>
                <w:p w14:paraId="3AD7D2D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排泥水上清液</w:t>
                  </w:r>
                </w:p>
              </w:tc>
              <w:tc>
                <w:tcPr>
                  <w:tcW w:w="444" w:type="pct"/>
                  <w:vAlign w:val="center"/>
                </w:tcPr>
                <w:p w14:paraId="684C25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18"/>
                      <w:szCs w:val="18"/>
                      <w:highlight w:val="none"/>
                    </w:rPr>
                  </w:pPr>
                  <w:r>
                    <w:rPr>
                      <w:rFonts w:hint="default"/>
                      <w:color w:val="auto"/>
                      <w:kern w:val="0"/>
                      <w:sz w:val="18"/>
                      <w:szCs w:val="18"/>
                      <w:highlight w:val="none"/>
                      <w:lang w:bidi="ar"/>
                    </w:rPr>
                    <w:t>COD</w:t>
                  </w:r>
                </w:p>
              </w:tc>
              <w:tc>
                <w:tcPr>
                  <w:tcW w:w="248" w:type="pct"/>
                  <w:vMerge w:val="restart"/>
                  <w:vAlign w:val="center"/>
                </w:tcPr>
                <w:p w14:paraId="25E51237">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产污系数法</w:t>
                  </w:r>
                </w:p>
              </w:tc>
              <w:tc>
                <w:tcPr>
                  <w:tcW w:w="468" w:type="pct"/>
                  <w:vMerge w:val="restart"/>
                  <w:vAlign w:val="center"/>
                </w:tcPr>
                <w:p w14:paraId="2F5F795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132130</w:t>
                  </w:r>
                </w:p>
              </w:tc>
              <w:tc>
                <w:tcPr>
                  <w:tcW w:w="416" w:type="pct"/>
                  <w:vAlign w:val="center"/>
                </w:tcPr>
                <w:p w14:paraId="6B9876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18"/>
                      <w:szCs w:val="18"/>
                      <w:highlight w:val="none"/>
                    </w:rPr>
                  </w:pPr>
                  <w:r>
                    <w:rPr>
                      <w:rFonts w:hint="eastAsia"/>
                      <w:color w:val="auto"/>
                      <w:sz w:val="18"/>
                      <w:szCs w:val="18"/>
                      <w:highlight w:val="none"/>
                      <w:lang w:val="en-US" w:eastAsia="zh-CN"/>
                    </w:rPr>
                    <w:t>/</w:t>
                  </w:r>
                </w:p>
              </w:tc>
              <w:tc>
                <w:tcPr>
                  <w:tcW w:w="442" w:type="pct"/>
                  <w:vAlign w:val="center"/>
                </w:tcPr>
                <w:p w14:paraId="5E42E48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18"/>
                      <w:szCs w:val="18"/>
                      <w:highlight w:val="none"/>
                      <w:shd w:val="clear" w:color="auto" w:fill="auto"/>
                    </w:rPr>
                  </w:pPr>
                  <w:r>
                    <w:rPr>
                      <w:rFonts w:hint="eastAsia"/>
                      <w:color w:val="auto"/>
                      <w:sz w:val="18"/>
                      <w:szCs w:val="18"/>
                      <w:highlight w:val="none"/>
                      <w:lang w:val="en-US" w:eastAsia="zh-CN"/>
                    </w:rPr>
                    <w:t>/</w:t>
                  </w:r>
                </w:p>
              </w:tc>
              <w:tc>
                <w:tcPr>
                  <w:tcW w:w="356" w:type="pct"/>
                  <w:vMerge w:val="restart"/>
                  <w:vAlign w:val="center"/>
                </w:tcPr>
                <w:p w14:paraId="6D3FE9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絮凝、压滤</w:t>
                  </w:r>
                </w:p>
              </w:tc>
              <w:tc>
                <w:tcPr>
                  <w:tcW w:w="322" w:type="pct"/>
                  <w:vMerge w:val="restart"/>
                  <w:vAlign w:val="center"/>
                </w:tcPr>
                <w:p w14:paraId="5D014DC7">
                  <w:pPr>
                    <w:keepNext w:val="0"/>
                    <w:keepLines w:val="0"/>
                    <w:suppressLineNumbers w:val="0"/>
                    <w:spacing w:before="0" w:beforeAutospacing="0" w:after="0" w:afterAutospacing="0"/>
                    <w:ind w:left="0" w:leftChars="0" w:right="0" w:rightChars="0"/>
                    <w:jc w:val="center"/>
                    <w:rPr>
                      <w:rFonts w:hint="eastAsia"/>
                      <w:color w:val="auto"/>
                      <w:sz w:val="18"/>
                      <w:szCs w:val="18"/>
                      <w:highlight w:val="none"/>
                      <w:lang w:val="en-US" w:eastAsia="zh-CN"/>
                    </w:rPr>
                  </w:pPr>
                  <w:r>
                    <w:rPr>
                      <w:rFonts w:hint="eastAsia"/>
                      <w:color w:val="auto"/>
                      <w:sz w:val="18"/>
                      <w:szCs w:val="18"/>
                      <w:highlight w:val="none"/>
                      <w:lang w:val="en-US" w:eastAsia="zh-CN"/>
                    </w:rPr>
                    <w:t>/</w:t>
                  </w:r>
                </w:p>
                <w:p w14:paraId="726E9D57">
                  <w:pPr>
                    <w:keepNext w:val="0"/>
                    <w:keepLines w:val="0"/>
                    <w:suppressLineNumbers w:val="0"/>
                    <w:spacing w:before="0" w:beforeAutospacing="0" w:after="0" w:afterAutospacing="0"/>
                    <w:ind w:left="0" w:leftChars="0" w:right="0" w:rightChars="0"/>
                    <w:jc w:val="center"/>
                    <w:rPr>
                      <w:rFonts w:hint="eastAsia"/>
                      <w:color w:val="auto"/>
                      <w:sz w:val="18"/>
                      <w:szCs w:val="18"/>
                      <w:highlight w:val="none"/>
                      <w:lang w:val="en-US" w:eastAsia="zh-CN"/>
                    </w:rPr>
                  </w:pPr>
                </w:p>
              </w:tc>
              <w:tc>
                <w:tcPr>
                  <w:tcW w:w="245" w:type="pct"/>
                  <w:vMerge w:val="restart"/>
                  <w:vAlign w:val="center"/>
                </w:tcPr>
                <w:p w14:paraId="1A3A692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实测法</w:t>
                  </w:r>
                </w:p>
              </w:tc>
              <w:tc>
                <w:tcPr>
                  <w:tcW w:w="469" w:type="pct"/>
                  <w:vMerge w:val="restart"/>
                  <w:shd w:val="clear" w:color="auto" w:fill="auto"/>
                  <w:vAlign w:val="center"/>
                </w:tcPr>
                <w:p w14:paraId="396F1B6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132130</w:t>
                  </w:r>
                </w:p>
              </w:tc>
              <w:tc>
                <w:tcPr>
                  <w:tcW w:w="427" w:type="pct"/>
                  <w:vAlign w:val="center"/>
                </w:tcPr>
                <w:p w14:paraId="79B38F5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17</w:t>
                  </w:r>
                </w:p>
              </w:tc>
              <w:tc>
                <w:tcPr>
                  <w:tcW w:w="439" w:type="pct"/>
                  <w:vAlign w:val="center"/>
                </w:tcPr>
                <w:p w14:paraId="5E9E8A0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2.25</w:t>
                  </w:r>
                </w:p>
              </w:tc>
            </w:tr>
            <w:tr w14:paraId="27CB5A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Merge w:val="continue"/>
                  <w:vAlign w:val="center"/>
                </w:tcPr>
                <w:p w14:paraId="6301D8E2">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p>
              </w:tc>
              <w:tc>
                <w:tcPr>
                  <w:tcW w:w="398" w:type="pct"/>
                  <w:vMerge w:val="continue"/>
                  <w:vAlign w:val="center"/>
                </w:tcPr>
                <w:p w14:paraId="030E3B5C">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p>
              </w:tc>
              <w:tc>
                <w:tcPr>
                  <w:tcW w:w="444" w:type="pct"/>
                  <w:vAlign w:val="center"/>
                </w:tcPr>
                <w:p w14:paraId="4F7A48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color w:val="auto"/>
                      <w:kern w:val="0"/>
                      <w:sz w:val="18"/>
                      <w:szCs w:val="18"/>
                      <w:highlight w:val="none"/>
                      <w:lang w:val="en-US" w:eastAsia="zh-CN"/>
                    </w:rPr>
                    <w:t>BOD</w:t>
                  </w:r>
                  <w:r>
                    <w:rPr>
                      <w:rFonts w:hint="default" w:ascii="Times New Roman" w:hAnsi="Times New Roman" w:eastAsia="宋体" w:cs="Times New Roman"/>
                      <w:color w:val="auto"/>
                      <w:kern w:val="0"/>
                      <w:sz w:val="18"/>
                      <w:szCs w:val="18"/>
                      <w:highlight w:val="none"/>
                      <w:vertAlign w:val="subscript"/>
                      <w:lang w:val="en-US" w:eastAsia="zh-CN"/>
                    </w:rPr>
                    <w:t>5</w:t>
                  </w:r>
                </w:p>
              </w:tc>
              <w:tc>
                <w:tcPr>
                  <w:tcW w:w="248" w:type="pct"/>
                  <w:vMerge w:val="continue"/>
                  <w:vAlign w:val="center"/>
                </w:tcPr>
                <w:p w14:paraId="29D013B7">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p>
              </w:tc>
              <w:tc>
                <w:tcPr>
                  <w:tcW w:w="468" w:type="pct"/>
                  <w:vMerge w:val="continue"/>
                  <w:vAlign w:val="center"/>
                </w:tcPr>
                <w:p w14:paraId="6827E9CF">
                  <w:pPr>
                    <w:keepNext w:val="0"/>
                    <w:keepLines w:val="0"/>
                    <w:suppressLineNumbers w:val="0"/>
                    <w:spacing w:before="0" w:beforeAutospacing="0" w:after="0" w:afterAutospacing="0"/>
                    <w:ind w:left="0" w:right="0"/>
                    <w:jc w:val="center"/>
                    <w:rPr>
                      <w:rFonts w:hint="eastAsia" w:ascii="Times New Roman" w:hAnsi="Times New Roman" w:cs="Times New Roman"/>
                      <w:color w:val="auto"/>
                      <w:kern w:val="0"/>
                      <w:sz w:val="21"/>
                      <w:szCs w:val="21"/>
                      <w:highlight w:val="none"/>
                      <w:lang w:val="en-US" w:eastAsia="zh-CN"/>
                    </w:rPr>
                  </w:pPr>
                </w:p>
              </w:tc>
              <w:tc>
                <w:tcPr>
                  <w:tcW w:w="416" w:type="pct"/>
                  <w:vAlign w:val="center"/>
                </w:tcPr>
                <w:p w14:paraId="667E5C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olor w:val="auto"/>
                      <w:sz w:val="18"/>
                      <w:szCs w:val="18"/>
                      <w:highlight w:val="none"/>
                      <w:lang w:val="en-US" w:eastAsia="zh-CN"/>
                    </w:rPr>
                    <w:t>/</w:t>
                  </w:r>
                </w:p>
              </w:tc>
              <w:tc>
                <w:tcPr>
                  <w:tcW w:w="442" w:type="pct"/>
                  <w:vAlign w:val="center"/>
                </w:tcPr>
                <w:p w14:paraId="26C2904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18"/>
                      <w:szCs w:val="18"/>
                      <w:highlight w:val="none"/>
                      <w:lang w:val="en-US" w:eastAsia="zh-CN"/>
                    </w:rPr>
                  </w:pPr>
                  <w:r>
                    <w:rPr>
                      <w:rFonts w:hint="eastAsia"/>
                      <w:color w:val="auto"/>
                      <w:sz w:val="18"/>
                      <w:szCs w:val="18"/>
                      <w:highlight w:val="none"/>
                      <w:lang w:val="en-US" w:eastAsia="zh-CN"/>
                    </w:rPr>
                    <w:t>/</w:t>
                  </w:r>
                </w:p>
              </w:tc>
              <w:tc>
                <w:tcPr>
                  <w:tcW w:w="356" w:type="pct"/>
                  <w:vMerge w:val="continue"/>
                  <w:vAlign w:val="center"/>
                </w:tcPr>
                <w:p w14:paraId="2733C1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22" w:type="pct"/>
                  <w:vMerge w:val="continue"/>
                  <w:vAlign w:val="center"/>
                </w:tcPr>
                <w:p w14:paraId="12F583D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p>
              </w:tc>
              <w:tc>
                <w:tcPr>
                  <w:tcW w:w="245" w:type="pct"/>
                  <w:vMerge w:val="continue"/>
                  <w:vAlign w:val="center"/>
                </w:tcPr>
                <w:p w14:paraId="66C8FD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9" w:type="pct"/>
                  <w:vMerge w:val="continue"/>
                  <w:vAlign w:val="center"/>
                </w:tcPr>
                <w:p w14:paraId="30CB0E61">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color w:val="auto"/>
                      <w:kern w:val="0"/>
                      <w:sz w:val="21"/>
                      <w:szCs w:val="21"/>
                      <w:highlight w:val="none"/>
                      <w:lang w:val="en-US" w:eastAsia="zh-CN"/>
                    </w:rPr>
                  </w:pPr>
                </w:p>
              </w:tc>
              <w:tc>
                <w:tcPr>
                  <w:tcW w:w="427" w:type="pct"/>
                  <w:vAlign w:val="center"/>
                </w:tcPr>
                <w:p w14:paraId="0F2AB01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w:t>
                  </w:r>
                  <w:r>
                    <w:rPr>
                      <w:rFonts w:hint="eastAsia" w:ascii="Times New Roman" w:hAnsi="Times New Roman" w:eastAsia="宋体" w:cs="Times New Roman"/>
                      <w:color w:val="auto"/>
                      <w:sz w:val="18"/>
                      <w:szCs w:val="18"/>
                      <w:highlight w:val="none"/>
                      <w:lang w:val="en-US" w:eastAsia="zh-CN"/>
                    </w:rPr>
                    <w:t>5</w:t>
                  </w:r>
                </w:p>
              </w:tc>
              <w:tc>
                <w:tcPr>
                  <w:tcW w:w="439" w:type="pct"/>
                  <w:vAlign w:val="center"/>
                </w:tcPr>
                <w:p w14:paraId="3A661F9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0.462</w:t>
                  </w:r>
                </w:p>
              </w:tc>
            </w:tr>
            <w:tr w14:paraId="45C974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Merge w:val="continue"/>
                  <w:vAlign w:val="center"/>
                </w:tcPr>
                <w:p w14:paraId="248C4C0E">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p>
              </w:tc>
              <w:tc>
                <w:tcPr>
                  <w:tcW w:w="398" w:type="pct"/>
                  <w:vMerge w:val="continue"/>
                  <w:vAlign w:val="center"/>
                </w:tcPr>
                <w:p w14:paraId="77A7A458">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p>
              </w:tc>
              <w:tc>
                <w:tcPr>
                  <w:tcW w:w="444" w:type="pct"/>
                  <w:vAlign w:val="center"/>
                </w:tcPr>
                <w:p w14:paraId="247A72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color w:val="auto"/>
                      <w:kern w:val="0"/>
                      <w:sz w:val="18"/>
                      <w:szCs w:val="18"/>
                      <w:highlight w:val="none"/>
                      <w:lang w:val="en-US" w:eastAsia="zh-CN"/>
                    </w:rPr>
                    <w:t>SS</w:t>
                  </w:r>
                </w:p>
              </w:tc>
              <w:tc>
                <w:tcPr>
                  <w:tcW w:w="248" w:type="pct"/>
                  <w:vMerge w:val="continue"/>
                  <w:vAlign w:val="center"/>
                </w:tcPr>
                <w:p w14:paraId="159E2D3D">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p>
              </w:tc>
              <w:tc>
                <w:tcPr>
                  <w:tcW w:w="468" w:type="pct"/>
                  <w:vMerge w:val="continue"/>
                  <w:vAlign w:val="center"/>
                </w:tcPr>
                <w:p w14:paraId="65CE99E8">
                  <w:pPr>
                    <w:keepNext w:val="0"/>
                    <w:keepLines w:val="0"/>
                    <w:suppressLineNumbers w:val="0"/>
                    <w:spacing w:before="0" w:beforeAutospacing="0" w:after="0" w:afterAutospacing="0"/>
                    <w:ind w:left="0" w:right="0"/>
                    <w:jc w:val="center"/>
                    <w:rPr>
                      <w:rFonts w:hint="eastAsia" w:ascii="Times New Roman" w:hAnsi="Times New Roman" w:cs="Times New Roman"/>
                      <w:color w:val="auto"/>
                      <w:kern w:val="0"/>
                      <w:sz w:val="21"/>
                      <w:szCs w:val="21"/>
                      <w:highlight w:val="none"/>
                      <w:lang w:val="en-US" w:eastAsia="zh-CN"/>
                    </w:rPr>
                  </w:pPr>
                </w:p>
              </w:tc>
              <w:tc>
                <w:tcPr>
                  <w:tcW w:w="416" w:type="pct"/>
                  <w:vAlign w:val="center"/>
                </w:tcPr>
                <w:p w14:paraId="05B818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olor w:val="auto"/>
                      <w:sz w:val="18"/>
                      <w:szCs w:val="18"/>
                      <w:highlight w:val="none"/>
                      <w:lang w:val="en-US" w:eastAsia="zh-CN"/>
                    </w:rPr>
                    <w:t>/</w:t>
                  </w:r>
                </w:p>
              </w:tc>
              <w:tc>
                <w:tcPr>
                  <w:tcW w:w="442" w:type="pct"/>
                  <w:vAlign w:val="center"/>
                </w:tcPr>
                <w:p w14:paraId="421CABD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18"/>
                      <w:szCs w:val="18"/>
                      <w:highlight w:val="none"/>
                      <w:lang w:val="en-US" w:eastAsia="zh-CN"/>
                    </w:rPr>
                  </w:pPr>
                  <w:r>
                    <w:rPr>
                      <w:rFonts w:hint="eastAsia"/>
                      <w:color w:val="auto"/>
                      <w:sz w:val="18"/>
                      <w:szCs w:val="18"/>
                      <w:highlight w:val="none"/>
                      <w:lang w:val="en-US" w:eastAsia="zh-CN"/>
                    </w:rPr>
                    <w:t>/</w:t>
                  </w:r>
                </w:p>
              </w:tc>
              <w:tc>
                <w:tcPr>
                  <w:tcW w:w="356" w:type="pct"/>
                  <w:vMerge w:val="continue"/>
                  <w:vAlign w:val="center"/>
                </w:tcPr>
                <w:p w14:paraId="4BA977E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22" w:type="pct"/>
                  <w:vMerge w:val="continue"/>
                  <w:vAlign w:val="center"/>
                </w:tcPr>
                <w:p w14:paraId="62417B9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p>
              </w:tc>
              <w:tc>
                <w:tcPr>
                  <w:tcW w:w="245" w:type="pct"/>
                  <w:vMerge w:val="continue"/>
                  <w:vAlign w:val="center"/>
                </w:tcPr>
                <w:p w14:paraId="5898FB5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9" w:type="pct"/>
                  <w:vMerge w:val="continue"/>
                  <w:vAlign w:val="center"/>
                </w:tcPr>
                <w:p w14:paraId="552317F6">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color w:val="auto"/>
                      <w:kern w:val="0"/>
                      <w:sz w:val="21"/>
                      <w:szCs w:val="21"/>
                      <w:highlight w:val="none"/>
                      <w:lang w:val="en-US" w:eastAsia="zh-CN"/>
                    </w:rPr>
                  </w:pPr>
                </w:p>
              </w:tc>
              <w:tc>
                <w:tcPr>
                  <w:tcW w:w="427" w:type="pct"/>
                  <w:vAlign w:val="center"/>
                </w:tcPr>
                <w:p w14:paraId="5EDD988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56</w:t>
                  </w:r>
                </w:p>
              </w:tc>
              <w:tc>
                <w:tcPr>
                  <w:tcW w:w="439" w:type="pct"/>
                  <w:vAlign w:val="center"/>
                </w:tcPr>
                <w:p w14:paraId="05D384A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7.4</w:t>
                  </w:r>
                </w:p>
              </w:tc>
            </w:tr>
            <w:tr w14:paraId="0746A1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Merge w:val="continue"/>
                  <w:vAlign w:val="center"/>
                </w:tcPr>
                <w:p w14:paraId="07D3E5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98" w:type="pct"/>
                  <w:vMerge w:val="continue"/>
                  <w:vAlign w:val="center"/>
                </w:tcPr>
                <w:p w14:paraId="2A6A1E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44" w:type="pct"/>
                  <w:vAlign w:val="center"/>
                </w:tcPr>
                <w:p w14:paraId="2371B3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氨氮</w:t>
                  </w:r>
                </w:p>
              </w:tc>
              <w:tc>
                <w:tcPr>
                  <w:tcW w:w="248" w:type="pct"/>
                  <w:vMerge w:val="continue"/>
                  <w:vAlign w:val="center"/>
                </w:tcPr>
                <w:p w14:paraId="18E59E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8" w:type="pct"/>
                  <w:vMerge w:val="continue"/>
                  <w:vAlign w:val="center"/>
                </w:tcPr>
                <w:p w14:paraId="634AB57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6" w:type="pct"/>
                  <w:vAlign w:val="center"/>
                </w:tcPr>
                <w:p w14:paraId="1F061E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olor w:val="auto"/>
                      <w:sz w:val="18"/>
                      <w:szCs w:val="18"/>
                      <w:highlight w:val="none"/>
                      <w:lang w:val="en-US" w:eastAsia="zh-CN"/>
                    </w:rPr>
                    <w:t>/</w:t>
                  </w:r>
                </w:p>
              </w:tc>
              <w:tc>
                <w:tcPr>
                  <w:tcW w:w="442" w:type="pct"/>
                  <w:vAlign w:val="center"/>
                </w:tcPr>
                <w:p w14:paraId="0C11B504">
                  <w:pPr>
                    <w:keepNext w:val="0"/>
                    <w:keepLines w:val="0"/>
                    <w:suppressLineNumbers w:val="0"/>
                    <w:spacing w:before="0" w:beforeAutospacing="0" w:after="0" w:afterAutospacing="0"/>
                    <w:ind w:left="0" w:leftChars="0" w:right="0" w:rightChars="0"/>
                    <w:jc w:val="center"/>
                    <w:rPr>
                      <w:rFonts w:hint="default" w:cs="Times New Roman"/>
                      <w:color w:val="auto"/>
                      <w:kern w:val="0"/>
                      <w:sz w:val="18"/>
                      <w:szCs w:val="18"/>
                      <w:highlight w:val="none"/>
                      <w:shd w:val="clear" w:color="auto" w:fill="auto"/>
                      <w:lang w:val="en-US" w:eastAsia="zh-CN"/>
                    </w:rPr>
                  </w:pPr>
                  <w:r>
                    <w:rPr>
                      <w:rFonts w:hint="eastAsia"/>
                      <w:color w:val="auto"/>
                      <w:sz w:val="18"/>
                      <w:szCs w:val="18"/>
                      <w:highlight w:val="none"/>
                      <w:lang w:val="en-US" w:eastAsia="zh-CN"/>
                    </w:rPr>
                    <w:t>/</w:t>
                  </w:r>
                </w:p>
              </w:tc>
              <w:tc>
                <w:tcPr>
                  <w:tcW w:w="356" w:type="pct"/>
                  <w:vMerge w:val="continue"/>
                  <w:vAlign w:val="center"/>
                </w:tcPr>
                <w:p w14:paraId="1649D9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22" w:type="pct"/>
                  <w:vMerge w:val="continue"/>
                  <w:vAlign w:val="center"/>
                </w:tcPr>
                <w:p w14:paraId="7E61B15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p>
              </w:tc>
              <w:tc>
                <w:tcPr>
                  <w:tcW w:w="245" w:type="pct"/>
                  <w:vMerge w:val="continue"/>
                  <w:vAlign w:val="center"/>
                </w:tcPr>
                <w:p w14:paraId="179D59C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69" w:type="pct"/>
                  <w:vMerge w:val="continue"/>
                  <w:vAlign w:val="center"/>
                </w:tcPr>
                <w:p w14:paraId="6D28794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p>
              </w:tc>
              <w:tc>
                <w:tcPr>
                  <w:tcW w:w="427" w:type="pct"/>
                  <w:vAlign w:val="center"/>
                </w:tcPr>
                <w:p w14:paraId="45B150A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r>
                    <w:rPr>
                      <w:rFonts w:hint="eastAsia" w:ascii="Times New Roman" w:hAnsi="Times New Roman" w:eastAsia="宋体" w:cs="Times New Roman"/>
                      <w:color w:val="auto"/>
                      <w:sz w:val="18"/>
                      <w:szCs w:val="18"/>
                      <w:highlight w:val="none"/>
                      <w:lang w:val="en-US" w:eastAsia="zh-CN"/>
                    </w:rPr>
                    <w:t>36</w:t>
                  </w:r>
                </w:p>
              </w:tc>
              <w:tc>
                <w:tcPr>
                  <w:tcW w:w="439" w:type="pct"/>
                  <w:vAlign w:val="center"/>
                </w:tcPr>
                <w:p w14:paraId="64D5F63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0.048</w:t>
                  </w:r>
                </w:p>
              </w:tc>
            </w:tr>
          </w:tbl>
          <w:p w14:paraId="159802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shd w:val="clear" w:color="auto" w:fill="auto"/>
              </w:rPr>
            </w:pPr>
            <w:r>
              <w:rPr>
                <w:rFonts w:hint="default" w:ascii="Times New Roman" w:hAnsi="Times New Roman" w:eastAsia="宋体" w:cs="Times New Roman"/>
                <w:color w:val="auto"/>
                <w:kern w:val="0"/>
                <w:sz w:val="21"/>
                <w:szCs w:val="21"/>
                <w:highlight w:val="none"/>
                <w:shd w:val="clear" w:color="auto" w:fill="auto"/>
              </w:rPr>
              <w:fldChar w:fldCharType="begin"/>
            </w:r>
            <w:r>
              <w:rPr>
                <w:rFonts w:hint="default" w:ascii="Times New Roman" w:hAnsi="Times New Roman" w:eastAsia="宋体" w:cs="Times New Roman"/>
                <w:color w:val="auto"/>
                <w:kern w:val="0"/>
                <w:sz w:val="21"/>
                <w:szCs w:val="21"/>
                <w:highlight w:val="none"/>
                <w:shd w:val="clear" w:color="auto" w:fill="auto"/>
              </w:rPr>
              <w:instrText xml:space="preserve"> = 1 \* GB3 </w:instrText>
            </w:r>
            <w:r>
              <w:rPr>
                <w:rFonts w:hint="default" w:ascii="Times New Roman" w:hAnsi="Times New Roman" w:eastAsia="宋体" w:cs="Times New Roman"/>
                <w:color w:val="auto"/>
                <w:kern w:val="0"/>
                <w:sz w:val="21"/>
                <w:szCs w:val="21"/>
                <w:highlight w:val="none"/>
                <w:shd w:val="clear" w:color="auto" w:fill="auto"/>
              </w:rPr>
              <w:fldChar w:fldCharType="separate"/>
            </w:r>
            <w:r>
              <w:rPr>
                <w:rFonts w:hint="default" w:ascii="Times New Roman" w:hAnsi="Times New Roman" w:eastAsia="宋体" w:cs="Times New Roman"/>
                <w:color w:val="auto"/>
                <w:kern w:val="0"/>
                <w:sz w:val="21"/>
                <w:szCs w:val="21"/>
                <w:highlight w:val="none"/>
                <w:shd w:val="clear" w:color="auto" w:fill="auto"/>
              </w:rPr>
              <w:t>①</w:t>
            </w:r>
            <w:r>
              <w:rPr>
                <w:rFonts w:hint="default" w:ascii="Times New Roman" w:hAnsi="Times New Roman" w:eastAsia="宋体" w:cs="Times New Roman"/>
                <w:color w:val="auto"/>
                <w:kern w:val="0"/>
                <w:sz w:val="21"/>
                <w:szCs w:val="21"/>
                <w:highlight w:val="none"/>
                <w:shd w:val="clear" w:color="auto" w:fill="auto"/>
              </w:rPr>
              <w:fldChar w:fldCharType="end"/>
            </w:r>
            <w:r>
              <w:rPr>
                <w:rFonts w:hint="default" w:ascii="Times New Roman" w:hAnsi="Times New Roman" w:eastAsia="宋体" w:cs="Times New Roman"/>
                <w:color w:val="auto"/>
                <w:kern w:val="0"/>
                <w:sz w:val="21"/>
                <w:szCs w:val="21"/>
                <w:highlight w:val="none"/>
                <w:shd w:val="clear" w:color="auto" w:fill="auto"/>
              </w:rPr>
              <w:t>生活污水</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w:t>
            </w:r>
            <w:r>
              <w:rPr>
                <w:rFonts w:hint="eastAsia" w:cs="Times New Roman"/>
                <w:bCs/>
                <w:color w:val="auto"/>
                <w:sz w:val="21"/>
                <w:szCs w:val="21"/>
                <w:highlight w:val="none"/>
                <w:lang w:val="en-US" w:eastAsia="zh-CN"/>
              </w:rPr>
              <w:t>0.768</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280.32</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shd w:val="clear" w:color="auto" w:fill="auto"/>
              </w:rPr>
              <w:t>生活污水COD</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浓度取值3</w:t>
            </w:r>
            <w:r>
              <w:rPr>
                <w:rFonts w:hint="default" w:ascii="Times New Roman" w:hAnsi="Times New Roman" w:eastAsia="宋体" w:cs="Times New Roman"/>
                <w:color w:val="auto"/>
                <w:kern w:val="0"/>
                <w:sz w:val="21"/>
                <w:szCs w:val="21"/>
                <w:highlight w:val="none"/>
                <w:shd w:val="clear" w:color="auto" w:fill="auto"/>
                <w:lang w:val="en-US" w:eastAsia="zh-CN"/>
              </w:rPr>
              <w:t>0</w:t>
            </w:r>
            <w:r>
              <w:rPr>
                <w:rFonts w:hint="default" w:ascii="Times New Roman" w:hAnsi="Times New Roman" w:eastAsia="宋体" w:cs="Times New Roman"/>
                <w:color w:val="auto"/>
                <w:kern w:val="0"/>
                <w:sz w:val="21"/>
                <w:szCs w:val="21"/>
                <w:highlight w:val="none"/>
                <w:shd w:val="clear" w:color="auto" w:fill="auto"/>
              </w:rPr>
              <w:t>0mg/L，氨氮</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浓度取值25mg/L，BOD</w:t>
            </w:r>
            <w:r>
              <w:rPr>
                <w:rFonts w:hint="default" w:ascii="Times New Roman" w:hAnsi="Times New Roman" w:eastAsia="宋体" w:cs="Times New Roman"/>
                <w:color w:val="auto"/>
                <w:kern w:val="0"/>
                <w:sz w:val="21"/>
                <w:szCs w:val="21"/>
                <w:highlight w:val="none"/>
                <w:shd w:val="clear" w:color="auto" w:fill="auto"/>
                <w:vertAlign w:val="subscript"/>
              </w:rPr>
              <w:t>5</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浓度取值200mg/L，SS</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浓度取值</w:t>
            </w:r>
            <w:r>
              <w:rPr>
                <w:rFonts w:hint="default" w:ascii="Times New Roman" w:hAnsi="Times New Roman" w:eastAsia="宋体" w:cs="Times New Roman"/>
                <w:color w:val="auto"/>
                <w:kern w:val="0"/>
                <w:sz w:val="21"/>
                <w:szCs w:val="21"/>
                <w:highlight w:val="none"/>
                <w:shd w:val="clear" w:color="auto" w:fill="auto"/>
                <w:lang w:val="en-US" w:eastAsia="zh-CN"/>
              </w:rPr>
              <w:t>2</w:t>
            </w:r>
            <w:r>
              <w:rPr>
                <w:rFonts w:hint="default" w:ascii="Times New Roman" w:hAnsi="Times New Roman" w:eastAsia="宋体" w:cs="Times New Roman"/>
                <w:color w:val="auto"/>
                <w:kern w:val="0"/>
                <w:sz w:val="21"/>
                <w:szCs w:val="21"/>
                <w:highlight w:val="none"/>
                <w:shd w:val="clear" w:color="auto" w:fill="auto"/>
              </w:rPr>
              <w:t>00mg/L，pH</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取值6.5~7.5。经计算生活污水COD</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w:t>
            </w:r>
            <w:r>
              <w:rPr>
                <w:rFonts w:hint="eastAsia" w:cs="Times New Roman"/>
                <w:color w:val="auto"/>
                <w:kern w:val="0"/>
                <w:sz w:val="21"/>
                <w:szCs w:val="21"/>
                <w:highlight w:val="none"/>
                <w:shd w:val="clear" w:color="auto" w:fill="auto"/>
                <w:lang w:val="en-US" w:eastAsia="zh-CN"/>
              </w:rPr>
              <w:t>0.084</w:t>
            </w:r>
            <w:r>
              <w:rPr>
                <w:rFonts w:hint="default" w:ascii="Times New Roman" w:hAnsi="Times New Roman" w:eastAsia="宋体" w:cs="Times New Roman"/>
                <w:color w:val="auto"/>
                <w:kern w:val="0"/>
                <w:sz w:val="21"/>
                <w:szCs w:val="21"/>
                <w:highlight w:val="none"/>
                <w:shd w:val="clear" w:color="auto" w:fill="auto"/>
              </w:rPr>
              <w:t>t/a、氨氮</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w:t>
            </w:r>
            <w:r>
              <w:rPr>
                <w:rFonts w:hint="eastAsia" w:cs="Times New Roman"/>
                <w:color w:val="auto"/>
                <w:kern w:val="0"/>
                <w:sz w:val="21"/>
                <w:szCs w:val="21"/>
                <w:highlight w:val="none"/>
                <w:shd w:val="clear" w:color="auto" w:fill="auto"/>
                <w:lang w:val="en-US" w:eastAsia="zh-CN"/>
              </w:rPr>
              <w:t>0.007</w:t>
            </w:r>
            <w:r>
              <w:rPr>
                <w:rFonts w:hint="default" w:ascii="Times New Roman" w:hAnsi="Times New Roman" w:eastAsia="宋体" w:cs="Times New Roman"/>
                <w:color w:val="auto"/>
                <w:kern w:val="0"/>
                <w:sz w:val="21"/>
                <w:szCs w:val="21"/>
                <w:highlight w:val="none"/>
                <w:shd w:val="clear" w:color="auto" w:fill="auto"/>
              </w:rPr>
              <w:t>t/a、SS</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量为0.</w:t>
            </w:r>
            <w:r>
              <w:rPr>
                <w:rFonts w:hint="eastAsia" w:cs="Times New Roman"/>
                <w:color w:val="auto"/>
                <w:kern w:val="0"/>
                <w:sz w:val="21"/>
                <w:szCs w:val="21"/>
                <w:highlight w:val="none"/>
                <w:shd w:val="clear" w:color="auto" w:fill="auto"/>
                <w:lang w:val="en-US" w:eastAsia="zh-CN"/>
              </w:rPr>
              <w:t>056</w:t>
            </w:r>
            <w:r>
              <w:rPr>
                <w:rFonts w:hint="default" w:ascii="Times New Roman" w:hAnsi="Times New Roman" w:eastAsia="宋体" w:cs="Times New Roman"/>
                <w:color w:val="auto"/>
                <w:kern w:val="0"/>
                <w:sz w:val="21"/>
                <w:szCs w:val="21"/>
                <w:highlight w:val="none"/>
                <w:shd w:val="clear" w:color="auto" w:fill="auto"/>
              </w:rPr>
              <w:t>t/a、BOD</w:t>
            </w:r>
            <w:r>
              <w:rPr>
                <w:rFonts w:hint="default" w:ascii="Times New Roman" w:hAnsi="Times New Roman" w:eastAsia="宋体" w:cs="Times New Roman"/>
                <w:color w:val="auto"/>
                <w:kern w:val="0"/>
                <w:sz w:val="21"/>
                <w:szCs w:val="21"/>
                <w:highlight w:val="none"/>
                <w:shd w:val="clear" w:color="auto" w:fill="auto"/>
                <w:vertAlign w:val="subscript"/>
              </w:rPr>
              <w:t>5</w:t>
            </w:r>
            <w:r>
              <w:rPr>
                <w:rFonts w:hint="default" w:ascii="Times New Roman" w:hAnsi="Times New Roman" w:eastAsia="宋体" w:cs="Times New Roman"/>
                <w:color w:val="auto"/>
                <w:kern w:val="0"/>
                <w:sz w:val="21"/>
                <w:szCs w:val="21"/>
                <w:highlight w:val="none"/>
                <w:shd w:val="clear" w:color="auto" w:fill="auto"/>
                <w:lang w:val="en-US" w:eastAsia="zh-CN"/>
              </w:rPr>
              <w:t>产生</w:t>
            </w:r>
            <w:r>
              <w:rPr>
                <w:rFonts w:hint="default" w:ascii="Times New Roman" w:hAnsi="Times New Roman" w:eastAsia="宋体" w:cs="Times New Roman"/>
                <w:color w:val="auto"/>
                <w:kern w:val="0"/>
                <w:sz w:val="21"/>
                <w:szCs w:val="21"/>
                <w:highlight w:val="none"/>
                <w:shd w:val="clear" w:color="auto" w:fill="auto"/>
              </w:rPr>
              <w:t>量为0.</w:t>
            </w:r>
            <w:r>
              <w:rPr>
                <w:rFonts w:hint="eastAsia" w:cs="Times New Roman"/>
                <w:color w:val="auto"/>
                <w:kern w:val="0"/>
                <w:sz w:val="21"/>
                <w:szCs w:val="21"/>
                <w:highlight w:val="none"/>
                <w:shd w:val="clear" w:color="auto" w:fill="auto"/>
                <w:lang w:val="en-US" w:eastAsia="zh-CN"/>
              </w:rPr>
              <w:t>056</w:t>
            </w:r>
            <w:r>
              <w:rPr>
                <w:rFonts w:hint="default" w:ascii="Times New Roman" w:hAnsi="Times New Roman" w:eastAsia="宋体" w:cs="Times New Roman"/>
                <w:color w:val="auto"/>
                <w:kern w:val="0"/>
                <w:sz w:val="21"/>
                <w:szCs w:val="21"/>
                <w:highlight w:val="none"/>
                <w:shd w:val="clear" w:color="auto" w:fill="auto"/>
              </w:rPr>
              <w:t>t/a。</w:t>
            </w:r>
          </w:p>
          <w:p w14:paraId="42E76367">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eastAsia="zh-CN"/>
              </w:rPr>
              <w:t>②</w:t>
            </w:r>
            <w:r>
              <w:rPr>
                <w:rFonts w:hint="eastAsia" w:ascii="Times New Roman" w:cs="Times New Roman"/>
                <w:color w:val="auto"/>
                <w:sz w:val="21"/>
                <w:szCs w:val="21"/>
                <w:highlight w:val="none"/>
                <w:lang w:val="en-US" w:eastAsia="zh-CN"/>
              </w:rPr>
              <w:t>排泥水上清液</w:t>
            </w:r>
          </w:p>
          <w:p w14:paraId="4F797F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Cs/>
                <w:color w:val="auto"/>
                <w:szCs w:val="21"/>
                <w:highlight w:val="none"/>
                <w:lang w:val="en-US" w:eastAsia="zh-CN"/>
              </w:rPr>
            </w:pPr>
            <w:r>
              <w:rPr>
                <w:rFonts w:hint="eastAsia" w:cs="Times New Roman"/>
                <w:bCs/>
                <w:color w:val="auto"/>
                <w:szCs w:val="21"/>
                <w:highlight w:val="none"/>
                <w:lang w:val="en-US" w:eastAsia="zh-CN"/>
              </w:rPr>
              <w:t>因本项目已运行，故根据实测数据确定废水源强，根据2025年7月12日-2025年7月14日的监测结果本次区最大值，排</w:t>
            </w:r>
            <w:r>
              <w:rPr>
                <w:rFonts w:hint="eastAsia" w:cs="Times New Roman"/>
                <w:bCs/>
                <w:color w:val="auto"/>
                <w:sz w:val="21"/>
                <w:szCs w:val="21"/>
                <w:highlight w:val="none"/>
                <w:lang w:val="en-US" w:eastAsia="zh-CN"/>
              </w:rPr>
              <w:t>放浓度为COD 17mg/L、</w:t>
            </w:r>
            <w:r>
              <w:rPr>
                <w:rFonts w:hint="default" w:ascii="Times New Roman" w:hAnsi="Times New Roman" w:eastAsia="宋体" w:cs="Times New Roman"/>
                <w:color w:val="auto"/>
                <w:kern w:val="0"/>
                <w:sz w:val="21"/>
                <w:szCs w:val="21"/>
                <w:highlight w:val="none"/>
                <w:lang w:val="en-US" w:eastAsia="zh-CN"/>
              </w:rPr>
              <w:t>BOD</w:t>
            </w:r>
            <w:r>
              <w:rPr>
                <w:rFonts w:hint="default" w:ascii="Times New Roman" w:hAnsi="Times New Roman" w:eastAsia="宋体" w:cs="Times New Roman"/>
                <w:color w:val="auto"/>
                <w:kern w:val="0"/>
                <w:sz w:val="21"/>
                <w:szCs w:val="21"/>
                <w:highlight w:val="none"/>
                <w:vertAlign w:val="subscript"/>
                <w:lang w:val="en-US" w:eastAsia="zh-CN"/>
              </w:rPr>
              <w:t>5</w:t>
            </w:r>
            <w:r>
              <w:rPr>
                <w:rFonts w:hint="eastAsia" w:cs="Times New Roman"/>
                <w:color w:val="auto"/>
                <w:kern w:val="0"/>
                <w:sz w:val="21"/>
                <w:szCs w:val="21"/>
                <w:highlight w:val="none"/>
                <w:vertAlign w:val="subscript"/>
                <w:lang w:val="en-US" w:eastAsia="zh-CN"/>
              </w:rPr>
              <w:t xml:space="preserve"> </w:t>
            </w:r>
            <w:r>
              <w:rPr>
                <w:rFonts w:hint="eastAsia" w:cs="Times New Roman"/>
                <w:color w:val="auto"/>
                <w:kern w:val="0"/>
                <w:sz w:val="21"/>
                <w:szCs w:val="21"/>
                <w:highlight w:val="none"/>
                <w:vertAlign w:val="baseline"/>
                <w:lang w:val="en-US" w:eastAsia="zh-CN"/>
              </w:rPr>
              <w:t>3.5</w:t>
            </w:r>
            <w:r>
              <w:rPr>
                <w:rFonts w:hint="eastAsia" w:cs="Times New Roman"/>
                <w:bCs/>
                <w:color w:val="auto"/>
                <w:sz w:val="21"/>
                <w:szCs w:val="21"/>
                <w:highlight w:val="none"/>
                <w:lang w:val="en-US" w:eastAsia="zh-CN"/>
              </w:rPr>
              <w:t>mg/L，SS 56</w:t>
            </w:r>
            <w:r>
              <w:rPr>
                <w:rFonts w:hint="eastAsia" w:cs="Times New Roman"/>
                <w:bCs/>
                <w:color w:val="auto"/>
                <w:szCs w:val="21"/>
                <w:highlight w:val="none"/>
                <w:lang w:val="en-US" w:eastAsia="zh-CN"/>
              </w:rPr>
              <w:t>mg/L，氨氮0.36mg/L，pH 7.1，排放浓度满足</w:t>
            </w:r>
            <w:r>
              <w:rPr>
                <w:rFonts w:hint="eastAsia" w:cs="Times New Roman"/>
                <w:color w:val="auto"/>
                <w:spacing w:val="0"/>
                <w:sz w:val="21"/>
                <w:szCs w:val="21"/>
                <w:highlight w:val="none"/>
                <w:lang w:val="en-US" w:eastAsia="zh-CN"/>
              </w:rPr>
              <w:t>《地表水环境质量标准》（GB3838-2002）表1中三类标准，悬浮</w:t>
            </w:r>
            <w:r>
              <w:rPr>
                <w:rFonts w:hint="eastAsia" w:cs="Times New Roman"/>
                <w:bCs/>
                <w:color w:val="auto"/>
                <w:szCs w:val="21"/>
                <w:highlight w:val="none"/>
                <w:lang w:val="en-US" w:eastAsia="zh-CN"/>
              </w:rPr>
              <w:t>物满足</w:t>
            </w:r>
            <w:r>
              <w:rPr>
                <w:rFonts w:hint="default" w:cs="Times New Roman"/>
                <w:bCs/>
                <w:color w:val="auto"/>
                <w:szCs w:val="21"/>
                <w:highlight w:val="none"/>
                <w:lang w:val="en-US" w:eastAsia="zh-CN"/>
              </w:rPr>
              <w:t>《污水综合排放标准》（GB8978-1996）一级标准</w:t>
            </w:r>
            <w:r>
              <w:rPr>
                <w:rFonts w:hint="eastAsia" w:cs="Times New Roman"/>
                <w:bCs/>
                <w:color w:val="auto"/>
                <w:szCs w:val="21"/>
                <w:highlight w:val="none"/>
                <w:lang w:val="en-US" w:eastAsia="zh-CN"/>
              </w:rPr>
              <w:t>。</w:t>
            </w:r>
          </w:p>
          <w:p w14:paraId="5C3C5B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2</w:t>
            </w:r>
            <w:r>
              <w:rPr>
                <w:rFonts w:hint="default" w:ascii="Times New Roman" w:hAnsi="Times New Roman" w:cs="Times New Roman"/>
                <w:bCs/>
                <w:color w:val="auto"/>
                <w:szCs w:val="21"/>
                <w:highlight w:val="none"/>
              </w:rPr>
              <w:t>）排放口基本情况</w:t>
            </w:r>
          </w:p>
          <w:p w14:paraId="2E90CF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3</w:t>
            </w:r>
            <w:r>
              <w:rPr>
                <w:rFonts w:hint="default" w:ascii="Times New Roman" w:hAnsi="Times New Roman" w:cs="Times New Roman"/>
                <w:b/>
                <w:color w:val="auto"/>
                <w:szCs w:val="21"/>
                <w:highlight w:val="none"/>
              </w:rPr>
              <w:t>排放口基本情况表</w:t>
            </w:r>
          </w:p>
          <w:tbl>
            <w:tblPr>
              <w:tblStyle w:val="37"/>
              <w:tblW w:w="4996"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05"/>
              <w:gridCol w:w="1075"/>
              <w:gridCol w:w="1270"/>
              <w:gridCol w:w="967"/>
              <w:gridCol w:w="481"/>
              <w:gridCol w:w="1211"/>
              <w:gridCol w:w="492"/>
              <w:gridCol w:w="1892"/>
            </w:tblGrid>
            <w:tr w14:paraId="321CCB7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35" w:type="pct"/>
                  <w:vMerge w:val="restart"/>
                  <w:tcBorders>
                    <w:top w:val="single" w:color="000000" w:sz="12" w:space="0"/>
                  </w:tcBorders>
                  <w:vAlign w:val="center"/>
                </w:tcPr>
                <w:p w14:paraId="57A0343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排放口编号</w:t>
                  </w:r>
                </w:p>
              </w:tc>
              <w:tc>
                <w:tcPr>
                  <w:tcW w:w="664" w:type="pct"/>
                  <w:vMerge w:val="restart"/>
                  <w:tcBorders>
                    <w:top w:val="single" w:color="000000" w:sz="12" w:space="0"/>
                  </w:tcBorders>
                  <w:vAlign w:val="center"/>
                </w:tcPr>
                <w:p w14:paraId="3064580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1381" w:type="pct"/>
                  <w:gridSpan w:val="2"/>
                  <w:tcBorders>
                    <w:top w:val="single" w:color="000000" w:sz="12" w:space="0"/>
                  </w:tcBorders>
                  <w:vAlign w:val="center"/>
                </w:tcPr>
                <w:p w14:paraId="165CFDB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排放口地理坐标</w:t>
                  </w:r>
                </w:p>
              </w:tc>
              <w:tc>
                <w:tcPr>
                  <w:tcW w:w="297" w:type="pct"/>
                  <w:vMerge w:val="restart"/>
                  <w:tcBorders>
                    <w:top w:val="single" w:color="000000" w:sz="12" w:space="0"/>
                  </w:tcBorders>
                  <w:vAlign w:val="center"/>
                </w:tcPr>
                <w:p w14:paraId="7B0C5BD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排放方式</w:t>
                  </w:r>
                </w:p>
              </w:tc>
              <w:tc>
                <w:tcPr>
                  <w:tcW w:w="748" w:type="pct"/>
                  <w:vMerge w:val="restart"/>
                  <w:tcBorders>
                    <w:top w:val="single" w:color="000000" w:sz="12" w:space="0"/>
                  </w:tcBorders>
                  <w:vAlign w:val="center"/>
                </w:tcPr>
                <w:p w14:paraId="1752032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排放去向</w:t>
                  </w:r>
                </w:p>
              </w:tc>
              <w:tc>
                <w:tcPr>
                  <w:tcW w:w="304" w:type="pct"/>
                  <w:vMerge w:val="restart"/>
                  <w:tcBorders>
                    <w:top w:val="single" w:color="000000" w:sz="12" w:space="0"/>
                  </w:tcBorders>
                  <w:vAlign w:val="center"/>
                </w:tcPr>
                <w:p w14:paraId="364C970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排放规律</w:t>
                  </w:r>
                </w:p>
              </w:tc>
              <w:tc>
                <w:tcPr>
                  <w:tcW w:w="1168" w:type="pct"/>
                  <w:vMerge w:val="restart"/>
                  <w:tcBorders>
                    <w:top w:val="single" w:color="000000" w:sz="12" w:space="0"/>
                  </w:tcBorders>
                  <w:vAlign w:val="center"/>
                </w:tcPr>
                <w:p w14:paraId="4869FD1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执行标准</w:t>
                  </w:r>
                </w:p>
              </w:tc>
            </w:tr>
            <w:tr w14:paraId="50B81B1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35" w:type="pct"/>
                  <w:vMerge w:val="continue"/>
                  <w:vAlign w:val="center"/>
                </w:tcPr>
                <w:p w14:paraId="61DB2E1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664" w:type="pct"/>
                  <w:vMerge w:val="continue"/>
                  <w:vAlign w:val="center"/>
                </w:tcPr>
                <w:p w14:paraId="76A2BBF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784" w:type="pct"/>
                  <w:vAlign w:val="center"/>
                </w:tcPr>
                <w:p w14:paraId="0C39E1F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p>
              </w:tc>
              <w:tc>
                <w:tcPr>
                  <w:tcW w:w="597" w:type="pct"/>
                  <w:vAlign w:val="center"/>
                </w:tcPr>
                <w:p w14:paraId="358FC58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p>
              </w:tc>
              <w:tc>
                <w:tcPr>
                  <w:tcW w:w="297" w:type="pct"/>
                  <w:vMerge w:val="continue"/>
                  <w:vAlign w:val="center"/>
                </w:tcPr>
                <w:p w14:paraId="46B73B8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748" w:type="pct"/>
                  <w:vMerge w:val="continue"/>
                  <w:vAlign w:val="center"/>
                </w:tcPr>
                <w:p w14:paraId="2B7FA51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304" w:type="pct"/>
                  <w:vMerge w:val="continue"/>
                  <w:vAlign w:val="center"/>
                </w:tcPr>
                <w:p w14:paraId="6A00EA3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1168" w:type="pct"/>
                  <w:vMerge w:val="continue"/>
                  <w:vAlign w:val="center"/>
                </w:tcPr>
                <w:p w14:paraId="4A1F467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r>
            <w:tr w14:paraId="4010129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35" w:type="pct"/>
                  <w:vAlign w:val="center"/>
                </w:tcPr>
                <w:p w14:paraId="44B15AC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DW001</w:t>
                  </w:r>
                </w:p>
              </w:tc>
              <w:tc>
                <w:tcPr>
                  <w:tcW w:w="664" w:type="pct"/>
                  <w:vAlign w:val="center"/>
                </w:tcPr>
                <w:p w14:paraId="0F54840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废水排放口</w:t>
                  </w:r>
                </w:p>
              </w:tc>
              <w:tc>
                <w:tcPr>
                  <w:tcW w:w="784" w:type="pct"/>
                  <w:vAlign w:val="center"/>
                </w:tcPr>
                <w:p w14:paraId="0B05C552">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 w:val="18"/>
                      <w:szCs w:val="18"/>
                      <w:highlight w:val="none"/>
                    </w:rPr>
                  </w:pPr>
                  <w:r>
                    <w:rPr>
                      <w:rFonts w:hint="eastAsia"/>
                      <w:color w:val="auto"/>
                      <w:sz w:val="18"/>
                      <w:szCs w:val="18"/>
                    </w:rPr>
                    <w:t>130.943351</w:t>
                  </w:r>
                </w:p>
              </w:tc>
              <w:tc>
                <w:tcPr>
                  <w:tcW w:w="597" w:type="pct"/>
                  <w:vAlign w:val="center"/>
                </w:tcPr>
                <w:p w14:paraId="684979DC">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 w:val="18"/>
                      <w:szCs w:val="18"/>
                      <w:highlight w:val="none"/>
                    </w:rPr>
                  </w:pPr>
                  <w:r>
                    <w:rPr>
                      <w:rFonts w:hint="eastAsia"/>
                      <w:color w:val="auto"/>
                      <w:sz w:val="18"/>
                      <w:szCs w:val="18"/>
                      <w:highlight w:val="none"/>
                    </w:rPr>
                    <w:t>45.326791</w:t>
                  </w:r>
                </w:p>
              </w:tc>
              <w:tc>
                <w:tcPr>
                  <w:tcW w:w="297" w:type="pct"/>
                  <w:vAlign w:val="center"/>
                </w:tcPr>
                <w:p w14:paraId="22D0BE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直接排放</w:t>
                  </w:r>
                </w:p>
              </w:tc>
              <w:tc>
                <w:tcPr>
                  <w:tcW w:w="748" w:type="pct"/>
                  <w:vAlign w:val="center"/>
                </w:tcPr>
                <w:p w14:paraId="6D5240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bCs/>
                      <w:color w:val="auto"/>
                      <w:sz w:val="18"/>
                      <w:szCs w:val="18"/>
                      <w:highlight w:val="none"/>
                      <w:lang w:val="en-US" w:eastAsia="zh-CN"/>
                    </w:rPr>
                    <w:t>穆棱河</w:t>
                  </w:r>
                </w:p>
              </w:tc>
              <w:tc>
                <w:tcPr>
                  <w:tcW w:w="304" w:type="pct"/>
                  <w:vMerge w:val="restart"/>
                  <w:vAlign w:val="center"/>
                </w:tcPr>
                <w:p w14:paraId="2C4F341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间断排放，不规律</w:t>
                  </w:r>
                </w:p>
              </w:tc>
              <w:tc>
                <w:tcPr>
                  <w:tcW w:w="1168" w:type="pct"/>
                  <w:vAlign w:val="center"/>
                </w:tcPr>
                <w:p w14:paraId="6F72CF7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eastAsia" w:cs="Times New Roman"/>
                      <w:color w:val="auto"/>
                      <w:spacing w:val="0"/>
                      <w:sz w:val="18"/>
                      <w:szCs w:val="18"/>
                      <w:highlight w:val="none"/>
                      <w:lang w:val="en-US" w:eastAsia="zh-CN"/>
                    </w:rPr>
                    <w:t>《地表水环境质量标准》（GB3838-2002）表1中三类标准、悬浮物执行</w:t>
                  </w:r>
                  <w:r>
                    <w:rPr>
                      <w:rFonts w:hint="default" w:cs="Times New Roman"/>
                      <w:color w:val="auto"/>
                      <w:spacing w:val="0"/>
                      <w:sz w:val="18"/>
                      <w:szCs w:val="18"/>
                      <w:highlight w:val="none"/>
                      <w:lang w:val="en-US" w:eastAsia="zh-CN"/>
                    </w:rPr>
                    <w:t>《污水综合排放标准》</w:t>
                  </w:r>
                  <w:r>
                    <w:rPr>
                      <w:rFonts w:hint="eastAsia" w:cs="Times New Roman"/>
                      <w:color w:val="auto"/>
                      <w:spacing w:val="0"/>
                      <w:sz w:val="18"/>
                      <w:szCs w:val="18"/>
                      <w:highlight w:val="none"/>
                      <w:lang w:val="en-US" w:eastAsia="zh-CN"/>
                    </w:rPr>
                    <w:t>（GB8978-1996）一级标准</w:t>
                  </w:r>
                </w:p>
              </w:tc>
            </w:tr>
            <w:tr w14:paraId="29987DD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35" w:type="pct"/>
                  <w:tcBorders>
                    <w:bottom w:val="single" w:color="000000" w:sz="12" w:space="0"/>
                  </w:tcBorders>
                  <w:vAlign w:val="center"/>
                </w:tcPr>
                <w:p w14:paraId="566B872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DW002</w:t>
                  </w:r>
                </w:p>
              </w:tc>
              <w:tc>
                <w:tcPr>
                  <w:tcW w:w="664" w:type="pct"/>
                  <w:tcBorders>
                    <w:bottom w:val="single" w:color="000000" w:sz="12" w:space="0"/>
                  </w:tcBorders>
                  <w:vAlign w:val="center"/>
                </w:tcPr>
                <w:p w14:paraId="0CDF3200">
                  <w:pPr>
                    <w:keepNext w:val="0"/>
                    <w:keepLines w:val="0"/>
                    <w:suppressLineNumbers w:val="0"/>
                    <w:spacing w:before="0" w:beforeAutospacing="0" w:after="0" w:afterAutospacing="0"/>
                    <w:ind w:left="0" w:right="0"/>
                    <w:jc w:val="center"/>
                    <w:rPr>
                      <w:rFonts w:hint="default"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生活污水排放口</w:t>
                  </w:r>
                </w:p>
              </w:tc>
              <w:tc>
                <w:tcPr>
                  <w:tcW w:w="784" w:type="pct"/>
                  <w:tcBorders>
                    <w:bottom w:val="single" w:color="000000" w:sz="12" w:space="0"/>
                  </w:tcBorders>
                  <w:vAlign w:val="center"/>
                </w:tcPr>
                <w:p w14:paraId="5D03AC64">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 w:val="18"/>
                      <w:szCs w:val="18"/>
                      <w:highlight w:val="none"/>
                    </w:rPr>
                  </w:pPr>
                  <w:r>
                    <w:rPr>
                      <w:rFonts w:hint="eastAsia"/>
                      <w:color w:val="auto"/>
                      <w:sz w:val="18"/>
                      <w:szCs w:val="18"/>
                    </w:rPr>
                    <w:t>130.946404</w:t>
                  </w:r>
                </w:p>
              </w:tc>
              <w:tc>
                <w:tcPr>
                  <w:tcW w:w="597" w:type="pct"/>
                  <w:tcBorders>
                    <w:bottom w:val="single" w:color="000000" w:sz="12" w:space="0"/>
                  </w:tcBorders>
                  <w:vAlign w:val="center"/>
                </w:tcPr>
                <w:p w14:paraId="50927EEF">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 w:val="18"/>
                      <w:szCs w:val="18"/>
                      <w:highlight w:val="none"/>
                    </w:rPr>
                  </w:pPr>
                  <w:r>
                    <w:rPr>
                      <w:rFonts w:hint="eastAsia"/>
                      <w:color w:val="auto"/>
                      <w:sz w:val="18"/>
                      <w:szCs w:val="18"/>
                      <w:highlight w:val="none"/>
                    </w:rPr>
                    <w:t>45.312529</w:t>
                  </w:r>
                </w:p>
              </w:tc>
              <w:tc>
                <w:tcPr>
                  <w:tcW w:w="297" w:type="pct"/>
                  <w:tcBorders>
                    <w:bottom w:val="single" w:color="000000" w:sz="12" w:space="0"/>
                  </w:tcBorders>
                  <w:vAlign w:val="center"/>
                </w:tcPr>
                <w:p w14:paraId="5187DD4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间接排放</w:t>
                  </w:r>
                </w:p>
              </w:tc>
              <w:tc>
                <w:tcPr>
                  <w:tcW w:w="748" w:type="pct"/>
                  <w:tcBorders>
                    <w:bottom w:val="single" w:color="000000" w:sz="12" w:space="0"/>
                  </w:tcBorders>
                  <w:vAlign w:val="center"/>
                </w:tcPr>
                <w:p w14:paraId="15AFBDBB">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市政污水管网</w:t>
                  </w:r>
                </w:p>
              </w:tc>
              <w:tc>
                <w:tcPr>
                  <w:tcW w:w="304" w:type="pct"/>
                  <w:vMerge w:val="continue"/>
                  <w:tcBorders>
                    <w:bottom w:val="single" w:color="000000" w:sz="12" w:space="0"/>
                  </w:tcBorders>
                  <w:vAlign w:val="center"/>
                </w:tcPr>
                <w:p w14:paraId="47C3463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1168" w:type="pct"/>
                  <w:tcBorders>
                    <w:bottom w:val="single" w:color="000000" w:sz="12" w:space="0"/>
                  </w:tcBorders>
                  <w:vAlign w:val="center"/>
                </w:tcPr>
                <w:p w14:paraId="3EC6F9D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《污水综合排放标准》</w:t>
                  </w:r>
                  <w:r>
                    <w:rPr>
                      <w:rFonts w:hint="eastAsia" w:cs="Times New Roman"/>
                      <w:color w:val="auto"/>
                      <w:spacing w:val="0"/>
                      <w:sz w:val="18"/>
                      <w:szCs w:val="18"/>
                      <w:highlight w:val="none"/>
                      <w:lang w:val="en-US" w:eastAsia="zh-CN"/>
                    </w:rPr>
                    <w:t>（GB8978-1996）</w:t>
                  </w:r>
                  <w:r>
                    <w:rPr>
                      <w:rFonts w:hint="default" w:ascii="Times New Roman" w:hAnsi="Times New Roman" w:eastAsia="宋体" w:cs="Times New Roman"/>
                      <w:bCs/>
                      <w:color w:val="auto"/>
                      <w:spacing w:val="0"/>
                      <w:sz w:val="18"/>
                      <w:szCs w:val="18"/>
                      <w:highlight w:val="none"/>
                    </w:rPr>
                    <w:t>三级标准</w:t>
                  </w:r>
                  <w:r>
                    <w:rPr>
                      <w:rFonts w:hint="eastAsia" w:cs="Times New Roman"/>
                      <w:bCs/>
                      <w:color w:val="auto"/>
                      <w:spacing w:val="0"/>
                      <w:sz w:val="18"/>
                      <w:szCs w:val="18"/>
                      <w:highlight w:val="none"/>
                      <w:lang w:eastAsia="zh-CN"/>
                    </w:rPr>
                    <w:t>及</w:t>
                  </w:r>
                  <w:r>
                    <w:rPr>
                      <w:rFonts w:hint="eastAsia" w:cs="Times New Roman"/>
                      <w:bCs/>
                      <w:color w:val="auto"/>
                      <w:spacing w:val="0"/>
                      <w:sz w:val="18"/>
                      <w:szCs w:val="18"/>
                      <w:highlight w:val="none"/>
                      <w:lang w:val="en-US" w:eastAsia="zh-CN"/>
                    </w:rPr>
                    <w:t>鸡西市</w:t>
                  </w:r>
                  <w:r>
                    <w:rPr>
                      <w:rFonts w:hint="eastAsia" w:cs="Times New Roman"/>
                      <w:color w:val="auto"/>
                      <w:sz w:val="18"/>
                      <w:szCs w:val="18"/>
                      <w:highlight w:val="none"/>
                      <w:lang w:val="en-US" w:eastAsia="zh-CN"/>
                    </w:rPr>
                    <w:t>鸡冠区污水处理厂进水标准</w:t>
                  </w:r>
                </w:p>
              </w:tc>
            </w:tr>
          </w:tbl>
          <w:p w14:paraId="6DA4D163">
            <w:pPr>
              <w:keepNext w:val="0"/>
              <w:keepLines w:val="0"/>
              <w:widowControl/>
              <w:suppressLineNumbers w:val="0"/>
              <w:adjustRightInd/>
              <w:snapToGrid/>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3</w:t>
            </w:r>
            <w:r>
              <w:rPr>
                <w:rFonts w:hint="default" w:ascii="Times New Roman" w:hAnsi="Times New Roman" w:cs="Times New Roman"/>
                <w:bCs/>
                <w:color w:val="auto"/>
                <w:szCs w:val="21"/>
                <w:highlight w:val="none"/>
              </w:rPr>
              <w:t>）监测要求</w:t>
            </w:r>
          </w:p>
          <w:p w14:paraId="2DBE69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color w:val="auto"/>
                <w:szCs w:val="21"/>
                <w:highlight w:val="none"/>
              </w:rPr>
              <w:t>根据</w:t>
            </w:r>
            <w:r>
              <w:rPr>
                <w:rFonts w:hint="eastAsia"/>
                <w:color w:val="auto"/>
                <w:sz w:val="21"/>
                <w:szCs w:val="21"/>
                <w:highlight w:val="none"/>
              </w:rPr>
              <w:t>《排污单位自行监测技术指南 总则》（HJ 819-2017）</w:t>
            </w:r>
            <w:r>
              <w:rPr>
                <w:rFonts w:hint="default" w:ascii="Times New Roman" w:hAnsi="Times New Roman" w:cs="Times New Roman"/>
                <w:bCs/>
                <w:color w:val="auto"/>
                <w:szCs w:val="21"/>
                <w:highlight w:val="none"/>
              </w:rPr>
              <w:t>本项目废</w:t>
            </w:r>
            <w:r>
              <w:rPr>
                <w:rFonts w:hint="eastAsia" w:cs="Times New Roman"/>
                <w:bCs/>
                <w:color w:val="auto"/>
                <w:szCs w:val="21"/>
                <w:highlight w:val="none"/>
                <w:lang w:eastAsia="zh-CN"/>
              </w:rPr>
              <w:t>水</w:t>
            </w:r>
            <w:r>
              <w:rPr>
                <w:rFonts w:hint="default" w:ascii="Times New Roman" w:hAnsi="Times New Roman" w:cs="Times New Roman"/>
                <w:bCs/>
                <w:color w:val="auto"/>
                <w:szCs w:val="21"/>
                <w:highlight w:val="none"/>
              </w:rPr>
              <w:t>监测计划如下：</w:t>
            </w:r>
          </w:p>
          <w:p w14:paraId="1D0BA159">
            <w:pPr>
              <w:keepNext w:val="0"/>
              <w:keepLines w:val="0"/>
              <w:widowControl/>
              <w:suppressLineNumbers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表4-</w:t>
            </w:r>
            <w:r>
              <w:rPr>
                <w:rFonts w:hint="eastAsia"/>
                <w:b/>
                <w:color w:val="auto"/>
                <w:szCs w:val="21"/>
                <w:highlight w:val="none"/>
                <w:lang w:val="en-US" w:eastAsia="zh-CN"/>
              </w:rPr>
              <w:t>4</w:t>
            </w:r>
            <w:r>
              <w:rPr>
                <w:rFonts w:hint="default"/>
                <w:b/>
                <w:color w:val="auto"/>
                <w:szCs w:val="21"/>
                <w:highlight w:val="none"/>
              </w:rPr>
              <w:t>水污染物监测计划</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4"/>
              <w:gridCol w:w="3109"/>
              <w:gridCol w:w="3146"/>
            </w:tblGrid>
            <w:tr w14:paraId="300ECC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38" w:type="pct"/>
                  <w:tcBorders>
                    <w:top w:val="single" w:color="auto" w:sz="12" w:space="0"/>
                  </w:tcBorders>
                  <w:vAlign w:val="center"/>
                </w:tcPr>
                <w:p w14:paraId="10F3F67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监测点位</w:t>
                  </w:r>
                </w:p>
              </w:tc>
              <w:tc>
                <w:tcPr>
                  <w:tcW w:w="1919" w:type="pct"/>
                  <w:tcBorders>
                    <w:top w:val="single" w:color="auto" w:sz="12" w:space="0"/>
                  </w:tcBorders>
                  <w:vAlign w:val="center"/>
                </w:tcPr>
                <w:p w14:paraId="6A7982D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监测因子</w:t>
                  </w:r>
                </w:p>
              </w:tc>
              <w:tc>
                <w:tcPr>
                  <w:tcW w:w="1942" w:type="pct"/>
                  <w:tcBorders>
                    <w:top w:val="single" w:color="auto" w:sz="12" w:space="0"/>
                  </w:tcBorders>
                  <w:vAlign w:val="center"/>
                </w:tcPr>
                <w:p w14:paraId="4E3E06F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监测频次</w:t>
                  </w:r>
                </w:p>
              </w:tc>
            </w:tr>
            <w:tr w14:paraId="216F02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38" w:type="pct"/>
                  <w:vMerge w:val="restart"/>
                  <w:vAlign w:val="center"/>
                </w:tcPr>
                <w:p w14:paraId="1C8CF1A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DW001</w:t>
                  </w:r>
                </w:p>
              </w:tc>
              <w:tc>
                <w:tcPr>
                  <w:tcW w:w="1919" w:type="pct"/>
                  <w:vAlign w:val="center"/>
                </w:tcPr>
                <w:p w14:paraId="1BBE2AE1">
                  <w:pPr>
                    <w:pStyle w:val="157"/>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bidi="ar-SA"/>
                    </w:rPr>
                    <w:t>化学需氧量、五日生化需氧量、氨氮、总磷、总氮、悬浮物</w:t>
                  </w:r>
                </w:p>
              </w:tc>
              <w:tc>
                <w:tcPr>
                  <w:tcW w:w="1942" w:type="pct"/>
                  <w:vAlign w:val="center"/>
                </w:tcPr>
                <w:p w14:paraId="29643C0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1次/</w:t>
                  </w:r>
                  <w:r>
                    <w:rPr>
                      <w:rFonts w:hint="eastAsia" w:cs="Times New Roman"/>
                      <w:color w:val="auto"/>
                      <w:sz w:val="18"/>
                      <w:szCs w:val="18"/>
                      <w:highlight w:val="none"/>
                      <w:lang w:eastAsia="zh-CN"/>
                    </w:rPr>
                    <w:t>季度</w:t>
                  </w:r>
                </w:p>
              </w:tc>
            </w:tr>
            <w:tr w14:paraId="26BC25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38" w:type="pct"/>
                  <w:vMerge w:val="continue"/>
                  <w:tcBorders>
                    <w:bottom w:val="single" w:color="auto" w:sz="12" w:space="0"/>
                  </w:tcBorders>
                  <w:vAlign w:val="center"/>
                </w:tcPr>
                <w:p w14:paraId="0B46C2F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p>
              </w:tc>
              <w:tc>
                <w:tcPr>
                  <w:tcW w:w="1919" w:type="pct"/>
                  <w:tcBorders>
                    <w:bottom w:val="single" w:color="auto" w:sz="12" w:space="0"/>
                  </w:tcBorders>
                  <w:vAlign w:val="center"/>
                </w:tcPr>
                <w:p w14:paraId="706BDB19">
                  <w:pPr>
                    <w:pStyle w:val="157"/>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动植物油、阴离子表面活性剂、色度、pH、粪大肠菌群数</w:t>
                  </w:r>
                  <w:r>
                    <w:rPr>
                      <w:rFonts w:hint="default" w:ascii="Times New Roman" w:hAnsi="Times New Roman" w:eastAsia="宋体" w:cs="Times New Roman"/>
                      <w:color w:val="auto"/>
                      <w:kern w:val="2"/>
                      <w:sz w:val="18"/>
                      <w:szCs w:val="18"/>
                      <w:highlight w:val="none"/>
                      <w:lang w:val="en-US" w:eastAsia="zh-CN" w:bidi="ar-SA"/>
                    </w:rPr>
                    <w:t>、石油类</w:t>
                  </w:r>
                </w:p>
              </w:tc>
              <w:tc>
                <w:tcPr>
                  <w:tcW w:w="1942" w:type="pct"/>
                  <w:tcBorders>
                    <w:bottom w:val="single" w:color="auto" w:sz="12" w:space="0"/>
                  </w:tcBorders>
                  <w:vAlign w:val="center"/>
                </w:tcPr>
                <w:p w14:paraId="2AB5434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1次/年</w:t>
                  </w:r>
                </w:p>
              </w:tc>
            </w:tr>
          </w:tbl>
          <w:p w14:paraId="5C2D7545">
            <w:pPr>
              <w:pStyle w:val="5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eastAsia" w:ascii="Times New Roman" w:hAnsi="Times New Roman" w:eastAsia="宋体"/>
                <w:b w:val="0"/>
                <w:bCs w:val="0"/>
                <w:color w:val="auto"/>
                <w:kern w:val="2"/>
                <w:sz w:val="21"/>
                <w:szCs w:val="21"/>
                <w:highlight w:val="none"/>
              </w:rPr>
            </w:pPr>
            <w:r>
              <w:rPr>
                <w:rFonts w:hint="eastAsia" w:ascii="Times New Roman" w:hAnsi="Times New Roman" w:eastAsia="宋体" w:cs="Times New Roman"/>
                <w:b w:val="0"/>
                <w:bCs w:val="0"/>
                <w:color w:val="auto"/>
                <w:kern w:val="2"/>
                <w:sz w:val="21"/>
                <w:szCs w:val="21"/>
                <w:highlight w:val="none"/>
                <w:lang w:val="en-US" w:eastAsia="zh-CN" w:bidi="ar-SA"/>
              </w:rPr>
              <w:t>（4）</w:t>
            </w:r>
            <w:r>
              <w:rPr>
                <w:rFonts w:hint="eastAsia" w:ascii="Times New Roman" w:hAnsi="Times New Roman" w:eastAsia="宋体"/>
                <w:b w:val="0"/>
                <w:bCs w:val="0"/>
                <w:color w:val="auto"/>
                <w:kern w:val="2"/>
                <w:sz w:val="21"/>
                <w:szCs w:val="21"/>
                <w:highlight w:val="none"/>
              </w:rPr>
              <w:t xml:space="preserve">废水处理措施可行性分析 </w:t>
            </w:r>
          </w:p>
          <w:p w14:paraId="7B9AF51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default" w:eastAsia="宋体"/>
                <w:color w:val="auto"/>
                <w:highlight w:val="none"/>
                <w:lang w:val="en-US" w:eastAsia="zh-CN"/>
              </w:rPr>
            </w:pPr>
            <w:r>
              <w:rPr>
                <w:rFonts w:hint="eastAsia"/>
                <w:color w:val="auto"/>
                <w:highlight w:val="none"/>
                <w:lang w:val="en-US" w:eastAsia="zh-CN"/>
              </w:rPr>
              <w:t>本项目采取絮凝、压滤的处理方式，根据监测数据，上清液各项污染物浓度满足</w:t>
            </w:r>
            <w:r>
              <w:rPr>
                <w:rFonts w:hint="eastAsia" w:cs="Times New Roman"/>
                <w:color w:val="auto"/>
                <w:spacing w:val="0"/>
                <w:sz w:val="21"/>
                <w:szCs w:val="21"/>
                <w:highlight w:val="none"/>
                <w:lang w:val="en-US" w:eastAsia="zh-CN"/>
              </w:rPr>
              <w:t>《地表水环境质量标准》（GB3838-2002）表1中三类标准，</w:t>
            </w:r>
            <w:r>
              <w:rPr>
                <w:rFonts w:hint="eastAsia"/>
                <w:color w:val="auto"/>
                <w:highlight w:val="none"/>
                <w:lang w:val="en-US" w:eastAsia="zh-CN"/>
              </w:rPr>
              <w:t>悬浮物满足</w:t>
            </w:r>
            <w:r>
              <w:rPr>
                <w:rFonts w:hint="default"/>
                <w:color w:val="auto"/>
                <w:highlight w:val="none"/>
                <w:lang w:val="en-US" w:eastAsia="zh-CN"/>
              </w:rPr>
              <w:t>《污水综合排放标准》</w:t>
            </w:r>
            <w:r>
              <w:rPr>
                <w:rFonts w:hint="eastAsia"/>
                <w:color w:val="auto"/>
                <w:highlight w:val="none"/>
                <w:lang w:val="en-US" w:eastAsia="zh-CN"/>
              </w:rPr>
              <w:t>（GB8978-1996）一级标准，故认为废水处理措</w:t>
            </w:r>
            <w:r>
              <w:rPr>
                <w:rFonts w:hint="eastAsia" w:cs="Times New Roman"/>
                <w:color w:val="auto"/>
                <w:spacing w:val="0"/>
                <w:w w:val="100"/>
                <w:sz w:val="21"/>
                <w:szCs w:val="21"/>
                <w:highlight w:val="none"/>
                <w:lang w:val="en-US" w:eastAsia="zh-CN"/>
              </w:rPr>
              <w:t>施可行。</w:t>
            </w:r>
          </w:p>
          <w:p w14:paraId="425A6F4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rPr>
              <w:t>依托可行性分析</w:t>
            </w:r>
          </w:p>
          <w:p w14:paraId="08C7D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eastAsia="zh-CN"/>
              </w:rPr>
              <w:t>鸡西市鸡冠区污水处理厂三期</w:t>
            </w:r>
            <w:r>
              <w:rPr>
                <w:rFonts w:hint="eastAsia" w:cs="Times New Roman"/>
                <w:color w:val="auto"/>
                <w:spacing w:val="0"/>
                <w:w w:val="100"/>
                <w:sz w:val="21"/>
                <w:szCs w:val="21"/>
                <w:highlight w:val="none"/>
                <w:lang w:val="en-US" w:eastAsia="zh-CN"/>
              </w:rPr>
              <w:t>于2023年4月26日取得环评批复，批复文号为[2023]10号</w:t>
            </w:r>
            <w:r>
              <w:rPr>
                <w:rFonts w:hint="default" w:ascii="Times New Roman" w:hAnsi="Times New Roman" w:eastAsia="宋体" w:cs="Times New Roman"/>
                <w:color w:val="auto"/>
                <w:spacing w:val="0"/>
                <w:w w:val="100"/>
                <w:sz w:val="21"/>
                <w:szCs w:val="21"/>
                <w:highlight w:val="none"/>
                <w:lang w:eastAsia="zh-CN"/>
              </w:rPr>
              <w:t>，</w:t>
            </w:r>
            <w:r>
              <w:rPr>
                <w:rFonts w:hint="eastAsia" w:cs="Times New Roman"/>
                <w:color w:val="auto"/>
                <w:spacing w:val="0"/>
                <w:w w:val="100"/>
                <w:sz w:val="21"/>
                <w:szCs w:val="21"/>
                <w:highlight w:val="none"/>
                <w:lang w:val="en-US" w:eastAsia="zh-CN"/>
              </w:rPr>
              <w:t>根据排污许可公开信息，污水处理站处于正常运行状态。该项目</w:t>
            </w:r>
            <w:r>
              <w:rPr>
                <w:rFonts w:hint="default" w:ascii="Times New Roman" w:hAnsi="Times New Roman" w:eastAsia="宋体" w:cs="Times New Roman"/>
                <w:color w:val="auto"/>
                <w:spacing w:val="0"/>
                <w:w w:val="100"/>
                <w:sz w:val="21"/>
                <w:szCs w:val="21"/>
                <w:highlight w:val="none"/>
              </w:rPr>
              <w:t>处理工艺为</w:t>
            </w:r>
            <w:r>
              <w:rPr>
                <w:rFonts w:hint="eastAsia" w:cs="Times New Roman"/>
                <w:color w:val="auto"/>
                <w:spacing w:val="0"/>
                <w:w w:val="100"/>
                <w:sz w:val="21"/>
                <w:szCs w:val="21"/>
                <w:highlight w:val="none"/>
                <w:lang w:eastAsia="zh-CN"/>
              </w:rPr>
              <w:t>预处理</w:t>
            </w:r>
            <w:r>
              <w:rPr>
                <w:rFonts w:hint="eastAsia" w:cs="Times New Roman"/>
                <w:color w:val="auto"/>
                <w:spacing w:val="0"/>
                <w:w w:val="100"/>
                <w:sz w:val="21"/>
                <w:szCs w:val="21"/>
                <w:highlight w:val="none"/>
                <w:lang w:val="en-US" w:eastAsia="zh-CN"/>
              </w:rPr>
              <w:t>+A</w:t>
            </w:r>
            <w:r>
              <w:rPr>
                <w:rFonts w:hint="eastAsia" w:cs="Times New Roman"/>
                <w:color w:val="auto"/>
                <w:spacing w:val="0"/>
                <w:w w:val="100"/>
                <w:sz w:val="21"/>
                <w:szCs w:val="21"/>
                <w:highlight w:val="none"/>
                <w:vertAlign w:val="superscript"/>
                <w:lang w:val="en-US" w:eastAsia="zh-CN"/>
              </w:rPr>
              <w:t>2</w:t>
            </w:r>
            <w:r>
              <w:rPr>
                <w:rFonts w:hint="eastAsia" w:cs="Times New Roman"/>
                <w:color w:val="auto"/>
                <w:spacing w:val="0"/>
                <w:w w:val="100"/>
                <w:sz w:val="21"/>
                <w:szCs w:val="21"/>
                <w:highlight w:val="none"/>
                <w:lang w:val="en-US" w:eastAsia="zh-CN"/>
              </w:rPr>
              <w:t>O+深度处理工艺</w:t>
            </w:r>
            <w:r>
              <w:rPr>
                <w:rFonts w:hint="default" w:ascii="Times New Roman" w:hAnsi="Times New Roman" w:eastAsia="宋体" w:cs="Times New Roman"/>
                <w:color w:val="auto"/>
                <w:spacing w:val="0"/>
                <w:w w:val="100"/>
                <w:sz w:val="21"/>
                <w:szCs w:val="21"/>
                <w:highlight w:val="none"/>
              </w:rPr>
              <w:t>，处理能力为</w:t>
            </w:r>
            <w:r>
              <w:rPr>
                <w:rFonts w:hint="eastAsia" w:cs="Times New Roman"/>
                <w:color w:val="auto"/>
                <w:spacing w:val="0"/>
                <w:w w:val="100"/>
                <w:sz w:val="21"/>
                <w:szCs w:val="21"/>
                <w:highlight w:val="none"/>
                <w:lang w:val="en-US" w:eastAsia="zh-CN"/>
              </w:rPr>
              <w:t>5</w:t>
            </w:r>
            <w:r>
              <w:rPr>
                <w:rFonts w:hint="default" w:ascii="Times New Roman" w:hAnsi="Times New Roman" w:eastAsia="宋体" w:cs="Times New Roman"/>
                <w:color w:val="auto"/>
                <w:spacing w:val="0"/>
                <w:w w:val="100"/>
                <w:sz w:val="21"/>
                <w:szCs w:val="21"/>
                <w:highlight w:val="none"/>
              </w:rPr>
              <w:t>万m³/d</w:t>
            </w:r>
            <w:r>
              <w:rPr>
                <w:rFonts w:hint="eastAsia" w:cs="Times New Roman"/>
                <w:color w:val="auto"/>
                <w:spacing w:val="0"/>
                <w:w w:val="100"/>
                <w:sz w:val="21"/>
                <w:szCs w:val="21"/>
                <w:highlight w:val="none"/>
                <w:lang w:eastAsia="zh-CN"/>
              </w:rPr>
              <w:t>，</w:t>
            </w:r>
            <w:r>
              <w:rPr>
                <w:rFonts w:hint="default" w:ascii="Times New Roman" w:hAnsi="Times New Roman" w:eastAsia="宋体" w:cs="Times New Roman"/>
                <w:color w:val="auto"/>
                <w:spacing w:val="0"/>
                <w:w w:val="100"/>
                <w:sz w:val="21"/>
                <w:szCs w:val="21"/>
                <w:highlight w:val="none"/>
              </w:rPr>
              <w:t>本项目生活污水</w:t>
            </w:r>
            <w:r>
              <w:rPr>
                <w:rFonts w:hint="eastAsia"/>
                <w:color w:val="auto"/>
                <w:sz w:val="21"/>
                <w:szCs w:val="21"/>
                <w:highlight w:val="none"/>
                <w:lang w:val="en-US" w:eastAsia="zh-CN"/>
              </w:rPr>
              <w:t>排放量为</w:t>
            </w:r>
            <w:r>
              <w:rPr>
                <w:rFonts w:hint="eastAsia" w:cs="Times New Roman"/>
                <w:bCs/>
                <w:color w:val="auto"/>
                <w:sz w:val="21"/>
                <w:szCs w:val="21"/>
                <w:highlight w:val="none"/>
                <w:lang w:val="en-US" w:eastAsia="zh-CN"/>
              </w:rPr>
              <w:t>0.768</w:t>
            </w:r>
            <w:r>
              <w:rPr>
                <w:rFonts w:hint="eastAsia"/>
                <w:color w:val="auto"/>
                <w:sz w:val="21"/>
                <w:szCs w:val="21"/>
                <w:highlight w:val="none"/>
                <w:lang w:val="en-US" w:eastAsia="zh-CN"/>
              </w:rPr>
              <w:t>t/d，</w:t>
            </w:r>
            <w:r>
              <w:rPr>
                <w:rFonts w:hint="default" w:ascii="Times New Roman" w:hAnsi="Times New Roman" w:eastAsia="宋体" w:cs="Times New Roman"/>
                <w:color w:val="auto"/>
                <w:spacing w:val="0"/>
                <w:w w:val="100"/>
                <w:sz w:val="21"/>
                <w:szCs w:val="21"/>
                <w:highlight w:val="none"/>
              </w:rPr>
              <w:t>可满足</w:t>
            </w:r>
            <w:r>
              <w:rPr>
                <w:rFonts w:hint="eastAsia" w:cs="Times New Roman"/>
                <w:color w:val="auto"/>
                <w:spacing w:val="0"/>
                <w:w w:val="100"/>
                <w:sz w:val="21"/>
                <w:szCs w:val="21"/>
                <w:highlight w:val="none"/>
                <w:lang w:eastAsia="zh-CN"/>
              </w:rPr>
              <w:t>鸡西市鸡冠区污水处理厂三期</w:t>
            </w:r>
            <w:r>
              <w:rPr>
                <w:rFonts w:hint="default" w:ascii="Times New Roman" w:hAnsi="Times New Roman" w:eastAsia="宋体" w:cs="Times New Roman"/>
                <w:color w:val="auto"/>
                <w:spacing w:val="0"/>
                <w:w w:val="100"/>
                <w:sz w:val="21"/>
                <w:szCs w:val="21"/>
                <w:highlight w:val="none"/>
              </w:rPr>
              <w:t>剩余处理负荷的要求。</w:t>
            </w:r>
            <w:r>
              <w:rPr>
                <w:rFonts w:hint="eastAsia" w:cs="Times New Roman"/>
                <w:color w:val="auto"/>
                <w:spacing w:val="0"/>
                <w:w w:val="100"/>
                <w:sz w:val="21"/>
                <w:szCs w:val="21"/>
                <w:highlight w:val="none"/>
                <w:lang w:eastAsia="zh-CN"/>
              </w:rPr>
              <w:t>鸡西市鸡冠区污水处理厂三期</w:t>
            </w:r>
            <w:r>
              <w:rPr>
                <w:rFonts w:hint="default" w:ascii="Times New Roman" w:hAnsi="Times New Roman" w:eastAsia="宋体" w:cs="Times New Roman"/>
                <w:color w:val="auto"/>
                <w:spacing w:val="0"/>
                <w:w w:val="100"/>
                <w:sz w:val="21"/>
                <w:szCs w:val="21"/>
                <w:highlight w:val="none"/>
              </w:rPr>
              <w:t xml:space="preserve">设计处理进水指标为COD </w:t>
            </w:r>
            <w:r>
              <w:rPr>
                <w:rFonts w:hint="eastAsia" w:cs="Times New Roman"/>
                <w:color w:val="auto"/>
                <w:spacing w:val="0"/>
                <w:w w:val="100"/>
                <w:sz w:val="21"/>
                <w:szCs w:val="21"/>
                <w:highlight w:val="none"/>
                <w:lang w:val="en-US" w:eastAsia="zh-CN"/>
              </w:rPr>
              <w:t>400</w:t>
            </w:r>
            <w:r>
              <w:rPr>
                <w:rFonts w:hint="default" w:ascii="Times New Roman" w:hAnsi="Times New Roman" w:eastAsia="宋体" w:cs="Times New Roman"/>
                <w:color w:val="auto"/>
                <w:spacing w:val="0"/>
                <w:w w:val="100"/>
                <w:sz w:val="21"/>
                <w:szCs w:val="21"/>
                <w:highlight w:val="none"/>
              </w:rPr>
              <w:t>mg/L</w:t>
            </w:r>
            <w:r>
              <w:rPr>
                <w:rFonts w:hint="eastAsia" w:cs="Times New Roman"/>
                <w:color w:val="auto"/>
                <w:spacing w:val="0"/>
                <w:w w:val="100"/>
                <w:sz w:val="21"/>
                <w:szCs w:val="21"/>
                <w:highlight w:val="none"/>
                <w:lang w:val="en-US" w:eastAsia="zh-CN"/>
              </w:rPr>
              <w:t>，</w:t>
            </w:r>
            <w:r>
              <w:rPr>
                <w:rFonts w:hint="default" w:ascii="Times New Roman" w:hAnsi="Times New Roman" w:eastAsia="宋体" w:cs="Times New Roman"/>
                <w:color w:val="auto"/>
                <w:spacing w:val="0"/>
                <w:w w:val="100"/>
                <w:sz w:val="21"/>
                <w:szCs w:val="21"/>
                <w:highlight w:val="none"/>
              </w:rPr>
              <w:t>NH</w:t>
            </w:r>
            <w:r>
              <w:rPr>
                <w:rFonts w:hint="eastAsia" w:cs="Times New Roman"/>
                <w:color w:val="auto"/>
                <w:spacing w:val="0"/>
                <w:w w:val="100"/>
                <w:sz w:val="21"/>
                <w:szCs w:val="21"/>
                <w:highlight w:val="none"/>
                <w:vertAlign w:val="subscript"/>
                <w:lang w:val="en-US" w:eastAsia="zh-CN"/>
              </w:rPr>
              <w:t>3</w:t>
            </w:r>
            <w:r>
              <w:rPr>
                <w:rFonts w:hint="default" w:ascii="Times New Roman" w:hAnsi="Times New Roman" w:eastAsia="宋体" w:cs="Times New Roman"/>
                <w:color w:val="auto"/>
                <w:spacing w:val="0"/>
                <w:w w:val="100"/>
                <w:sz w:val="21"/>
                <w:szCs w:val="21"/>
                <w:highlight w:val="none"/>
              </w:rPr>
              <w:t>-N 3</w:t>
            </w:r>
            <w:r>
              <w:rPr>
                <w:rFonts w:hint="eastAsia" w:cs="Times New Roman"/>
                <w:color w:val="auto"/>
                <w:spacing w:val="0"/>
                <w:w w:val="100"/>
                <w:sz w:val="21"/>
                <w:szCs w:val="21"/>
                <w:highlight w:val="none"/>
                <w:lang w:val="en-US" w:eastAsia="zh-CN"/>
              </w:rPr>
              <w:t>5</w:t>
            </w:r>
            <w:r>
              <w:rPr>
                <w:rFonts w:hint="default" w:ascii="Times New Roman" w:hAnsi="Times New Roman" w:eastAsia="宋体" w:cs="Times New Roman"/>
                <w:color w:val="auto"/>
                <w:spacing w:val="0"/>
                <w:w w:val="100"/>
                <w:sz w:val="21"/>
                <w:szCs w:val="21"/>
                <w:highlight w:val="none"/>
              </w:rPr>
              <w:t>mg/L</w:t>
            </w:r>
            <w:r>
              <w:rPr>
                <w:rFonts w:hint="eastAsia" w:cs="Times New Roman"/>
                <w:color w:val="auto"/>
                <w:spacing w:val="0"/>
                <w:w w:val="100"/>
                <w:sz w:val="21"/>
                <w:szCs w:val="21"/>
                <w:highlight w:val="none"/>
                <w:lang w:eastAsia="zh-CN"/>
              </w:rPr>
              <w:t>，</w:t>
            </w:r>
            <w:r>
              <w:rPr>
                <w:rFonts w:hint="eastAsia" w:cs="Times New Roman"/>
                <w:color w:val="auto"/>
                <w:spacing w:val="0"/>
                <w:w w:val="100"/>
                <w:sz w:val="21"/>
                <w:szCs w:val="21"/>
                <w:highlight w:val="none"/>
                <w:lang w:val="en-US" w:eastAsia="zh-CN"/>
              </w:rPr>
              <w:t>SS 220</w:t>
            </w:r>
            <w:r>
              <w:rPr>
                <w:rFonts w:hint="default" w:ascii="Times New Roman" w:hAnsi="Times New Roman" w:eastAsia="宋体" w:cs="Times New Roman"/>
                <w:color w:val="auto"/>
                <w:spacing w:val="0"/>
                <w:w w:val="100"/>
                <w:sz w:val="21"/>
                <w:szCs w:val="21"/>
                <w:highlight w:val="none"/>
              </w:rPr>
              <w:t>mg/L</w:t>
            </w:r>
            <w:r>
              <w:rPr>
                <w:rFonts w:hint="eastAsia" w:ascii="Times New Roman" w:hAnsi="Times New Roman" w:eastAsia="宋体" w:cs="Times New Roman"/>
                <w:color w:val="auto"/>
                <w:spacing w:val="0"/>
                <w:w w:val="100"/>
                <w:sz w:val="21"/>
                <w:szCs w:val="21"/>
                <w:highlight w:val="none"/>
                <w:lang w:eastAsia="zh-CN"/>
              </w:rPr>
              <w:t>，</w:t>
            </w:r>
            <w:r>
              <w:rPr>
                <w:rFonts w:hint="eastAsia" w:ascii="Times New Roman" w:hAnsi="Times New Roman" w:eastAsia="宋体" w:cs="Times New Roman"/>
                <w:color w:val="auto"/>
                <w:spacing w:val="0"/>
                <w:w w:val="100"/>
                <w:sz w:val="21"/>
                <w:szCs w:val="21"/>
                <w:highlight w:val="none"/>
                <w:lang w:val="en-US" w:eastAsia="zh-CN"/>
              </w:rPr>
              <w:t>TN 40</w:t>
            </w:r>
            <w:r>
              <w:rPr>
                <w:rFonts w:hint="default" w:ascii="Times New Roman" w:hAnsi="Times New Roman" w:eastAsia="宋体" w:cs="Times New Roman"/>
                <w:color w:val="auto"/>
                <w:spacing w:val="0"/>
                <w:w w:val="100"/>
                <w:sz w:val="21"/>
                <w:szCs w:val="21"/>
                <w:highlight w:val="none"/>
              </w:rPr>
              <w:t>mg/L</w:t>
            </w:r>
            <w:r>
              <w:rPr>
                <w:rFonts w:hint="eastAsia" w:ascii="Times New Roman" w:hAnsi="Times New Roman" w:eastAsia="宋体" w:cs="Times New Roman"/>
                <w:color w:val="auto"/>
                <w:spacing w:val="0"/>
                <w:w w:val="100"/>
                <w:sz w:val="21"/>
                <w:szCs w:val="21"/>
                <w:highlight w:val="none"/>
                <w:lang w:eastAsia="zh-CN"/>
              </w:rPr>
              <w:t>，</w:t>
            </w:r>
            <w:r>
              <w:rPr>
                <w:rFonts w:hint="eastAsia" w:ascii="Times New Roman" w:hAnsi="Times New Roman" w:eastAsia="宋体" w:cs="Times New Roman"/>
                <w:color w:val="auto"/>
                <w:spacing w:val="0"/>
                <w:w w:val="100"/>
                <w:sz w:val="21"/>
                <w:szCs w:val="21"/>
                <w:highlight w:val="none"/>
                <w:lang w:val="en-US" w:eastAsia="zh-CN"/>
              </w:rPr>
              <w:t>TP 5</w:t>
            </w:r>
            <w:r>
              <w:rPr>
                <w:rFonts w:hint="default" w:ascii="Times New Roman" w:hAnsi="Times New Roman" w:eastAsia="宋体" w:cs="Times New Roman"/>
                <w:color w:val="auto"/>
                <w:spacing w:val="0"/>
                <w:w w:val="100"/>
                <w:sz w:val="21"/>
                <w:szCs w:val="21"/>
                <w:highlight w:val="none"/>
              </w:rPr>
              <w:t>mg/L出水水质达到《城镇污水处理厂污染物排放标准》</w:t>
            </w:r>
            <w:bookmarkStart w:id="11" w:name="bookmark117"/>
            <w:bookmarkEnd w:id="11"/>
            <w:r>
              <w:rPr>
                <w:rFonts w:hint="eastAsia" w:cs="Times New Roman"/>
                <w:color w:val="auto"/>
                <w:spacing w:val="0"/>
                <w:w w:val="100"/>
                <w:sz w:val="21"/>
                <w:szCs w:val="21"/>
                <w:highlight w:val="none"/>
                <w:lang w:eastAsia="zh-CN"/>
              </w:rPr>
              <w:t>（</w:t>
            </w:r>
            <w:r>
              <w:rPr>
                <w:rFonts w:hint="default" w:ascii="Times New Roman" w:hAnsi="Times New Roman" w:eastAsia="宋体" w:cs="Times New Roman"/>
                <w:color w:val="auto"/>
                <w:spacing w:val="0"/>
                <w:w w:val="100"/>
                <w:sz w:val="21"/>
                <w:szCs w:val="21"/>
                <w:highlight w:val="none"/>
              </w:rPr>
              <w:t>GB18918-2002</w:t>
            </w:r>
            <w:r>
              <w:rPr>
                <w:rFonts w:hint="eastAsia" w:cs="Times New Roman"/>
                <w:color w:val="auto"/>
                <w:spacing w:val="0"/>
                <w:w w:val="100"/>
                <w:sz w:val="21"/>
                <w:szCs w:val="21"/>
                <w:highlight w:val="none"/>
                <w:lang w:eastAsia="zh-CN"/>
              </w:rPr>
              <w:t>）</w:t>
            </w:r>
            <w:r>
              <w:rPr>
                <w:rFonts w:hint="default" w:ascii="Times New Roman" w:hAnsi="Times New Roman" w:eastAsia="宋体" w:cs="Times New Roman"/>
                <w:color w:val="auto"/>
                <w:spacing w:val="0"/>
                <w:w w:val="100"/>
                <w:sz w:val="21"/>
                <w:szCs w:val="21"/>
                <w:highlight w:val="none"/>
              </w:rPr>
              <w:t xml:space="preserve"> 一级</w:t>
            </w:r>
            <w:r>
              <w:rPr>
                <w:rFonts w:hint="eastAsia" w:cs="Times New Roman"/>
                <w:color w:val="auto"/>
                <w:spacing w:val="0"/>
                <w:w w:val="100"/>
                <w:sz w:val="21"/>
                <w:szCs w:val="21"/>
                <w:highlight w:val="none"/>
                <w:lang w:val="en-US" w:eastAsia="zh-CN"/>
              </w:rPr>
              <w:t>A</w:t>
            </w:r>
            <w:r>
              <w:rPr>
                <w:rFonts w:hint="default" w:ascii="Times New Roman" w:hAnsi="Times New Roman" w:eastAsia="宋体" w:cs="Times New Roman"/>
                <w:color w:val="auto"/>
                <w:spacing w:val="0"/>
                <w:w w:val="100"/>
                <w:sz w:val="21"/>
                <w:szCs w:val="21"/>
                <w:highlight w:val="none"/>
              </w:rPr>
              <w:t>标准后排入</w:t>
            </w:r>
            <w:r>
              <w:rPr>
                <w:rFonts w:hint="eastAsia" w:cs="Times New Roman"/>
                <w:color w:val="auto"/>
                <w:spacing w:val="0"/>
                <w:w w:val="100"/>
                <w:sz w:val="21"/>
                <w:szCs w:val="21"/>
                <w:highlight w:val="none"/>
                <w:lang w:eastAsia="zh-CN"/>
              </w:rPr>
              <w:t>穆棱河</w:t>
            </w:r>
            <w:r>
              <w:rPr>
                <w:rFonts w:hint="default" w:ascii="Times New Roman" w:hAnsi="Times New Roman" w:eastAsia="宋体" w:cs="Times New Roman"/>
                <w:color w:val="auto"/>
                <w:spacing w:val="0"/>
                <w:w w:val="100"/>
                <w:sz w:val="21"/>
                <w:szCs w:val="21"/>
                <w:highlight w:val="none"/>
              </w:rPr>
              <w:t>。本项目生活污水</w:t>
            </w:r>
            <w:r>
              <w:rPr>
                <w:rFonts w:hint="eastAsia"/>
                <w:color w:val="auto"/>
                <w:sz w:val="21"/>
                <w:szCs w:val="21"/>
                <w:highlight w:val="none"/>
                <w:lang w:val="en-US" w:eastAsia="zh-CN"/>
              </w:rPr>
              <w:t>污染物排放浓度为</w:t>
            </w:r>
            <w:r>
              <w:rPr>
                <w:rFonts w:hint="default" w:ascii="Times New Roman" w:hAnsi="Times New Roman" w:eastAsia="宋体" w:cs="Times New Roman"/>
                <w:color w:val="auto"/>
                <w:kern w:val="0"/>
                <w:sz w:val="21"/>
                <w:szCs w:val="21"/>
                <w:highlight w:val="none"/>
              </w:rPr>
              <w:t>COD</w:t>
            </w:r>
            <w:r>
              <w:rPr>
                <w:rFonts w:hint="eastAsia" w:ascii="Times New Roman" w:hAnsi="Times New Roman" w:eastAsia="宋体" w:cs="Times New Roman"/>
                <w:color w:val="auto"/>
                <w:kern w:val="0"/>
                <w:sz w:val="21"/>
                <w:szCs w:val="21"/>
                <w:highlight w:val="none"/>
                <w:lang w:val="en-US" w:eastAsia="zh-CN"/>
              </w:rPr>
              <w:t>300</w:t>
            </w:r>
            <w:r>
              <w:rPr>
                <w:rFonts w:hint="default" w:ascii="Times New Roman" w:hAnsi="Times New Roman" w:cs="Times New Roman"/>
                <w:bCs/>
                <w:color w:val="auto"/>
                <w:sz w:val="21"/>
                <w:szCs w:val="21"/>
                <w:highlight w:val="none"/>
              </w:rPr>
              <w:t>mg/L，</w:t>
            </w:r>
            <w:r>
              <w:rPr>
                <w:rFonts w:hint="default" w:ascii="Times New Roman" w:hAnsi="Times New Roman" w:eastAsia="宋体" w:cs="Times New Roman"/>
                <w:color w:val="auto"/>
                <w:kern w:val="0"/>
                <w:sz w:val="21"/>
                <w:szCs w:val="21"/>
                <w:highlight w:val="none"/>
                <w:lang w:val="en-US" w:eastAsia="zh-CN"/>
              </w:rPr>
              <w:t>BOD</w:t>
            </w:r>
            <w:r>
              <w:rPr>
                <w:rFonts w:hint="default" w:ascii="Times New Roman" w:hAnsi="Times New Roman" w:eastAsia="宋体" w:cs="Times New Roman"/>
                <w:color w:val="auto"/>
                <w:kern w:val="0"/>
                <w:sz w:val="21"/>
                <w:szCs w:val="21"/>
                <w:highlight w:val="none"/>
                <w:vertAlign w:val="subscript"/>
                <w:lang w:val="en-US" w:eastAsia="zh-CN"/>
              </w:rPr>
              <w:t>5</w:t>
            </w:r>
            <w:r>
              <w:rPr>
                <w:rFonts w:hint="eastAsia" w:ascii="Times New Roman" w:hAnsi="Times New Roman" w:eastAsia="宋体" w:cs="Times New Roman"/>
                <w:color w:val="auto"/>
                <w:kern w:val="0"/>
                <w:sz w:val="21"/>
                <w:szCs w:val="21"/>
                <w:highlight w:val="none"/>
                <w:lang w:val="en-US" w:eastAsia="zh-CN"/>
              </w:rPr>
              <w:t>200</w:t>
            </w:r>
            <w:r>
              <w:rPr>
                <w:rFonts w:hint="default" w:ascii="Times New Roman" w:hAnsi="Times New Roman" w:cs="Times New Roman"/>
                <w:bCs/>
                <w:color w:val="auto"/>
                <w:sz w:val="21"/>
                <w:szCs w:val="21"/>
                <w:highlight w:val="none"/>
              </w:rPr>
              <w:t>mg/L，氨氮</w:t>
            </w:r>
            <w:r>
              <w:rPr>
                <w:rFonts w:hint="eastAsia" w:ascii="Times New Roman" w:hAnsi="Times New Roman" w:eastAsia="宋体" w:cs="Times New Roman"/>
                <w:color w:val="auto"/>
                <w:kern w:val="0"/>
                <w:sz w:val="21"/>
                <w:szCs w:val="21"/>
                <w:highlight w:val="none"/>
                <w:lang w:val="en-US" w:eastAsia="zh-CN"/>
              </w:rPr>
              <w:t>25</w:t>
            </w:r>
            <w:r>
              <w:rPr>
                <w:rFonts w:hint="default" w:ascii="Times New Roman" w:hAnsi="Times New Roman" w:cs="Times New Roman"/>
                <w:bCs/>
                <w:color w:val="auto"/>
                <w:sz w:val="21"/>
                <w:szCs w:val="21"/>
                <w:highlight w:val="none"/>
              </w:rPr>
              <w:t>mg/L，</w:t>
            </w:r>
            <w:r>
              <w:rPr>
                <w:rFonts w:hint="default" w:ascii="Times New Roman" w:hAnsi="Times New Roman" w:eastAsia="宋体" w:cs="Times New Roman"/>
                <w:color w:val="auto"/>
                <w:kern w:val="0"/>
                <w:sz w:val="21"/>
                <w:szCs w:val="21"/>
                <w:highlight w:val="none"/>
              </w:rPr>
              <w:t>SS</w:t>
            </w:r>
            <w:r>
              <w:rPr>
                <w:rFonts w:hint="eastAsia" w:ascii="Times New Roman" w:hAnsi="Times New Roman" w:eastAsia="宋体" w:cs="Times New Roman"/>
                <w:color w:val="auto"/>
                <w:kern w:val="0"/>
                <w:sz w:val="21"/>
                <w:szCs w:val="21"/>
                <w:highlight w:val="none"/>
                <w:lang w:val="en-US" w:eastAsia="zh-CN"/>
              </w:rPr>
              <w:t>200</w:t>
            </w:r>
            <w:r>
              <w:rPr>
                <w:rFonts w:hint="default" w:ascii="Times New Roman" w:hAnsi="Times New Roman" w:cs="Times New Roman"/>
                <w:bCs/>
                <w:color w:val="auto"/>
                <w:sz w:val="21"/>
                <w:szCs w:val="21"/>
                <w:highlight w:val="none"/>
              </w:rPr>
              <w:t>mg/L</w:t>
            </w:r>
            <w:r>
              <w:rPr>
                <w:rFonts w:hint="eastAsia" w:ascii="Times New Roman" w:hAnsi="Times New Roman" w:cs="Times New Roman"/>
                <w:bCs/>
                <w:color w:val="auto"/>
                <w:sz w:val="21"/>
                <w:szCs w:val="21"/>
                <w:highlight w:val="none"/>
                <w:lang w:eastAsia="zh-CN"/>
              </w:rPr>
              <w:t>，</w:t>
            </w:r>
            <w:r>
              <w:rPr>
                <w:rFonts w:hint="default" w:ascii="Times New Roman" w:hAnsi="Times New Roman" w:eastAsia="宋体" w:cs="Times New Roman"/>
                <w:color w:val="auto"/>
                <w:spacing w:val="0"/>
                <w:w w:val="100"/>
                <w:sz w:val="21"/>
                <w:szCs w:val="21"/>
                <w:highlight w:val="none"/>
              </w:rPr>
              <w:t>水质可满足</w:t>
            </w:r>
            <w:r>
              <w:rPr>
                <w:rFonts w:hint="eastAsia" w:cs="Times New Roman"/>
                <w:color w:val="auto"/>
                <w:spacing w:val="0"/>
                <w:w w:val="100"/>
                <w:sz w:val="21"/>
                <w:szCs w:val="21"/>
                <w:highlight w:val="none"/>
                <w:lang w:eastAsia="zh-CN"/>
              </w:rPr>
              <w:t>鸡西市鸡冠区污水处理厂三期</w:t>
            </w:r>
            <w:r>
              <w:rPr>
                <w:rFonts w:hint="default" w:ascii="Times New Roman" w:hAnsi="Times New Roman" w:eastAsia="宋体" w:cs="Times New Roman"/>
                <w:color w:val="auto"/>
                <w:spacing w:val="0"/>
                <w:w w:val="100"/>
                <w:sz w:val="21"/>
                <w:szCs w:val="21"/>
                <w:highlight w:val="none"/>
              </w:rPr>
              <w:t>设计处理进水指标。综上，本项目生活污水依托</w:t>
            </w:r>
            <w:r>
              <w:rPr>
                <w:rFonts w:hint="eastAsia" w:cs="Times New Roman"/>
                <w:color w:val="auto"/>
                <w:spacing w:val="0"/>
                <w:w w:val="100"/>
                <w:sz w:val="21"/>
                <w:szCs w:val="21"/>
                <w:highlight w:val="none"/>
                <w:lang w:eastAsia="zh-CN"/>
              </w:rPr>
              <w:t>鸡西市鸡冠区污水处理厂三期</w:t>
            </w:r>
            <w:r>
              <w:rPr>
                <w:rFonts w:hint="default" w:ascii="Times New Roman" w:hAnsi="Times New Roman" w:eastAsia="宋体" w:cs="Times New Roman"/>
                <w:color w:val="auto"/>
                <w:spacing w:val="0"/>
                <w:w w:val="100"/>
                <w:sz w:val="21"/>
                <w:szCs w:val="21"/>
                <w:highlight w:val="none"/>
              </w:rPr>
              <w:t>是可行的。</w:t>
            </w:r>
          </w:p>
          <w:p w14:paraId="692717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3、噪声</w:t>
            </w:r>
          </w:p>
          <w:p w14:paraId="50F4D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本项目已建成运行多年，噪声污染源主要为各类设备运行噪声，项目采用减振、隔声措施后，能有效减低噪声环境影响。本次委鸡西晟源环境检测有限公司进行监测，监测时间为</w:t>
            </w:r>
            <w:r>
              <w:rPr>
                <w:rFonts w:hint="default" w:ascii="Times New Roman" w:hAnsi="Times New Roman" w:eastAsia="宋体" w:cs="Times New Roman"/>
                <w:color w:val="auto"/>
                <w:sz w:val="21"/>
                <w:szCs w:val="21"/>
                <w:highlight w:val="none"/>
                <w:lang w:val="en-US" w:eastAsia="zh-CN"/>
              </w:rPr>
              <w:t>2025</w:t>
            </w:r>
            <w:r>
              <w:rPr>
                <w:rFonts w:hint="eastAsia" w:ascii="Times New Roman" w:hAnsi="Times New Roman" w:eastAsia="宋体" w:cs="Times New Roman"/>
                <w:color w:val="auto"/>
                <w:sz w:val="21"/>
                <w:szCs w:val="21"/>
                <w:highlight w:val="none"/>
                <w:lang w:val="en-US" w:eastAsia="zh-CN"/>
              </w:rPr>
              <w:t>年6月22日。声环境现状监测结果详见下表：</w:t>
            </w:r>
          </w:p>
          <w:p w14:paraId="7308BC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w:t>
            </w:r>
            <w:r>
              <w:rPr>
                <w:rFonts w:hint="eastAsia" w:cs="Times New Roman"/>
                <w:b/>
                <w:bCs/>
                <w:color w:val="auto"/>
                <w:sz w:val="21"/>
                <w:szCs w:val="21"/>
                <w:highlight w:val="none"/>
                <w:lang w:val="en-US" w:eastAsia="zh-CN"/>
              </w:rPr>
              <w:t>5</w:t>
            </w:r>
            <w:r>
              <w:rPr>
                <w:rFonts w:hint="eastAsia" w:ascii="Times New Roman" w:hAnsi="Times New Roman" w:eastAsia="宋体" w:cs="Times New Roman"/>
                <w:b/>
                <w:bCs/>
                <w:color w:val="auto"/>
                <w:sz w:val="21"/>
                <w:szCs w:val="21"/>
                <w:highlight w:val="none"/>
                <w:lang w:val="en-US" w:eastAsia="zh-CN"/>
              </w:rPr>
              <w:t>噪声监测结果统计表 单位：dB（A）</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80"/>
              <w:gridCol w:w="1246"/>
              <w:gridCol w:w="1246"/>
              <w:gridCol w:w="1246"/>
              <w:gridCol w:w="1250"/>
              <w:gridCol w:w="1231"/>
            </w:tblGrid>
            <w:tr w14:paraId="470F2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160" w:type="pct"/>
                  <w:vMerge w:val="restart"/>
                  <w:tcBorders>
                    <w:tl2br w:val="nil"/>
                    <w:tr2bl w:val="nil"/>
                  </w:tcBorders>
                  <w:vAlign w:val="center"/>
                </w:tcPr>
                <w:p w14:paraId="0070C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监测点位</w:t>
                  </w:r>
                </w:p>
              </w:tc>
              <w:tc>
                <w:tcPr>
                  <w:tcW w:w="1538" w:type="pct"/>
                  <w:gridSpan w:val="2"/>
                  <w:tcBorders>
                    <w:tl2br w:val="nil"/>
                    <w:tr2bl w:val="nil"/>
                  </w:tcBorders>
                  <w:vAlign w:val="center"/>
                </w:tcPr>
                <w:p w14:paraId="70005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2025.6.22</w:t>
                  </w:r>
                </w:p>
              </w:tc>
              <w:tc>
                <w:tcPr>
                  <w:tcW w:w="1540" w:type="pct"/>
                  <w:gridSpan w:val="2"/>
                  <w:tcBorders>
                    <w:tl2br w:val="nil"/>
                    <w:tr2bl w:val="nil"/>
                  </w:tcBorders>
                  <w:vAlign w:val="center"/>
                </w:tcPr>
                <w:p w14:paraId="49BC62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标准限值</w:t>
                  </w:r>
                </w:p>
              </w:tc>
              <w:tc>
                <w:tcPr>
                  <w:tcW w:w="759" w:type="pct"/>
                  <w:vMerge w:val="restart"/>
                  <w:tcBorders>
                    <w:tl2br w:val="nil"/>
                    <w:tr2bl w:val="nil"/>
                  </w:tcBorders>
                  <w:vAlign w:val="center"/>
                </w:tcPr>
                <w:p w14:paraId="2F83AB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达标情况</w:t>
                  </w:r>
                </w:p>
              </w:tc>
            </w:tr>
            <w:tr w14:paraId="5EBBA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0" w:type="pct"/>
                  <w:vMerge w:val="continue"/>
                  <w:tcBorders>
                    <w:tl2br w:val="nil"/>
                    <w:tr2bl w:val="nil"/>
                  </w:tcBorders>
                  <w:vAlign w:val="center"/>
                </w:tcPr>
                <w:p w14:paraId="7EB11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c>
                <w:tcPr>
                  <w:tcW w:w="769" w:type="pct"/>
                  <w:tcBorders>
                    <w:tl2br w:val="nil"/>
                    <w:tr2bl w:val="nil"/>
                  </w:tcBorders>
                  <w:vAlign w:val="center"/>
                </w:tcPr>
                <w:p w14:paraId="1A3E89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昼间</w:t>
                  </w:r>
                </w:p>
              </w:tc>
              <w:tc>
                <w:tcPr>
                  <w:tcW w:w="769" w:type="pct"/>
                  <w:tcBorders>
                    <w:tl2br w:val="nil"/>
                    <w:tr2bl w:val="nil"/>
                  </w:tcBorders>
                  <w:vAlign w:val="center"/>
                </w:tcPr>
                <w:p w14:paraId="472D17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夜间</w:t>
                  </w:r>
                </w:p>
              </w:tc>
              <w:tc>
                <w:tcPr>
                  <w:tcW w:w="769" w:type="pct"/>
                  <w:tcBorders>
                    <w:tl2br w:val="nil"/>
                    <w:tr2bl w:val="nil"/>
                  </w:tcBorders>
                  <w:vAlign w:val="center"/>
                </w:tcPr>
                <w:p w14:paraId="4EA00C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昼间</w:t>
                  </w:r>
                </w:p>
              </w:tc>
              <w:tc>
                <w:tcPr>
                  <w:tcW w:w="771" w:type="pct"/>
                  <w:tcBorders>
                    <w:tl2br w:val="nil"/>
                    <w:tr2bl w:val="nil"/>
                  </w:tcBorders>
                  <w:vAlign w:val="center"/>
                </w:tcPr>
                <w:p w14:paraId="7D529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eastAsia" w:ascii="Times New Roman" w:hAnsi="Times New Roman" w:eastAsia="宋体" w:cs="Times New Roman"/>
                      <w:b w:val="0"/>
                      <w:bCs w:val="0"/>
                      <w:color w:val="auto"/>
                      <w:sz w:val="18"/>
                      <w:szCs w:val="18"/>
                      <w:highlight w:val="none"/>
                      <w:vertAlign w:val="baseline"/>
                      <w:lang w:val="en-US" w:eastAsia="zh-CN"/>
                    </w:rPr>
                    <w:t>夜间</w:t>
                  </w:r>
                </w:p>
              </w:tc>
              <w:tc>
                <w:tcPr>
                  <w:tcW w:w="759" w:type="pct"/>
                  <w:vMerge w:val="continue"/>
                  <w:tcBorders>
                    <w:tl2br w:val="nil"/>
                    <w:tr2bl w:val="nil"/>
                  </w:tcBorders>
                  <w:vAlign w:val="center"/>
                </w:tcPr>
                <w:p w14:paraId="1067C0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r>
            <w:tr w14:paraId="1B7AA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0" w:type="pct"/>
                  <w:tcBorders>
                    <w:tl2br w:val="nil"/>
                    <w:tr2bl w:val="nil"/>
                  </w:tcBorders>
                  <w:vAlign w:val="center"/>
                </w:tcPr>
                <w:p w14:paraId="2202EE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厂界东侧</w:t>
                  </w:r>
                </w:p>
              </w:tc>
              <w:tc>
                <w:tcPr>
                  <w:tcW w:w="769" w:type="pct"/>
                  <w:tcBorders>
                    <w:tl2br w:val="nil"/>
                    <w:tr2bl w:val="nil"/>
                  </w:tcBorders>
                  <w:vAlign w:val="center"/>
                </w:tcPr>
                <w:p w14:paraId="31DD3F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53.6</w:t>
                  </w:r>
                </w:p>
              </w:tc>
              <w:tc>
                <w:tcPr>
                  <w:tcW w:w="769" w:type="pct"/>
                  <w:tcBorders>
                    <w:tl2br w:val="nil"/>
                    <w:tr2bl w:val="nil"/>
                  </w:tcBorders>
                  <w:vAlign w:val="center"/>
                </w:tcPr>
                <w:p w14:paraId="44288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45.7</w:t>
                  </w:r>
                </w:p>
              </w:tc>
              <w:tc>
                <w:tcPr>
                  <w:tcW w:w="769" w:type="pct"/>
                  <w:vMerge w:val="restart"/>
                  <w:tcBorders>
                    <w:tl2br w:val="nil"/>
                    <w:tr2bl w:val="nil"/>
                  </w:tcBorders>
                  <w:vAlign w:val="center"/>
                </w:tcPr>
                <w:p w14:paraId="46A49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60</w:t>
                  </w:r>
                </w:p>
              </w:tc>
              <w:tc>
                <w:tcPr>
                  <w:tcW w:w="771" w:type="pct"/>
                  <w:vMerge w:val="restart"/>
                  <w:tcBorders>
                    <w:tl2br w:val="nil"/>
                    <w:tr2bl w:val="nil"/>
                  </w:tcBorders>
                  <w:vAlign w:val="center"/>
                </w:tcPr>
                <w:p w14:paraId="68DD17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50</w:t>
                  </w:r>
                </w:p>
              </w:tc>
              <w:tc>
                <w:tcPr>
                  <w:tcW w:w="759" w:type="pct"/>
                  <w:tcBorders>
                    <w:tl2br w:val="nil"/>
                    <w:tr2bl w:val="nil"/>
                  </w:tcBorders>
                  <w:vAlign w:val="center"/>
                </w:tcPr>
                <w:p w14:paraId="78136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达标</w:t>
                  </w:r>
                </w:p>
              </w:tc>
            </w:tr>
            <w:tr w14:paraId="763251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0" w:type="pct"/>
                  <w:tcBorders>
                    <w:tl2br w:val="nil"/>
                    <w:tr2bl w:val="nil"/>
                  </w:tcBorders>
                  <w:vAlign w:val="center"/>
                </w:tcPr>
                <w:p w14:paraId="45B75F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厂界南侧</w:t>
                  </w:r>
                </w:p>
              </w:tc>
              <w:tc>
                <w:tcPr>
                  <w:tcW w:w="769" w:type="pct"/>
                  <w:tcBorders>
                    <w:tl2br w:val="nil"/>
                    <w:tr2bl w:val="nil"/>
                  </w:tcBorders>
                  <w:vAlign w:val="center"/>
                </w:tcPr>
                <w:p w14:paraId="0630E9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53.3</w:t>
                  </w:r>
                </w:p>
              </w:tc>
              <w:tc>
                <w:tcPr>
                  <w:tcW w:w="769" w:type="pct"/>
                  <w:tcBorders>
                    <w:tl2br w:val="nil"/>
                    <w:tr2bl w:val="nil"/>
                  </w:tcBorders>
                  <w:vAlign w:val="center"/>
                </w:tcPr>
                <w:p w14:paraId="3E5079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43.1</w:t>
                  </w:r>
                </w:p>
              </w:tc>
              <w:tc>
                <w:tcPr>
                  <w:tcW w:w="769" w:type="pct"/>
                  <w:vMerge w:val="continue"/>
                  <w:tcBorders>
                    <w:tl2br w:val="nil"/>
                    <w:tr2bl w:val="nil"/>
                  </w:tcBorders>
                  <w:vAlign w:val="center"/>
                </w:tcPr>
                <w:p w14:paraId="36F577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c>
                <w:tcPr>
                  <w:tcW w:w="771" w:type="pct"/>
                  <w:vMerge w:val="continue"/>
                  <w:tcBorders>
                    <w:tl2br w:val="nil"/>
                    <w:tr2bl w:val="nil"/>
                  </w:tcBorders>
                  <w:vAlign w:val="center"/>
                </w:tcPr>
                <w:p w14:paraId="3B07E7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c>
                <w:tcPr>
                  <w:tcW w:w="759" w:type="pct"/>
                  <w:tcBorders>
                    <w:tl2br w:val="nil"/>
                    <w:tr2bl w:val="nil"/>
                  </w:tcBorders>
                  <w:vAlign w:val="center"/>
                </w:tcPr>
                <w:p w14:paraId="4A1046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达标</w:t>
                  </w:r>
                </w:p>
              </w:tc>
            </w:tr>
            <w:tr w14:paraId="23B695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0" w:type="pct"/>
                  <w:tcBorders>
                    <w:tl2br w:val="nil"/>
                    <w:tr2bl w:val="nil"/>
                  </w:tcBorders>
                  <w:vAlign w:val="center"/>
                </w:tcPr>
                <w:p w14:paraId="54D60C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厂界西侧</w:t>
                  </w:r>
                </w:p>
              </w:tc>
              <w:tc>
                <w:tcPr>
                  <w:tcW w:w="769" w:type="pct"/>
                  <w:tcBorders>
                    <w:tl2br w:val="nil"/>
                    <w:tr2bl w:val="nil"/>
                  </w:tcBorders>
                  <w:vAlign w:val="center"/>
                </w:tcPr>
                <w:p w14:paraId="2DE0CC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53.3</w:t>
                  </w:r>
                </w:p>
              </w:tc>
              <w:tc>
                <w:tcPr>
                  <w:tcW w:w="769" w:type="pct"/>
                  <w:tcBorders>
                    <w:tl2br w:val="nil"/>
                    <w:tr2bl w:val="nil"/>
                  </w:tcBorders>
                  <w:vAlign w:val="center"/>
                </w:tcPr>
                <w:p w14:paraId="452A15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43.3</w:t>
                  </w:r>
                </w:p>
              </w:tc>
              <w:tc>
                <w:tcPr>
                  <w:tcW w:w="769" w:type="pct"/>
                  <w:vMerge w:val="continue"/>
                  <w:tcBorders>
                    <w:tl2br w:val="nil"/>
                    <w:tr2bl w:val="nil"/>
                  </w:tcBorders>
                  <w:vAlign w:val="center"/>
                </w:tcPr>
                <w:p w14:paraId="6A15C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c>
                <w:tcPr>
                  <w:tcW w:w="771" w:type="pct"/>
                  <w:vMerge w:val="continue"/>
                  <w:tcBorders>
                    <w:tl2br w:val="nil"/>
                    <w:tr2bl w:val="nil"/>
                  </w:tcBorders>
                  <w:vAlign w:val="center"/>
                </w:tcPr>
                <w:p w14:paraId="72B77E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c>
                <w:tcPr>
                  <w:tcW w:w="759" w:type="pct"/>
                  <w:tcBorders>
                    <w:tl2br w:val="nil"/>
                    <w:tr2bl w:val="nil"/>
                  </w:tcBorders>
                  <w:vAlign w:val="center"/>
                </w:tcPr>
                <w:p w14:paraId="71E6F7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达标</w:t>
                  </w:r>
                </w:p>
              </w:tc>
            </w:tr>
            <w:tr w14:paraId="443F9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0" w:type="pct"/>
                  <w:tcBorders>
                    <w:tl2br w:val="nil"/>
                    <w:tr2bl w:val="nil"/>
                  </w:tcBorders>
                  <w:vAlign w:val="center"/>
                </w:tcPr>
                <w:p w14:paraId="7DD148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厂界北侧</w:t>
                  </w:r>
                </w:p>
              </w:tc>
              <w:tc>
                <w:tcPr>
                  <w:tcW w:w="769" w:type="pct"/>
                  <w:tcBorders>
                    <w:tl2br w:val="nil"/>
                    <w:tr2bl w:val="nil"/>
                  </w:tcBorders>
                  <w:vAlign w:val="center"/>
                </w:tcPr>
                <w:p w14:paraId="082603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53.3</w:t>
                  </w:r>
                </w:p>
              </w:tc>
              <w:tc>
                <w:tcPr>
                  <w:tcW w:w="769" w:type="pct"/>
                  <w:tcBorders>
                    <w:tl2br w:val="nil"/>
                    <w:tr2bl w:val="nil"/>
                  </w:tcBorders>
                  <w:vAlign w:val="center"/>
                </w:tcPr>
                <w:p w14:paraId="358233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43.0</w:t>
                  </w:r>
                </w:p>
              </w:tc>
              <w:tc>
                <w:tcPr>
                  <w:tcW w:w="769" w:type="pct"/>
                  <w:vMerge w:val="continue"/>
                  <w:tcBorders>
                    <w:tl2br w:val="nil"/>
                    <w:tr2bl w:val="nil"/>
                  </w:tcBorders>
                  <w:vAlign w:val="center"/>
                </w:tcPr>
                <w:p w14:paraId="3BEF30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c>
                <w:tcPr>
                  <w:tcW w:w="771" w:type="pct"/>
                  <w:vMerge w:val="continue"/>
                  <w:tcBorders>
                    <w:tl2br w:val="nil"/>
                    <w:tr2bl w:val="nil"/>
                  </w:tcBorders>
                  <w:vAlign w:val="center"/>
                </w:tcPr>
                <w:p w14:paraId="0A7A3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c>
                <w:tcPr>
                  <w:tcW w:w="759" w:type="pct"/>
                  <w:tcBorders>
                    <w:tl2br w:val="nil"/>
                    <w:tr2bl w:val="nil"/>
                  </w:tcBorders>
                  <w:vAlign w:val="center"/>
                </w:tcPr>
                <w:p w14:paraId="4769D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达标</w:t>
                  </w:r>
                </w:p>
              </w:tc>
            </w:tr>
            <w:tr w14:paraId="65D42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0" w:type="pct"/>
                  <w:tcBorders>
                    <w:tl2br w:val="nil"/>
                    <w:tr2bl w:val="nil"/>
                  </w:tcBorders>
                  <w:vAlign w:val="center"/>
                </w:tcPr>
                <w:p w14:paraId="510B4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厂界东侧居民区</w:t>
                  </w:r>
                </w:p>
              </w:tc>
              <w:tc>
                <w:tcPr>
                  <w:tcW w:w="769" w:type="pct"/>
                  <w:tcBorders>
                    <w:tl2br w:val="nil"/>
                    <w:tr2bl w:val="nil"/>
                  </w:tcBorders>
                  <w:vAlign w:val="center"/>
                </w:tcPr>
                <w:p w14:paraId="0826D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52.2</w:t>
                  </w:r>
                </w:p>
              </w:tc>
              <w:tc>
                <w:tcPr>
                  <w:tcW w:w="769" w:type="pct"/>
                  <w:tcBorders>
                    <w:tl2br w:val="nil"/>
                    <w:tr2bl w:val="nil"/>
                  </w:tcBorders>
                  <w:vAlign w:val="center"/>
                </w:tcPr>
                <w:p w14:paraId="4B5BA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42.5</w:t>
                  </w:r>
                </w:p>
              </w:tc>
              <w:tc>
                <w:tcPr>
                  <w:tcW w:w="769" w:type="pct"/>
                  <w:vMerge w:val="continue"/>
                  <w:tcBorders>
                    <w:tl2br w:val="nil"/>
                    <w:tr2bl w:val="nil"/>
                  </w:tcBorders>
                  <w:vAlign w:val="center"/>
                </w:tcPr>
                <w:p w14:paraId="3B4870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c>
                <w:tcPr>
                  <w:tcW w:w="771" w:type="pct"/>
                  <w:vMerge w:val="continue"/>
                  <w:tcBorders>
                    <w:tl2br w:val="nil"/>
                    <w:tr2bl w:val="nil"/>
                  </w:tcBorders>
                  <w:vAlign w:val="center"/>
                </w:tcPr>
                <w:p w14:paraId="5991FD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p>
              </w:tc>
              <w:tc>
                <w:tcPr>
                  <w:tcW w:w="759" w:type="pct"/>
                  <w:tcBorders>
                    <w:tl2br w:val="nil"/>
                    <w:tr2bl w:val="nil"/>
                  </w:tcBorders>
                  <w:vAlign w:val="center"/>
                </w:tcPr>
                <w:p w14:paraId="145EA2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达标</w:t>
                  </w:r>
                </w:p>
              </w:tc>
            </w:tr>
          </w:tbl>
          <w:p w14:paraId="3C15F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eastAsia" w:ascii="Times New Roman" w:hAnsi="Times New Roman" w:eastAsia="宋体" w:cs="Times New Roman"/>
                <w:bCs/>
                <w:color w:val="auto"/>
                <w:sz w:val="21"/>
                <w:szCs w:val="21"/>
                <w:highlight w:val="none"/>
                <w:lang w:val="en-US" w:eastAsia="zh-CN"/>
              </w:rPr>
              <w:t>根据监测结果可知，项目四周厂界昼夜间噪声均能够满足《工业企业厂界环境噪声排放标准》（</w:t>
            </w:r>
            <w:r>
              <w:rPr>
                <w:rFonts w:hint="default" w:ascii="Times New Roman" w:hAnsi="Times New Roman" w:eastAsia="宋体" w:cs="Times New Roman"/>
                <w:bCs/>
                <w:color w:val="auto"/>
                <w:sz w:val="21"/>
                <w:szCs w:val="21"/>
                <w:highlight w:val="none"/>
                <w:lang w:val="en-US" w:eastAsia="zh-CN"/>
              </w:rPr>
              <w:t>GB12348-2008</w:t>
            </w:r>
            <w:r>
              <w:rPr>
                <w:rFonts w:hint="eastAsia" w:ascii="Times New Roman" w:hAnsi="Times New Roman" w:eastAsia="宋体" w:cs="Times New Roman"/>
                <w:bCs/>
                <w:color w:val="auto"/>
                <w:sz w:val="21"/>
                <w:szCs w:val="21"/>
                <w:highlight w:val="none"/>
                <w:lang w:val="en-US" w:eastAsia="zh-CN"/>
              </w:rPr>
              <w:t>）中2类标准；声环境保护目标噪声值均达到《声环境质量标准》（</w:t>
            </w:r>
            <w:r>
              <w:rPr>
                <w:rFonts w:hint="default" w:ascii="Times New Roman" w:hAnsi="Times New Roman" w:eastAsia="宋体" w:cs="Times New Roman"/>
                <w:bCs/>
                <w:color w:val="auto"/>
                <w:sz w:val="21"/>
                <w:szCs w:val="21"/>
                <w:highlight w:val="none"/>
                <w:lang w:val="en-US" w:eastAsia="zh-CN"/>
              </w:rPr>
              <w:t>GB3096-2008</w:t>
            </w:r>
            <w:r>
              <w:rPr>
                <w:rFonts w:hint="eastAsia" w:ascii="Times New Roman" w:hAnsi="Times New Roman" w:eastAsia="宋体" w:cs="Times New Roman"/>
                <w:bCs/>
                <w:color w:val="auto"/>
                <w:sz w:val="21"/>
                <w:szCs w:val="21"/>
                <w:highlight w:val="none"/>
                <w:lang w:val="en-US" w:eastAsia="zh-CN"/>
              </w:rPr>
              <w:t>）中的2类标准，因此项目厂界噪声对周围声环境质量影响较小。本项目的国民经济行业类别为</w:t>
            </w:r>
            <w:r>
              <w:rPr>
                <w:rFonts w:hint="default" w:ascii="Times New Roman" w:hAnsi="Times New Roman" w:eastAsia="宋体" w:cs="Times New Roman"/>
                <w:bCs/>
                <w:color w:val="auto"/>
                <w:sz w:val="21"/>
                <w:szCs w:val="21"/>
                <w:highlight w:val="none"/>
                <w:lang w:val="en-US" w:eastAsia="zh-CN"/>
              </w:rPr>
              <w:t>D4610</w:t>
            </w:r>
            <w:r>
              <w:rPr>
                <w:rFonts w:hint="eastAsia" w:ascii="Times New Roman" w:hAnsi="Times New Roman" w:eastAsia="宋体" w:cs="Times New Roman"/>
                <w:bCs/>
                <w:color w:val="auto"/>
                <w:sz w:val="21"/>
                <w:szCs w:val="21"/>
                <w:highlight w:val="none"/>
                <w:lang w:val="en-US" w:eastAsia="zh-CN"/>
              </w:rPr>
              <w:t>自来水生产和供应，根据《固定污染源排污许可分类管理名录》（</w:t>
            </w:r>
            <w:r>
              <w:rPr>
                <w:rFonts w:hint="default" w:ascii="Times New Roman" w:hAnsi="Times New Roman" w:eastAsia="宋体" w:cs="Times New Roman"/>
                <w:bCs/>
                <w:color w:val="auto"/>
                <w:sz w:val="21"/>
                <w:szCs w:val="21"/>
                <w:highlight w:val="none"/>
                <w:lang w:val="en-US" w:eastAsia="zh-CN"/>
              </w:rPr>
              <w:t xml:space="preserve">2019 </w:t>
            </w:r>
            <w:r>
              <w:rPr>
                <w:rFonts w:hint="eastAsia" w:ascii="Times New Roman" w:hAnsi="Times New Roman" w:eastAsia="宋体" w:cs="Times New Roman"/>
                <w:bCs/>
                <w:color w:val="auto"/>
                <w:sz w:val="21"/>
                <w:szCs w:val="21"/>
                <w:highlight w:val="none"/>
                <w:lang w:val="en-US" w:eastAsia="zh-CN"/>
              </w:rPr>
              <w:t>年版）规定，企业属于登记管理，无需申领排污许可证，故亦无需开展自行监测；鉴于企业运营期有噪声产生，建议企业运营期开展噪声监测，</w:t>
            </w:r>
            <w:r>
              <w:rPr>
                <w:rFonts w:hint="default" w:ascii="Times New Roman" w:hAnsi="Times New Roman" w:cs="Times New Roman"/>
                <w:bCs/>
                <w:color w:val="auto"/>
                <w:szCs w:val="21"/>
                <w:highlight w:val="none"/>
              </w:rPr>
              <w:t>根据</w:t>
            </w:r>
            <w:r>
              <w:rPr>
                <w:rFonts w:hint="default"/>
                <w:bCs/>
                <w:color w:val="auto"/>
                <w:sz w:val="21"/>
                <w:szCs w:val="21"/>
                <w:highlight w:val="none"/>
              </w:rPr>
              <w:t>《排污单位自行监测技术指南 总则》（HJ819-2017）</w:t>
            </w:r>
            <w:r>
              <w:rPr>
                <w:rFonts w:hint="default" w:ascii="Times New Roman" w:hAnsi="Times New Roman" w:cs="Times New Roman"/>
                <w:bCs/>
                <w:color w:val="auto"/>
                <w:szCs w:val="21"/>
                <w:highlight w:val="none"/>
              </w:rPr>
              <w:t>本项目</w:t>
            </w:r>
            <w:r>
              <w:rPr>
                <w:rFonts w:hint="eastAsia" w:ascii="Times New Roman" w:hAnsi="Times New Roman" w:cs="Times New Roman"/>
                <w:bCs/>
                <w:color w:val="auto"/>
                <w:szCs w:val="21"/>
                <w:highlight w:val="none"/>
                <w:lang w:eastAsia="zh-CN"/>
              </w:rPr>
              <w:t>噪声</w:t>
            </w:r>
            <w:r>
              <w:rPr>
                <w:rFonts w:hint="eastAsia" w:ascii="Times New Roman" w:hAnsi="Times New Roman" w:eastAsia="宋体" w:cs="Times New Roman"/>
                <w:bCs/>
                <w:color w:val="auto"/>
                <w:sz w:val="21"/>
                <w:szCs w:val="21"/>
                <w:highlight w:val="none"/>
                <w:lang w:val="en-US" w:eastAsia="zh-CN"/>
              </w:rPr>
              <w:t>监测内容如下：</w:t>
            </w:r>
          </w:p>
          <w:p w14:paraId="7C262D6D">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6</w:t>
            </w:r>
            <w:r>
              <w:rPr>
                <w:rFonts w:hint="eastAsia" w:hAnsi="宋体"/>
                <w:b/>
                <w:color w:val="auto"/>
                <w:szCs w:val="21"/>
                <w:highlight w:val="none"/>
              </w:rPr>
              <w:t>项目噪声监测计划表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1"/>
              <w:gridCol w:w="1568"/>
              <w:gridCol w:w="2211"/>
              <w:gridCol w:w="2819"/>
            </w:tblGrid>
            <w:tr w14:paraId="56C2A5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8" w:type="dxa"/>
                  <w:tcBorders>
                    <w:top w:val="single" w:color="auto" w:sz="12" w:space="0"/>
                  </w:tcBorders>
                  <w:noWrap w:val="0"/>
                  <w:vAlign w:val="center"/>
                </w:tcPr>
                <w:p w14:paraId="304A1E80">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类别</w:t>
                  </w:r>
                </w:p>
              </w:tc>
              <w:tc>
                <w:tcPr>
                  <w:tcW w:w="1649" w:type="dxa"/>
                  <w:tcBorders>
                    <w:top w:val="single" w:color="auto" w:sz="12" w:space="0"/>
                  </w:tcBorders>
                  <w:noWrap w:val="0"/>
                  <w:vAlign w:val="center"/>
                </w:tcPr>
                <w:p w14:paraId="1014D4A5">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监测点位</w:t>
                  </w:r>
                </w:p>
              </w:tc>
              <w:tc>
                <w:tcPr>
                  <w:tcW w:w="2337" w:type="dxa"/>
                  <w:tcBorders>
                    <w:top w:val="single" w:color="auto" w:sz="12" w:space="0"/>
                  </w:tcBorders>
                  <w:noWrap w:val="0"/>
                  <w:vAlign w:val="center"/>
                </w:tcPr>
                <w:p w14:paraId="47D70D97">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监测项目</w:t>
                  </w:r>
                </w:p>
              </w:tc>
              <w:tc>
                <w:tcPr>
                  <w:tcW w:w="2986" w:type="dxa"/>
                  <w:tcBorders>
                    <w:top w:val="single" w:color="auto" w:sz="12" w:space="0"/>
                  </w:tcBorders>
                  <w:noWrap w:val="0"/>
                  <w:vAlign w:val="center"/>
                </w:tcPr>
                <w:p w14:paraId="6619DCAD">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监测频次</w:t>
                  </w:r>
                </w:p>
              </w:tc>
            </w:tr>
            <w:tr w14:paraId="4A895A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8" w:type="dxa"/>
                  <w:tcBorders>
                    <w:bottom w:val="single" w:color="auto" w:sz="12" w:space="0"/>
                  </w:tcBorders>
                  <w:noWrap w:val="0"/>
                  <w:vAlign w:val="center"/>
                </w:tcPr>
                <w:p w14:paraId="2710A46B">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厂界噪声</w:t>
                  </w:r>
                </w:p>
              </w:tc>
              <w:tc>
                <w:tcPr>
                  <w:tcW w:w="1649" w:type="dxa"/>
                  <w:tcBorders>
                    <w:bottom w:val="single" w:color="auto" w:sz="12" w:space="0"/>
                  </w:tcBorders>
                  <w:noWrap w:val="0"/>
                  <w:vAlign w:val="center"/>
                </w:tcPr>
                <w:p w14:paraId="4C512AA2">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厂界四周</w:t>
                  </w:r>
                </w:p>
              </w:tc>
              <w:tc>
                <w:tcPr>
                  <w:tcW w:w="2337" w:type="dxa"/>
                  <w:tcBorders>
                    <w:bottom w:val="single" w:color="auto" w:sz="12" w:space="0"/>
                  </w:tcBorders>
                  <w:noWrap w:val="0"/>
                  <w:vAlign w:val="center"/>
                </w:tcPr>
                <w:p w14:paraId="4849A587">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等效连续</w:t>
                  </w:r>
                  <w:r>
                    <w:rPr>
                      <w:rFonts w:hint="default" w:hAnsi="宋体"/>
                      <w:color w:val="auto"/>
                      <w:kern w:val="0"/>
                      <w:sz w:val="18"/>
                      <w:szCs w:val="18"/>
                      <w:highlight w:val="none"/>
                    </w:rPr>
                    <w:t>A</w:t>
                  </w:r>
                  <w:r>
                    <w:rPr>
                      <w:rFonts w:hint="eastAsia" w:hAnsi="宋体"/>
                      <w:color w:val="auto"/>
                      <w:kern w:val="0"/>
                      <w:sz w:val="18"/>
                      <w:szCs w:val="18"/>
                      <w:highlight w:val="none"/>
                    </w:rPr>
                    <w:t>声级</w:t>
                  </w:r>
                </w:p>
              </w:tc>
              <w:tc>
                <w:tcPr>
                  <w:tcW w:w="2986" w:type="dxa"/>
                  <w:tcBorders>
                    <w:bottom w:val="single" w:color="auto" w:sz="12" w:space="0"/>
                  </w:tcBorders>
                  <w:noWrap w:val="0"/>
                  <w:vAlign w:val="center"/>
                </w:tcPr>
                <w:p w14:paraId="20924C15">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default" w:hAnsi="宋体"/>
                      <w:color w:val="auto"/>
                      <w:kern w:val="0"/>
                      <w:sz w:val="18"/>
                      <w:szCs w:val="18"/>
                      <w:highlight w:val="none"/>
                    </w:rPr>
                    <w:t>1</w:t>
                  </w:r>
                  <w:r>
                    <w:rPr>
                      <w:rFonts w:hint="eastAsia" w:hAnsi="宋体"/>
                      <w:color w:val="auto"/>
                      <w:kern w:val="0"/>
                      <w:sz w:val="18"/>
                      <w:szCs w:val="18"/>
                      <w:highlight w:val="none"/>
                    </w:rPr>
                    <w:t>次</w:t>
                  </w:r>
                  <w:r>
                    <w:rPr>
                      <w:rFonts w:hint="default" w:hAnsi="宋体"/>
                      <w:color w:val="auto"/>
                      <w:kern w:val="0"/>
                      <w:sz w:val="18"/>
                      <w:szCs w:val="18"/>
                      <w:highlight w:val="none"/>
                    </w:rPr>
                    <w:t>/</w:t>
                  </w:r>
                  <w:r>
                    <w:rPr>
                      <w:rFonts w:hint="eastAsia" w:hAnsi="宋体"/>
                      <w:color w:val="auto"/>
                      <w:kern w:val="0"/>
                      <w:sz w:val="18"/>
                      <w:szCs w:val="18"/>
                      <w:highlight w:val="none"/>
                    </w:rPr>
                    <w:t>季度</w:t>
                  </w:r>
                </w:p>
              </w:tc>
            </w:tr>
          </w:tbl>
          <w:p w14:paraId="11BA7344">
            <w:pPr>
              <w:keepNext w:val="0"/>
              <w:keepLines w:val="0"/>
              <w:widowControl/>
              <w:suppressLineNumbers w:val="0"/>
              <w:adjustRightInd/>
              <w:snapToGrid/>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4、固体废物</w:t>
            </w:r>
          </w:p>
          <w:p w14:paraId="4E0F9850">
            <w:pPr>
              <w:keepNext w:val="0"/>
              <w:keepLines w:val="0"/>
              <w:widowControl/>
              <w:suppressLineNumbers w:val="0"/>
              <w:adjustRightInd/>
              <w:snapToGrid/>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（1）固体废物排放信息</w:t>
            </w:r>
          </w:p>
          <w:p w14:paraId="4B1F9F14">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7</w:t>
            </w:r>
            <w:r>
              <w:rPr>
                <w:rFonts w:hint="default" w:ascii="Times New Roman" w:hAnsi="Times New Roman" w:cs="Times New Roman"/>
                <w:b/>
                <w:color w:val="auto"/>
                <w:szCs w:val="21"/>
                <w:highlight w:val="none"/>
              </w:rPr>
              <w:t>固体废物排放</w:t>
            </w:r>
            <w:r>
              <w:rPr>
                <w:rFonts w:hint="eastAsia" w:cs="Times New Roman"/>
                <w:b/>
                <w:color w:val="auto"/>
                <w:szCs w:val="21"/>
                <w:highlight w:val="none"/>
                <w:lang w:val="en-US" w:eastAsia="zh-CN"/>
              </w:rPr>
              <w:t>一览表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1114"/>
              <w:gridCol w:w="1338"/>
              <w:gridCol w:w="1047"/>
              <w:gridCol w:w="620"/>
              <w:gridCol w:w="922"/>
              <w:gridCol w:w="1047"/>
              <w:gridCol w:w="1160"/>
            </w:tblGrid>
            <w:tr w14:paraId="0BA3CA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5" w:type="dxa"/>
                  <w:tcBorders>
                    <w:top w:val="single" w:color="auto" w:sz="12" w:space="0"/>
                  </w:tcBorders>
                  <w:noWrap w:val="0"/>
                  <w:vAlign w:val="center"/>
                </w:tcPr>
                <w:p w14:paraId="7D7E0B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产生环节</w:t>
                  </w:r>
                </w:p>
              </w:tc>
              <w:tc>
                <w:tcPr>
                  <w:tcW w:w="1106" w:type="dxa"/>
                  <w:tcBorders>
                    <w:top w:val="single" w:color="auto" w:sz="12" w:space="0"/>
                  </w:tcBorders>
                  <w:noWrap w:val="0"/>
                  <w:vAlign w:val="center"/>
                </w:tcPr>
                <w:p w14:paraId="1E20E2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66139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1328" w:type="dxa"/>
                  <w:tcBorders>
                    <w:top w:val="single" w:color="auto" w:sz="12" w:space="0"/>
                  </w:tcBorders>
                  <w:noWrap w:val="0"/>
                  <w:vAlign w:val="center"/>
                </w:tcPr>
                <w:p w14:paraId="044404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617C5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属性</w:t>
                  </w:r>
                </w:p>
              </w:tc>
              <w:tc>
                <w:tcPr>
                  <w:tcW w:w="1039" w:type="dxa"/>
                  <w:tcBorders>
                    <w:top w:val="single" w:color="auto" w:sz="12" w:space="0"/>
                  </w:tcBorders>
                  <w:noWrap w:val="0"/>
                  <w:vAlign w:val="center"/>
                </w:tcPr>
                <w:p w14:paraId="72A56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615" w:type="dxa"/>
                  <w:tcBorders>
                    <w:top w:val="single" w:color="auto" w:sz="12" w:space="0"/>
                  </w:tcBorders>
                  <w:noWrap w:val="0"/>
                  <w:vAlign w:val="center"/>
                </w:tcPr>
                <w:p w14:paraId="27D103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物理</w:t>
                  </w:r>
                </w:p>
                <w:p w14:paraId="39966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性状</w:t>
                  </w:r>
                </w:p>
              </w:tc>
              <w:tc>
                <w:tcPr>
                  <w:tcW w:w="915" w:type="dxa"/>
                  <w:tcBorders>
                    <w:top w:val="single" w:color="auto" w:sz="12" w:space="0"/>
                  </w:tcBorders>
                  <w:noWrap w:val="0"/>
                  <w:vAlign w:val="center"/>
                </w:tcPr>
                <w:p w14:paraId="2D5819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贮存方式</w:t>
                  </w:r>
                </w:p>
              </w:tc>
              <w:tc>
                <w:tcPr>
                  <w:tcW w:w="1039" w:type="dxa"/>
                  <w:tcBorders>
                    <w:top w:val="single" w:color="auto" w:sz="12" w:space="0"/>
                  </w:tcBorders>
                  <w:noWrap w:val="0"/>
                  <w:vAlign w:val="center"/>
                </w:tcPr>
                <w:p w14:paraId="52BDF3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处置量t/a</w:t>
                  </w:r>
                </w:p>
              </w:tc>
              <w:tc>
                <w:tcPr>
                  <w:tcW w:w="1151" w:type="dxa"/>
                  <w:tcBorders>
                    <w:top w:val="single" w:color="auto" w:sz="12" w:space="0"/>
                  </w:tcBorders>
                  <w:noWrap w:val="0"/>
                  <w:vAlign w:val="center"/>
                </w:tcPr>
                <w:p w14:paraId="171BB6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最终去向</w:t>
                  </w:r>
                </w:p>
              </w:tc>
            </w:tr>
            <w:tr w14:paraId="780A1B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noWrap w:val="0"/>
                  <w:vAlign w:val="center"/>
                </w:tcPr>
                <w:p w14:paraId="0D1E25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员工</w:t>
                  </w:r>
                </w:p>
              </w:tc>
              <w:tc>
                <w:tcPr>
                  <w:tcW w:w="1106" w:type="dxa"/>
                  <w:noWrap w:val="0"/>
                  <w:vAlign w:val="center"/>
                </w:tcPr>
                <w:p w14:paraId="1DC9C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生活垃圾</w:t>
                  </w:r>
                </w:p>
              </w:tc>
              <w:tc>
                <w:tcPr>
                  <w:tcW w:w="1328" w:type="dxa"/>
                  <w:noWrap w:val="0"/>
                  <w:vAlign w:val="center"/>
                </w:tcPr>
                <w:p w14:paraId="25131DB2">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eastAsia="宋体" w:cs="Times New Roman"/>
                      <w:bCs/>
                      <w:color w:val="auto"/>
                      <w:kern w:val="0"/>
                      <w:sz w:val="18"/>
                      <w:szCs w:val="18"/>
                      <w:highlight w:val="none"/>
                      <w:lang w:val="en-US" w:eastAsia="zh-CN"/>
                    </w:rPr>
                    <w:t>生活垃圾</w:t>
                  </w:r>
                </w:p>
              </w:tc>
              <w:tc>
                <w:tcPr>
                  <w:tcW w:w="1039" w:type="dxa"/>
                  <w:noWrap w:val="0"/>
                  <w:vAlign w:val="center"/>
                </w:tcPr>
                <w:p w14:paraId="56CFBE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2.19</w:t>
                  </w:r>
                </w:p>
              </w:tc>
              <w:tc>
                <w:tcPr>
                  <w:tcW w:w="615" w:type="dxa"/>
                  <w:noWrap w:val="0"/>
                  <w:vAlign w:val="center"/>
                </w:tcPr>
                <w:p w14:paraId="3838D7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915" w:type="dxa"/>
                  <w:noWrap w:val="0"/>
                  <w:vAlign w:val="center"/>
                </w:tcPr>
                <w:p w14:paraId="69808B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垃圾桶</w:t>
                  </w:r>
                </w:p>
              </w:tc>
              <w:tc>
                <w:tcPr>
                  <w:tcW w:w="1039" w:type="dxa"/>
                  <w:noWrap w:val="0"/>
                  <w:vAlign w:val="center"/>
                </w:tcPr>
                <w:p w14:paraId="0603F1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2.19</w:t>
                  </w:r>
                </w:p>
              </w:tc>
              <w:tc>
                <w:tcPr>
                  <w:tcW w:w="1151" w:type="dxa"/>
                  <w:noWrap w:val="0"/>
                  <w:vAlign w:val="center"/>
                </w:tcPr>
                <w:p w14:paraId="364CE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由</w:t>
                  </w:r>
                  <w:r>
                    <w:rPr>
                      <w:rFonts w:hint="eastAsia" w:cs="Times New Roman"/>
                      <w:color w:val="auto"/>
                      <w:sz w:val="18"/>
                      <w:szCs w:val="18"/>
                      <w:highlight w:val="none"/>
                      <w:lang w:eastAsia="zh-CN"/>
                    </w:rPr>
                    <w:t>环卫</w:t>
                  </w:r>
                  <w:r>
                    <w:rPr>
                      <w:rFonts w:hint="default" w:ascii="Times New Roman" w:hAnsi="Times New Roman" w:cs="Times New Roman"/>
                      <w:color w:val="auto"/>
                      <w:sz w:val="18"/>
                      <w:szCs w:val="18"/>
                      <w:highlight w:val="none"/>
                    </w:rPr>
                    <w:t>部门</w:t>
                  </w:r>
                </w:p>
                <w:p w14:paraId="6FD1C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default" w:ascii="Times New Roman" w:hAnsi="Times New Roman" w:cs="Times New Roman"/>
                      <w:color w:val="auto"/>
                      <w:sz w:val="18"/>
                      <w:szCs w:val="18"/>
                      <w:highlight w:val="none"/>
                    </w:rPr>
                    <w:t>统一处理</w:t>
                  </w:r>
                </w:p>
              </w:tc>
            </w:tr>
            <w:tr w14:paraId="557CCE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5" w:type="dxa"/>
                  <w:vMerge w:val="restart"/>
                  <w:noWrap w:val="0"/>
                  <w:vAlign w:val="center"/>
                </w:tcPr>
                <w:p w14:paraId="751DCC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生产</w:t>
                  </w:r>
                </w:p>
              </w:tc>
              <w:tc>
                <w:tcPr>
                  <w:tcW w:w="1106" w:type="dxa"/>
                  <w:noWrap w:val="0"/>
                  <w:vAlign w:val="center"/>
                </w:tcPr>
                <w:p w14:paraId="0B8E1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脱水污泥</w:t>
                  </w:r>
                </w:p>
              </w:tc>
              <w:tc>
                <w:tcPr>
                  <w:tcW w:w="1328" w:type="dxa"/>
                  <w:noWrap w:val="0"/>
                  <w:vAlign w:val="center"/>
                </w:tcPr>
                <w:p w14:paraId="58DFC2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工业固体废物</w:t>
                  </w:r>
                  <w:r>
                    <w:rPr>
                      <w:rFonts w:hint="eastAsia" w:cs="Times New Roman"/>
                      <w:color w:val="auto"/>
                      <w:sz w:val="18"/>
                      <w:szCs w:val="18"/>
                      <w:highlight w:val="none"/>
                      <w:lang w:val="en-US" w:eastAsia="zh-CN"/>
                    </w:rPr>
                    <w:t>900</w:t>
                  </w: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9</w:t>
                  </w:r>
                  <w:r>
                    <w:rPr>
                      <w:rFonts w:hint="eastAsia" w:cs="Times New Roman"/>
                      <w:color w:val="auto"/>
                      <w:sz w:val="18"/>
                      <w:szCs w:val="18"/>
                      <w:highlight w:val="none"/>
                      <w:lang w:val="en-US" w:eastAsia="zh-CN"/>
                    </w:rPr>
                    <w:t>9</w:t>
                  </w:r>
                  <w:r>
                    <w:rPr>
                      <w:rFonts w:hint="default" w:ascii="Times New Roman" w:hAnsi="Times New Roman" w:cs="Times New Roman"/>
                      <w:color w:val="auto"/>
                      <w:sz w:val="18"/>
                      <w:szCs w:val="18"/>
                      <w:highlight w:val="none"/>
                    </w:rPr>
                    <w:t>-S</w:t>
                  </w:r>
                  <w:r>
                    <w:rPr>
                      <w:rFonts w:hint="eastAsia" w:cs="Times New Roman"/>
                      <w:color w:val="auto"/>
                      <w:sz w:val="18"/>
                      <w:szCs w:val="18"/>
                      <w:highlight w:val="none"/>
                      <w:lang w:val="en-US" w:eastAsia="zh-CN"/>
                    </w:rPr>
                    <w:t>07</w:t>
                  </w:r>
                </w:p>
              </w:tc>
              <w:tc>
                <w:tcPr>
                  <w:tcW w:w="1039" w:type="dxa"/>
                  <w:noWrap w:val="0"/>
                  <w:vAlign w:val="center"/>
                </w:tcPr>
                <w:p w14:paraId="23D02C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olor w:val="auto"/>
                      <w:sz w:val="18"/>
                      <w:szCs w:val="18"/>
                      <w:highlight w:val="none"/>
                      <w:lang w:val="en-US" w:eastAsia="zh-CN"/>
                    </w:rPr>
                    <w:t>2920</w:t>
                  </w:r>
                </w:p>
              </w:tc>
              <w:tc>
                <w:tcPr>
                  <w:tcW w:w="615" w:type="dxa"/>
                  <w:noWrap w:val="0"/>
                  <w:vAlign w:val="center"/>
                </w:tcPr>
                <w:p w14:paraId="77AC9B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915" w:type="dxa"/>
                  <w:noWrap w:val="0"/>
                  <w:vAlign w:val="center"/>
                </w:tcPr>
                <w:p w14:paraId="1E9AF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日产日清，不在厂区贮存</w:t>
                  </w:r>
                </w:p>
              </w:tc>
              <w:tc>
                <w:tcPr>
                  <w:tcW w:w="1039" w:type="dxa"/>
                  <w:noWrap w:val="0"/>
                  <w:vAlign w:val="center"/>
                </w:tcPr>
                <w:p w14:paraId="62ECAC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olor w:val="auto"/>
                      <w:sz w:val="18"/>
                      <w:szCs w:val="18"/>
                      <w:highlight w:val="none"/>
                      <w:lang w:val="en-US" w:eastAsia="zh-CN"/>
                    </w:rPr>
                    <w:t>2920</w:t>
                  </w:r>
                </w:p>
              </w:tc>
              <w:tc>
                <w:tcPr>
                  <w:tcW w:w="1151" w:type="dxa"/>
                  <w:noWrap w:val="0"/>
                  <w:vAlign w:val="center"/>
                </w:tcPr>
                <w:p w14:paraId="21D30D38">
                  <w:pPr>
                    <w:pStyle w:val="1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委托有资质单位处理</w:t>
                  </w:r>
                </w:p>
              </w:tc>
            </w:tr>
            <w:tr w14:paraId="61DC6B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vMerge w:val="continue"/>
                  <w:noWrap w:val="0"/>
                  <w:vAlign w:val="center"/>
                </w:tcPr>
                <w:p w14:paraId="64BB39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rPr>
                  </w:pPr>
                </w:p>
              </w:tc>
              <w:tc>
                <w:tcPr>
                  <w:tcW w:w="1106" w:type="dxa"/>
                  <w:noWrap w:val="0"/>
                  <w:vAlign w:val="center"/>
                </w:tcPr>
                <w:p w14:paraId="19F695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废包装袋</w:t>
                  </w:r>
                </w:p>
              </w:tc>
              <w:tc>
                <w:tcPr>
                  <w:tcW w:w="1328" w:type="dxa"/>
                  <w:noWrap w:val="0"/>
                  <w:vAlign w:val="center"/>
                </w:tcPr>
                <w:p w14:paraId="53F26F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eastAsia="zh-CN"/>
                    </w:rPr>
                    <w:t>工业固体废物</w:t>
                  </w:r>
                  <w:r>
                    <w:rPr>
                      <w:rFonts w:hint="eastAsia" w:cs="Times New Roman"/>
                      <w:color w:val="auto"/>
                      <w:sz w:val="18"/>
                      <w:szCs w:val="18"/>
                      <w:highlight w:val="none"/>
                      <w:lang w:val="en-US" w:eastAsia="zh-CN"/>
                    </w:rPr>
                    <w:t>900</w:t>
                  </w: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03</w:t>
                  </w:r>
                  <w:r>
                    <w:rPr>
                      <w:rFonts w:hint="default" w:ascii="Times New Roman" w:hAnsi="Times New Roman" w:cs="Times New Roman"/>
                      <w:color w:val="auto"/>
                      <w:sz w:val="18"/>
                      <w:szCs w:val="18"/>
                      <w:highlight w:val="none"/>
                    </w:rPr>
                    <w:t>-S</w:t>
                  </w:r>
                  <w:r>
                    <w:rPr>
                      <w:rFonts w:hint="eastAsia" w:cs="Times New Roman"/>
                      <w:color w:val="auto"/>
                      <w:sz w:val="18"/>
                      <w:szCs w:val="18"/>
                      <w:highlight w:val="none"/>
                      <w:lang w:val="en-US" w:eastAsia="zh-CN"/>
                    </w:rPr>
                    <w:t>17</w:t>
                  </w:r>
                </w:p>
              </w:tc>
              <w:tc>
                <w:tcPr>
                  <w:tcW w:w="1039" w:type="dxa"/>
                  <w:noWrap w:val="0"/>
                  <w:vAlign w:val="center"/>
                </w:tcPr>
                <w:p w14:paraId="563C64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615" w:type="dxa"/>
                  <w:noWrap w:val="0"/>
                  <w:vAlign w:val="center"/>
                </w:tcPr>
                <w:p w14:paraId="7E956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固</w:t>
                  </w:r>
                </w:p>
              </w:tc>
              <w:tc>
                <w:tcPr>
                  <w:tcW w:w="915" w:type="dxa"/>
                  <w:noWrap w:val="0"/>
                  <w:vAlign w:val="center"/>
                </w:tcPr>
                <w:p w14:paraId="343AF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暂存药库</w:t>
                  </w:r>
                </w:p>
              </w:tc>
              <w:tc>
                <w:tcPr>
                  <w:tcW w:w="1039" w:type="dxa"/>
                  <w:noWrap w:val="0"/>
                  <w:vAlign w:val="center"/>
                </w:tcPr>
                <w:p w14:paraId="186EF3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151" w:type="dxa"/>
                  <w:shd w:val="clear" w:color="auto" w:fill="auto"/>
                  <w:noWrap w:val="0"/>
                  <w:vAlign w:val="center"/>
                </w:tcPr>
                <w:p w14:paraId="155BC6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由</w:t>
                  </w:r>
                  <w:r>
                    <w:rPr>
                      <w:rFonts w:hint="eastAsia" w:ascii="Times New Roman" w:hAnsi="Times New Roman" w:cs="Times New Roman"/>
                      <w:color w:val="auto"/>
                      <w:sz w:val="18"/>
                      <w:szCs w:val="18"/>
                      <w:highlight w:val="none"/>
                      <w:lang w:eastAsia="zh-CN"/>
                    </w:rPr>
                    <w:t>环卫</w:t>
                  </w:r>
                  <w:r>
                    <w:rPr>
                      <w:rFonts w:hint="default" w:ascii="Times New Roman" w:hAnsi="Times New Roman" w:cs="Times New Roman"/>
                      <w:color w:val="auto"/>
                      <w:sz w:val="18"/>
                      <w:szCs w:val="18"/>
                      <w:highlight w:val="none"/>
                    </w:rPr>
                    <w:t>部门</w:t>
                  </w:r>
                </w:p>
                <w:p w14:paraId="569FB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cs="Times New Roman"/>
                      <w:color w:val="auto"/>
                      <w:sz w:val="18"/>
                      <w:szCs w:val="18"/>
                      <w:highlight w:val="none"/>
                    </w:rPr>
                    <w:t>统一处理</w:t>
                  </w:r>
                </w:p>
              </w:tc>
            </w:tr>
            <w:tr w14:paraId="2A11FB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vMerge w:val="continue"/>
                  <w:noWrap w:val="0"/>
                  <w:vAlign w:val="center"/>
                </w:tcPr>
                <w:p w14:paraId="31DACF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rPr>
                  </w:pPr>
                </w:p>
              </w:tc>
              <w:tc>
                <w:tcPr>
                  <w:tcW w:w="1106" w:type="dxa"/>
                  <w:noWrap w:val="0"/>
                  <w:vAlign w:val="center"/>
                </w:tcPr>
                <w:p w14:paraId="1050D1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废活性炭</w:t>
                  </w:r>
                </w:p>
              </w:tc>
              <w:tc>
                <w:tcPr>
                  <w:tcW w:w="1328" w:type="dxa"/>
                  <w:vMerge w:val="restart"/>
                  <w:noWrap w:val="0"/>
                  <w:vAlign w:val="center"/>
                </w:tcPr>
                <w:p w14:paraId="622697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eastAsia" w:cs="Times New Roman"/>
                      <w:color w:val="auto"/>
                      <w:sz w:val="18"/>
                      <w:szCs w:val="18"/>
                      <w:highlight w:val="none"/>
                      <w:lang w:eastAsia="zh-CN"/>
                    </w:rPr>
                    <w:t>工业固体废物</w:t>
                  </w:r>
                  <w:r>
                    <w:rPr>
                      <w:rFonts w:hint="eastAsia" w:cs="Times New Roman"/>
                      <w:color w:val="auto"/>
                      <w:sz w:val="18"/>
                      <w:szCs w:val="18"/>
                      <w:highlight w:val="none"/>
                      <w:lang w:val="en-US" w:eastAsia="zh-CN"/>
                    </w:rPr>
                    <w:t>900</w:t>
                  </w: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08</w:t>
                  </w:r>
                  <w:r>
                    <w:rPr>
                      <w:rFonts w:hint="default" w:ascii="Times New Roman" w:hAnsi="Times New Roman" w:cs="Times New Roman"/>
                      <w:color w:val="auto"/>
                      <w:sz w:val="18"/>
                      <w:szCs w:val="18"/>
                      <w:highlight w:val="none"/>
                    </w:rPr>
                    <w:t>-S</w:t>
                  </w:r>
                  <w:r>
                    <w:rPr>
                      <w:rFonts w:hint="eastAsia" w:cs="Times New Roman"/>
                      <w:color w:val="auto"/>
                      <w:sz w:val="18"/>
                      <w:szCs w:val="18"/>
                      <w:highlight w:val="none"/>
                      <w:lang w:val="en-US" w:eastAsia="zh-CN"/>
                    </w:rPr>
                    <w:t>59</w:t>
                  </w:r>
                </w:p>
              </w:tc>
              <w:tc>
                <w:tcPr>
                  <w:tcW w:w="1039" w:type="dxa"/>
                  <w:noWrap w:val="0"/>
                  <w:vAlign w:val="center"/>
                </w:tcPr>
                <w:p w14:paraId="6A87D6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120m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/5a</w:t>
                  </w:r>
                </w:p>
              </w:tc>
              <w:tc>
                <w:tcPr>
                  <w:tcW w:w="615" w:type="dxa"/>
                  <w:noWrap w:val="0"/>
                  <w:vAlign w:val="center"/>
                </w:tcPr>
                <w:p w14:paraId="7561BA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eastAsia="zh-CN"/>
                    </w:rPr>
                    <w:t>固</w:t>
                  </w:r>
                </w:p>
              </w:tc>
              <w:tc>
                <w:tcPr>
                  <w:tcW w:w="915" w:type="dxa"/>
                  <w:vMerge w:val="restart"/>
                  <w:noWrap w:val="0"/>
                  <w:vAlign w:val="center"/>
                </w:tcPr>
                <w:p w14:paraId="54E3DB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不在厂区内贮存</w:t>
                  </w:r>
                </w:p>
              </w:tc>
              <w:tc>
                <w:tcPr>
                  <w:tcW w:w="1039" w:type="dxa"/>
                  <w:noWrap w:val="0"/>
                  <w:vAlign w:val="center"/>
                </w:tcPr>
                <w:p w14:paraId="3D2173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120m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/5a</w:t>
                  </w:r>
                </w:p>
              </w:tc>
              <w:tc>
                <w:tcPr>
                  <w:tcW w:w="1151" w:type="dxa"/>
                  <w:noWrap w:val="0"/>
                  <w:vAlign w:val="center"/>
                </w:tcPr>
                <w:p w14:paraId="46945918">
                  <w:pPr>
                    <w:pStyle w:val="1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由厂家更换后回收</w:t>
                  </w:r>
                </w:p>
              </w:tc>
            </w:tr>
            <w:tr w14:paraId="7308FE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vMerge w:val="restart"/>
                  <w:noWrap w:val="0"/>
                  <w:vAlign w:val="center"/>
                </w:tcPr>
                <w:p w14:paraId="0E5CA1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rPr>
                  </w:pPr>
                </w:p>
              </w:tc>
              <w:tc>
                <w:tcPr>
                  <w:tcW w:w="1106" w:type="dxa"/>
                  <w:noWrap w:val="0"/>
                  <w:vAlign w:val="center"/>
                </w:tcPr>
                <w:p w14:paraId="1C45AB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石英砂</w:t>
                  </w:r>
                </w:p>
              </w:tc>
              <w:tc>
                <w:tcPr>
                  <w:tcW w:w="1328" w:type="dxa"/>
                  <w:vMerge w:val="continue"/>
                  <w:noWrap w:val="0"/>
                  <w:vAlign w:val="center"/>
                </w:tcPr>
                <w:p w14:paraId="466D70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eastAsia="zh-CN"/>
                    </w:rPr>
                  </w:pPr>
                </w:p>
              </w:tc>
              <w:tc>
                <w:tcPr>
                  <w:tcW w:w="1039" w:type="dxa"/>
                  <w:noWrap w:val="0"/>
                  <w:vAlign w:val="center"/>
                </w:tcPr>
                <w:p w14:paraId="728ED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lang w:val="en-US" w:eastAsia="zh-CN"/>
                    </w:rPr>
                  </w:pPr>
                  <w:r>
                    <w:rPr>
                      <w:rFonts w:hint="eastAsia" w:cs="Times New Roman"/>
                      <w:color w:val="auto"/>
                      <w:sz w:val="18"/>
                      <w:szCs w:val="18"/>
                      <w:highlight w:val="none"/>
                      <w:lang w:val="en-US" w:eastAsia="zh-CN"/>
                    </w:rPr>
                    <w:t>682.4m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/5a</w:t>
                  </w:r>
                </w:p>
              </w:tc>
              <w:tc>
                <w:tcPr>
                  <w:tcW w:w="615" w:type="dxa"/>
                  <w:shd w:val="clear" w:color="auto" w:fill="auto"/>
                  <w:noWrap w:val="0"/>
                  <w:vAlign w:val="center"/>
                </w:tcPr>
                <w:p w14:paraId="0BC17E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固</w:t>
                  </w:r>
                </w:p>
              </w:tc>
              <w:tc>
                <w:tcPr>
                  <w:tcW w:w="915" w:type="dxa"/>
                  <w:vMerge w:val="continue"/>
                  <w:shd w:val="clear" w:color="auto" w:fill="auto"/>
                  <w:noWrap w:val="0"/>
                  <w:vAlign w:val="center"/>
                </w:tcPr>
                <w:p w14:paraId="15F2CE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p>
              </w:tc>
              <w:tc>
                <w:tcPr>
                  <w:tcW w:w="1039" w:type="dxa"/>
                  <w:noWrap w:val="0"/>
                  <w:vAlign w:val="center"/>
                </w:tcPr>
                <w:p w14:paraId="44CE3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682.4m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/5a</w:t>
                  </w:r>
                </w:p>
              </w:tc>
              <w:tc>
                <w:tcPr>
                  <w:tcW w:w="1151" w:type="dxa"/>
                  <w:vMerge w:val="restart"/>
                  <w:noWrap w:val="0"/>
                  <w:vAlign w:val="center"/>
                </w:tcPr>
                <w:p w14:paraId="30384D52">
                  <w:pPr>
                    <w:pStyle w:val="1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外售综合利用</w:t>
                  </w:r>
                </w:p>
              </w:tc>
            </w:tr>
            <w:tr w14:paraId="7FE45F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vMerge w:val="continue"/>
                  <w:noWrap w:val="0"/>
                  <w:vAlign w:val="center"/>
                </w:tcPr>
                <w:p w14:paraId="3A80F3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rPr>
                  </w:pPr>
                </w:p>
              </w:tc>
              <w:tc>
                <w:tcPr>
                  <w:tcW w:w="1106" w:type="dxa"/>
                  <w:noWrap w:val="0"/>
                  <w:vAlign w:val="center"/>
                </w:tcPr>
                <w:p w14:paraId="6EBC7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砾石</w:t>
                  </w:r>
                </w:p>
              </w:tc>
              <w:tc>
                <w:tcPr>
                  <w:tcW w:w="1328" w:type="dxa"/>
                  <w:vMerge w:val="continue"/>
                  <w:noWrap w:val="0"/>
                  <w:vAlign w:val="center"/>
                </w:tcPr>
                <w:p w14:paraId="3EA194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eastAsia="zh-CN"/>
                    </w:rPr>
                  </w:pPr>
                </w:p>
              </w:tc>
              <w:tc>
                <w:tcPr>
                  <w:tcW w:w="1039" w:type="dxa"/>
                  <w:noWrap w:val="0"/>
                  <w:vAlign w:val="center"/>
                </w:tcPr>
                <w:p w14:paraId="761D73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105.6m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/5a</w:t>
                  </w:r>
                </w:p>
              </w:tc>
              <w:tc>
                <w:tcPr>
                  <w:tcW w:w="615" w:type="dxa"/>
                  <w:shd w:val="clear" w:color="auto" w:fill="auto"/>
                  <w:noWrap w:val="0"/>
                  <w:vAlign w:val="center"/>
                </w:tcPr>
                <w:p w14:paraId="44A8F8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固</w:t>
                  </w:r>
                </w:p>
              </w:tc>
              <w:tc>
                <w:tcPr>
                  <w:tcW w:w="915" w:type="dxa"/>
                  <w:vMerge w:val="continue"/>
                  <w:noWrap w:val="0"/>
                  <w:vAlign w:val="center"/>
                </w:tcPr>
                <w:p w14:paraId="098118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c>
                <w:tcPr>
                  <w:tcW w:w="1039" w:type="dxa"/>
                  <w:noWrap w:val="0"/>
                  <w:vAlign w:val="center"/>
                </w:tcPr>
                <w:p w14:paraId="232285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105.6m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/5a</w:t>
                  </w:r>
                </w:p>
              </w:tc>
              <w:tc>
                <w:tcPr>
                  <w:tcW w:w="1151" w:type="dxa"/>
                  <w:vMerge w:val="continue"/>
                  <w:noWrap w:val="0"/>
                  <w:vAlign w:val="center"/>
                </w:tcPr>
                <w:p w14:paraId="1987BF8A">
                  <w:pPr>
                    <w:pStyle w:val="1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p>
              </w:tc>
            </w:tr>
            <w:tr w14:paraId="7321F8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dxa"/>
                  <w:vMerge w:val="continue"/>
                  <w:tcBorders>
                    <w:bottom w:val="single" w:color="auto" w:sz="12" w:space="0"/>
                  </w:tcBorders>
                  <w:noWrap w:val="0"/>
                  <w:vAlign w:val="center"/>
                </w:tcPr>
                <w:p w14:paraId="14A95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rPr>
                  </w:pPr>
                </w:p>
              </w:tc>
              <w:tc>
                <w:tcPr>
                  <w:tcW w:w="1106" w:type="dxa"/>
                  <w:tcBorders>
                    <w:bottom w:val="single" w:color="auto" w:sz="12" w:space="0"/>
                  </w:tcBorders>
                  <w:noWrap w:val="0"/>
                  <w:vAlign w:val="center"/>
                </w:tcPr>
                <w:p w14:paraId="46FDF4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卵石</w:t>
                  </w:r>
                </w:p>
              </w:tc>
              <w:tc>
                <w:tcPr>
                  <w:tcW w:w="1328" w:type="dxa"/>
                  <w:vMerge w:val="continue"/>
                  <w:tcBorders>
                    <w:bottom w:val="single" w:color="auto" w:sz="12" w:space="0"/>
                  </w:tcBorders>
                  <w:noWrap w:val="0"/>
                  <w:vAlign w:val="center"/>
                </w:tcPr>
                <w:p w14:paraId="1EA02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eastAsia="zh-CN"/>
                    </w:rPr>
                  </w:pPr>
                </w:p>
              </w:tc>
              <w:tc>
                <w:tcPr>
                  <w:tcW w:w="1039" w:type="dxa"/>
                  <w:tcBorders>
                    <w:bottom w:val="single" w:color="auto" w:sz="12" w:space="0"/>
                  </w:tcBorders>
                  <w:noWrap w:val="0"/>
                  <w:vAlign w:val="center"/>
                </w:tcPr>
                <w:p w14:paraId="0967D8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406m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/5a</w:t>
                  </w:r>
                </w:p>
              </w:tc>
              <w:tc>
                <w:tcPr>
                  <w:tcW w:w="615" w:type="dxa"/>
                  <w:tcBorders>
                    <w:bottom w:val="single" w:color="auto" w:sz="12" w:space="0"/>
                  </w:tcBorders>
                  <w:shd w:val="clear" w:color="auto" w:fill="auto"/>
                  <w:noWrap w:val="0"/>
                  <w:vAlign w:val="center"/>
                </w:tcPr>
                <w:p w14:paraId="2E747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固</w:t>
                  </w:r>
                </w:p>
              </w:tc>
              <w:tc>
                <w:tcPr>
                  <w:tcW w:w="915" w:type="dxa"/>
                  <w:vMerge w:val="continue"/>
                  <w:tcBorders>
                    <w:bottom w:val="single" w:color="auto" w:sz="12" w:space="0"/>
                  </w:tcBorders>
                  <w:noWrap w:val="0"/>
                  <w:vAlign w:val="center"/>
                </w:tcPr>
                <w:p w14:paraId="574FB4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p>
              </w:tc>
              <w:tc>
                <w:tcPr>
                  <w:tcW w:w="1039" w:type="dxa"/>
                  <w:tcBorders>
                    <w:bottom w:val="single" w:color="auto" w:sz="12" w:space="0"/>
                  </w:tcBorders>
                  <w:noWrap w:val="0"/>
                  <w:vAlign w:val="center"/>
                </w:tcPr>
                <w:p w14:paraId="069406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406m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/5a</w:t>
                  </w:r>
                </w:p>
              </w:tc>
              <w:tc>
                <w:tcPr>
                  <w:tcW w:w="1151" w:type="dxa"/>
                  <w:vMerge w:val="continue"/>
                  <w:tcBorders>
                    <w:bottom w:val="single" w:color="auto" w:sz="12" w:space="0"/>
                  </w:tcBorders>
                  <w:noWrap w:val="0"/>
                  <w:vAlign w:val="center"/>
                </w:tcPr>
                <w:p w14:paraId="1E2DEBDF">
                  <w:pPr>
                    <w:pStyle w:val="1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p>
              </w:tc>
            </w:tr>
          </w:tbl>
          <w:p w14:paraId="7F80900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color w:val="auto"/>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经核实，</w:t>
            </w:r>
            <w:r>
              <w:rPr>
                <w:rFonts w:hint="default" w:ascii="Times New Roman" w:hAnsi="Times New Roman" w:eastAsia="宋体" w:cs="Times New Roman"/>
                <w:color w:val="auto"/>
                <w:kern w:val="21"/>
                <w:sz w:val="21"/>
                <w:szCs w:val="21"/>
                <w:highlight w:val="none"/>
              </w:rPr>
              <w:t>本项目运营期产生的固体废物主要为</w:t>
            </w:r>
            <w:r>
              <w:rPr>
                <w:rFonts w:hint="eastAsia" w:ascii="宋体" w:hAnsi="宋体" w:cs="宋体"/>
                <w:color w:val="auto"/>
                <w:sz w:val="21"/>
                <w:szCs w:val="21"/>
                <w:highlight w:val="none"/>
              </w:rPr>
              <w:t>生活垃圾</w:t>
            </w:r>
            <w:r>
              <w:rPr>
                <w:rFonts w:hint="eastAsia" w:ascii="宋体" w:hAnsi="宋体" w:cs="宋体"/>
                <w:color w:val="auto"/>
                <w:sz w:val="21"/>
                <w:szCs w:val="21"/>
                <w:highlight w:val="none"/>
                <w:lang w:val="en-US" w:eastAsia="zh-CN"/>
              </w:rPr>
              <w:t>、</w:t>
            </w:r>
            <w:r>
              <w:rPr>
                <w:rFonts w:hint="eastAsia"/>
                <w:color w:val="auto"/>
                <w:sz w:val="21"/>
                <w:szCs w:val="21"/>
                <w:highlight w:val="none"/>
                <w:lang w:val="en-US" w:eastAsia="zh-CN"/>
              </w:rPr>
              <w:t>脱水污泥、废包装袋、废活性炭。</w:t>
            </w:r>
          </w:p>
          <w:p w14:paraId="59ECC2B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①生活垃圾：本项目劳动定员</w:t>
            </w:r>
            <w:r>
              <w:rPr>
                <w:rFonts w:hint="eastAsia"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rPr>
              <w:t>人，生活垃圾按0.5kg/人·d计，生产天数</w:t>
            </w:r>
            <w:r>
              <w:rPr>
                <w:rFonts w:hint="eastAsia" w:cs="Times New Roman"/>
                <w:color w:val="auto"/>
                <w:sz w:val="21"/>
                <w:szCs w:val="21"/>
                <w:highlight w:val="none"/>
                <w:lang w:val="en-US" w:eastAsia="zh-CN"/>
              </w:rPr>
              <w:t>365</w:t>
            </w:r>
            <w:r>
              <w:rPr>
                <w:rFonts w:hint="default" w:ascii="Times New Roman" w:hAnsi="Times New Roman" w:eastAsia="宋体" w:cs="Times New Roman"/>
                <w:color w:val="auto"/>
                <w:sz w:val="21"/>
                <w:szCs w:val="21"/>
                <w:highlight w:val="none"/>
              </w:rPr>
              <w:t>d，则生活垃圾产生量为</w:t>
            </w:r>
            <w:r>
              <w:rPr>
                <w:rFonts w:hint="eastAsia" w:cs="Times New Roman"/>
                <w:color w:val="auto"/>
                <w:sz w:val="21"/>
                <w:szCs w:val="21"/>
                <w:highlight w:val="none"/>
                <w:lang w:val="en-US" w:eastAsia="zh-CN"/>
              </w:rPr>
              <w:t>2.19</w:t>
            </w:r>
            <w:r>
              <w:rPr>
                <w:rFonts w:hint="default" w:ascii="Times New Roman" w:hAnsi="Times New Roman" w:eastAsia="宋体" w:cs="Times New Roman"/>
                <w:color w:val="auto"/>
                <w:sz w:val="21"/>
                <w:szCs w:val="21"/>
                <w:highlight w:val="none"/>
              </w:rPr>
              <w:t>t/a，由</w:t>
            </w:r>
            <w:r>
              <w:rPr>
                <w:rFonts w:hint="eastAsia" w:cs="Times New Roman"/>
                <w:color w:val="auto"/>
                <w:sz w:val="21"/>
                <w:szCs w:val="21"/>
                <w:highlight w:val="none"/>
                <w:lang w:eastAsia="zh-CN"/>
              </w:rPr>
              <w:t>环卫</w:t>
            </w:r>
            <w:r>
              <w:rPr>
                <w:rFonts w:hint="default" w:ascii="Times New Roman" w:hAnsi="Times New Roman" w:eastAsia="宋体" w:cs="Times New Roman"/>
                <w:color w:val="auto"/>
                <w:sz w:val="21"/>
                <w:szCs w:val="21"/>
                <w:highlight w:val="none"/>
              </w:rPr>
              <w:t>部门统一处理。</w:t>
            </w:r>
          </w:p>
          <w:p w14:paraId="153DBC14">
            <w:pPr>
              <w:pStyle w:val="35"/>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color w:val="auto"/>
                <w:sz w:val="21"/>
                <w:szCs w:val="21"/>
                <w:highlight w:val="none"/>
                <w:lang w:val="en-US"/>
              </w:rPr>
            </w:pPr>
            <w:r>
              <w:rPr>
                <w:rFonts w:hint="default" w:ascii="Times New Roman" w:hAnsi="Times New Roman" w:eastAsia="宋体" w:cs="Times New Roman"/>
                <w:color w:val="auto"/>
                <w:sz w:val="21"/>
                <w:szCs w:val="21"/>
                <w:highlight w:val="none"/>
              </w:rPr>
              <w:t>②</w:t>
            </w:r>
            <w:r>
              <w:rPr>
                <w:rFonts w:hint="eastAsia"/>
                <w:color w:val="auto"/>
                <w:sz w:val="21"/>
                <w:szCs w:val="21"/>
                <w:highlight w:val="none"/>
                <w:lang w:val="en-US" w:eastAsia="zh-CN"/>
              </w:rPr>
              <w:t>脱水污泥</w:t>
            </w:r>
            <w:r>
              <w:rPr>
                <w:rFonts w:hint="eastAsia"/>
                <w:color w:val="auto"/>
                <w:sz w:val="21"/>
                <w:szCs w:val="21"/>
                <w:highlight w:val="none"/>
                <w:lang w:eastAsia="zh-CN"/>
              </w:rPr>
              <w:t>：</w:t>
            </w:r>
            <w:r>
              <w:rPr>
                <w:rFonts w:hint="eastAsia"/>
                <w:color w:val="auto"/>
                <w:sz w:val="21"/>
                <w:szCs w:val="21"/>
                <w:highlight w:val="none"/>
                <w:lang w:val="en-US" w:eastAsia="zh-CN"/>
              </w:rPr>
              <w:t>根据建设单位提供信息，污泥产生量约为8t/d、2920t/a，委托有资质单位处理。</w:t>
            </w:r>
          </w:p>
          <w:p w14:paraId="508AA98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eastAsia="宋体"/>
                <w:snapToGrid w:val="0"/>
                <w:color w:val="auto"/>
                <w:sz w:val="21"/>
                <w:szCs w:val="21"/>
                <w:highlight w:val="none"/>
                <w:lang w:eastAsia="zh-CN"/>
              </w:rPr>
            </w:pPr>
            <w:r>
              <w:rPr>
                <w:rFonts w:hint="eastAsia" w:cs="Times New Roman"/>
                <w:color w:val="auto"/>
                <w:sz w:val="21"/>
                <w:szCs w:val="21"/>
                <w:highlight w:val="none"/>
                <w:lang w:eastAsia="zh-CN"/>
              </w:rPr>
              <w:t>③</w:t>
            </w:r>
            <w:r>
              <w:rPr>
                <w:rFonts w:hint="eastAsia" w:cs="Times New Roman"/>
                <w:color w:val="auto"/>
                <w:sz w:val="21"/>
                <w:szCs w:val="21"/>
                <w:highlight w:val="none"/>
                <w:lang w:val="en-US" w:eastAsia="zh-CN"/>
              </w:rPr>
              <w:t>废包装袋：</w:t>
            </w:r>
            <w:r>
              <w:rPr>
                <w:rFonts w:hint="eastAsia"/>
                <w:snapToGrid w:val="0"/>
                <w:color w:val="auto"/>
                <w:sz w:val="21"/>
                <w:szCs w:val="21"/>
                <w:highlight w:val="none"/>
              </w:rPr>
              <w:t>本项目</w:t>
            </w:r>
            <w:r>
              <w:rPr>
                <w:rFonts w:hint="eastAsia"/>
                <w:snapToGrid w:val="0"/>
                <w:color w:val="auto"/>
                <w:sz w:val="21"/>
                <w:szCs w:val="21"/>
                <w:highlight w:val="none"/>
                <w:lang w:eastAsia="zh-CN"/>
              </w:rPr>
              <w:t>药剂</w:t>
            </w:r>
            <w:r>
              <w:rPr>
                <w:rFonts w:hint="eastAsia"/>
                <w:snapToGrid w:val="0"/>
                <w:color w:val="auto"/>
                <w:sz w:val="21"/>
                <w:szCs w:val="21"/>
                <w:highlight w:val="none"/>
              </w:rPr>
              <w:t>使用会产生废包装</w:t>
            </w:r>
            <w:r>
              <w:rPr>
                <w:rFonts w:hint="eastAsia"/>
                <w:snapToGrid w:val="0"/>
                <w:color w:val="auto"/>
                <w:sz w:val="21"/>
                <w:szCs w:val="21"/>
                <w:highlight w:val="none"/>
                <w:lang w:eastAsia="zh-CN"/>
              </w:rPr>
              <w:t>袋</w:t>
            </w:r>
            <w:r>
              <w:rPr>
                <w:rFonts w:hint="eastAsia"/>
                <w:snapToGrid w:val="0"/>
                <w:color w:val="auto"/>
                <w:sz w:val="21"/>
                <w:szCs w:val="21"/>
                <w:highlight w:val="none"/>
              </w:rPr>
              <w:t>，产生量约</w:t>
            </w:r>
            <w:r>
              <w:rPr>
                <w:rFonts w:hint="eastAsia"/>
                <w:snapToGrid w:val="0"/>
                <w:color w:val="auto"/>
                <w:sz w:val="21"/>
                <w:szCs w:val="21"/>
                <w:highlight w:val="none"/>
                <w:lang w:val="en-US" w:eastAsia="zh-CN"/>
              </w:rPr>
              <w:t>1</w:t>
            </w:r>
            <w:r>
              <w:rPr>
                <w:rFonts w:hint="eastAsia"/>
                <w:snapToGrid w:val="0"/>
                <w:color w:val="auto"/>
                <w:sz w:val="21"/>
                <w:szCs w:val="21"/>
                <w:highlight w:val="none"/>
              </w:rPr>
              <w:t>t/a</w:t>
            </w:r>
            <w:r>
              <w:rPr>
                <w:rFonts w:hint="eastAsia"/>
                <w:snapToGrid w:val="0"/>
                <w:color w:val="auto"/>
                <w:sz w:val="21"/>
                <w:szCs w:val="21"/>
                <w:highlight w:val="none"/>
                <w:lang w:eastAsia="zh-CN"/>
              </w:rPr>
              <w:t>，委托环卫部门处理。</w:t>
            </w:r>
          </w:p>
          <w:p w14:paraId="68E29DA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default"/>
                <w:b w:val="0"/>
                <w:bCs/>
                <w:color w:val="auto"/>
                <w:szCs w:val="21"/>
                <w:highlight w:val="none"/>
                <w:lang w:val="en-US" w:eastAsia="zh-CN"/>
              </w:rPr>
            </w:pPr>
            <w:r>
              <w:rPr>
                <w:rFonts w:hint="eastAsia"/>
                <w:b w:val="0"/>
                <w:bCs/>
                <w:color w:val="auto"/>
                <w:szCs w:val="21"/>
                <w:highlight w:val="none"/>
                <w:lang w:eastAsia="zh-CN"/>
              </w:rPr>
              <w:t>④废活性炭：</w:t>
            </w:r>
            <w:r>
              <w:rPr>
                <w:rFonts w:hint="eastAsia"/>
                <w:b w:val="0"/>
                <w:bCs/>
                <w:color w:val="auto"/>
                <w:szCs w:val="21"/>
                <w:highlight w:val="none"/>
                <w:lang w:val="en-US" w:eastAsia="zh-CN"/>
              </w:rPr>
              <w:t>根据设备厂家提供信息，废活性炭定期更换产生量约为120m</w:t>
            </w:r>
            <w:r>
              <w:rPr>
                <w:rFonts w:hint="eastAsia"/>
                <w:b w:val="0"/>
                <w:bCs/>
                <w:color w:val="auto"/>
                <w:szCs w:val="21"/>
                <w:highlight w:val="none"/>
                <w:vertAlign w:val="superscript"/>
                <w:lang w:val="en-US" w:eastAsia="zh-CN"/>
              </w:rPr>
              <w:t>3</w:t>
            </w:r>
            <w:r>
              <w:rPr>
                <w:rFonts w:hint="eastAsia"/>
                <w:b w:val="0"/>
                <w:bCs/>
                <w:color w:val="auto"/>
                <w:szCs w:val="21"/>
                <w:highlight w:val="none"/>
                <w:lang w:val="en-US" w:eastAsia="zh-CN"/>
              </w:rPr>
              <w:t>/5a，由厂家更换后回收。</w:t>
            </w:r>
          </w:p>
          <w:p w14:paraId="4020CF85">
            <w:pPr>
              <w:pStyle w:val="35"/>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⑤</w:t>
            </w:r>
            <w:r>
              <w:rPr>
                <w:rFonts w:hint="eastAsia" w:cs="Times New Roman"/>
                <w:color w:val="auto"/>
                <w:kern w:val="2"/>
                <w:sz w:val="21"/>
                <w:szCs w:val="21"/>
                <w:highlight w:val="none"/>
                <w:lang w:val="en-US" w:eastAsia="zh-CN" w:bidi="ar-SA"/>
              </w:rPr>
              <w:t>废过滤砂、石：</w:t>
            </w:r>
            <w:r>
              <w:rPr>
                <w:rFonts w:hint="eastAsia"/>
                <w:snapToGrid w:val="0"/>
                <w:color w:val="auto"/>
                <w:sz w:val="21"/>
                <w:szCs w:val="21"/>
                <w:highlight w:val="none"/>
              </w:rPr>
              <w:t>本项目</w:t>
            </w:r>
            <w:r>
              <w:rPr>
                <w:rFonts w:hint="eastAsia"/>
                <w:snapToGrid w:val="0"/>
                <w:color w:val="auto"/>
                <w:sz w:val="21"/>
                <w:szCs w:val="21"/>
                <w:highlight w:val="none"/>
                <w:lang w:val="en-US" w:eastAsia="zh-CN"/>
              </w:rPr>
              <w:t>滤池砂石5年需更换1次，石英砂产生量约为</w:t>
            </w:r>
            <w:r>
              <w:rPr>
                <w:rFonts w:hint="eastAsia" w:cs="Times New Roman"/>
                <w:color w:val="auto"/>
                <w:sz w:val="21"/>
                <w:szCs w:val="21"/>
                <w:highlight w:val="none"/>
                <w:lang w:val="en-US" w:eastAsia="zh-CN"/>
              </w:rPr>
              <w:t>682.4m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/5a，砾石产生量约为105.6m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/5a，卵石产生量约为406m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/5a，废滤料外售综合利用。</w:t>
            </w:r>
          </w:p>
          <w:p w14:paraId="61532F84">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420" w:firstLineChars="200"/>
              <w:textAlignment w:val="auto"/>
              <w:rPr>
                <w:rFonts w:hint="eastAsia" w:cs="Times New Roman"/>
                <w:color w:val="auto"/>
                <w:kern w:val="21"/>
                <w:szCs w:val="21"/>
                <w:highlight w:val="none"/>
                <w:lang w:val="en-US" w:eastAsia="zh-CN"/>
              </w:rPr>
            </w:pPr>
            <w:r>
              <w:rPr>
                <w:rFonts w:hint="eastAsia" w:ascii="Times New Roman" w:hAnsi="Times New Roman" w:eastAsia="宋体" w:cs="Times New Roman"/>
                <w:color w:val="auto"/>
                <w:kern w:val="21"/>
                <w:sz w:val="21"/>
                <w:szCs w:val="21"/>
                <w:lang w:val="en-US" w:eastAsia="zh-CN" w:bidi="ar-SA"/>
              </w:rPr>
              <w:t>（2）</w:t>
            </w:r>
            <w:r>
              <w:rPr>
                <w:rFonts w:hint="eastAsia" w:cs="Times New Roman"/>
                <w:color w:val="auto"/>
                <w:kern w:val="21"/>
                <w:szCs w:val="21"/>
                <w:highlight w:val="none"/>
                <w:lang w:val="en-US" w:eastAsia="zh-CN"/>
              </w:rPr>
              <w:t>污泥委托处理可行性分析。</w:t>
            </w:r>
          </w:p>
          <w:p w14:paraId="46C7719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脱水污泥委托鸡西聚邦环境科技有限公司处理，该项目2022年5月17日取得环评批复，批复文号为鸡东环审[2022]9号，于2024年11月完成自主环保验收，目前正常运行。该项目采用高变交压力破壁、压榨脱水、热水解系统将污泥处理后与秸秆混合，产品为生物质颗粒燃料，污泥处理能力为200t/d，本项目污泥产生量约为8t/d，故委托鸡西聚邦环境科技有限公司处理可行。</w:t>
            </w:r>
          </w:p>
          <w:p w14:paraId="1F7B453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eastAsia" w:cs="Times New Roman"/>
                <w:color w:val="auto"/>
                <w:kern w:val="21"/>
                <w:szCs w:val="21"/>
                <w:highlight w:val="none"/>
                <w:lang w:eastAsia="zh-CN"/>
              </w:rPr>
              <w:t>（</w:t>
            </w:r>
            <w:r>
              <w:rPr>
                <w:rFonts w:hint="eastAsia" w:cs="Times New Roman"/>
                <w:color w:val="auto"/>
                <w:kern w:val="21"/>
                <w:szCs w:val="21"/>
                <w:highlight w:val="none"/>
                <w:lang w:val="en-US" w:eastAsia="zh-CN"/>
              </w:rPr>
              <w:t>3</w:t>
            </w:r>
            <w:r>
              <w:rPr>
                <w:rFonts w:hint="default" w:ascii="Times New Roman" w:hAnsi="Times New Roman" w:eastAsia="宋体" w:cs="Times New Roman"/>
                <w:color w:val="auto"/>
                <w:kern w:val="21"/>
                <w:szCs w:val="21"/>
                <w:highlight w:val="none"/>
              </w:rPr>
              <w:t>）环境管理</w:t>
            </w:r>
            <w:r>
              <w:rPr>
                <w:rFonts w:hint="default" w:ascii="Times New Roman" w:hAnsi="Times New Roman" w:cs="Times New Roman"/>
                <w:bCs/>
                <w:color w:val="auto"/>
                <w:szCs w:val="21"/>
                <w:highlight w:val="none"/>
              </w:rPr>
              <w:t>要求</w:t>
            </w:r>
          </w:p>
          <w:p w14:paraId="71B9681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default"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本项目本项目生活垃圾、废包装袋委托环卫部门统一处置，脱水污泥外运委托有资质单位处理。废石英砂、卵石等外售综合利用</w:t>
            </w:r>
            <w:r>
              <w:rPr>
                <w:rFonts w:hint="eastAsia" w:cs="Times New Roman"/>
                <w:color w:val="auto"/>
                <w:kern w:val="2"/>
                <w:sz w:val="21"/>
                <w:szCs w:val="21"/>
                <w:highlight w:val="none"/>
                <w:lang w:val="en-US" w:eastAsia="zh-CN" w:bidi="ar-SA"/>
              </w:rPr>
              <w:t>，废活性炭由厂家更换后回收</w:t>
            </w:r>
            <w:r>
              <w:rPr>
                <w:rFonts w:hint="eastAsia" w:ascii="Times New Roman" w:hAnsi="Times New Roman" w:eastAsia="宋体" w:cs="Times New Roman"/>
                <w:color w:val="auto"/>
                <w:kern w:val="2"/>
                <w:sz w:val="21"/>
                <w:szCs w:val="21"/>
                <w:highlight w:val="none"/>
                <w:lang w:val="en-US" w:eastAsia="zh-CN" w:bidi="ar-SA"/>
              </w:rPr>
              <w:t>。本项目化验室药剂不涉及危险物品</w:t>
            </w:r>
            <w:r>
              <w:rPr>
                <w:rFonts w:hint="default" w:ascii="Times New Roman" w:hAnsi="Times New Roman" w:eastAsia="宋体" w:cs="Times New Roman"/>
                <w:color w:val="auto"/>
                <w:kern w:val="2"/>
                <w:sz w:val="21"/>
                <w:szCs w:val="21"/>
                <w:highlight w:val="none"/>
                <w:lang w:val="en-US" w:eastAsia="zh-CN" w:bidi="ar-SA"/>
              </w:rPr>
              <w:t>，无危险废物产生</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化验室产生的</w:t>
            </w:r>
            <w:r>
              <w:rPr>
                <w:rFonts w:hint="eastAsia" w:ascii="Times New Roman" w:hAnsi="Times New Roman" w:eastAsia="宋体" w:cs="Times New Roman"/>
                <w:color w:val="auto"/>
                <w:kern w:val="2"/>
                <w:sz w:val="21"/>
                <w:szCs w:val="21"/>
                <w:highlight w:val="none"/>
                <w:lang w:val="en-US" w:eastAsia="zh-CN" w:bidi="ar-SA"/>
              </w:rPr>
              <w:t>废包装</w:t>
            </w:r>
            <w:r>
              <w:rPr>
                <w:rFonts w:hint="eastAsia" w:cs="Times New Roman"/>
                <w:color w:val="auto"/>
                <w:kern w:val="2"/>
                <w:sz w:val="21"/>
                <w:szCs w:val="21"/>
                <w:highlight w:val="none"/>
                <w:lang w:val="en-US" w:eastAsia="zh-CN" w:bidi="ar-SA"/>
              </w:rPr>
              <w:t>委托环卫部门统一处理。</w:t>
            </w:r>
          </w:p>
          <w:p w14:paraId="44C0B8F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1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①</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009AE34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2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②</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禁止向生活垃圾收集设施中投放工业固体废物。</w:t>
            </w:r>
          </w:p>
          <w:p w14:paraId="639DCBAC">
            <w:pPr>
              <w:pStyle w:val="9"/>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3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③</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65F07557">
            <w:pPr>
              <w:pStyle w:val="9"/>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）环境影响分析</w:t>
            </w:r>
          </w:p>
          <w:p w14:paraId="1196F9A4">
            <w:pPr>
              <w:pStyle w:val="9"/>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jc w:val="both"/>
              <w:textAlignment w:val="auto"/>
              <w:rPr>
                <w:rFonts w:hint="eastAsia"/>
                <w:color w:val="auto"/>
                <w:highlight w:val="none"/>
                <w:lang w:val="en-US" w:eastAsia="zh-CN"/>
              </w:rPr>
            </w:pPr>
            <w:r>
              <w:rPr>
                <w:rFonts w:hint="default" w:ascii="Times New Roman" w:hAnsi="Times New Roman" w:cs="Times New Roman"/>
                <w:color w:val="auto"/>
                <w:sz w:val="21"/>
                <w:szCs w:val="21"/>
                <w:highlight w:val="none"/>
              </w:rPr>
              <w:t>本项目所产生的固体废物做到及时收集，妥善处置，本项目一般固体废物满足《一般工业固体废物贮存和填埋污染控制标准》（GB18599-2020）</w:t>
            </w:r>
            <w:r>
              <w:rPr>
                <w:rFonts w:hint="eastAsia" w:cs="Times New Roman"/>
                <w:color w:val="auto"/>
                <w:sz w:val="21"/>
                <w:szCs w:val="21"/>
                <w:highlight w:val="none"/>
                <w:lang w:eastAsia="zh-CN"/>
              </w:rPr>
              <w:t>、</w:t>
            </w:r>
            <w:r>
              <w:rPr>
                <w:rFonts w:hint="eastAsia"/>
                <w:bCs/>
                <w:color w:val="auto"/>
                <w:szCs w:val="21"/>
                <w:highlight w:val="none"/>
              </w:rPr>
              <w:t>《固体废物分类与代码</w:t>
            </w:r>
            <w:r>
              <w:rPr>
                <w:rFonts w:hint="eastAsia"/>
                <w:bCs/>
                <w:color w:val="auto"/>
                <w:szCs w:val="21"/>
                <w:highlight w:val="none"/>
                <w:lang w:eastAsia="zh-CN"/>
              </w:rPr>
              <w:t>目录</w:t>
            </w:r>
            <w:r>
              <w:rPr>
                <w:rFonts w:hint="eastAsia"/>
                <w:bCs/>
                <w:color w:val="auto"/>
                <w:szCs w:val="21"/>
                <w:highlight w:val="none"/>
              </w:rPr>
              <w:t>》（</w:t>
            </w:r>
            <w:r>
              <w:rPr>
                <w:rFonts w:hint="eastAsia"/>
                <w:bCs/>
                <w:color w:val="auto"/>
                <w:szCs w:val="21"/>
                <w:highlight w:val="none"/>
                <w:lang w:eastAsia="zh-CN"/>
              </w:rPr>
              <w:t>公告</w:t>
            </w:r>
            <w:r>
              <w:rPr>
                <w:rFonts w:hint="eastAsia"/>
                <w:bCs/>
                <w:color w:val="auto"/>
                <w:szCs w:val="21"/>
                <w:highlight w:val="none"/>
                <w:lang w:val="en-US" w:eastAsia="zh-CN"/>
              </w:rPr>
              <w:t>2024年第4号</w:t>
            </w:r>
            <w:r>
              <w:rPr>
                <w:rFonts w:hint="eastAsia"/>
                <w:bCs/>
                <w:color w:val="auto"/>
                <w:szCs w:val="21"/>
                <w:highlight w:val="none"/>
              </w:rPr>
              <w:t>）</w:t>
            </w:r>
            <w:r>
              <w:rPr>
                <w:rFonts w:hint="eastAsia"/>
                <w:bCs/>
                <w:color w:val="auto"/>
                <w:szCs w:val="21"/>
                <w:highlight w:val="none"/>
                <w:lang w:eastAsia="zh-CN"/>
              </w:rPr>
              <w:t>，</w:t>
            </w:r>
            <w:r>
              <w:rPr>
                <w:rFonts w:hint="default" w:ascii="Times New Roman" w:hAnsi="Times New Roman" w:cs="Times New Roman"/>
                <w:color w:val="auto"/>
                <w:sz w:val="21"/>
                <w:szCs w:val="21"/>
                <w:highlight w:val="none"/>
              </w:rPr>
              <w:t>本项目产生的固体废物经过妥善处理后，处置率达到100%不会影响周边环境。</w:t>
            </w:r>
          </w:p>
          <w:p w14:paraId="00CBC7F3">
            <w:pPr>
              <w:keepNext w:val="0"/>
              <w:keepLines w:val="0"/>
              <w:pageBreakBefore w:val="0"/>
              <w:widowControl/>
              <w:suppressLineNumbers w:val="0"/>
              <w:kinsoku/>
              <w:wordWrap/>
              <w:overflowPunct/>
              <w:topLinePunct w:val="0"/>
              <w:bidi w:val="0"/>
              <w:adjustRightInd/>
              <w:snapToGrid/>
              <w:spacing w:before="0" w:beforeAutospacing="0" w:after="0" w:afterAutospacing="0" w:line="360" w:lineRule="auto"/>
              <w:ind w:left="0" w:leftChars="0" w:right="0" w:firstLine="422" w:firstLineChars="200"/>
              <w:rPr>
                <w:rFonts w:hint="eastAsia" w:ascii="Times New Roman" w:hAnsi="Times New Roman" w:eastAsia="宋体" w:cs="Times New Roman"/>
                <w:b/>
                <w:color w:val="auto"/>
                <w:szCs w:val="21"/>
                <w:highlight w:val="none"/>
                <w:lang w:eastAsia="zh-CN"/>
              </w:rPr>
            </w:pPr>
            <w:r>
              <w:rPr>
                <w:rFonts w:hint="eastAsia" w:cs="Times New Roman"/>
                <w:b/>
                <w:color w:val="auto"/>
                <w:szCs w:val="21"/>
                <w:highlight w:val="none"/>
                <w:lang w:val="en-US" w:eastAsia="zh-CN"/>
              </w:rPr>
              <w:t>5</w:t>
            </w:r>
            <w:r>
              <w:rPr>
                <w:rFonts w:hint="default" w:ascii="Times New Roman" w:hAnsi="Times New Roman" w:cs="Times New Roman"/>
                <w:b/>
                <w:color w:val="auto"/>
                <w:szCs w:val="21"/>
                <w:highlight w:val="none"/>
              </w:rPr>
              <w:t>、环境风险</w:t>
            </w:r>
          </w:p>
          <w:p w14:paraId="2047E5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（1）</w:t>
            </w:r>
            <w:r>
              <w:rPr>
                <w:rFonts w:hint="eastAsia" w:ascii="Times New Roman" w:hAnsi="Times New Roman" w:eastAsia="宋体" w:cs="Times New Roman"/>
                <w:color w:val="auto"/>
                <w:sz w:val="21"/>
                <w:szCs w:val="21"/>
                <w:highlight w:val="none"/>
                <w:lang w:val="en-US" w:eastAsia="zh-CN"/>
              </w:rPr>
              <w:t>环境风险识别</w:t>
            </w:r>
          </w:p>
          <w:p w14:paraId="60CC6F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依据《建设项目环境风险评价技术导则》（HJ169-2018）中的危险物质或危险化学品，对项目的环境风险物质进行判断，本项目风险物质主要</w:t>
            </w:r>
            <w:r>
              <w:rPr>
                <w:rFonts w:hint="eastAsia" w:ascii="Times New Roman" w:hAnsi="Times New Roman" w:eastAsia="宋体" w:cs="Times New Roman"/>
                <w:color w:val="auto"/>
                <w:sz w:val="21"/>
                <w:szCs w:val="21"/>
                <w:highlight w:val="none"/>
                <w:lang w:val="en-US" w:eastAsia="zh-CN"/>
              </w:rPr>
              <w:t>为次氯酸钠</w:t>
            </w:r>
            <w:r>
              <w:rPr>
                <w:rFonts w:hint="default" w:ascii="Times New Roman" w:hAnsi="Times New Roman" w:eastAsia="宋体" w:cs="Times New Roman"/>
                <w:color w:val="auto"/>
                <w:sz w:val="21"/>
                <w:szCs w:val="21"/>
                <w:highlight w:val="none"/>
                <w:lang w:val="en-US"/>
              </w:rPr>
              <w:t>。</w:t>
            </w:r>
          </w:p>
          <w:p w14:paraId="0953CB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（2）建设项目风险物质存储情况</w:t>
            </w:r>
          </w:p>
          <w:p w14:paraId="4C7ADF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根据《建设项目环境风险评价技术导则》（HJ 169-2018）附录B可知，本项目风险物质主要为</w:t>
            </w:r>
            <w:r>
              <w:rPr>
                <w:rFonts w:hint="eastAsia" w:ascii="Times New Roman" w:hAnsi="Times New Roman" w:eastAsia="宋体" w:cs="Times New Roman"/>
                <w:color w:val="auto"/>
                <w:sz w:val="21"/>
                <w:szCs w:val="21"/>
                <w:highlight w:val="none"/>
                <w:lang w:val="en-US" w:eastAsia="zh-CN"/>
              </w:rPr>
              <w:t>次氯酸钠，</w:t>
            </w:r>
            <w:r>
              <w:rPr>
                <w:rFonts w:hint="eastAsia" w:cs="Times New Roman"/>
                <w:color w:val="auto"/>
                <w:sz w:val="21"/>
                <w:szCs w:val="21"/>
                <w:highlight w:val="none"/>
                <w:lang w:val="en-US" w:eastAsia="zh-CN"/>
              </w:rPr>
              <w:t>次</w:t>
            </w:r>
            <w:r>
              <w:rPr>
                <w:rFonts w:hint="eastAsia" w:ascii="Times New Roman" w:hAnsi="Times New Roman" w:eastAsia="宋体" w:cs="Times New Roman"/>
                <w:color w:val="auto"/>
                <w:sz w:val="21"/>
                <w:szCs w:val="21"/>
                <w:highlight w:val="none"/>
                <w:lang w:val="en-US" w:eastAsia="zh-CN"/>
              </w:rPr>
              <w:t>氯酸钠溶液的浓度为</w:t>
            </w: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，最大储存量为</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t</w:t>
            </w:r>
            <w:r>
              <w:rPr>
                <w:rFonts w:hint="eastAsia" w:ascii="Times New Roman" w:hAnsi="Times New Roman" w:eastAsia="宋体" w:cs="Times New Roman"/>
                <w:color w:val="auto"/>
                <w:sz w:val="21"/>
                <w:szCs w:val="21"/>
                <w:highlight w:val="none"/>
                <w:lang w:val="en-US" w:eastAsia="zh-CN"/>
              </w:rPr>
              <w:t>，则本项目纯次氯酸钠最大存在量为</w:t>
            </w:r>
            <w:r>
              <w:rPr>
                <w:rFonts w:hint="eastAsia" w:cs="Times New Roman"/>
                <w:color w:val="auto"/>
                <w:sz w:val="21"/>
                <w:szCs w:val="21"/>
                <w:highlight w:val="none"/>
                <w:lang w:val="en-US" w:eastAsia="zh-CN"/>
              </w:rPr>
              <w:t>0.4</w:t>
            </w:r>
            <w:r>
              <w:rPr>
                <w:rFonts w:hint="eastAsia" w:ascii="Times New Roman" w:hAnsi="Times New Roman" w:eastAsia="宋体" w:cs="Times New Roman"/>
                <w:color w:val="auto"/>
                <w:sz w:val="21"/>
                <w:szCs w:val="21"/>
                <w:highlight w:val="none"/>
                <w:lang w:val="en-US" w:eastAsia="zh-CN"/>
              </w:rPr>
              <w:t>t，储存于加氯间内。</w:t>
            </w:r>
          </w:p>
          <w:p w14:paraId="472B0ED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8</w:t>
            </w:r>
            <w:r>
              <w:rPr>
                <w:rFonts w:hint="eastAsia" w:ascii="Times New Roman" w:hAnsi="Times New Roman" w:eastAsia="宋体" w:cs="Times New Roman"/>
                <w:b/>
                <w:bCs/>
                <w:color w:val="auto"/>
                <w:kern w:val="2"/>
                <w:sz w:val="21"/>
                <w:szCs w:val="21"/>
                <w:highlight w:val="none"/>
                <w:lang w:val="en-US" w:eastAsia="zh-CN" w:bidi="ar-SA"/>
              </w:rPr>
              <w:t xml:space="preserve">  环境风险物质统计表</w:t>
            </w:r>
          </w:p>
          <w:tbl>
            <w:tblPr>
              <w:tblStyle w:val="37"/>
              <w:tblW w:w="4997"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15"/>
              <w:gridCol w:w="3182"/>
              <w:gridCol w:w="1025"/>
              <w:gridCol w:w="1457"/>
              <w:gridCol w:w="1182"/>
              <w:gridCol w:w="733"/>
            </w:tblGrid>
            <w:tr w14:paraId="1029A3B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318" w:type="pct"/>
                  <w:tcBorders>
                    <w:top w:val="single" w:color="000000" w:sz="12" w:space="0"/>
                  </w:tcBorders>
                  <w:noWrap w:val="0"/>
                  <w:vAlign w:val="center"/>
                </w:tcPr>
                <w:p w14:paraId="077DB47F">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序号</w:t>
                  </w:r>
                </w:p>
              </w:tc>
              <w:tc>
                <w:tcPr>
                  <w:tcW w:w="1965" w:type="pct"/>
                  <w:tcBorders>
                    <w:top w:val="single" w:color="000000" w:sz="12" w:space="0"/>
                  </w:tcBorders>
                  <w:noWrap w:val="0"/>
                  <w:vAlign w:val="center"/>
                </w:tcPr>
                <w:p w14:paraId="30F13A3B">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危险物质</w:t>
                  </w:r>
                </w:p>
              </w:tc>
              <w:tc>
                <w:tcPr>
                  <w:tcW w:w="633" w:type="pct"/>
                  <w:tcBorders>
                    <w:top w:val="single" w:color="000000" w:sz="12" w:space="0"/>
                  </w:tcBorders>
                  <w:noWrap w:val="0"/>
                  <w:vAlign w:val="center"/>
                </w:tcPr>
                <w:p w14:paraId="6A9DDD87">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CAS号</w:t>
                  </w:r>
                </w:p>
              </w:tc>
              <w:tc>
                <w:tcPr>
                  <w:tcW w:w="900" w:type="pct"/>
                  <w:tcBorders>
                    <w:top w:val="single" w:color="000000" w:sz="12" w:space="0"/>
                  </w:tcBorders>
                  <w:noWrap w:val="0"/>
                  <w:vAlign w:val="center"/>
                </w:tcPr>
                <w:p w14:paraId="7D3B9848">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最大储存量（t）</w:t>
                  </w:r>
                </w:p>
              </w:tc>
              <w:tc>
                <w:tcPr>
                  <w:tcW w:w="729" w:type="pct"/>
                  <w:tcBorders>
                    <w:top w:val="single" w:color="000000" w:sz="12" w:space="0"/>
                  </w:tcBorders>
                  <w:noWrap w:val="0"/>
                  <w:vAlign w:val="center"/>
                </w:tcPr>
                <w:p w14:paraId="03ED51DF">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临界量（t）</w:t>
                  </w:r>
                </w:p>
              </w:tc>
              <w:tc>
                <w:tcPr>
                  <w:tcW w:w="453" w:type="pct"/>
                  <w:tcBorders>
                    <w:top w:val="single" w:color="000000" w:sz="12" w:space="0"/>
                  </w:tcBorders>
                  <w:noWrap w:val="0"/>
                  <w:vAlign w:val="center"/>
                </w:tcPr>
                <w:p w14:paraId="51C30367">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q值</w:t>
                  </w:r>
                </w:p>
              </w:tc>
            </w:tr>
            <w:tr w14:paraId="5923181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8" w:type="pct"/>
                  <w:noWrap w:val="0"/>
                  <w:vAlign w:val="center"/>
                </w:tcPr>
                <w:p w14:paraId="4615E76C">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1</w:t>
                  </w:r>
                </w:p>
              </w:tc>
              <w:tc>
                <w:tcPr>
                  <w:tcW w:w="1965" w:type="pct"/>
                  <w:noWrap w:val="0"/>
                  <w:vAlign w:val="center"/>
                </w:tcPr>
                <w:p w14:paraId="6F2F6E42">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次氯酸钠</w:t>
                  </w:r>
                </w:p>
              </w:tc>
              <w:tc>
                <w:tcPr>
                  <w:tcW w:w="633" w:type="pct"/>
                  <w:noWrap w:val="0"/>
                  <w:vAlign w:val="center"/>
                </w:tcPr>
                <w:p w14:paraId="02DD2D35">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7681-52-9</w:t>
                  </w:r>
                </w:p>
              </w:tc>
              <w:tc>
                <w:tcPr>
                  <w:tcW w:w="900" w:type="pct"/>
                  <w:noWrap w:val="0"/>
                  <w:vAlign w:val="center"/>
                </w:tcPr>
                <w:p w14:paraId="4D487598">
                  <w:pPr>
                    <w:keepNext w:val="0"/>
                    <w:keepLines w:val="0"/>
                    <w:suppressLineNumbers w:val="0"/>
                    <w:bidi w:val="0"/>
                    <w:spacing w:before="0" w:beforeAutospacing="0" w:after="0" w:afterAutospacing="0"/>
                    <w:ind w:left="0" w:right="0"/>
                    <w:jc w:val="center"/>
                    <w:rPr>
                      <w:rFonts w:hint="default"/>
                      <w:color w:val="auto"/>
                      <w:sz w:val="18"/>
                      <w:szCs w:val="18"/>
                      <w:lang w:val="en-US" w:eastAsia="zh-CN"/>
                    </w:rPr>
                  </w:pPr>
                  <w:r>
                    <w:rPr>
                      <w:rFonts w:hint="eastAsia"/>
                      <w:color w:val="auto"/>
                      <w:sz w:val="18"/>
                      <w:szCs w:val="18"/>
                      <w:lang w:val="en-US" w:eastAsia="zh-CN"/>
                    </w:rPr>
                    <w:t>0.4</w:t>
                  </w:r>
                </w:p>
              </w:tc>
              <w:tc>
                <w:tcPr>
                  <w:tcW w:w="729" w:type="pct"/>
                  <w:noWrap w:val="0"/>
                  <w:vAlign w:val="center"/>
                </w:tcPr>
                <w:p w14:paraId="38F4F2EE">
                  <w:pPr>
                    <w:keepNext w:val="0"/>
                    <w:keepLines w:val="0"/>
                    <w:suppressLineNumbers w:val="0"/>
                    <w:bidi w:val="0"/>
                    <w:spacing w:before="0" w:beforeAutospacing="0" w:after="0" w:afterAutospacing="0"/>
                    <w:ind w:left="0" w:right="0"/>
                    <w:jc w:val="center"/>
                    <w:rPr>
                      <w:rFonts w:hint="eastAsia" w:eastAsia="宋体"/>
                      <w:color w:val="auto"/>
                      <w:sz w:val="18"/>
                      <w:szCs w:val="18"/>
                      <w:lang w:eastAsia="zh-CN"/>
                    </w:rPr>
                  </w:pPr>
                  <w:r>
                    <w:rPr>
                      <w:rFonts w:hint="eastAsia"/>
                      <w:color w:val="auto"/>
                      <w:sz w:val="18"/>
                      <w:szCs w:val="18"/>
                      <w:lang w:val="en-US" w:eastAsia="zh-CN"/>
                    </w:rPr>
                    <w:t>5</w:t>
                  </w:r>
                </w:p>
              </w:tc>
              <w:tc>
                <w:tcPr>
                  <w:tcW w:w="453" w:type="pct"/>
                  <w:noWrap w:val="0"/>
                  <w:vAlign w:val="center"/>
                </w:tcPr>
                <w:p w14:paraId="02AEFB6F">
                  <w:pPr>
                    <w:keepNext w:val="0"/>
                    <w:keepLines w:val="0"/>
                    <w:suppressLineNumbers w:val="0"/>
                    <w:bidi w:val="0"/>
                    <w:spacing w:before="0" w:beforeAutospacing="0" w:after="0" w:afterAutospacing="0"/>
                    <w:ind w:left="0" w:right="0"/>
                    <w:jc w:val="center"/>
                    <w:rPr>
                      <w:rFonts w:hint="default"/>
                      <w:color w:val="auto"/>
                      <w:sz w:val="18"/>
                      <w:szCs w:val="18"/>
                      <w:lang w:val="en-US" w:eastAsia="zh-CN"/>
                    </w:rPr>
                  </w:pPr>
                  <w:r>
                    <w:rPr>
                      <w:rFonts w:hint="eastAsia"/>
                      <w:color w:val="auto"/>
                      <w:sz w:val="18"/>
                      <w:szCs w:val="18"/>
                      <w:lang w:val="en-US" w:eastAsia="zh-CN"/>
                    </w:rPr>
                    <w:t>0.08</w:t>
                  </w:r>
                </w:p>
              </w:tc>
            </w:tr>
            <w:tr w14:paraId="20CDC6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46" w:type="pct"/>
                  <w:gridSpan w:val="5"/>
                  <w:tcBorders>
                    <w:bottom w:val="single" w:color="000000" w:sz="12" w:space="0"/>
                  </w:tcBorders>
                  <w:noWrap w:val="0"/>
                  <w:vAlign w:val="center"/>
                </w:tcPr>
                <w:p w14:paraId="0C631909">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合计</w:t>
                  </w:r>
                </w:p>
              </w:tc>
              <w:tc>
                <w:tcPr>
                  <w:tcW w:w="728" w:type="dxa"/>
                  <w:tcBorders>
                    <w:bottom w:val="single" w:color="000000" w:sz="12" w:space="0"/>
                  </w:tcBorders>
                  <w:noWrap w:val="0"/>
                  <w:vAlign w:val="center"/>
                </w:tcPr>
                <w:p w14:paraId="635A23DC">
                  <w:pPr>
                    <w:keepNext w:val="0"/>
                    <w:keepLines w:val="0"/>
                    <w:suppressLineNumbers w:val="0"/>
                    <w:bidi w:val="0"/>
                    <w:spacing w:before="0" w:beforeAutospacing="0" w:after="0" w:afterAutospacing="0"/>
                    <w:ind w:left="0" w:leftChars="0" w:right="0" w:rightChars="0"/>
                    <w:jc w:val="center"/>
                    <w:rPr>
                      <w:rFonts w:hint="eastAsia"/>
                      <w:color w:val="auto"/>
                      <w:sz w:val="18"/>
                      <w:szCs w:val="18"/>
                      <w:lang w:eastAsia="zh-CN"/>
                    </w:rPr>
                  </w:pPr>
                  <w:r>
                    <w:rPr>
                      <w:rFonts w:hint="eastAsia"/>
                      <w:color w:val="auto"/>
                      <w:sz w:val="18"/>
                      <w:szCs w:val="18"/>
                      <w:lang w:val="en-US" w:eastAsia="zh-CN"/>
                    </w:rPr>
                    <w:t>0.08</w:t>
                  </w:r>
                </w:p>
              </w:tc>
            </w:tr>
          </w:tbl>
          <w:p w14:paraId="0C4DFF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（3）环境风险影响分析</w:t>
            </w:r>
          </w:p>
          <w:p w14:paraId="31A843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厂区主要环境风险为次氯酸钠溶液泄漏</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火灾事故</w:t>
            </w:r>
            <w:r>
              <w:rPr>
                <w:rFonts w:hint="eastAsia" w:cs="Times New Roman"/>
                <w:color w:val="auto"/>
                <w:sz w:val="21"/>
                <w:szCs w:val="21"/>
                <w:highlight w:val="none"/>
                <w:lang w:val="en-US" w:eastAsia="zh-CN"/>
              </w:rPr>
              <w:t>、污水非正常排放，项目</w:t>
            </w:r>
            <w:r>
              <w:rPr>
                <w:rFonts w:hint="eastAsia" w:ascii="Times New Roman" w:hAnsi="Times New Roman" w:eastAsia="宋体" w:cs="Times New Roman"/>
                <w:color w:val="auto"/>
                <w:sz w:val="21"/>
                <w:szCs w:val="21"/>
                <w:highlight w:val="none"/>
                <w:lang w:val="en-US" w:eastAsia="zh-CN"/>
              </w:rPr>
              <w:t>风险源及</w:t>
            </w:r>
            <w:r>
              <w:rPr>
                <w:rFonts w:hint="eastAsia" w:cs="Times New Roman"/>
                <w:color w:val="auto"/>
                <w:sz w:val="21"/>
                <w:szCs w:val="21"/>
                <w:highlight w:val="none"/>
                <w:lang w:val="en-US" w:eastAsia="zh-CN"/>
              </w:rPr>
              <w:t>泄漏</w:t>
            </w:r>
            <w:r>
              <w:rPr>
                <w:rFonts w:hint="eastAsia" w:ascii="Times New Roman" w:hAnsi="Times New Roman" w:eastAsia="宋体" w:cs="Times New Roman"/>
                <w:color w:val="auto"/>
                <w:sz w:val="21"/>
                <w:szCs w:val="21"/>
                <w:highlight w:val="none"/>
                <w:lang w:val="en-US" w:eastAsia="zh-CN"/>
              </w:rPr>
              <w:t xml:space="preserve">途径、后果分析见表 </w:t>
            </w: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8。</w:t>
            </w:r>
          </w:p>
          <w:p w14:paraId="6BDB146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 xml:space="preserve">表 </w:t>
            </w:r>
            <w:r>
              <w:rPr>
                <w:rFonts w:hint="default" w:ascii="Times New Roman" w:hAnsi="Times New Roman" w:eastAsia="宋体" w:cs="Times New Roman"/>
                <w:b/>
                <w:bCs/>
                <w:color w:val="auto"/>
                <w:kern w:val="2"/>
                <w:sz w:val="21"/>
                <w:szCs w:val="21"/>
                <w:highlight w:val="none"/>
                <w:lang w:val="en-US" w:eastAsia="zh-CN" w:bidi="ar-SA"/>
              </w:rPr>
              <w:t>4-</w:t>
            </w:r>
            <w:r>
              <w:rPr>
                <w:rFonts w:hint="eastAsia" w:cs="Times New Roman"/>
                <w:b/>
                <w:bCs/>
                <w:color w:val="auto"/>
                <w:kern w:val="2"/>
                <w:sz w:val="21"/>
                <w:szCs w:val="21"/>
                <w:highlight w:val="none"/>
                <w:lang w:val="en-US" w:eastAsia="zh-CN" w:bidi="ar-SA"/>
              </w:rPr>
              <w:t>9泄漏</w:t>
            </w:r>
            <w:r>
              <w:rPr>
                <w:rFonts w:hint="eastAsia" w:ascii="Times New Roman" w:hAnsi="Times New Roman" w:eastAsia="宋体" w:cs="Times New Roman"/>
                <w:b/>
                <w:bCs/>
                <w:color w:val="auto"/>
                <w:kern w:val="2"/>
                <w:sz w:val="21"/>
                <w:szCs w:val="21"/>
                <w:highlight w:val="none"/>
                <w:lang w:val="en-US" w:eastAsia="zh-CN" w:bidi="ar-SA"/>
              </w:rPr>
              <w:t>途径、后果分析</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2"/>
              <w:gridCol w:w="780"/>
              <w:gridCol w:w="855"/>
              <w:gridCol w:w="990"/>
              <w:gridCol w:w="1335"/>
              <w:gridCol w:w="810"/>
              <w:gridCol w:w="2201"/>
            </w:tblGrid>
            <w:tr w14:paraId="70807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2" w:type="dxa"/>
                  <w:tcBorders>
                    <w:top w:val="single" w:color="auto" w:sz="12" w:space="0"/>
                  </w:tcBorders>
                  <w:vAlign w:val="center"/>
                </w:tcPr>
                <w:p w14:paraId="7AEBDC6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事故起因</w:t>
                  </w:r>
                </w:p>
              </w:tc>
              <w:tc>
                <w:tcPr>
                  <w:tcW w:w="780" w:type="dxa"/>
                  <w:tcBorders>
                    <w:top w:val="single" w:color="auto" w:sz="12" w:space="0"/>
                  </w:tcBorders>
                  <w:vAlign w:val="center"/>
                </w:tcPr>
                <w:p w14:paraId="0605090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环境风险描述</w:t>
                  </w:r>
                </w:p>
              </w:tc>
              <w:tc>
                <w:tcPr>
                  <w:tcW w:w="855" w:type="dxa"/>
                  <w:tcBorders>
                    <w:top w:val="single" w:color="auto" w:sz="12" w:space="0"/>
                  </w:tcBorders>
                  <w:vAlign w:val="center"/>
                </w:tcPr>
                <w:p w14:paraId="330CD2B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污染物</w:t>
                  </w:r>
                </w:p>
              </w:tc>
              <w:tc>
                <w:tcPr>
                  <w:tcW w:w="990" w:type="dxa"/>
                  <w:tcBorders>
                    <w:top w:val="single" w:color="auto" w:sz="12" w:space="0"/>
                  </w:tcBorders>
                  <w:vAlign w:val="center"/>
                </w:tcPr>
                <w:p w14:paraId="1B6AB80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风险类别</w:t>
                  </w:r>
                </w:p>
              </w:tc>
              <w:tc>
                <w:tcPr>
                  <w:tcW w:w="1335" w:type="dxa"/>
                  <w:tcBorders>
                    <w:top w:val="single" w:color="auto" w:sz="12" w:space="0"/>
                  </w:tcBorders>
                  <w:vAlign w:val="center"/>
                </w:tcPr>
                <w:p w14:paraId="07E8CE2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途径及后果</w:t>
                  </w:r>
                </w:p>
              </w:tc>
              <w:tc>
                <w:tcPr>
                  <w:tcW w:w="810" w:type="dxa"/>
                  <w:tcBorders>
                    <w:top w:val="single" w:color="auto" w:sz="12" w:space="0"/>
                  </w:tcBorders>
                  <w:vAlign w:val="center"/>
                </w:tcPr>
                <w:p w14:paraId="7644642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工序</w:t>
                  </w:r>
                </w:p>
              </w:tc>
              <w:tc>
                <w:tcPr>
                  <w:tcW w:w="2201" w:type="dxa"/>
                  <w:tcBorders>
                    <w:top w:val="single" w:color="auto" w:sz="12" w:space="0"/>
                    <w:right w:val="nil"/>
                  </w:tcBorders>
                  <w:vAlign w:val="center"/>
                </w:tcPr>
                <w:p w14:paraId="1217CAA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风险防范措施</w:t>
                  </w:r>
                </w:p>
              </w:tc>
            </w:tr>
            <w:tr w14:paraId="5837E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2" w:type="dxa"/>
                  <w:tcBorders>
                    <w:left w:val="nil"/>
                  </w:tcBorders>
                  <w:vAlign w:val="center"/>
                </w:tcPr>
                <w:p w14:paraId="436C7BF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次氯酸钠溶液 泄漏</w:t>
                  </w:r>
                </w:p>
              </w:tc>
              <w:tc>
                <w:tcPr>
                  <w:tcW w:w="780" w:type="dxa"/>
                  <w:vAlign w:val="center"/>
                </w:tcPr>
                <w:p w14:paraId="7CC8F21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rPr>
                  </w:pPr>
                  <w:r>
                    <w:rPr>
                      <w:rFonts w:hint="eastAsia" w:ascii="宋体" w:hAnsi="宋体" w:eastAsia="宋体" w:cs="宋体"/>
                      <w:color w:val="auto"/>
                      <w:sz w:val="18"/>
                      <w:szCs w:val="18"/>
                      <w:lang w:val="en-US" w:eastAsia="zh-CN"/>
                    </w:rPr>
                    <w:t xml:space="preserve">次氯酸钠溶液泄漏进入周围 </w:t>
                  </w:r>
                </w:p>
                <w:p w14:paraId="3DB662A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土壤</w:t>
                  </w:r>
                </w:p>
              </w:tc>
              <w:tc>
                <w:tcPr>
                  <w:tcW w:w="855" w:type="dxa"/>
                  <w:vAlign w:val="center"/>
                </w:tcPr>
                <w:p w14:paraId="5647E1A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次氯酸钠</w:t>
                  </w:r>
                </w:p>
              </w:tc>
              <w:tc>
                <w:tcPr>
                  <w:tcW w:w="990" w:type="dxa"/>
                  <w:vAlign w:val="center"/>
                </w:tcPr>
                <w:p w14:paraId="2B9C7EB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土壤环境</w:t>
                  </w:r>
                </w:p>
              </w:tc>
              <w:tc>
                <w:tcPr>
                  <w:tcW w:w="1335" w:type="dxa"/>
                  <w:vAlign w:val="center"/>
                </w:tcPr>
                <w:p w14:paraId="26683ED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泄漏进入土壤，造成土壤污染</w:t>
                  </w:r>
                </w:p>
              </w:tc>
              <w:tc>
                <w:tcPr>
                  <w:tcW w:w="810" w:type="dxa"/>
                  <w:vAlign w:val="center"/>
                </w:tcPr>
                <w:p w14:paraId="7ADDAB0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次氯酸钠溶液储存</w:t>
                  </w:r>
                </w:p>
              </w:tc>
              <w:tc>
                <w:tcPr>
                  <w:tcW w:w="2201" w:type="dxa"/>
                  <w:tcBorders>
                    <w:right w:val="nil"/>
                  </w:tcBorders>
                  <w:vAlign w:val="center"/>
                </w:tcPr>
                <w:p w14:paraId="4CC03E0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eastAsia"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次氯酸钠溶液存放在加氯 间，</w:t>
                  </w:r>
                  <w:r>
                    <w:rPr>
                      <w:rFonts w:hint="eastAsia"/>
                      <w:color w:val="auto"/>
                      <w:sz w:val="18"/>
                      <w:szCs w:val="18"/>
                    </w:rPr>
                    <w:t>本项目对加氯间地面进行重点防渗，防渗措施应满足《环境影响评价技术导则地下水环境》（HJ 610—2016）中等效黏土防渗层Mb≥</w:t>
                  </w:r>
                  <w:r>
                    <w:rPr>
                      <w:rFonts w:hint="eastAsia"/>
                      <w:color w:val="auto"/>
                      <w:sz w:val="18"/>
                      <w:szCs w:val="18"/>
                      <w:lang w:val="en-US" w:eastAsia="zh-CN"/>
                    </w:rPr>
                    <w:t>6.0</w:t>
                  </w:r>
                  <w:r>
                    <w:rPr>
                      <w:rFonts w:hint="eastAsia"/>
                      <w:color w:val="auto"/>
                      <w:sz w:val="18"/>
                      <w:szCs w:val="18"/>
                    </w:rPr>
                    <w:t>m，渗透系数K≤1×10</w:t>
                  </w:r>
                  <w:r>
                    <w:rPr>
                      <w:rFonts w:hint="eastAsia"/>
                      <w:color w:val="auto"/>
                      <w:sz w:val="18"/>
                      <w:szCs w:val="18"/>
                      <w:vertAlign w:val="superscript"/>
                    </w:rPr>
                    <w:t>-7</w:t>
                  </w:r>
                  <w:r>
                    <w:rPr>
                      <w:rFonts w:hint="eastAsia"/>
                      <w:color w:val="auto"/>
                      <w:sz w:val="18"/>
                      <w:szCs w:val="18"/>
                    </w:rPr>
                    <w:t>cm/s</w:t>
                  </w:r>
                  <w:r>
                    <w:rPr>
                      <w:rFonts w:hint="eastAsia"/>
                      <w:color w:val="auto"/>
                      <w:sz w:val="18"/>
                      <w:szCs w:val="18"/>
                      <w:lang w:eastAsia="zh-CN"/>
                    </w:rPr>
                    <w:t>。</w:t>
                  </w:r>
                  <w:r>
                    <w:rPr>
                      <w:rFonts w:hint="eastAsia" w:ascii="宋体" w:hAnsi="宋体" w:eastAsia="宋体" w:cs="宋体"/>
                      <w:color w:val="auto"/>
                      <w:sz w:val="18"/>
                      <w:szCs w:val="18"/>
                      <w:lang w:val="en-US" w:eastAsia="zh-CN"/>
                    </w:rPr>
                    <w:t>同时采取截流措施，避免 进入外环境；储罐采用加厚PE材质；定期检查储罐是否完整无损，厂区其他区域为简单防渗</w:t>
                  </w:r>
                  <w:r>
                    <w:rPr>
                      <w:rFonts w:hint="eastAsia"/>
                      <w:color w:val="auto"/>
                      <w:sz w:val="18"/>
                      <w:szCs w:val="18"/>
                      <w:lang w:val="en-US" w:eastAsia="zh-CN"/>
                    </w:rPr>
                    <w:t>，进行一般地面硬化。</w:t>
                  </w:r>
                </w:p>
              </w:tc>
            </w:tr>
            <w:tr w14:paraId="67AAC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52" w:type="dxa"/>
                  <w:tcBorders>
                    <w:left w:val="nil"/>
                  </w:tcBorders>
                  <w:vAlign w:val="center"/>
                </w:tcPr>
                <w:p w14:paraId="418F0FE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火灾</w:t>
                  </w:r>
                </w:p>
              </w:tc>
              <w:tc>
                <w:tcPr>
                  <w:tcW w:w="780" w:type="dxa"/>
                  <w:vAlign w:val="center"/>
                </w:tcPr>
                <w:p w14:paraId="269ECC8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消防废水进入附近 水体、土 壤</w:t>
                  </w:r>
                </w:p>
              </w:tc>
              <w:tc>
                <w:tcPr>
                  <w:tcW w:w="855" w:type="dxa"/>
                  <w:vAlign w:val="center"/>
                </w:tcPr>
                <w:p w14:paraId="353297A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pH、 COD</w:t>
                  </w:r>
                </w:p>
                <w:p w14:paraId="3D56786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Cr等</w:t>
                  </w:r>
                </w:p>
                <w:p w14:paraId="7ECDDA6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p>
              </w:tc>
              <w:tc>
                <w:tcPr>
                  <w:tcW w:w="990" w:type="dxa"/>
                  <w:vAlign w:val="center"/>
                </w:tcPr>
                <w:p w14:paraId="7781710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水环境、土壤环境</w:t>
                  </w:r>
                </w:p>
                <w:p w14:paraId="0A2B7D5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p>
              </w:tc>
              <w:tc>
                <w:tcPr>
                  <w:tcW w:w="1335" w:type="dxa"/>
                  <w:vAlign w:val="center"/>
                </w:tcPr>
                <w:p w14:paraId="265A1C6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通过雨水管对 </w:t>
                  </w:r>
                </w:p>
                <w:p w14:paraId="197701C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附近水体水质 </w:t>
                  </w:r>
                </w:p>
                <w:p w14:paraId="47D095B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和土壤环境造 </w:t>
                  </w:r>
                </w:p>
                <w:p w14:paraId="710229A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成影响</w:t>
                  </w:r>
                </w:p>
                <w:p w14:paraId="723C650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p>
              </w:tc>
              <w:tc>
                <w:tcPr>
                  <w:tcW w:w="810" w:type="dxa"/>
                  <w:vAlign w:val="center"/>
                </w:tcPr>
                <w:p w14:paraId="115B567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原辅材 </w:t>
                  </w:r>
                </w:p>
                <w:p w14:paraId="1287E69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料储存</w:t>
                  </w:r>
                </w:p>
                <w:p w14:paraId="7E0A334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p>
              </w:tc>
              <w:tc>
                <w:tcPr>
                  <w:tcW w:w="2201" w:type="dxa"/>
                  <w:tcBorders>
                    <w:right w:val="nil"/>
                  </w:tcBorders>
                  <w:vAlign w:val="center"/>
                </w:tcPr>
                <w:p w14:paraId="7AA3FC6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储存于阴凉处，远离热源</w:t>
                  </w:r>
                </w:p>
                <w:p w14:paraId="513F6E3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p>
              </w:tc>
            </w:tr>
            <w:tr w14:paraId="6F0F4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2" w:type="dxa"/>
                  <w:tcBorders>
                    <w:left w:val="nil"/>
                  </w:tcBorders>
                  <w:vAlign w:val="center"/>
                </w:tcPr>
                <w:p w14:paraId="35F474A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污水非正常排放</w:t>
                  </w:r>
                </w:p>
              </w:tc>
              <w:tc>
                <w:tcPr>
                  <w:tcW w:w="780" w:type="dxa"/>
                  <w:vAlign w:val="center"/>
                </w:tcPr>
                <w:p w14:paraId="06B6E30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污水超标排放至穆棱河</w:t>
                  </w:r>
                </w:p>
              </w:tc>
              <w:tc>
                <w:tcPr>
                  <w:tcW w:w="855" w:type="dxa"/>
                  <w:vAlign w:val="center"/>
                </w:tcPr>
                <w:p w14:paraId="7251B46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COD、氨氮、SS</w:t>
                  </w:r>
                </w:p>
              </w:tc>
              <w:tc>
                <w:tcPr>
                  <w:tcW w:w="990" w:type="dxa"/>
                  <w:vAlign w:val="center"/>
                </w:tcPr>
                <w:p w14:paraId="44A8203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水环境</w:t>
                  </w:r>
                </w:p>
              </w:tc>
              <w:tc>
                <w:tcPr>
                  <w:tcW w:w="1335" w:type="dxa"/>
                  <w:vAlign w:val="center"/>
                </w:tcPr>
                <w:p w14:paraId="17A08F6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对地表水质造成影响</w:t>
                  </w:r>
                </w:p>
              </w:tc>
              <w:tc>
                <w:tcPr>
                  <w:tcW w:w="810" w:type="dxa"/>
                  <w:vAlign w:val="center"/>
                </w:tcPr>
                <w:p w14:paraId="6E11F47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污泥处理间</w:t>
                  </w:r>
                </w:p>
              </w:tc>
              <w:tc>
                <w:tcPr>
                  <w:tcW w:w="2201" w:type="dxa"/>
                  <w:tcBorders>
                    <w:right w:val="nil"/>
                  </w:tcBorders>
                  <w:vAlign w:val="center"/>
                </w:tcPr>
                <w:p w14:paraId="17C66FC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本项目污泥处理间设置2套压滤设备，1用1备。在污泥处理间事故状态时可先暂停净水间刮泥工序，待污泥处理间正常运转在进行排泥。</w:t>
                  </w:r>
                </w:p>
              </w:tc>
            </w:tr>
          </w:tbl>
          <w:p w14:paraId="24A0470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360" w:lineRule="auto"/>
              <w:ind w:left="0" w:right="0"/>
              <w:jc w:val="left"/>
              <w:textAlignment w:val="auto"/>
              <w:rPr>
                <w:rFonts w:hint="default"/>
                <w:color w:val="auto"/>
              </w:rPr>
            </w:pPr>
            <w:r>
              <w:rPr>
                <w:rFonts w:hint="default" w:ascii="Times New Roman" w:hAnsi="Times New Roman" w:eastAsia="宋体" w:cs="Times New Roman"/>
                <w:b/>
                <w:bCs/>
                <w:color w:val="auto"/>
                <w:kern w:val="0"/>
                <w:sz w:val="24"/>
                <w:szCs w:val="24"/>
                <w:lang w:val="en-US" w:eastAsia="zh-CN" w:bidi="ar"/>
              </w:rPr>
              <w:t>3</w:t>
            </w:r>
            <w:r>
              <w:rPr>
                <w:rFonts w:hint="eastAsia" w:ascii="宋体" w:hAnsi="宋体" w:eastAsia="宋体" w:cs="宋体"/>
                <w:b/>
                <w:bCs/>
                <w:color w:val="auto"/>
                <w:kern w:val="0"/>
                <w:sz w:val="24"/>
                <w:szCs w:val="24"/>
                <w:lang w:val="en-US" w:eastAsia="zh-CN" w:bidi="ar"/>
              </w:rPr>
              <w:t xml:space="preserve">、环境风险防范措施 </w:t>
            </w:r>
          </w:p>
          <w:p w14:paraId="22001D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（1）次氯酸钠溶液</w:t>
            </w:r>
            <w:r>
              <w:rPr>
                <w:rFonts w:hint="eastAsia" w:cs="Times New Roman"/>
                <w:color w:val="auto"/>
                <w:sz w:val="21"/>
                <w:szCs w:val="21"/>
                <w:highlight w:val="none"/>
                <w:lang w:val="en-US" w:eastAsia="zh-CN"/>
              </w:rPr>
              <w:t>泄漏</w:t>
            </w:r>
            <w:r>
              <w:rPr>
                <w:rFonts w:hint="default" w:ascii="Times New Roman" w:hAnsi="Times New Roman" w:eastAsia="宋体" w:cs="Times New Roman"/>
                <w:color w:val="auto"/>
                <w:sz w:val="21"/>
                <w:szCs w:val="21"/>
                <w:highlight w:val="none"/>
                <w:lang w:val="en-US" w:eastAsia="zh-CN"/>
              </w:rPr>
              <w:t xml:space="preserve">风险防范措施 </w:t>
            </w:r>
          </w:p>
          <w:p w14:paraId="68983F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w:t>
            </w:r>
            <w:r>
              <w:rPr>
                <w:rFonts w:hint="eastAsia" w:ascii="Times New Roman" w:hAnsi="Times New Roman" w:eastAsia="宋体" w:cs="Times New Roman"/>
                <w:color w:val="auto"/>
                <w:sz w:val="21"/>
                <w:szCs w:val="21"/>
                <w:highlight w:val="none"/>
                <w:lang w:val="en-US" w:eastAsia="zh-CN"/>
              </w:rPr>
              <w:t>储存</w:t>
            </w:r>
            <w:r>
              <w:rPr>
                <w:rFonts w:hint="default" w:ascii="Times New Roman" w:hAnsi="Times New Roman" w:eastAsia="宋体" w:cs="Times New Roman"/>
                <w:color w:val="auto"/>
                <w:sz w:val="21"/>
                <w:szCs w:val="21"/>
                <w:highlight w:val="none"/>
                <w:lang w:val="en-US" w:eastAsia="zh-CN"/>
              </w:rPr>
              <w:t xml:space="preserve">风险防范措施 </w:t>
            </w:r>
          </w:p>
          <w:p w14:paraId="756D2D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次氯酸钠属危险品，在储存过程中应确保安全。如发现泄漏，应积极主动采取措施处理，防止事态进一步扩大，在切断漏源后应将情况及时向当地公安机关和有关部门报告，如处理不了，应立即报告当地公安机关和有关部门请求支援。 </w:t>
            </w:r>
          </w:p>
          <w:p w14:paraId="23DEC2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②加氯间风险防范措施 </w:t>
            </w:r>
          </w:p>
          <w:p w14:paraId="3D80D6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1）加强管理，配备必要的救灾防毒器具及防护用品。 </w:t>
            </w:r>
          </w:p>
          <w:p w14:paraId="3934B3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2）本工程设计加氯设备采用性能可靠、安全先进的加氯机，可以最大限度地降低泄漏事故的发生，保证加氯过程的安全。 </w:t>
            </w:r>
          </w:p>
          <w:p w14:paraId="69FB03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3）加氯间等建筑物在生产及运作过程中，因受到次氯酸钠溶液等的浸蚀，故环评要求对加氯间必须做好防腐防渗处理，防止液体泄漏。 </w:t>
            </w:r>
          </w:p>
          <w:p w14:paraId="71D8F1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③操作过程中的风险防范措施 </w:t>
            </w:r>
          </w:p>
          <w:p w14:paraId="4265B1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为使环境风险减小到最低限度，必须加强劳动安全卫生管理，制定完备的安全防范措施，尽可能降低项目环境风险事故发生的概率。生产操作过程中，必须加强安全管理，提高事故防范措施。加强加氯系统的设备定期检查，检查输氯管道、阀门和垫片等，定期进行检漏试验，防止设备的破损老化引起的泄漏。加强对操作人员的培训，提高操作技能，严格按操作规程操作。 </w:t>
            </w:r>
          </w:p>
          <w:p w14:paraId="5B7F79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④事故应急措施 </w:t>
            </w:r>
          </w:p>
          <w:p w14:paraId="42730F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迅速撤离泄漏污染区人员至安全区，并进行隔离，严格限制出入。建议应急处理人员戴自给正压式呼吸器，穿防酸碱工作服。不要直接接触泄漏物。尽可能切断泄漏源。 </w:t>
            </w:r>
          </w:p>
          <w:p w14:paraId="02DC91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小量泄漏：用砂土、蛭石或其它惰性材料吸收。 </w:t>
            </w:r>
          </w:p>
          <w:p w14:paraId="31D079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大量泄漏：构筑围堤或挖坑收容。用泡沫覆盖，降低蒸气灾害。用泵转移至槽车或专用收集器内，回收或运至废物处理场所处置。 </w:t>
            </w:r>
          </w:p>
          <w:p w14:paraId="199D8A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（2）火灾风险防范措施 </w:t>
            </w:r>
          </w:p>
          <w:p w14:paraId="374EE2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①平面布置应严格执行安全和防火的相关技术规范要求。 </w:t>
            </w:r>
          </w:p>
          <w:p w14:paraId="5B7B2D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②加强岗位人员的技术培训和安全知识培训工作的业务素质，加强岗位操作管理，严格执行操作规程和工艺指标。 </w:t>
            </w:r>
          </w:p>
          <w:p w14:paraId="5F0600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③加药间及仓库应加强火灾风险防范措施，包括加强明火管理，厂区内严禁烟火；电源电气管理，厂区内严禁擅自乱拉、乱接电源线路，不得随意增设电器设备；各电气设备的导线、接点、开关不得有断线、老化、裸漏、破损等；加强消防通道、安全疏散通道的管理，保障其通畅；加强公司假日及夜间消防安全管理。 </w:t>
            </w:r>
          </w:p>
          <w:p w14:paraId="4F8A71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④配备一定数目的移动式灭火器，例如推车式干粉灭火器、手持式干粉灭火器，用以扑灭初期小型火灾。同时应加强员工培训，使其熟练掌握灭火器的使用。 另外还应加强对灭火器的维护保养，灭火器应正立在固定场所，严禁潮湿，日晒， 撞击，定期检查。 </w:t>
            </w:r>
          </w:p>
          <w:p w14:paraId="2E9589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⑤应急措施：若发现厂区内起火，应立即报警，停止有关生产活动。迅速采取相应的措施进行灭火，制止事故现场及周围与应急救援无关的一切作业，疏散无关人员。待消防救护队或其它救护专业队到达现场后，积极配合各专业队开展救援工作。当事故得到控制后，应查明事故原因，消除隐患，落实防范措施。同时做好善后工作，总结经验教训，并按事故报告程序，向主管部门报告。 </w:t>
            </w:r>
          </w:p>
          <w:p w14:paraId="726837A0">
            <w:pPr>
              <w:pStyle w:val="35"/>
              <w:keepNext w:val="0"/>
              <w:keepLines w:val="0"/>
              <w:pageBreakBefore w:val="0"/>
              <w:widowControl w:val="0"/>
              <w:numPr>
                <w:ilvl w:val="0"/>
                <w:numId w:val="0"/>
              </w:numPr>
              <w:suppressLineNumbers w:val="0"/>
              <w:kinsoku/>
              <w:wordWrap/>
              <w:overflowPunct/>
              <w:topLinePunct w:val="0"/>
              <w:autoSpaceDE/>
              <w:autoSpaceDN/>
              <w:bidi w:val="0"/>
              <w:snapToGrid w:val="0"/>
              <w:spacing w:before="0" w:beforeAutospacing="0" w:after="0" w:afterAutospacing="0" w:line="360" w:lineRule="auto"/>
              <w:ind w:left="0" w:leftChars="0" w:right="113" w:rightChars="0" w:firstLine="420" w:firstLineChars="200"/>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lang w:val="en-US" w:eastAsia="zh-CN" w:bidi="ar-SA"/>
              </w:rPr>
              <w:t>（3）</w:t>
            </w:r>
            <w:r>
              <w:rPr>
                <w:rFonts w:hint="eastAsia" w:cs="Times New Roman"/>
                <w:color w:val="auto"/>
                <w:sz w:val="21"/>
                <w:szCs w:val="21"/>
                <w:highlight w:val="none"/>
                <w:lang w:val="en-US" w:eastAsia="zh-CN"/>
              </w:rPr>
              <w:t>污泥处理间风险防范措施</w:t>
            </w:r>
          </w:p>
          <w:p w14:paraId="7F8F6A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①排泥池应设置水位监控，及时对排泥水进行处理，避免发生溢流现象。</w:t>
            </w:r>
          </w:p>
          <w:p w14:paraId="791F62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②定期检查污泥间压滤系统及加药设备，避免设备故障引起排泥水不达标排放。</w:t>
            </w:r>
          </w:p>
          <w:p w14:paraId="79C7F8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③当污泥处理间设备故障，不能及时处理排泥水，应立即停止净水间刮泥机工作，延缓排泥水输送至排泥池。</w:t>
            </w:r>
          </w:p>
          <w:p w14:paraId="3165F5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380" w:firstLineChars="200"/>
              <w:textAlignment w:val="auto"/>
              <w:rPr>
                <w:rFonts w:hint="default" w:eastAsia="宋体"/>
                <w:bCs/>
                <w:color w:val="auto"/>
                <w:spacing w:val="-10"/>
                <w:szCs w:val="21"/>
                <w:highlight w:val="none"/>
                <w:lang w:val="en-US" w:eastAsia="zh-CN"/>
              </w:rPr>
            </w:pPr>
          </w:p>
        </w:tc>
      </w:tr>
    </w:tbl>
    <w:p w14:paraId="02D59930">
      <w:pPr>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1"/>
          <w:sz w:val="30"/>
          <w:szCs w:val="30"/>
          <w:highlight w:val="none"/>
        </w:rPr>
        <w:br w:type="page"/>
      </w:r>
    </w:p>
    <w:p w14:paraId="36441619">
      <w:pPr>
        <w:pStyle w:val="32"/>
        <w:spacing w:before="0" w:beforeAutospacing="0" w:after="158" w:afterLines="50" w:afterAutospacing="0"/>
        <w:jc w:val="center"/>
        <w:outlineLvl w:val="0"/>
        <w:rPr>
          <w:rFonts w:hint="eastAsia" w:ascii="Times New Roman" w:hAnsi="Times New Roman" w:eastAsia="黑体" w:cs="Times New Roman"/>
          <w:snapToGrid w:val="0"/>
          <w:color w:val="auto"/>
          <w:kern w:val="21"/>
          <w:sz w:val="30"/>
          <w:szCs w:val="30"/>
          <w:highlight w:val="none"/>
          <w:lang w:eastAsia="zh-CN"/>
        </w:rPr>
      </w:pPr>
      <w:bookmarkStart w:id="12" w:name="_Toc21713"/>
      <w:r>
        <w:rPr>
          <w:rFonts w:hint="default" w:ascii="Times New Roman" w:hAnsi="Times New Roman" w:eastAsia="黑体" w:cs="Times New Roman"/>
          <w:snapToGrid w:val="0"/>
          <w:color w:val="auto"/>
          <w:kern w:val="21"/>
          <w:sz w:val="30"/>
          <w:szCs w:val="30"/>
          <w:highlight w:val="none"/>
        </w:rPr>
        <w:t>五、</w:t>
      </w:r>
      <w:bookmarkStart w:id="13" w:name="_Hlk54167917"/>
      <w:r>
        <w:rPr>
          <w:rFonts w:hint="default" w:ascii="Times New Roman" w:hAnsi="Times New Roman" w:eastAsia="黑体" w:cs="Times New Roman"/>
          <w:snapToGrid w:val="0"/>
          <w:color w:val="auto"/>
          <w:kern w:val="21"/>
          <w:sz w:val="30"/>
          <w:szCs w:val="30"/>
          <w:highlight w:val="none"/>
        </w:rPr>
        <w:t>环境保护措施监督检查清单</w:t>
      </w:r>
      <w:bookmarkEnd w:id="12"/>
      <w:bookmarkEnd w:id="13"/>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489"/>
        <w:gridCol w:w="1661"/>
        <w:gridCol w:w="1451"/>
        <w:gridCol w:w="1877"/>
        <w:gridCol w:w="2525"/>
      </w:tblGrid>
      <w:tr w14:paraId="76AFBFE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14:paraId="0764F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21"/>
                <w:sz w:val="21"/>
                <w:szCs w:val="21"/>
                <w:highlight w:val="none"/>
                <w:lang w:val="en-US" w:eastAsia="zh-CN" w:bidi="ar-SA"/>
              </w:rPr>
            </w:pPr>
          </w:p>
          <w:p w14:paraId="1E5C30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mc:AlternateContent>
                <mc:Choice Requires="wpsCustomData">
                  <wpsCustomData:diagonalParaType/>
                </mc:Choice>
              </mc:AlternateContent>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要素</w:t>
            </w:r>
          </w:p>
          <w:p w14:paraId="10DC10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210" w:firstLineChars="100"/>
              <w:jc w:val="both"/>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内容</w:t>
            </w:r>
          </w:p>
          <w:p w14:paraId="48C7A9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21"/>
                <w:sz w:val="21"/>
                <w:szCs w:val="21"/>
                <w:highlight w:val="none"/>
                <w:lang w:val="en-US" w:eastAsia="zh-CN" w:bidi="ar-SA"/>
              </w:rPr>
            </w:pPr>
          </w:p>
        </w:tc>
        <w:tc>
          <w:tcPr>
            <w:tcW w:w="922" w:type="pct"/>
            <w:tcBorders>
              <w:tl2br w:val="nil"/>
              <w:tr2bl w:val="nil"/>
            </w:tcBorders>
            <w:vAlign w:val="center"/>
          </w:tcPr>
          <w:p w14:paraId="15B69B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排放口（编号、名称）/污染源</w:t>
            </w:r>
          </w:p>
        </w:tc>
        <w:tc>
          <w:tcPr>
            <w:tcW w:w="805" w:type="pct"/>
            <w:tcBorders>
              <w:tl2br w:val="nil"/>
              <w:tr2bl w:val="nil"/>
            </w:tcBorders>
            <w:vAlign w:val="center"/>
          </w:tcPr>
          <w:p w14:paraId="3CF1D2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污染物项目</w:t>
            </w:r>
          </w:p>
        </w:tc>
        <w:tc>
          <w:tcPr>
            <w:tcW w:w="1042" w:type="pct"/>
            <w:tcBorders>
              <w:tl2br w:val="nil"/>
              <w:tr2bl w:val="nil"/>
            </w:tcBorders>
            <w:vAlign w:val="center"/>
          </w:tcPr>
          <w:p w14:paraId="1A267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环境保护措施</w:t>
            </w:r>
          </w:p>
        </w:tc>
        <w:tc>
          <w:tcPr>
            <w:tcW w:w="1402" w:type="pct"/>
            <w:tcBorders>
              <w:tl2br w:val="nil"/>
              <w:tr2bl w:val="nil"/>
            </w:tcBorders>
            <w:vAlign w:val="center"/>
          </w:tcPr>
          <w:p w14:paraId="43A17B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执行标准</w:t>
            </w:r>
          </w:p>
        </w:tc>
      </w:tr>
      <w:tr w14:paraId="42BA5EB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6B5916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大气环境</w:t>
            </w:r>
          </w:p>
        </w:tc>
        <w:tc>
          <w:tcPr>
            <w:tcW w:w="922" w:type="pct"/>
            <w:tcBorders>
              <w:tl2br w:val="nil"/>
              <w:tr2bl w:val="nil"/>
            </w:tcBorders>
            <w:vAlign w:val="center"/>
          </w:tcPr>
          <w:p w14:paraId="3D1F5D0C">
            <w:pPr>
              <w:keepNext w:val="0"/>
              <w:keepLines w:val="0"/>
              <w:widowControl/>
              <w:suppressLineNumbers w:val="0"/>
              <w:adjustRightInd/>
              <w:snapToGrid/>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w:t>
            </w:r>
          </w:p>
        </w:tc>
        <w:tc>
          <w:tcPr>
            <w:tcW w:w="805" w:type="pct"/>
            <w:tcBorders>
              <w:tl2br w:val="nil"/>
              <w:tr2bl w:val="nil"/>
            </w:tcBorders>
            <w:vAlign w:val="center"/>
          </w:tcPr>
          <w:p w14:paraId="49BE9A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臭气浓度</w:t>
            </w:r>
          </w:p>
        </w:tc>
        <w:tc>
          <w:tcPr>
            <w:tcW w:w="1042" w:type="pct"/>
            <w:tcBorders>
              <w:tl2br w:val="nil"/>
              <w:tr2bl w:val="nil"/>
            </w:tcBorders>
            <w:vAlign w:val="center"/>
          </w:tcPr>
          <w:p w14:paraId="7A08EB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cs="宋体"/>
                <w:color w:val="auto"/>
                <w:sz w:val="21"/>
                <w:szCs w:val="21"/>
                <w:highlight w:val="none"/>
                <w:lang w:val="en-US" w:eastAsia="zh-CN"/>
              </w:rPr>
              <w:t>臭</w:t>
            </w:r>
            <w:r>
              <w:rPr>
                <w:rFonts w:hint="eastAsia" w:cs="Times New Roman"/>
                <w:color w:val="auto"/>
                <w:kern w:val="2"/>
                <w:sz w:val="21"/>
                <w:szCs w:val="21"/>
                <w:highlight w:val="none"/>
                <w:lang w:val="en-US" w:eastAsia="zh-CN" w:bidi="ar-SA"/>
              </w:rPr>
              <w:t>氧破坏器设计尾气排放</w:t>
            </w:r>
            <w:r>
              <w:rPr>
                <w:rFonts w:hint="default" w:cs="Times New Roman"/>
                <w:color w:val="auto"/>
                <w:kern w:val="2"/>
                <w:sz w:val="21"/>
                <w:szCs w:val="21"/>
                <w:highlight w:val="none"/>
                <w:lang w:val="en-US" w:eastAsia="zh-CN" w:bidi="ar-SA"/>
              </w:rPr>
              <w:t>臭氧浓度</w:t>
            </w:r>
            <w:r>
              <w:rPr>
                <w:rFonts w:hint="eastAsia" w:cs="Times New Roman"/>
                <w:color w:val="auto"/>
                <w:kern w:val="2"/>
                <w:sz w:val="21"/>
                <w:szCs w:val="21"/>
                <w:highlight w:val="none"/>
                <w:lang w:val="en-US" w:eastAsia="zh-CN" w:bidi="ar-SA"/>
              </w:rPr>
              <w:t>低于</w:t>
            </w:r>
            <w:r>
              <w:rPr>
                <w:rFonts w:hint="default" w:cs="Times New Roman"/>
                <w:color w:val="auto"/>
                <w:kern w:val="2"/>
                <w:sz w:val="21"/>
                <w:szCs w:val="21"/>
                <w:highlight w:val="none"/>
                <w:lang w:val="en-US" w:eastAsia="zh-CN" w:bidi="ar-SA"/>
              </w:rPr>
              <w:t>1ppm</w:t>
            </w:r>
            <w:r>
              <w:rPr>
                <w:rFonts w:hint="eastAsia" w:cs="Times New Roman"/>
                <w:color w:val="auto"/>
                <w:kern w:val="2"/>
                <w:sz w:val="21"/>
                <w:szCs w:val="21"/>
                <w:highlight w:val="none"/>
                <w:lang w:val="en-US" w:eastAsia="zh-CN" w:bidi="ar-SA"/>
              </w:rPr>
              <w:t>、污泥间加强通风、污泥日产日清</w:t>
            </w:r>
          </w:p>
        </w:tc>
        <w:tc>
          <w:tcPr>
            <w:tcW w:w="1402" w:type="pct"/>
            <w:tcBorders>
              <w:tl2br w:val="nil"/>
              <w:tr2bl w:val="nil"/>
            </w:tcBorders>
            <w:vAlign w:val="center"/>
          </w:tcPr>
          <w:p w14:paraId="32C110C2">
            <w:pPr>
              <w:pStyle w:val="89"/>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kern w:val="2"/>
                <w:sz w:val="21"/>
                <w:szCs w:val="21"/>
                <w:highlight w:val="none"/>
                <w:lang w:val="en-US" w:eastAsia="zh-CN" w:bidi="ar-SA"/>
              </w:rPr>
              <w:t>《恶臭污染物排放标准》（GB14554-93）表1中二级新扩改建标准限值</w:t>
            </w:r>
          </w:p>
        </w:tc>
      </w:tr>
      <w:tr w14:paraId="67C32CB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vMerge w:val="restart"/>
            <w:tcBorders>
              <w:tl2br w:val="nil"/>
              <w:tr2bl w:val="nil"/>
            </w:tcBorders>
            <w:vAlign w:val="center"/>
          </w:tcPr>
          <w:p w14:paraId="226622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地表水环境</w:t>
            </w:r>
          </w:p>
        </w:tc>
        <w:tc>
          <w:tcPr>
            <w:tcW w:w="922" w:type="pct"/>
            <w:tcBorders>
              <w:tl2br w:val="nil"/>
              <w:tr2bl w:val="nil"/>
            </w:tcBorders>
            <w:vAlign w:val="center"/>
          </w:tcPr>
          <w:p w14:paraId="5D2617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kern w:val="21"/>
                <w:sz w:val="21"/>
                <w:szCs w:val="21"/>
                <w:highlight w:val="none"/>
                <w:lang w:eastAsia="zh-CN"/>
              </w:rPr>
              <w:t>生活污水</w:t>
            </w:r>
          </w:p>
        </w:tc>
        <w:tc>
          <w:tcPr>
            <w:tcW w:w="805" w:type="pct"/>
            <w:tcBorders>
              <w:tl2br w:val="nil"/>
              <w:tr2bl w:val="nil"/>
            </w:tcBorders>
            <w:vAlign w:val="center"/>
          </w:tcPr>
          <w:p w14:paraId="0DD93C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COD</w:t>
            </w:r>
            <w:r>
              <w:rPr>
                <w:rFonts w:hint="default" w:ascii="Times New Roman" w:hAnsi="Times New Roman" w:eastAsia="宋体" w:cs="Times New Roman"/>
                <w:color w:val="auto"/>
                <w:kern w:val="21"/>
                <w:sz w:val="21"/>
                <w:szCs w:val="21"/>
                <w:highlight w:val="none"/>
              </w:rPr>
              <w:t>、氨氮、</w:t>
            </w:r>
            <w:r>
              <w:rPr>
                <w:rFonts w:hint="default" w:ascii="Times New Roman" w:hAnsi="Times New Roman" w:eastAsia="宋体" w:cs="Times New Roman"/>
                <w:color w:val="auto"/>
                <w:kern w:val="21"/>
                <w:sz w:val="21"/>
                <w:szCs w:val="21"/>
                <w:highlight w:val="none"/>
                <w:lang w:val="en-US" w:eastAsia="zh-CN"/>
              </w:rPr>
              <w:t>SS</w:t>
            </w:r>
            <w:r>
              <w:rPr>
                <w:rFonts w:hint="default" w:ascii="Times New Roman" w:hAnsi="Times New Roman" w:eastAsia="宋体" w:cs="Times New Roman"/>
                <w:color w:val="auto"/>
                <w:kern w:val="21"/>
                <w:sz w:val="21"/>
                <w:szCs w:val="21"/>
                <w:highlight w:val="none"/>
              </w:rPr>
              <w:t>、</w:t>
            </w:r>
            <w:r>
              <w:rPr>
                <w:rFonts w:hint="default" w:ascii="Times New Roman" w:hAnsi="Times New Roman" w:eastAsia="宋体" w:cs="Times New Roman"/>
                <w:color w:val="auto"/>
                <w:sz w:val="21"/>
                <w:szCs w:val="21"/>
                <w:highlight w:val="none"/>
              </w:rPr>
              <w:t>pH、</w:t>
            </w:r>
            <w:r>
              <w:rPr>
                <w:rFonts w:hint="default" w:ascii="Times New Roman" w:hAnsi="Times New Roman" w:eastAsia="宋体" w:cs="Times New Roman"/>
                <w:color w:val="auto"/>
                <w:kern w:val="21"/>
                <w:sz w:val="21"/>
                <w:szCs w:val="21"/>
                <w:highlight w:val="none"/>
                <w:lang w:val="en-US" w:eastAsia="zh-CN"/>
              </w:rPr>
              <w:t>BOD</w:t>
            </w:r>
            <w:r>
              <w:rPr>
                <w:rFonts w:hint="default" w:ascii="Times New Roman" w:hAnsi="Times New Roman" w:eastAsia="宋体" w:cs="Times New Roman"/>
                <w:color w:val="auto"/>
                <w:kern w:val="21"/>
                <w:sz w:val="21"/>
                <w:szCs w:val="21"/>
                <w:highlight w:val="none"/>
                <w:vertAlign w:val="subscript"/>
                <w:lang w:val="en-US" w:eastAsia="zh-CN"/>
              </w:rPr>
              <w:t>5</w:t>
            </w:r>
          </w:p>
        </w:tc>
        <w:tc>
          <w:tcPr>
            <w:tcW w:w="1042" w:type="pct"/>
            <w:tcBorders>
              <w:tl2br w:val="nil"/>
              <w:tr2bl w:val="nil"/>
            </w:tcBorders>
            <w:vAlign w:val="center"/>
          </w:tcPr>
          <w:p w14:paraId="46637D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排入市政污水管网</w:t>
            </w:r>
          </w:p>
        </w:tc>
        <w:tc>
          <w:tcPr>
            <w:tcW w:w="1402" w:type="pct"/>
            <w:tcBorders>
              <w:tl2br w:val="nil"/>
              <w:tr2bl w:val="nil"/>
            </w:tcBorders>
            <w:vAlign w:val="center"/>
          </w:tcPr>
          <w:p w14:paraId="74BB77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rPr>
            </w:pPr>
            <w:r>
              <w:rPr>
                <w:rFonts w:hint="default" w:ascii="Times New Roman" w:hAnsi="Times New Roman" w:eastAsia="宋体" w:cs="Times New Roman"/>
                <w:color w:val="auto"/>
                <w:sz w:val="21"/>
                <w:szCs w:val="21"/>
                <w:highlight w:val="none"/>
                <w:lang w:val="en-US" w:eastAsia="zh-CN"/>
              </w:rPr>
              <w:t>《污水综合排放标准》</w:t>
            </w:r>
            <w:r>
              <w:rPr>
                <w:rFonts w:hint="default" w:ascii="Times New Roman" w:hAnsi="Times New Roman" w:eastAsia="宋体" w:cs="Times New Roman"/>
                <w:bCs/>
                <w:color w:val="auto"/>
                <w:spacing w:val="0"/>
                <w:sz w:val="21"/>
                <w:szCs w:val="21"/>
                <w:highlight w:val="none"/>
              </w:rPr>
              <w:t>三级标准</w:t>
            </w:r>
            <w:r>
              <w:rPr>
                <w:rFonts w:hint="default" w:ascii="Times New Roman" w:hAnsi="Times New Roman" w:eastAsia="宋体" w:cs="Times New Roman"/>
                <w:color w:val="auto"/>
                <w:sz w:val="21"/>
                <w:szCs w:val="21"/>
                <w:highlight w:val="none"/>
                <w:lang w:val="en-US" w:eastAsia="zh-CN"/>
              </w:rPr>
              <w:t>及</w:t>
            </w:r>
            <w:r>
              <w:rPr>
                <w:rFonts w:hint="eastAsia" w:cs="Times New Roman"/>
                <w:color w:val="auto"/>
                <w:sz w:val="21"/>
                <w:szCs w:val="21"/>
                <w:highlight w:val="none"/>
                <w:lang w:val="en-US" w:eastAsia="zh-CN"/>
              </w:rPr>
              <w:t>鸡冠区污水处理厂进水标准</w:t>
            </w:r>
          </w:p>
        </w:tc>
      </w:tr>
      <w:tr w14:paraId="39F1465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vMerge w:val="continue"/>
            <w:tcBorders>
              <w:tl2br w:val="nil"/>
              <w:tr2bl w:val="nil"/>
            </w:tcBorders>
            <w:vAlign w:val="center"/>
          </w:tcPr>
          <w:p w14:paraId="595864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p>
        </w:tc>
        <w:tc>
          <w:tcPr>
            <w:tcW w:w="922" w:type="pct"/>
            <w:tcBorders>
              <w:tl2br w:val="nil"/>
              <w:tr2bl w:val="nil"/>
            </w:tcBorders>
            <w:vAlign w:val="center"/>
          </w:tcPr>
          <w:p w14:paraId="3478E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eastAsia" w:cs="Times New Roman"/>
                <w:color w:val="auto"/>
                <w:kern w:val="21"/>
                <w:sz w:val="21"/>
                <w:szCs w:val="21"/>
                <w:highlight w:val="none"/>
                <w:lang w:val="en-US" w:eastAsia="zh-CN"/>
              </w:rPr>
              <w:t>排泥水上清液</w:t>
            </w:r>
          </w:p>
        </w:tc>
        <w:tc>
          <w:tcPr>
            <w:tcW w:w="805" w:type="pct"/>
            <w:tcBorders>
              <w:tl2br w:val="nil"/>
              <w:tr2bl w:val="nil"/>
            </w:tcBorders>
            <w:vAlign w:val="center"/>
          </w:tcPr>
          <w:p w14:paraId="141513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vertAlign w:val="baseline"/>
                <w:lang w:val="en-US" w:eastAsia="zh-CN"/>
              </w:rPr>
            </w:pPr>
            <w:r>
              <w:rPr>
                <w:rFonts w:hint="eastAsia"/>
                <w:color w:val="auto"/>
                <w:sz w:val="21"/>
                <w:szCs w:val="21"/>
                <w:highlight w:val="none"/>
                <w:lang w:val="en-US" w:eastAsia="zh-CN"/>
              </w:rPr>
              <w:t>COD、BOD</w:t>
            </w:r>
            <w:r>
              <w:rPr>
                <w:rFonts w:hint="eastAsia"/>
                <w:color w:val="auto"/>
                <w:sz w:val="21"/>
                <w:szCs w:val="21"/>
                <w:highlight w:val="none"/>
                <w:vertAlign w:val="subscript"/>
                <w:lang w:val="en-US" w:eastAsia="zh-CN"/>
              </w:rPr>
              <w:t>5</w:t>
            </w:r>
            <w:r>
              <w:rPr>
                <w:rFonts w:hint="eastAsia"/>
                <w:color w:val="auto"/>
                <w:sz w:val="21"/>
                <w:szCs w:val="21"/>
                <w:highlight w:val="none"/>
                <w:lang w:val="en-US" w:eastAsia="zh-CN"/>
              </w:rPr>
              <w:t>、SS、氨氮、pH值</w:t>
            </w:r>
          </w:p>
        </w:tc>
        <w:tc>
          <w:tcPr>
            <w:tcW w:w="1042" w:type="pct"/>
            <w:tcBorders>
              <w:tl2br w:val="nil"/>
              <w:tr2bl w:val="nil"/>
            </w:tcBorders>
            <w:vAlign w:val="center"/>
          </w:tcPr>
          <w:p w14:paraId="2AC837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絮凝、压滤处理</w:t>
            </w:r>
          </w:p>
        </w:tc>
        <w:tc>
          <w:tcPr>
            <w:tcW w:w="1402" w:type="pct"/>
            <w:tcBorders>
              <w:tl2br w:val="nil"/>
              <w:tr2bl w:val="nil"/>
            </w:tcBorders>
            <w:vAlign w:val="center"/>
          </w:tcPr>
          <w:p w14:paraId="1FABA5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eastAsia" w:cs="Times New Roman"/>
                <w:color w:val="auto"/>
                <w:spacing w:val="0"/>
                <w:sz w:val="21"/>
                <w:szCs w:val="21"/>
                <w:highlight w:val="none"/>
                <w:lang w:val="en-US" w:eastAsia="zh-CN"/>
              </w:rPr>
              <w:t>《地表水环境质量标准》（GB3838-2002）表1中三类标准、悬浮物执行</w:t>
            </w:r>
            <w:r>
              <w:rPr>
                <w:rFonts w:hint="default" w:cs="Times New Roman"/>
                <w:color w:val="auto"/>
                <w:spacing w:val="0"/>
                <w:sz w:val="21"/>
                <w:szCs w:val="21"/>
                <w:highlight w:val="none"/>
                <w:lang w:val="en-US" w:eastAsia="zh-CN"/>
              </w:rPr>
              <w:t>《污水综合排放标准》</w:t>
            </w:r>
            <w:r>
              <w:rPr>
                <w:rFonts w:hint="eastAsia" w:cs="Times New Roman"/>
                <w:color w:val="auto"/>
                <w:spacing w:val="0"/>
                <w:sz w:val="21"/>
                <w:szCs w:val="21"/>
                <w:highlight w:val="none"/>
                <w:lang w:val="en-US" w:eastAsia="zh-CN"/>
              </w:rPr>
              <w:t>（GB8978-1996）一级标准</w:t>
            </w:r>
          </w:p>
        </w:tc>
      </w:tr>
      <w:tr w14:paraId="706DA4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5F015E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地下水及土壤环境</w:t>
            </w:r>
          </w:p>
        </w:tc>
        <w:tc>
          <w:tcPr>
            <w:tcW w:w="922" w:type="pct"/>
            <w:tcBorders>
              <w:tl2br w:val="nil"/>
              <w:tr2bl w:val="nil"/>
            </w:tcBorders>
            <w:vAlign w:val="center"/>
          </w:tcPr>
          <w:p w14:paraId="43CCAB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805" w:type="pct"/>
            <w:tcBorders>
              <w:tl2br w:val="nil"/>
              <w:tr2bl w:val="nil"/>
            </w:tcBorders>
            <w:vAlign w:val="center"/>
          </w:tcPr>
          <w:p w14:paraId="75AA5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042" w:type="pct"/>
            <w:tcBorders>
              <w:tl2br w:val="nil"/>
              <w:tr2bl w:val="nil"/>
            </w:tcBorders>
            <w:vAlign w:val="center"/>
          </w:tcPr>
          <w:p w14:paraId="2C37DC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402" w:type="pct"/>
            <w:tcBorders>
              <w:tl2br w:val="nil"/>
              <w:tr2bl w:val="nil"/>
            </w:tcBorders>
            <w:vAlign w:val="center"/>
          </w:tcPr>
          <w:p w14:paraId="1177C3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r>
      <w:tr w14:paraId="7C9E1EC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0B4FB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声环境</w:t>
            </w:r>
          </w:p>
        </w:tc>
        <w:tc>
          <w:tcPr>
            <w:tcW w:w="922" w:type="pct"/>
            <w:tcBorders>
              <w:tl2br w:val="nil"/>
              <w:tr2bl w:val="nil"/>
            </w:tcBorders>
            <w:vAlign w:val="center"/>
          </w:tcPr>
          <w:p w14:paraId="6C67C8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设备运行</w:t>
            </w:r>
          </w:p>
        </w:tc>
        <w:tc>
          <w:tcPr>
            <w:tcW w:w="805" w:type="pct"/>
            <w:tcBorders>
              <w:tl2br w:val="nil"/>
              <w:tr2bl w:val="nil"/>
            </w:tcBorders>
            <w:vAlign w:val="center"/>
          </w:tcPr>
          <w:p w14:paraId="152962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kern w:val="21"/>
                <w:sz w:val="21"/>
                <w:szCs w:val="21"/>
                <w:highlight w:val="none"/>
                <w:lang w:val="en-US" w:eastAsia="zh-CN"/>
              </w:rPr>
              <w:t>噪声</w:t>
            </w:r>
          </w:p>
        </w:tc>
        <w:tc>
          <w:tcPr>
            <w:tcW w:w="1042" w:type="pct"/>
            <w:tcBorders>
              <w:tl2br w:val="nil"/>
              <w:tr2bl w:val="nil"/>
            </w:tcBorders>
            <w:vAlign w:val="center"/>
          </w:tcPr>
          <w:p w14:paraId="46D4C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选取低噪声设备，采取减振、隔声</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安装消声器等</w:t>
            </w:r>
          </w:p>
        </w:tc>
        <w:tc>
          <w:tcPr>
            <w:tcW w:w="1402" w:type="pct"/>
            <w:tcBorders>
              <w:tl2br w:val="nil"/>
              <w:tr2bl w:val="nil"/>
            </w:tcBorders>
            <w:vAlign w:val="center"/>
          </w:tcPr>
          <w:p w14:paraId="615611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rPr>
              <w:t>《工业企业厂界环境噪声排放标准》（GB12348-2008）</w:t>
            </w:r>
            <w:r>
              <w:rPr>
                <w:rFonts w:hint="eastAsia" w:cs="Times New Roman"/>
                <w:color w:val="auto"/>
                <w:kern w:val="21"/>
                <w:sz w:val="21"/>
                <w:szCs w:val="21"/>
                <w:highlight w:val="none"/>
                <w:lang w:val="en-US" w:eastAsia="zh-CN"/>
              </w:rPr>
              <w:t>2</w:t>
            </w:r>
            <w:r>
              <w:rPr>
                <w:rFonts w:hint="default"/>
                <w:color w:val="auto"/>
                <w:sz w:val="21"/>
                <w:szCs w:val="21"/>
                <w:highlight w:val="none"/>
              </w:rPr>
              <w:t>类标准限值</w:t>
            </w:r>
          </w:p>
        </w:tc>
      </w:tr>
      <w:tr w14:paraId="0CB37E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62176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电磁辐射</w:t>
            </w:r>
          </w:p>
        </w:tc>
        <w:tc>
          <w:tcPr>
            <w:tcW w:w="922" w:type="pct"/>
            <w:tcBorders>
              <w:tl2br w:val="nil"/>
              <w:tr2bl w:val="nil"/>
            </w:tcBorders>
            <w:vAlign w:val="center"/>
          </w:tcPr>
          <w:p w14:paraId="1A6783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805" w:type="pct"/>
            <w:tcBorders>
              <w:tl2br w:val="nil"/>
              <w:tr2bl w:val="nil"/>
            </w:tcBorders>
            <w:vAlign w:val="center"/>
          </w:tcPr>
          <w:p w14:paraId="05BCE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042" w:type="pct"/>
            <w:tcBorders>
              <w:tl2br w:val="nil"/>
              <w:tr2bl w:val="nil"/>
            </w:tcBorders>
            <w:vAlign w:val="center"/>
          </w:tcPr>
          <w:p w14:paraId="77B43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402" w:type="pct"/>
            <w:tcBorders>
              <w:tl2br w:val="nil"/>
              <w:tr2bl w:val="nil"/>
            </w:tcBorders>
            <w:vAlign w:val="center"/>
          </w:tcPr>
          <w:p w14:paraId="78C085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r>
      <w:tr w14:paraId="7B38D3A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0EBC3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固体废物</w:t>
            </w:r>
          </w:p>
        </w:tc>
        <w:tc>
          <w:tcPr>
            <w:tcW w:w="4173" w:type="pct"/>
            <w:gridSpan w:val="4"/>
            <w:tcBorders>
              <w:tl2br w:val="nil"/>
              <w:tr2bl w:val="nil"/>
            </w:tcBorders>
            <w:vAlign w:val="center"/>
          </w:tcPr>
          <w:p w14:paraId="45634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cs="Times New Roman"/>
                <w:color w:val="auto"/>
                <w:sz w:val="21"/>
                <w:szCs w:val="21"/>
                <w:highlight w:val="none"/>
              </w:rPr>
              <w:t>本项目生活垃圾</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废包装袋委托环卫部门统一处置，脱水污泥外运</w:t>
            </w:r>
            <w:r>
              <w:rPr>
                <w:rFonts w:hint="eastAsia" w:cs="Times New Roman"/>
                <w:color w:val="auto"/>
                <w:sz w:val="21"/>
                <w:szCs w:val="21"/>
                <w:highlight w:val="none"/>
                <w:lang w:val="en-US" w:eastAsia="zh-CN"/>
              </w:rPr>
              <w:t>委托有资质单位处理。废石英砂、卵石等外售综合利用，废活性炭由厂家更换后回收，</w:t>
            </w:r>
            <w:r>
              <w:rPr>
                <w:rFonts w:hint="eastAsia" w:ascii="Times New Roman" w:hAnsi="Times New Roman" w:eastAsia="宋体" w:cs="Times New Roman"/>
                <w:color w:val="auto"/>
                <w:kern w:val="2"/>
                <w:sz w:val="21"/>
                <w:szCs w:val="21"/>
                <w:highlight w:val="none"/>
                <w:lang w:val="en-US" w:eastAsia="zh-CN" w:bidi="ar-SA"/>
              </w:rPr>
              <w:t>本项目化验室药剂不涉及危险物品</w:t>
            </w:r>
            <w:r>
              <w:rPr>
                <w:rFonts w:hint="default" w:ascii="Times New Roman" w:hAnsi="Times New Roman" w:eastAsia="宋体" w:cs="Times New Roman"/>
                <w:color w:val="auto"/>
                <w:kern w:val="2"/>
                <w:sz w:val="21"/>
                <w:szCs w:val="21"/>
                <w:highlight w:val="none"/>
                <w:lang w:val="en-US" w:eastAsia="zh-CN" w:bidi="ar-SA"/>
              </w:rPr>
              <w:t>，无危险废物产生</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化验室产生的</w:t>
            </w:r>
            <w:r>
              <w:rPr>
                <w:rFonts w:hint="eastAsia" w:ascii="Times New Roman" w:hAnsi="Times New Roman" w:eastAsia="宋体" w:cs="Times New Roman"/>
                <w:color w:val="auto"/>
                <w:kern w:val="2"/>
                <w:sz w:val="21"/>
                <w:szCs w:val="21"/>
                <w:highlight w:val="none"/>
                <w:lang w:val="en-US" w:eastAsia="zh-CN" w:bidi="ar-SA"/>
              </w:rPr>
              <w:t>废包装</w:t>
            </w:r>
            <w:r>
              <w:rPr>
                <w:rFonts w:hint="eastAsia" w:cs="Times New Roman"/>
                <w:color w:val="auto"/>
                <w:kern w:val="2"/>
                <w:sz w:val="21"/>
                <w:szCs w:val="21"/>
                <w:highlight w:val="none"/>
                <w:lang w:val="en-US" w:eastAsia="zh-CN" w:bidi="ar-SA"/>
              </w:rPr>
              <w:t>委托环卫部门统一处理。</w:t>
            </w:r>
          </w:p>
        </w:tc>
      </w:tr>
      <w:tr w14:paraId="3A2AC4C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1AE969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土壤及地下水污染防治措施</w:t>
            </w:r>
          </w:p>
        </w:tc>
        <w:tc>
          <w:tcPr>
            <w:tcW w:w="4173" w:type="pct"/>
            <w:gridSpan w:val="4"/>
            <w:tcBorders>
              <w:tl2br w:val="nil"/>
              <w:tr2bl w:val="nil"/>
            </w:tcBorders>
            <w:vAlign w:val="center"/>
          </w:tcPr>
          <w:p w14:paraId="73AF6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1"/>
                <w:sz w:val="21"/>
                <w:szCs w:val="21"/>
                <w:highlight w:val="none"/>
                <w:lang w:val="en-US" w:eastAsia="zh-CN"/>
              </w:rPr>
            </w:pPr>
            <w:r>
              <w:rPr>
                <w:rFonts w:hint="eastAsia"/>
                <w:color w:val="auto"/>
                <w:sz w:val="18"/>
                <w:szCs w:val="18"/>
              </w:rPr>
              <w:t>本项</w:t>
            </w:r>
            <w:r>
              <w:rPr>
                <w:rFonts w:hint="eastAsia"/>
                <w:color w:val="auto"/>
                <w:sz w:val="21"/>
                <w:szCs w:val="21"/>
              </w:rPr>
              <w:t>目对加氯间地面进行重点防渗，防渗措施应满足《环境影响评价技术导则地下水环境》（HJ 610—2016）中等效黏土防渗层Mb≥</w:t>
            </w:r>
            <w:r>
              <w:rPr>
                <w:rFonts w:hint="eastAsia"/>
                <w:color w:val="auto"/>
                <w:sz w:val="21"/>
                <w:szCs w:val="21"/>
                <w:lang w:val="en-US" w:eastAsia="zh-CN"/>
              </w:rPr>
              <w:t>6.0</w:t>
            </w:r>
            <w:r>
              <w:rPr>
                <w:rFonts w:hint="eastAsia"/>
                <w:color w:val="auto"/>
                <w:sz w:val="21"/>
                <w:szCs w:val="21"/>
              </w:rPr>
              <w:t>m，渗透系数K≤1×10</w:t>
            </w:r>
            <w:r>
              <w:rPr>
                <w:rFonts w:hint="eastAsia"/>
                <w:color w:val="auto"/>
                <w:sz w:val="21"/>
                <w:szCs w:val="21"/>
                <w:vertAlign w:val="superscript"/>
              </w:rPr>
              <w:t>-7</w:t>
            </w:r>
            <w:r>
              <w:rPr>
                <w:rFonts w:hint="eastAsia" w:ascii="Times New Roman" w:hAnsi="Times New Roman" w:eastAsia="宋体" w:cs="Times New Roman"/>
                <w:color w:val="auto"/>
                <w:sz w:val="21"/>
                <w:szCs w:val="21"/>
              </w:rPr>
              <w:t>cm/s</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厂区其他区域为简单防渗，进行一般地面硬化。</w:t>
            </w:r>
          </w:p>
        </w:tc>
      </w:tr>
      <w:tr w14:paraId="06AC8B5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0CB10E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生态保护措施</w:t>
            </w:r>
          </w:p>
        </w:tc>
        <w:tc>
          <w:tcPr>
            <w:tcW w:w="4173" w:type="pct"/>
            <w:gridSpan w:val="4"/>
            <w:tcBorders>
              <w:tl2br w:val="nil"/>
              <w:tr2bl w:val="nil"/>
            </w:tcBorders>
            <w:vAlign w:val="center"/>
          </w:tcPr>
          <w:p w14:paraId="069C6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无</w:t>
            </w:r>
          </w:p>
        </w:tc>
      </w:tr>
      <w:tr w14:paraId="394E490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26" w:type="pct"/>
            <w:tcBorders>
              <w:tl2br w:val="nil"/>
              <w:tr2bl w:val="nil"/>
            </w:tcBorders>
            <w:vAlign w:val="center"/>
          </w:tcPr>
          <w:p w14:paraId="0F3B1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环境风险防范措施</w:t>
            </w:r>
          </w:p>
        </w:tc>
        <w:tc>
          <w:tcPr>
            <w:tcW w:w="4173" w:type="pct"/>
            <w:gridSpan w:val="4"/>
            <w:tcBorders>
              <w:tl2br w:val="nil"/>
              <w:tr2bl w:val="nil"/>
            </w:tcBorders>
            <w:shd w:val="clear" w:color="auto" w:fill="auto"/>
            <w:vAlign w:val="center"/>
          </w:tcPr>
          <w:p w14:paraId="01802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ascii="宋体" w:hAnsi="宋体" w:eastAsia="宋体" w:cs="宋体"/>
                <w:bCs/>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制定严格的生产管理规定和岗位责任制，加强职工安全生产教育；严格操作规程，防止在风险物质次氯酸钠溶液储存过程发生泄漏；加强生产和环保设备的检修及保养；严格执行各饮用水水源保护和应急处置作要求；车间配备消防栓和消防灭火器材，预留安全疏散通道，张贴禁用明火告示，严禁在车间内吸烟，定期检查电路</w:t>
            </w:r>
          </w:p>
        </w:tc>
      </w:tr>
      <w:tr w14:paraId="453DC82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66" w:hRule="atLeast"/>
          <w:jc w:val="center"/>
        </w:trPr>
        <w:tc>
          <w:tcPr>
            <w:tcW w:w="826" w:type="pct"/>
            <w:tcBorders>
              <w:tl2br w:val="nil"/>
              <w:tr2bl w:val="nil"/>
            </w:tcBorders>
            <w:vAlign w:val="center"/>
          </w:tcPr>
          <w:p w14:paraId="28F8A9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其他环境管理要求</w:t>
            </w:r>
          </w:p>
        </w:tc>
        <w:tc>
          <w:tcPr>
            <w:tcW w:w="4173" w:type="pct"/>
            <w:gridSpan w:val="4"/>
            <w:tcBorders>
              <w:tl2br w:val="nil"/>
              <w:tr2bl w:val="nil"/>
            </w:tcBorders>
            <w:vAlign w:val="center"/>
          </w:tcPr>
          <w:p w14:paraId="3E5BC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1、环境管理</w:t>
            </w:r>
          </w:p>
          <w:p w14:paraId="582E9A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项目在建设和运行过程中，会对周围环境造成一定的影响，应建立比较合理的环境管理体制和管理机构，采取相应的环境保护措施减轻和消除不利的环境影响，以实现预定的各项环保目标。</w:t>
            </w:r>
          </w:p>
          <w:p w14:paraId="59D4B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同时，项目在施工期和运行期，应实行环境监测，以验证环境影响的实际情况和环境保护措施的效果，以便更好地保护环境，为项目环境管理提供依据，更大地发挥工程建设的环境、社会、经济效益。</w:t>
            </w:r>
          </w:p>
          <w:p w14:paraId="6C9A13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a.根据国家环保政策、标准及环境监测要求，制定该项目运行期环保管理规章制度、各种污染物排放控制指标；</w:t>
            </w:r>
          </w:p>
          <w:p w14:paraId="04BF8A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b.负责该项目内所有环保设施的日常运行管理，保障各环保设施的正常运行，并对环保设施的改进提出积极的建议；</w:t>
            </w:r>
          </w:p>
          <w:p w14:paraId="2C1E9D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c.负责该项目运行期环境监测工作，及时掌握该项目污染状况，整理监测数据，建立污染源档案；</w:t>
            </w:r>
          </w:p>
          <w:p w14:paraId="46366A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d.项目运行期的环境管理由安全环保部承担；负责该项目内所有环保设施的日常运行管理，保障各环保设施的正常运行，并对环保设施的改进提出积极的建议；</w:t>
            </w:r>
          </w:p>
          <w:p w14:paraId="4C8F6D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e.负责对职工进行环保宣传教育工作，检查、监督各单位环保制度的执行情况；</w:t>
            </w:r>
          </w:p>
          <w:p w14:paraId="63BA2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textAlignment w:val="auto"/>
              <w:rPr>
                <w:rFonts w:hint="eastAsia"/>
                <w:color w:val="auto"/>
                <w:highlight w:val="none"/>
                <w:lang w:val="en-US" w:eastAsia="zh-CN"/>
              </w:rPr>
            </w:pPr>
            <w:r>
              <w:rPr>
                <w:rFonts w:hint="default" w:ascii="Times New Roman" w:hAnsi="Times New Roman" w:eastAsia="宋体" w:cs="Times New Roman"/>
                <w:color w:val="auto"/>
                <w:sz w:val="21"/>
                <w:szCs w:val="21"/>
                <w:highlight w:val="none"/>
              </w:rPr>
              <w:t>f.建立健全环境档案管理与保密制度、污染防治设施设计技术改进及运行资料、污染源调查技术档案、环境监测及评价资料、项目平面图等；</w:t>
            </w:r>
          </w:p>
        </w:tc>
      </w:tr>
    </w:tbl>
    <w:p w14:paraId="76BCBEC9">
      <w:pPr>
        <w:pStyle w:val="32"/>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sz w:val="30"/>
          <w:szCs w:val="30"/>
          <w:highlight w:val="none"/>
        </w:rPr>
        <w:br w:type="page"/>
      </w:r>
      <w:bookmarkStart w:id="14" w:name="_Toc19724"/>
      <w:r>
        <w:rPr>
          <w:rFonts w:hint="default" w:ascii="Times New Roman" w:hAnsi="Times New Roman" w:eastAsia="黑体" w:cs="Times New Roman"/>
          <w:snapToGrid w:val="0"/>
          <w:color w:val="auto"/>
          <w:kern w:val="21"/>
          <w:sz w:val="30"/>
          <w:szCs w:val="30"/>
          <w:highlight w:val="none"/>
        </w:rPr>
        <w:t>六、结论</w:t>
      </w:r>
      <w:bookmarkEnd w:id="14"/>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03"/>
      </w:tblGrid>
      <w:tr w14:paraId="15781B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6" w:hRule="atLeast"/>
          <w:jc w:val="center"/>
        </w:trPr>
        <w:tc>
          <w:tcPr>
            <w:tcW w:w="5000" w:type="pct"/>
            <w:vAlign w:val="center"/>
          </w:tcPr>
          <w:p w14:paraId="3B55E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Cs w:val="21"/>
                <w:highlight w:val="none"/>
              </w:rPr>
            </w:pPr>
            <w:r>
              <w:rPr>
                <w:rFonts w:hint="eastAsia"/>
                <w:color w:val="auto"/>
                <w:szCs w:val="21"/>
                <w:highlight w:val="none"/>
              </w:rPr>
              <w:t>本</w:t>
            </w:r>
            <w:r>
              <w:rPr>
                <w:rFonts w:hint="default"/>
                <w:color w:val="auto"/>
                <w:szCs w:val="21"/>
                <w:highlight w:val="none"/>
              </w:rPr>
              <w:t>项目符合国家产业政策，环保治理措施技术可行、污染物达标排放。企业在确实落实各项治理措施的情况下，在环保方面是可行的。</w:t>
            </w:r>
          </w:p>
        </w:tc>
      </w:tr>
    </w:tbl>
    <w:p w14:paraId="576DF082">
      <w:pPr>
        <w:pStyle w:val="32"/>
        <w:spacing w:before="0" w:beforeAutospacing="0" w:after="158" w:afterLines="50" w:afterAutospacing="0"/>
        <w:outlineLvl w:val="0"/>
        <w:rPr>
          <w:rFonts w:hint="default" w:ascii="Times New Roman" w:hAnsi="Times New Roman" w:eastAsia="黑体" w:cs="Times New Roman"/>
          <w:snapToGrid w:val="0"/>
          <w:color w:val="auto"/>
          <w:sz w:val="32"/>
          <w:szCs w:val="32"/>
          <w:highlight w:val="none"/>
        </w:rPr>
        <w:sectPr>
          <w:footerReference r:id="rId5" w:type="default"/>
          <w:pgSz w:w="11849" w:h="16781"/>
          <w:pgMar w:top="1497"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4A917AD4">
      <w:pPr>
        <w:pStyle w:val="32"/>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黑体" w:cs="Times New Roman"/>
          <w:snapToGrid w:val="0"/>
          <w:color w:val="auto"/>
          <w:kern w:val="21"/>
          <w:sz w:val="30"/>
          <w:szCs w:val="30"/>
          <w:highlight w:val="none"/>
        </w:rPr>
      </w:pPr>
      <w:bookmarkStart w:id="15" w:name="_Toc17733"/>
      <w:r>
        <w:rPr>
          <w:rFonts w:hint="default" w:ascii="Times New Roman" w:hAnsi="Times New Roman" w:eastAsia="黑体" w:cs="Times New Roman"/>
          <w:snapToGrid w:val="0"/>
          <w:color w:val="auto"/>
          <w:kern w:val="21"/>
          <w:sz w:val="30"/>
          <w:szCs w:val="30"/>
          <w:highlight w:val="none"/>
        </w:rPr>
        <w:t>附表</w:t>
      </w:r>
      <w:bookmarkEnd w:id="15"/>
    </w:p>
    <w:p w14:paraId="6BEAD17E">
      <w:pPr>
        <w:pStyle w:val="32"/>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rPr>
          <w:rFonts w:hint="eastAsia" w:ascii="Times New Roman" w:hAnsi="Times New Roman" w:eastAsia="黑体" w:cs="Times New Roman"/>
          <w:snapToGrid w:val="0"/>
          <w:color w:val="auto"/>
          <w:kern w:val="21"/>
          <w:sz w:val="30"/>
          <w:szCs w:val="38"/>
          <w:highlight w:val="none"/>
          <w:lang w:eastAsia="zh-CN"/>
        </w:rPr>
      </w:pPr>
      <w:r>
        <w:rPr>
          <w:rFonts w:hint="default" w:ascii="Times New Roman" w:hAnsi="Times New Roman" w:eastAsia="黑体" w:cs="Times New Roman"/>
          <w:snapToGrid w:val="0"/>
          <w:color w:val="auto"/>
          <w:kern w:val="21"/>
          <w:sz w:val="30"/>
          <w:szCs w:val="38"/>
          <w:highlight w:val="none"/>
        </w:rPr>
        <w:t>建设项目污染物排放量汇总表</w:t>
      </w:r>
    </w:p>
    <w:tbl>
      <w:tblPr>
        <w:tblStyle w:val="37"/>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7"/>
        <w:gridCol w:w="2697"/>
        <w:gridCol w:w="1364"/>
        <w:gridCol w:w="1296"/>
        <w:gridCol w:w="1409"/>
        <w:gridCol w:w="1559"/>
        <w:gridCol w:w="1535"/>
        <w:gridCol w:w="1786"/>
        <w:gridCol w:w="1225"/>
      </w:tblGrid>
      <w:tr w14:paraId="4F7FA7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917" w:type="dxa"/>
            <w:tcBorders>
              <w:tl2br w:val="single" w:color="auto" w:sz="4" w:space="0"/>
            </w:tcBorders>
            <w:tcMar>
              <w:left w:w="28" w:type="dxa"/>
              <w:right w:w="28" w:type="dxa"/>
            </w:tcMar>
            <w:vAlign w:val="center"/>
          </w:tcPr>
          <w:p w14:paraId="54AA0208">
            <w:pPr>
              <w:pStyle w:val="69"/>
              <w:keepNext w:val="0"/>
              <w:keepLines w:val="0"/>
              <w:suppressLineNumbers w:val="0"/>
              <w:spacing w:before="0" w:beforeLines="0" w:beforeAutospacing="0" w:after="0" w:afterLines="0" w:afterAutospacing="0" w:line="240" w:lineRule="auto"/>
              <w:ind w:left="0" w:right="0" w:firstLine="0" w:firstLineChars="0"/>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6DF592AD">
            <w:pPr>
              <w:pStyle w:val="69"/>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2697" w:type="dxa"/>
            <w:tcMar>
              <w:left w:w="28" w:type="dxa"/>
              <w:right w:w="28" w:type="dxa"/>
            </w:tcMar>
            <w:vAlign w:val="center"/>
          </w:tcPr>
          <w:p w14:paraId="7ACB5B45">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364" w:type="dxa"/>
            <w:tcMar>
              <w:left w:w="28" w:type="dxa"/>
              <w:right w:w="28" w:type="dxa"/>
            </w:tcMar>
            <w:vAlign w:val="center"/>
          </w:tcPr>
          <w:p w14:paraId="55293CF9">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25364AFD">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96" w:type="dxa"/>
            <w:tcMar>
              <w:left w:w="28" w:type="dxa"/>
              <w:right w:w="28" w:type="dxa"/>
            </w:tcMar>
            <w:vAlign w:val="center"/>
          </w:tcPr>
          <w:p w14:paraId="54155B8D">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65477B63">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p>
          <w:p w14:paraId="38A367B6">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409" w:type="dxa"/>
            <w:tcMar>
              <w:left w:w="28" w:type="dxa"/>
              <w:right w:w="28" w:type="dxa"/>
            </w:tcMar>
            <w:vAlign w:val="center"/>
          </w:tcPr>
          <w:p w14:paraId="0CEDBA7E">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在建工程</w:t>
            </w:r>
          </w:p>
          <w:p w14:paraId="26D4C634">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52F1064A">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14:paraId="57A046D0">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535" w:type="dxa"/>
            <w:tcMar>
              <w:left w:w="28" w:type="dxa"/>
              <w:right w:w="28" w:type="dxa"/>
            </w:tcMar>
            <w:vAlign w:val="center"/>
          </w:tcPr>
          <w:p w14:paraId="7B15C310">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14:paraId="7E4FF59E">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86" w:type="dxa"/>
            <w:tcMar>
              <w:left w:w="28" w:type="dxa"/>
              <w:right w:w="28" w:type="dxa"/>
            </w:tcMar>
            <w:vAlign w:val="center"/>
          </w:tcPr>
          <w:p w14:paraId="0110DE91">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14:paraId="583790F9">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25" w:type="dxa"/>
            <w:tcMar>
              <w:left w:w="28" w:type="dxa"/>
              <w:right w:w="28" w:type="dxa"/>
            </w:tcMar>
            <w:vAlign w:val="center"/>
          </w:tcPr>
          <w:p w14:paraId="4D866628">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p>
          <w:p w14:paraId="037259B3">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6CD927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restart"/>
            <w:vAlign w:val="center"/>
          </w:tcPr>
          <w:p w14:paraId="29F8B9B7">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废水</w:t>
            </w:r>
          </w:p>
        </w:tc>
        <w:tc>
          <w:tcPr>
            <w:tcW w:w="2697" w:type="dxa"/>
            <w:vAlign w:val="center"/>
          </w:tcPr>
          <w:p w14:paraId="317D8F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color w:val="auto"/>
                <w:kern w:val="0"/>
                <w:sz w:val="21"/>
                <w:szCs w:val="21"/>
                <w:highlight w:val="none"/>
                <w:lang w:bidi="ar"/>
              </w:rPr>
              <w:t>COD</w:t>
            </w:r>
          </w:p>
        </w:tc>
        <w:tc>
          <w:tcPr>
            <w:tcW w:w="1364" w:type="dxa"/>
            <w:vAlign w:val="center"/>
          </w:tcPr>
          <w:p w14:paraId="1EAB6B1E">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0.084t/a</w:t>
            </w:r>
          </w:p>
        </w:tc>
        <w:tc>
          <w:tcPr>
            <w:tcW w:w="1296" w:type="dxa"/>
            <w:vAlign w:val="center"/>
          </w:tcPr>
          <w:p w14:paraId="5D774B9C">
            <w:pPr>
              <w:pStyle w:val="3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09" w:type="dxa"/>
            <w:vAlign w:val="center"/>
          </w:tcPr>
          <w:p w14:paraId="552AD52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514D6F6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2.25</w:t>
            </w:r>
            <w:r>
              <w:rPr>
                <w:rFonts w:hint="eastAsia" w:cs="Times New Roman"/>
                <w:color w:val="auto"/>
                <w:sz w:val="21"/>
                <w:szCs w:val="21"/>
                <w:highlight w:val="none"/>
                <w:lang w:val="en-US" w:eastAsia="zh-CN"/>
              </w:rPr>
              <w:t>t/a</w:t>
            </w:r>
          </w:p>
        </w:tc>
        <w:tc>
          <w:tcPr>
            <w:tcW w:w="1535" w:type="dxa"/>
            <w:vAlign w:val="center"/>
          </w:tcPr>
          <w:p w14:paraId="07FDE95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lang w:val="en-US"/>
              </w:rPr>
            </w:pPr>
            <w:r>
              <w:rPr>
                <w:rFonts w:hint="eastAsia" w:cs="Times New Roman"/>
                <w:bCs/>
                <w:color w:val="auto"/>
                <w:sz w:val="21"/>
                <w:szCs w:val="21"/>
                <w:highlight w:val="none"/>
                <w:lang w:val="en-US" w:eastAsia="zh-CN"/>
              </w:rPr>
              <w:t>/</w:t>
            </w:r>
          </w:p>
        </w:tc>
        <w:tc>
          <w:tcPr>
            <w:tcW w:w="1786" w:type="dxa"/>
            <w:vAlign w:val="center"/>
          </w:tcPr>
          <w:p w14:paraId="296E5D27">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position w:val="0"/>
                <w:sz w:val="21"/>
                <w:szCs w:val="21"/>
                <w:highlight w:val="none"/>
                <w:lang w:val="en-US"/>
              </w:rPr>
            </w:pPr>
            <w:r>
              <w:rPr>
                <w:rFonts w:hint="eastAsia" w:cs="Times New Roman"/>
                <w:color w:val="auto"/>
                <w:sz w:val="21"/>
                <w:szCs w:val="21"/>
                <w:highlight w:val="none"/>
                <w:lang w:val="en-US" w:eastAsia="zh-CN"/>
              </w:rPr>
              <w:t>2.334t/a</w:t>
            </w:r>
          </w:p>
        </w:tc>
        <w:tc>
          <w:tcPr>
            <w:tcW w:w="1225" w:type="dxa"/>
            <w:vAlign w:val="center"/>
          </w:tcPr>
          <w:p w14:paraId="0CAAC731">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+2.25</w:t>
            </w:r>
            <w:r>
              <w:rPr>
                <w:rFonts w:hint="eastAsia" w:cs="Times New Roman"/>
                <w:color w:val="auto"/>
                <w:sz w:val="21"/>
                <w:szCs w:val="21"/>
                <w:highlight w:val="none"/>
                <w:lang w:val="en-US" w:eastAsia="zh-CN"/>
              </w:rPr>
              <w:t>t/a</w:t>
            </w:r>
          </w:p>
        </w:tc>
      </w:tr>
      <w:tr w14:paraId="214777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21ABE6E8">
            <w:pPr>
              <w:pStyle w:val="69"/>
              <w:keepNext w:val="0"/>
              <w:keepLines w:val="0"/>
              <w:suppressLineNumbers w:val="0"/>
              <w:spacing w:before="0" w:beforeLines="0" w:beforeAutospacing="0" w:after="0" w:afterLines="0" w:afterAutospacing="0" w:line="240" w:lineRule="auto"/>
              <w:ind w:left="0" w:right="0" w:firstLine="0" w:firstLineChars="0"/>
              <w:rPr>
                <w:rFonts w:hint="eastAsia" w:ascii="Times New Roman" w:cs="Times New Roman"/>
                <w:snapToGrid w:val="0"/>
                <w:color w:val="auto"/>
                <w:kern w:val="21"/>
                <w:sz w:val="21"/>
                <w:szCs w:val="21"/>
                <w:highlight w:val="none"/>
                <w:lang w:val="en-US" w:eastAsia="zh-CN"/>
              </w:rPr>
            </w:pPr>
          </w:p>
        </w:tc>
        <w:tc>
          <w:tcPr>
            <w:tcW w:w="2697" w:type="dxa"/>
            <w:vAlign w:val="center"/>
          </w:tcPr>
          <w:p w14:paraId="2004C1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color w:val="auto"/>
                <w:kern w:val="0"/>
                <w:sz w:val="21"/>
                <w:szCs w:val="21"/>
                <w:highlight w:val="none"/>
                <w:lang w:val="en-US" w:eastAsia="zh-CN"/>
              </w:rPr>
              <w:t>氨氮</w:t>
            </w:r>
          </w:p>
        </w:tc>
        <w:tc>
          <w:tcPr>
            <w:tcW w:w="1364" w:type="dxa"/>
            <w:vAlign w:val="center"/>
          </w:tcPr>
          <w:p w14:paraId="1A7D5C6A">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0.007</w:t>
            </w:r>
            <w:r>
              <w:rPr>
                <w:rFonts w:hint="eastAsia" w:cs="Times New Roman"/>
                <w:color w:val="auto"/>
                <w:sz w:val="21"/>
                <w:szCs w:val="21"/>
                <w:highlight w:val="none"/>
                <w:lang w:val="en-US" w:eastAsia="zh-CN"/>
              </w:rPr>
              <w:t>t/a</w:t>
            </w:r>
          </w:p>
        </w:tc>
        <w:tc>
          <w:tcPr>
            <w:tcW w:w="1296" w:type="dxa"/>
            <w:vAlign w:val="center"/>
          </w:tcPr>
          <w:p w14:paraId="0540A8C7">
            <w:pPr>
              <w:pStyle w:val="3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09" w:type="dxa"/>
            <w:vAlign w:val="center"/>
          </w:tcPr>
          <w:p w14:paraId="42317C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7311CC8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0.048</w:t>
            </w:r>
            <w:r>
              <w:rPr>
                <w:rFonts w:hint="eastAsia" w:cs="Times New Roman"/>
                <w:color w:val="auto"/>
                <w:sz w:val="21"/>
                <w:szCs w:val="21"/>
                <w:highlight w:val="none"/>
                <w:lang w:val="en-US" w:eastAsia="zh-CN"/>
              </w:rPr>
              <w:t>t/a</w:t>
            </w:r>
          </w:p>
        </w:tc>
        <w:tc>
          <w:tcPr>
            <w:tcW w:w="1535" w:type="dxa"/>
            <w:vAlign w:val="center"/>
          </w:tcPr>
          <w:p w14:paraId="395995A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lang w:val="en-US"/>
              </w:rPr>
            </w:pPr>
            <w:r>
              <w:rPr>
                <w:rFonts w:hint="eastAsia" w:cs="Times New Roman"/>
                <w:bCs/>
                <w:color w:val="auto"/>
                <w:sz w:val="21"/>
                <w:szCs w:val="21"/>
                <w:highlight w:val="none"/>
                <w:lang w:val="en-US" w:eastAsia="zh-CN"/>
              </w:rPr>
              <w:t>/</w:t>
            </w:r>
          </w:p>
        </w:tc>
        <w:tc>
          <w:tcPr>
            <w:tcW w:w="1786" w:type="dxa"/>
            <w:vAlign w:val="center"/>
          </w:tcPr>
          <w:p w14:paraId="637329F8">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0.055</w:t>
            </w:r>
            <w:r>
              <w:rPr>
                <w:rFonts w:hint="eastAsia" w:cs="Times New Roman"/>
                <w:color w:val="auto"/>
                <w:sz w:val="21"/>
                <w:szCs w:val="21"/>
                <w:highlight w:val="none"/>
                <w:lang w:val="en-US" w:eastAsia="zh-CN"/>
              </w:rPr>
              <w:t>t/a</w:t>
            </w:r>
          </w:p>
        </w:tc>
        <w:tc>
          <w:tcPr>
            <w:tcW w:w="1225" w:type="dxa"/>
            <w:vAlign w:val="center"/>
          </w:tcPr>
          <w:p w14:paraId="180424A9">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+0.048</w:t>
            </w:r>
            <w:r>
              <w:rPr>
                <w:rFonts w:hint="eastAsia" w:cs="Times New Roman"/>
                <w:color w:val="auto"/>
                <w:sz w:val="21"/>
                <w:szCs w:val="21"/>
                <w:highlight w:val="none"/>
                <w:lang w:val="en-US" w:eastAsia="zh-CN"/>
              </w:rPr>
              <w:t>t/a</w:t>
            </w:r>
          </w:p>
        </w:tc>
      </w:tr>
      <w:tr w14:paraId="04E4A0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3D6376F7">
            <w:pPr>
              <w:pStyle w:val="69"/>
              <w:keepNext w:val="0"/>
              <w:keepLines w:val="0"/>
              <w:suppressLineNumbers w:val="0"/>
              <w:spacing w:before="0" w:beforeLines="0" w:beforeAutospacing="0" w:after="0" w:afterLines="0" w:afterAutospacing="0" w:line="240" w:lineRule="auto"/>
              <w:ind w:left="0" w:right="0" w:firstLine="0" w:firstLineChars="0"/>
              <w:rPr>
                <w:rFonts w:hint="eastAsia" w:ascii="Times New Roman" w:cs="Times New Roman"/>
                <w:snapToGrid w:val="0"/>
                <w:color w:val="auto"/>
                <w:kern w:val="21"/>
                <w:sz w:val="21"/>
                <w:szCs w:val="21"/>
                <w:highlight w:val="none"/>
                <w:lang w:val="en-US" w:eastAsia="zh-CN"/>
              </w:rPr>
            </w:pPr>
          </w:p>
        </w:tc>
        <w:tc>
          <w:tcPr>
            <w:tcW w:w="2697" w:type="dxa"/>
            <w:vAlign w:val="center"/>
          </w:tcPr>
          <w:p w14:paraId="36CADA64">
            <w:pPr>
              <w:keepNext w:val="0"/>
              <w:keepLines w:val="0"/>
              <w:widowControl/>
              <w:suppressLineNumbers w:val="0"/>
              <w:spacing w:before="0" w:beforeAutospacing="0" w:after="0" w:afterAutospacing="0"/>
              <w:ind w:left="0" w:right="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BOD5</w:t>
            </w:r>
          </w:p>
        </w:tc>
        <w:tc>
          <w:tcPr>
            <w:tcW w:w="1364" w:type="dxa"/>
            <w:vAlign w:val="center"/>
          </w:tcPr>
          <w:p w14:paraId="43607571">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0.056</w:t>
            </w:r>
            <w:r>
              <w:rPr>
                <w:rFonts w:hint="eastAsia" w:cs="Times New Roman"/>
                <w:color w:val="auto"/>
                <w:sz w:val="21"/>
                <w:szCs w:val="21"/>
                <w:highlight w:val="none"/>
                <w:lang w:val="en-US" w:eastAsia="zh-CN"/>
              </w:rPr>
              <w:t>t/a</w:t>
            </w:r>
          </w:p>
        </w:tc>
        <w:tc>
          <w:tcPr>
            <w:tcW w:w="1296" w:type="dxa"/>
            <w:vAlign w:val="center"/>
          </w:tcPr>
          <w:p w14:paraId="169084D2">
            <w:pPr>
              <w:pStyle w:val="3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w:t>
            </w:r>
          </w:p>
        </w:tc>
        <w:tc>
          <w:tcPr>
            <w:tcW w:w="1409" w:type="dxa"/>
            <w:vAlign w:val="center"/>
          </w:tcPr>
          <w:p w14:paraId="0007D06E">
            <w:pPr>
              <w:pStyle w:val="3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546A39D4">
            <w:pPr>
              <w:keepNext w:val="0"/>
              <w:keepLines w:val="0"/>
              <w:suppressLineNumbers w:val="0"/>
              <w:spacing w:before="0" w:beforeAutospacing="0" w:after="0" w:afterAutospacing="0" w:line="240" w:lineRule="auto"/>
              <w:ind w:left="0" w:leftChars="0" w:right="0" w:rightChars="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0.462</w:t>
            </w:r>
            <w:r>
              <w:rPr>
                <w:rFonts w:hint="eastAsia" w:cs="Times New Roman"/>
                <w:color w:val="auto"/>
                <w:sz w:val="21"/>
                <w:szCs w:val="21"/>
                <w:highlight w:val="none"/>
                <w:lang w:val="en-US" w:eastAsia="zh-CN"/>
              </w:rPr>
              <w:t>t/a</w:t>
            </w:r>
          </w:p>
        </w:tc>
        <w:tc>
          <w:tcPr>
            <w:tcW w:w="1535" w:type="dxa"/>
            <w:vAlign w:val="center"/>
          </w:tcPr>
          <w:p w14:paraId="5C00FB09">
            <w:pPr>
              <w:keepNext w:val="0"/>
              <w:keepLines w:val="0"/>
              <w:suppressLineNumbers w:val="0"/>
              <w:spacing w:before="0" w:beforeAutospacing="0" w:after="0" w:afterAutospacing="0" w:line="240" w:lineRule="auto"/>
              <w:ind w:left="0" w:leftChars="0" w:right="0" w:rightChars="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786" w:type="dxa"/>
            <w:vAlign w:val="center"/>
          </w:tcPr>
          <w:p w14:paraId="6F42D144">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0.518</w:t>
            </w:r>
            <w:r>
              <w:rPr>
                <w:rFonts w:hint="eastAsia" w:cs="Times New Roman"/>
                <w:color w:val="auto"/>
                <w:sz w:val="21"/>
                <w:szCs w:val="21"/>
                <w:highlight w:val="none"/>
                <w:lang w:val="en-US" w:eastAsia="zh-CN"/>
              </w:rPr>
              <w:t>t/a</w:t>
            </w:r>
          </w:p>
        </w:tc>
        <w:tc>
          <w:tcPr>
            <w:tcW w:w="1225" w:type="dxa"/>
            <w:vAlign w:val="center"/>
          </w:tcPr>
          <w:p w14:paraId="307224C5">
            <w:pPr>
              <w:keepNext w:val="0"/>
              <w:keepLines w:val="0"/>
              <w:suppressLineNumbers w:val="0"/>
              <w:spacing w:before="0" w:beforeAutospacing="0" w:after="0" w:afterAutospacing="0"/>
              <w:ind w:left="0" w:leftChars="0" w:right="0" w:rightChars="0"/>
              <w:jc w:val="center"/>
              <w:rPr>
                <w:rFonts w:hint="default"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w:t>
            </w:r>
            <w:r>
              <w:rPr>
                <w:rFonts w:hint="eastAsia" w:cs="Times New Roman"/>
                <w:bCs/>
                <w:color w:val="auto"/>
                <w:sz w:val="21"/>
                <w:szCs w:val="21"/>
                <w:highlight w:val="none"/>
                <w:lang w:val="en-US" w:eastAsia="zh-CN"/>
              </w:rPr>
              <w:t>0.462</w:t>
            </w:r>
            <w:r>
              <w:rPr>
                <w:rFonts w:hint="eastAsia" w:cs="Times New Roman"/>
                <w:color w:val="auto"/>
                <w:sz w:val="21"/>
                <w:szCs w:val="21"/>
                <w:highlight w:val="none"/>
                <w:lang w:val="en-US" w:eastAsia="zh-CN"/>
              </w:rPr>
              <w:t>t/a</w:t>
            </w:r>
          </w:p>
        </w:tc>
      </w:tr>
      <w:tr w14:paraId="20E87F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77F5F5AC">
            <w:pPr>
              <w:pStyle w:val="69"/>
              <w:keepNext w:val="0"/>
              <w:keepLines w:val="0"/>
              <w:suppressLineNumbers w:val="0"/>
              <w:spacing w:before="0" w:beforeLines="0" w:beforeAutospacing="0" w:after="0" w:afterLines="0" w:afterAutospacing="0" w:line="240" w:lineRule="auto"/>
              <w:ind w:left="0" w:right="0" w:firstLine="0" w:firstLineChars="0"/>
              <w:rPr>
                <w:rFonts w:hint="eastAsia" w:ascii="Times New Roman" w:cs="Times New Roman"/>
                <w:snapToGrid w:val="0"/>
                <w:color w:val="auto"/>
                <w:kern w:val="21"/>
                <w:sz w:val="21"/>
                <w:szCs w:val="21"/>
                <w:highlight w:val="none"/>
                <w:lang w:val="en-US" w:eastAsia="zh-CN"/>
              </w:rPr>
            </w:pPr>
          </w:p>
        </w:tc>
        <w:tc>
          <w:tcPr>
            <w:tcW w:w="2697" w:type="dxa"/>
            <w:vAlign w:val="center"/>
          </w:tcPr>
          <w:p w14:paraId="3BF3F50B">
            <w:pPr>
              <w:keepNext w:val="0"/>
              <w:keepLines w:val="0"/>
              <w:widowControl/>
              <w:suppressLineNumbers w:val="0"/>
              <w:spacing w:before="0" w:beforeAutospacing="0" w:after="0" w:afterAutospacing="0"/>
              <w:ind w:left="0" w:right="0"/>
              <w:jc w:val="center"/>
              <w:textAlignment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SS</w:t>
            </w:r>
          </w:p>
        </w:tc>
        <w:tc>
          <w:tcPr>
            <w:tcW w:w="1364" w:type="dxa"/>
            <w:vAlign w:val="center"/>
          </w:tcPr>
          <w:p w14:paraId="1191CBE0">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0.056</w:t>
            </w:r>
            <w:r>
              <w:rPr>
                <w:rFonts w:hint="eastAsia" w:cs="Times New Roman"/>
                <w:color w:val="auto"/>
                <w:sz w:val="21"/>
                <w:szCs w:val="21"/>
                <w:highlight w:val="none"/>
                <w:lang w:val="en-US" w:eastAsia="zh-CN"/>
              </w:rPr>
              <w:t>t/a</w:t>
            </w:r>
          </w:p>
        </w:tc>
        <w:tc>
          <w:tcPr>
            <w:tcW w:w="1296" w:type="dxa"/>
            <w:vAlign w:val="center"/>
          </w:tcPr>
          <w:p w14:paraId="4F3C6419">
            <w:pPr>
              <w:pStyle w:val="3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w:t>
            </w:r>
          </w:p>
        </w:tc>
        <w:tc>
          <w:tcPr>
            <w:tcW w:w="1409" w:type="dxa"/>
            <w:vAlign w:val="center"/>
          </w:tcPr>
          <w:p w14:paraId="2EC9ABCD">
            <w:pPr>
              <w:pStyle w:val="3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0860D39A">
            <w:pPr>
              <w:keepNext w:val="0"/>
              <w:keepLines w:val="0"/>
              <w:suppressLineNumbers w:val="0"/>
              <w:spacing w:before="0" w:beforeAutospacing="0" w:after="0" w:afterAutospacing="0" w:line="240" w:lineRule="auto"/>
              <w:ind w:left="0" w:leftChars="0" w:right="0" w:rightChars="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7.4</w:t>
            </w:r>
            <w:r>
              <w:rPr>
                <w:rFonts w:hint="eastAsia" w:cs="Times New Roman"/>
                <w:color w:val="auto"/>
                <w:sz w:val="21"/>
                <w:szCs w:val="21"/>
                <w:highlight w:val="none"/>
                <w:lang w:val="en-US" w:eastAsia="zh-CN"/>
              </w:rPr>
              <w:t>t/a</w:t>
            </w:r>
          </w:p>
        </w:tc>
        <w:tc>
          <w:tcPr>
            <w:tcW w:w="1535" w:type="dxa"/>
            <w:vAlign w:val="center"/>
          </w:tcPr>
          <w:p w14:paraId="431C83E5">
            <w:pPr>
              <w:keepNext w:val="0"/>
              <w:keepLines w:val="0"/>
              <w:suppressLineNumbers w:val="0"/>
              <w:spacing w:before="0" w:beforeAutospacing="0" w:after="0" w:afterAutospacing="0" w:line="240" w:lineRule="auto"/>
              <w:ind w:left="0" w:leftChars="0" w:right="0" w:rightChars="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786" w:type="dxa"/>
            <w:vAlign w:val="center"/>
          </w:tcPr>
          <w:p w14:paraId="11EDB8E7">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7.456</w:t>
            </w:r>
            <w:r>
              <w:rPr>
                <w:rFonts w:hint="eastAsia" w:cs="Times New Roman"/>
                <w:color w:val="auto"/>
                <w:sz w:val="21"/>
                <w:szCs w:val="21"/>
                <w:highlight w:val="none"/>
                <w:lang w:val="en-US" w:eastAsia="zh-CN"/>
              </w:rPr>
              <w:t>t/a</w:t>
            </w:r>
          </w:p>
        </w:tc>
        <w:tc>
          <w:tcPr>
            <w:tcW w:w="1225" w:type="dxa"/>
            <w:vAlign w:val="center"/>
          </w:tcPr>
          <w:p w14:paraId="67DB92C6">
            <w:pPr>
              <w:keepNext w:val="0"/>
              <w:keepLines w:val="0"/>
              <w:suppressLineNumbers w:val="0"/>
              <w:spacing w:before="0" w:beforeAutospacing="0" w:after="0" w:afterAutospacing="0"/>
              <w:ind w:left="0" w:leftChars="0" w:right="0" w:rightChars="0"/>
              <w:jc w:val="center"/>
              <w:rPr>
                <w:rFonts w:hint="default" w:cs="Times New Roman"/>
                <w:color w:val="auto"/>
                <w:position w:val="0"/>
                <w:sz w:val="21"/>
                <w:szCs w:val="21"/>
                <w:highlight w:val="none"/>
                <w:lang w:val="en-US" w:eastAsia="zh-CN"/>
              </w:rPr>
            </w:pPr>
            <w:r>
              <w:rPr>
                <w:rFonts w:hint="eastAsia" w:cs="Times New Roman"/>
                <w:color w:val="auto"/>
                <w:position w:val="0"/>
                <w:sz w:val="21"/>
                <w:szCs w:val="21"/>
                <w:highlight w:val="none"/>
                <w:lang w:val="en-US" w:eastAsia="zh-CN"/>
              </w:rPr>
              <w:t>+</w:t>
            </w:r>
            <w:r>
              <w:rPr>
                <w:rFonts w:hint="eastAsia" w:cs="Times New Roman"/>
                <w:bCs/>
                <w:color w:val="auto"/>
                <w:sz w:val="21"/>
                <w:szCs w:val="21"/>
                <w:highlight w:val="none"/>
                <w:lang w:val="en-US" w:eastAsia="zh-CN"/>
              </w:rPr>
              <w:t>7.4</w:t>
            </w:r>
            <w:r>
              <w:rPr>
                <w:rFonts w:hint="eastAsia" w:cs="Times New Roman"/>
                <w:color w:val="auto"/>
                <w:sz w:val="21"/>
                <w:szCs w:val="21"/>
                <w:highlight w:val="none"/>
                <w:lang w:val="en-US" w:eastAsia="zh-CN"/>
              </w:rPr>
              <w:t>t/a</w:t>
            </w:r>
          </w:p>
        </w:tc>
      </w:tr>
      <w:tr w14:paraId="2B0187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917" w:type="dxa"/>
            <w:vMerge w:val="restart"/>
            <w:vAlign w:val="center"/>
          </w:tcPr>
          <w:p w14:paraId="53F9A9A8">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bCs/>
                <w:color w:val="auto"/>
                <w:sz w:val="21"/>
                <w:szCs w:val="21"/>
                <w:highlight w:val="none"/>
              </w:rPr>
            </w:pPr>
            <w:r>
              <w:rPr>
                <w:rFonts w:hint="default" w:ascii="Times New Roman" w:hAnsi="Times New Roman" w:cs="Times New Roman"/>
                <w:snapToGrid w:val="0"/>
                <w:color w:val="auto"/>
                <w:kern w:val="21"/>
                <w:sz w:val="21"/>
                <w:szCs w:val="21"/>
                <w:highlight w:val="none"/>
                <w:lang w:val="en-US" w:eastAsia="zh-CN"/>
              </w:rPr>
              <w:t>一般</w:t>
            </w:r>
            <w:r>
              <w:rPr>
                <w:rFonts w:hint="default" w:ascii="Times New Roman" w:hAnsi="Times New Roman" w:cs="Times New Roman"/>
                <w:snapToGrid w:val="0"/>
                <w:color w:val="auto"/>
                <w:kern w:val="21"/>
                <w:sz w:val="21"/>
                <w:szCs w:val="21"/>
                <w:highlight w:val="none"/>
              </w:rPr>
              <w:t>固体废物</w:t>
            </w:r>
          </w:p>
        </w:tc>
        <w:tc>
          <w:tcPr>
            <w:tcW w:w="2697" w:type="dxa"/>
            <w:vAlign w:val="center"/>
          </w:tcPr>
          <w:p w14:paraId="7B316D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color w:val="auto"/>
                <w:sz w:val="21"/>
                <w:szCs w:val="21"/>
                <w:highlight w:val="none"/>
                <w:lang w:val="en-US" w:eastAsia="zh-CN"/>
              </w:rPr>
              <w:t>生活垃圾</w:t>
            </w:r>
          </w:p>
        </w:tc>
        <w:tc>
          <w:tcPr>
            <w:tcW w:w="1364" w:type="dxa"/>
            <w:vAlign w:val="center"/>
          </w:tcPr>
          <w:p w14:paraId="192C90B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2.19</w:t>
            </w:r>
            <w:r>
              <w:rPr>
                <w:rFonts w:hint="eastAsia" w:cs="Times New Roman"/>
                <w:color w:val="auto"/>
                <w:sz w:val="21"/>
                <w:szCs w:val="21"/>
                <w:highlight w:val="none"/>
                <w:lang w:val="en-US" w:eastAsia="zh-CN"/>
              </w:rPr>
              <w:t>t/a</w:t>
            </w:r>
          </w:p>
        </w:tc>
        <w:tc>
          <w:tcPr>
            <w:tcW w:w="1296" w:type="dxa"/>
            <w:vAlign w:val="center"/>
          </w:tcPr>
          <w:p w14:paraId="7F9A67B4">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409" w:type="dxa"/>
            <w:vAlign w:val="center"/>
          </w:tcPr>
          <w:p w14:paraId="6C91E927">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559" w:type="dxa"/>
            <w:vAlign w:val="center"/>
          </w:tcPr>
          <w:p w14:paraId="58950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2.19</w:t>
            </w:r>
            <w:r>
              <w:rPr>
                <w:rFonts w:hint="eastAsia" w:cs="Times New Roman"/>
                <w:color w:val="auto"/>
                <w:sz w:val="21"/>
                <w:szCs w:val="21"/>
                <w:highlight w:val="none"/>
                <w:lang w:val="en-US" w:eastAsia="zh-CN"/>
              </w:rPr>
              <w:t>t/a</w:t>
            </w:r>
          </w:p>
        </w:tc>
        <w:tc>
          <w:tcPr>
            <w:tcW w:w="1535" w:type="dxa"/>
            <w:vAlign w:val="center"/>
          </w:tcPr>
          <w:p w14:paraId="7D0E7B0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snapToGrid w:val="0"/>
                <w:color w:val="auto"/>
                <w:kern w:val="21"/>
                <w:sz w:val="21"/>
                <w:szCs w:val="21"/>
                <w:highlight w:val="none"/>
              </w:rPr>
            </w:pPr>
            <w:r>
              <w:rPr>
                <w:rFonts w:hint="eastAsia" w:cs="Times New Roman"/>
                <w:snapToGrid w:val="0"/>
                <w:color w:val="auto"/>
                <w:kern w:val="21"/>
                <w:sz w:val="21"/>
                <w:szCs w:val="21"/>
                <w:highlight w:val="none"/>
                <w:lang w:val="en-US" w:eastAsia="zh-CN"/>
              </w:rPr>
              <w:t>2.19</w:t>
            </w:r>
            <w:r>
              <w:rPr>
                <w:rFonts w:hint="eastAsia" w:cs="Times New Roman"/>
                <w:color w:val="auto"/>
                <w:sz w:val="21"/>
                <w:szCs w:val="21"/>
                <w:highlight w:val="none"/>
                <w:lang w:val="en-US" w:eastAsia="zh-CN"/>
              </w:rPr>
              <w:t>t/a</w:t>
            </w:r>
          </w:p>
        </w:tc>
        <w:tc>
          <w:tcPr>
            <w:tcW w:w="1786" w:type="dxa"/>
            <w:vAlign w:val="center"/>
          </w:tcPr>
          <w:p w14:paraId="397A3E5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eastAsia" w:cs="Times New Roman"/>
                <w:snapToGrid w:val="0"/>
                <w:color w:val="auto"/>
                <w:kern w:val="21"/>
                <w:sz w:val="21"/>
                <w:szCs w:val="21"/>
                <w:highlight w:val="none"/>
                <w:lang w:val="en-US" w:eastAsia="zh-CN"/>
              </w:rPr>
              <w:t>2.19</w:t>
            </w:r>
            <w:r>
              <w:rPr>
                <w:rFonts w:hint="eastAsia" w:cs="Times New Roman"/>
                <w:color w:val="auto"/>
                <w:sz w:val="21"/>
                <w:szCs w:val="21"/>
                <w:highlight w:val="none"/>
                <w:lang w:val="en-US" w:eastAsia="zh-CN"/>
              </w:rPr>
              <w:t>t/a</w:t>
            </w:r>
          </w:p>
        </w:tc>
        <w:tc>
          <w:tcPr>
            <w:tcW w:w="1225" w:type="dxa"/>
            <w:vAlign w:val="center"/>
          </w:tcPr>
          <w:p w14:paraId="35EB8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w:t>
            </w:r>
          </w:p>
        </w:tc>
      </w:tr>
      <w:tr w14:paraId="3B25F8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705E695E">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70BF38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脱水污泥</w:t>
            </w:r>
          </w:p>
        </w:tc>
        <w:tc>
          <w:tcPr>
            <w:tcW w:w="1364" w:type="dxa"/>
            <w:vAlign w:val="center"/>
          </w:tcPr>
          <w:p w14:paraId="3BAC960C">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olor w:val="auto"/>
                <w:sz w:val="21"/>
                <w:szCs w:val="21"/>
                <w:highlight w:val="none"/>
                <w:lang w:val="en-US" w:eastAsia="zh-CN"/>
              </w:rPr>
              <w:t>2920</w:t>
            </w:r>
            <w:r>
              <w:rPr>
                <w:rFonts w:hint="eastAsia" w:cs="Times New Roman"/>
                <w:color w:val="auto"/>
                <w:sz w:val="21"/>
                <w:szCs w:val="21"/>
                <w:highlight w:val="none"/>
                <w:lang w:val="en-US" w:eastAsia="zh-CN"/>
              </w:rPr>
              <w:t>t/a</w:t>
            </w:r>
          </w:p>
        </w:tc>
        <w:tc>
          <w:tcPr>
            <w:tcW w:w="1296" w:type="dxa"/>
            <w:vAlign w:val="center"/>
          </w:tcPr>
          <w:p w14:paraId="0E5D5F8D">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09" w:type="dxa"/>
            <w:vAlign w:val="center"/>
          </w:tcPr>
          <w:p w14:paraId="1C527916">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34C41D7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2920</w:t>
            </w:r>
            <w:r>
              <w:rPr>
                <w:rFonts w:hint="eastAsia" w:cs="Times New Roman"/>
                <w:color w:val="auto"/>
                <w:sz w:val="21"/>
                <w:szCs w:val="21"/>
                <w:highlight w:val="none"/>
                <w:lang w:val="en-US" w:eastAsia="zh-CN"/>
              </w:rPr>
              <w:t>t/a</w:t>
            </w:r>
          </w:p>
        </w:tc>
        <w:tc>
          <w:tcPr>
            <w:tcW w:w="1535" w:type="dxa"/>
            <w:vAlign w:val="center"/>
          </w:tcPr>
          <w:p w14:paraId="0F63C57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eastAsia"/>
                <w:color w:val="auto"/>
                <w:sz w:val="21"/>
                <w:szCs w:val="21"/>
                <w:highlight w:val="none"/>
                <w:lang w:val="en-US" w:eastAsia="zh-CN"/>
              </w:rPr>
              <w:t>2920</w:t>
            </w:r>
            <w:r>
              <w:rPr>
                <w:rFonts w:hint="eastAsia" w:cs="Times New Roman"/>
                <w:color w:val="auto"/>
                <w:sz w:val="21"/>
                <w:szCs w:val="21"/>
                <w:highlight w:val="none"/>
                <w:lang w:val="en-US" w:eastAsia="zh-CN"/>
              </w:rPr>
              <w:t>t/a</w:t>
            </w:r>
          </w:p>
        </w:tc>
        <w:tc>
          <w:tcPr>
            <w:tcW w:w="1786" w:type="dxa"/>
            <w:vAlign w:val="center"/>
          </w:tcPr>
          <w:p w14:paraId="500755E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2920</w:t>
            </w:r>
            <w:r>
              <w:rPr>
                <w:rFonts w:hint="eastAsia" w:cs="Times New Roman"/>
                <w:color w:val="auto"/>
                <w:sz w:val="21"/>
                <w:szCs w:val="21"/>
                <w:highlight w:val="none"/>
                <w:lang w:val="en-US" w:eastAsia="zh-CN"/>
              </w:rPr>
              <w:t>t/a</w:t>
            </w:r>
          </w:p>
        </w:tc>
        <w:tc>
          <w:tcPr>
            <w:tcW w:w="1225" w:type="dxa"/>
            <w:vAlign w:val="center"/>
          </w:tcPr>
          <w:p w14:paraId="4E127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r>
      <w:tr w14:paraId="5581AD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58432623">
            <w:pPr>
              <w:pStyle w:val="69"/>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78F609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废包装袋</w:t>
            </w:r>
          </w:p>
        </w:tc>
        <w:tc>
          <w:tcPr>
            <w:tcW w:w="1364" w:type="dxa"/>
            <w:vAlign w:val="center"/>
          </w:tcPr>
          <w:p w14:paraId="5FD7C972">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w:t>
            </w:r>
            <w:r>
              <w:rPr>
                <w:rFonts w:hint="eastAsia" w:cs="Times New Roman"/>
                <w:color w:val="auto"/>
                <w:sz w:val="21"/>
                <w:szCs w:val="21"/>
                <w:highlight w:val="none"/>
                <w:lang w:val="en-US" w:eastAsia="zh-CN"/>
              </w:rPr>
              <w:t>t/a</w:t>
            </w:r>
          </w:p>
        </w:tc>
        <w:tc>
          <w:tcPr>
            <w:tcW w:w="1296" w:type="dxa"/>
            <w:vAlign w:val="center"/>
          </w:tcPr>
          <w:p w14:paraId="7E52CFE2">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409" w:type="dxa"/>
            <w:vAlign w:val="center"/>
          </w:tcPr>
          <w:p w14:paraId="2CD630E3">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559" w:type="dxa"/>
            <w:vAlign w:val="center"/>
          </w:tcPr>
          <w:p w14:paraId="78DF637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cs="Times New Roman"/>
                <w:snapToGrid w:val="0"/>
                <w:color w:val="auto"/>
                <w:kern w:val="21"/>
                <w:sz w:val="21"/>
                <w:szCs w:val="21"/>
                <w:highlight w:val="none"/>
                <w:lang w:val="en-US" w:eastAsia="zh-CN"/>
              </w:rPr>
              <w:t>1</w:t>
            </w:r>
            <w:r>
              <w:rPr>
                <w:rFonts w:hint="eastAsia" w:cs="Times New Roman"/>
                <w:color w:val="auto"/>
                <w:sz w:val="21"/>
                <w:szCs w:val="21"/>
                <w:highlight w:val="none"/>
                <w:lang w:val="en-US" w:eastAsia="zh-CN"/>
              </w:rPr>
              <w:t>t/a</w:t>
            </w:r>
          </w:p>
        </w:tc>
        <w:tc>
          <w:tcPr>
            <w:tcW w:w="1535" w:type="dxa"/>
            <w:vAlign w:val="center"/>
          </w:tcPr>
          <w:p w14:paraId="7005FF7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eastAsia" w:cs="Times New Roman"/>
                <w:snapToGrid w:val="0"/>
                <w:color w:val="auto"/>
                <w:kern w:val="21"/>
                <w:sz w:val="21"/>
                <w:szCs w:val="21"/>
                <w:highlight w:val="none"/>
                <w:lang w:val="en-US" w:eastAsia="zh-CN"/>
              </w:rPr>
              <w:t>1</w:t>
            </w:r>
            <w:r>
              <w:rPr>
                <w:rFonts w:hint="eastAsia" w:cs="Times New Roman"/>
                <w:color w:val="auto"/>
                <w:sz w:val="21"/>
                <w:szCs w:val="21"/>
                <w:highlight w:val="none"/>
                <w:lang w:val="en-US" w:eastAsia="zh-CN"/>
              </w:rPr>
              <w:t>t/a</w:t>
            </w:r>
          </w:p>
        </w:tc>
        <w:tc>
          <w:tcPr>
            <w:tcW w:w="1786" w:type="dxa"/>
            <w:vAlign w:val="center"/>
          </w:tcPr>
          <w:p w14:paraId="21B97DA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eastAsia" w:cs="Times New Roman"/>
                <w:snapToGrid w:val="0"/>
                <w:color w:val="auto"/>
                <w:kern w:val="21"/>
                <w:sz w:val="21"/>
                <w:szCs w:val="21"/>
                <w:highlight w:val="none"/>
                <w:lang w:val="en-US" w:eastAsia="zh-CN"/>
              </w:rPr>
              <w:t>1</w:t>
            </w:r>
            <w:r>
              <w:rPr>
                <w:rFonts w:hint="eastAsia" w:cs="Times New Roman"/>
                <w:color w:val="auto"/>
                <w:sz w:val="21"/>
                <w:szCs w:val="21"/>
                <w:highlight w:val="none"/>
                <w:lang w:val="en-US" w:eastAsia="zh-CN"/>
              </w:rPr>
              <w:t>t/a</w:t>
            </w:r>
          </w:p>
        </w:tc>
        <w:tc>
          <w:tcPr>
            <w:tcW w:w="1225" w:type="dxa"/>
            <w:vAlign w:val="center"/>
          </w:tcPr>
          <w:p w14:paraId="787FC3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r>
      <w:tr w14:paraId="6D4813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02919D1A">
            <w:pPr>
              <w:pStyle w:val="69"/>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p>
        </w:tc>
        <w:tc>
          <w:tcPr>
            <w:tcW w:w="2697" w:type="dxa"/>
            <w:vAlign w:val="center"/>
          </w:tcPr>
          <w:p w14:paraId="64D31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废活性炭</w:t>
            </w:r>
          </w:p>
        </w:tc>
        <w:tc>
          <w:tcPr>
            <w:tcW w:w="1364" w:type="dxa"/>
            <w:vAlign w:val="center"/>
          </w:tcPr>
          <w:p w14:paraId="5C1C11A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296" w:type="dxa"/>
            <w:vAlign w:val="center"/>
          </w:tcPr>
          <w:p w14:paraId="462F670E">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09" w:type="dxa"/>
            <w:vAlign w:val="center"/>
          </w:tcPr>
          <w:p w14:paraId="29DB316D">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6E892B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eastAsia"/>
                <w:b w:val="0"/>
                <w:bCs/>
                <w:color w:val="auto"/>
                <w:szCs w:val="21"/>
                <w:highlight w:val="none"/>
                <w:lang w:val="en-US" w:eastAsia="zh-CN"/>
              </w:rPr>
              <w:t>120m</w:t>
            </w:r>
            <w:r>
              <w:rPr>
                <w:rFonts w:hint="eastAsia"/>
                <w:b w:val="0"/>
                <w:bCs/>
                <w:color w:val="auto"/>
                <w:szCs w:val="21"/>
                <w:highlight w:val="none"/>
                <w:vertAlign w:val="superscript"/>
                <w:lang w:val="en-US" w:eastAsia="zh-CN"/>
              </w:rPr>
              <w:t>3</w:t>
            </w:r>
            <w:r>
              <w:rPr>
                <w:rFonts w:hint="eastAsia"/>
                <w:b w:val="0"/>
                <w:bCs/>
                <w:color w:val="auto"/>
                <w:szCs w:val="21"/>
                <w:highlight w:val="none"/>
                <w:lang w:val="en-US" w:eastAsia="zh-CN"/>
              </w:rPr>
              <w:t>/5a</w:t>
            </w:r>
          </w:p>
        </w:tc>
        <w:tc>
          <w:tcPr>
            <w:tcW w:w="1535" w:type="dxa"/>
            <w:vAlign w:val="center"/>
          </w:tcPr>
          <w:p w14:paraId="565CC34F">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786" w:type="dxa"/>
            <w:vAlign w:val="center"/>
          </w:tcPr>
          <w:p w14:paraId="2EF2B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225" w:type="dxa"/>
            <w:vAlign w:val="center"/>
          </w:tcPr>
          <w:p w14:paraId="78E3D8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eastAsia"/>
                <w:b w:val="0"/>
                <w:bCs/>
                <w:color w:val="auto"/>
                <w:szCs w:val="21"/>
                <w:highlight w:val="none"/>
                <w:lang w:val="en-US" w:eastAsia="zh-CN"/>
              </w:rPr>
              <w:t>120m</w:t>
            </w:r>
            <w:r>
              <w:rPr>
                <w:rFonts w:hint="eastAsia"/>
                <w:b w:val="0"/>
                <w:bCs/>
                <w:color w:val="auto"/>
                <w:szCs w:val="21"/>
                <w:highlight w:val="none"/>
                <w:vertAlign w:val="superscript"/>
                <w:lang w:val="en-US" w:eastAsia="zh-CN"/>
              </w:rPr>
              <w:t>3</w:t>
            </w:r>
            <w:r>
              <w:rPr>
                <w:rFonts w:hint="eastAsia"/>
                <w:b w:val="0"/>
                <w:bCs/>
                <w:color w:val="auto"/>
                <w:szCs w:val="21"/>
                <w:highlight w:val="none"/>
                <w:lang w:val="en-US" w:eastAsia="zh-CN"/>
              </w:rPr>
              <w:t>/5a</w:t>
            </w:r>
          </w:p>
        </w:tc>
      </w:tr>
    </w:tbl>
    <w:p w14:paraId="2C66592E">
      <w:pPr>
        <w:pStyle w:val="69"/>
        <w:adjustRightInd/>
        <w:snapToGrid/>
        <w:spacing w:beforeLines="0" w:afterLines="0" w:line="240" w:lineRule="auto"/>
        <w:ind w:firstLine="0"/>
        <w:jc w:val="left"/>
        <w:rPr>
          <w:rFonts w:hint="default" w:ascii="Times New Roman" w:hAnsi="Times New Roman" w:cs="Times New Roman"/>
          <w:snapToGrid w:val="0"/>
          <w:color w:val="auto"/>
          <w:kern w:val="21"/>
          <w:sz w:val="21"/>
          <w:highlight w:val="none"/>
        </w:rPr>
      </w:pPr>
      <w:r>
        <w:rPr>
          <w:rFonts w:hint="default" w:ascii="Times New Roman" w:hAnsi="Times New Roman" w:cs="Times New Roman"/>
          <w:snapToGrid w:val="0"/>
          <w:color w:val="auto"/>
          <w:kern w:val="21"/>
          <w:sz w:val="21"/>
          <w:highlight w:val="none"/>
        </w:rPr>
        <w:t>注：⑥=①+③+④-⑤；⑦=⑥-①</w:t>
      </w:r>
    </w:p>
    <w:p w14:paraId="2FFDD847">
      <w:pPr>
        <w:pStyle w:val="32"/>
        <w:spacing w:before="0" w:beforeAutospacing="0" w:after="0" w:afterAutospacing="0"/>
        <w:rPr>
          <w:rFonts w:hint="default" w:ascii="Times New Roman" w:hAnsi="Times New Roman" w:cs="Times New Roman"/>
          <w:snapToGrid w:val="0"/>
          <w:color w:val="auto"/>
          <w:kern w:val="21"/>
          <w:sz w:val="21"/>
          <w:szCs w:val="32"/>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770521EF">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textAlignment w:val="auto"/>
        <w:rPr>
          <w:rFonts w:hint="eastAsia" w:eastAsia="宋体" w:cs="Times New Roman"/>
          <w:color w:val="auto"/>
          <w:sz w:val="21"/>
          <w:szCs w:val="21"/>
          <w:highlight w:val="none"/>
          <w:lang w:val="en-US" w:eastAsia="zh-CN"/>
        </w:rPr>
      </w:pPr>
      <w:bookmarkStart w:id="16" w:name="_Toc24197"/>
      <w:bookmarkStart w:id="17" w:name="_Toc11995"/>
      <w:bookmarkStart w:id="18" w:name="_Toc20292"/>
      <w:r>
        <w:rPr>
          <w:rFonts w:hint="default" w:ascii="Times New Roman" w:hAnsi="Times New Roman" w:eastAsia="宋体" w:cs="Times New Roman"/>
          <w:color w:val="auto"/>
          <w:sz w:val="21"/>
          <w:szCs w:val="21"/>
          <w:highlight w:val="none"/>
        </w:rPr>
        <w:t>附件1</w:t>
      </w:r>
      <w:bookmarkEnd w:id="16"/>
      <w:bookmarkEnd w:id="17"/>
      <w:bookmarkEnd w:id="18"/>
      <w:r>
        <w:rPr>
          <w:rFonts w:hint="eastAsia" w:eastAsia="宋体" w:cs="Times New Roman"/>
          <w:color w:val="auto"/>
          <w:sz w:val="21"/>
          <w:szCs w:val="21"/>
          <w:highlight w:val="none"/>
          <w:lang w:val="en-US" w:eastAsia="zh-CN"/>
        </w:rPr>
        <w:t>营业执照</w:t>
      </w:r>
    </w:p>
    <w:p w14:paraId="1C2F7660">
      <w:pPr>
        <w:jc w:val="center"/>
        <w:rPr>
          <w:rFonts w:hint="default"/>
          <w:color w:val="auto"/>
          <w:lang w:val="en-US"/>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color w:val="auto"/>
        </w:rPr>
        <w:drawing>
          <wp:inline distT="0" distB="0" distL="114300" distR="114300">
            <wp:extent cx="7742555" cy="5071110"/>
            <wp:effectExtent l="0" t="0" r="10795" b="1524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14"/>
                    <a:stretch>
                      <a:fillRect/>
                    </a:stretch>
                  </pic:blipFill>
                  <pic:spPr>
                    <a:xfrm>
                      <a:off x="0" y="0"/>
                      <a:ext cx="7742555" cy="5071110"/>
                    </a:xfrm>
                    <a:prstGeom prst="rect">
                      <a:avLst/>
                    </a:prstGeom>
                    <a:noFill/>
                    <a:ln>
                      <a:noFill/>
                    </a:ln>
                  </pic:spPr>
                </pic:pic>
              </a:graphicData>
            </a:graphic>
          </wp:inline>
        </w:drawing>
      </w:r>
    </w:p>
    <w:p w14:paraId="4BBCBF8B">
      <w:pPr>
        <w:spacing w:line="36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附件2关于鸡西市第三净水厂升级改造工程环境影响报告书的批复</w:t>
      </w:r>
    </w:p>
    <w:p w14:paraId="54D53551">
      <w:pPr>
        <w:pStyle w:val="35"/>
        <w:rPr>
          <w:rFonts w:hint="eastAsia" w:eastAsia="宋体"/>
          <w:color w:val="auto"/>
          <w:highlight w:val="none"/>
          <w:lang w:eastAsia="zh-CN"/>
        </w:rPr>
      </w:pPr>
    </w:p>
    <w:p w14:paraId="560C777C">
      <w:pPr>
        <w:pStyle w:val="36"/>
        <w:ind w:left="0" w:leftChars="0" w:firstLine="0" w:firstLineChars="0"/>
        <w:rPr>
          <w:color w:val="auto"/>
        </w:rPr>
      </w:pPr>
      <w:r>
        <w:rPr>
          <w:color w:val="auto"/>
        </w:rPr>
        <w:drawing>
          <wp:inline distT="0" distB="0" distL="114300" distR="114300">
            <wp:extent cx="5238115" cy="7603490"/>
            <wp:effectExtent l="0" t="0" r="635" b="1651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5"/>
                    <a:stretch>
                      <a:fillRect/>
                    </a:stretch>
                  </pic:blipFill>
                  <pic:spPr>
                    <a:xfrm>
                      <a:off x="0" y="0"/>
                      <a:ext cx="5238115" cy="7603490"/>
                    </a:xfrm>
                    <a:prstGeom prst="rect">
                      <a:avLst/>
                    </a:prstGeom>
                    <a:noFill/>
                    <a:ln>
                      <a:noFill/>
                    </a:ln>
                  </pic:spPr>
                </pic:pic>
              </a:graphicData>
            </a:graphic>
          </wp:inline>
        </w:drawing>
      </w:r>
    </w:p>
    <w:p w14:paraId="0589EF7B">
      <w:pPr>
        <w:pStyle w:val="23"/>
        <w:rPr>
          <w:rFonts w:hint="eastAsia"/>
          <w:color w:val="auto"/>
          <w:lang w:eastAsia="zh-CN"/>
        </w:rPr>
      </w:pPr>
    </w:p>
    <w:p w14:paraId="0584FB12">
      <w:pPr>
        <w:pStyle w:val="12"/>
        <w:rPr>
          <w:color w:val="auto"/>
        </w:rPr>
      </w:pPr>
      <w:r>
        <w:rPr>
          <w:color w:val="auto"/>
        </w:rPr>
        <w:drawing>
          <wp:inline distT="0" distB="0" distL="114300" distR="114300">
            <wp:extent cx="5152390" cy="7258050"/>
            <wp:effectExtent l="0" t="0" r="10160" b="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6"/>
                    <a:stretch>
                      <a:fillRect/>
                    </a:stretch>
                  </pic:blipFill>
                  <pic:spPr>
                    <a:xfrm>
                      <a:off x="0" y="0"/>
                      <a:ext cx="5152390" cy="7258050"/>
                    </a:xfrm>
                    <a:prstGeom prst="rect">
                      <a:avLst/>
                    </a:prstGeom>
                    <a:noFill/>
                    <a:ln>
                      <a:noFill/>
                    </a:ln>
                  </pic:spPr>
                </pic:pic>
              </a:graphicData>
            </a:graphic>
          </wp:inline>
        </w:drawing>
      </w:r>
    </w:p>
    <w:p w14:paraId="7E6ACCAB">
      <w:pPr>
        <w:pStyle w:val="13"/>
        <w:rPr>
          <w:color w:val="auto"/>
        </w:rPr>
      </w:pPr>
    </w:p>
    <w:p w14:paraId="2EDF7103">
      <w:pPr>
        <w:pStyle w:val="14"/>
        <w:rPr>
          <w:color w:val="auto"/>
        </w:rPr>
      </w:pPr>
    </w:p>
    <w:p w14:paraId="7606F7D2">
      <w:pPr>
        <w:rPr>
          <w:color w:val="auto"/>
        </w:rPr>
      </w:pPr>
    </w:p>
    <w:p w14:paraId="40FF0A6E">
      <w:pPr>
        <w:pStyle w:val="12"/>
        <w:rPr>
          <w:color w:val="auto"/>
        </w:rPr>
      </w:pPr>
    </w:p>
    <w:p w14:paraId="689E6B60">
      <w:pPr>
        <w:pStyle w:val="13"/>
        <w:rPr>
          <w:color w:val="auto"/>
        </w:rPr>
      </w:pPr>
    </w:p>
    <w:p w14:paraId="35AA46DB">
      <w:pPr>
        <w:pStyle w:val="14"/>
        <w:rPr>
          <w:color w:val="auto"/>
        </w:rPr>
      </w:pPr>
    </w:p>
    <w:p w14:paraId="4D735209">
      <w:pPr>
        <w:rPr>
          <w:color w:val="auto"/>
        </w:rPr>
      </w:pPr>
    </w:p>
    <w:p w14:paraId="6734F4D6">
      <w:pPr>
        <w:pStyle w:val="12"/>
        <w:rPr>
          <w:color w:val="auto"/>
        </w:rPr>
      </w:pPr>
    </w:p>
    <w:p w14:paraId="58E17D35">
      <w:pPr>
        <w:pStyle w:val="13"/>
        <w:rPr>
          <w:color w:val="auto"/>
        </w:rPr>
      </w:pPr>
    </w:p>
    <w:p w14:paraId="49C383FC">
      <w:pPr>
        <w:pStyle w:val="14"/>
        <w:ind w:left="0" w:leftChars="0" w:firstLine="0" w:firstLineChars="0"/>
        <w:rPr>
          <w:rFonts w:hint="default" w:ascii="Times New Roman" w:hAnsi="Times New Roman" w:eastAsia="宋体" w:cs="Times New Roman"/>
          <w:color w:val="auto"/>
          <w:sz w:val="21"/>
          <w:szCs w:val="21"/>
          <w:highlight w:val="none"/>
        </w:rPr>
      </w:pPr>
      <w:r>
        <w:rPr>
          <w:color w:val="auto"/>
        </w:rPr>
        <w:drawing>
          <wp:inline distT="0" distB="0" distL="114300" distR="114300">
            <wp:extent cx="5200650" cy="7499350"/>
            <wp:effectExtent l="0" t="0" r="0" b="635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7"/>
                    <a:stretch>
                      <a:fillRect/>
                    </a:stretch>
                  </pic:blipFill>
                  <pic:spPr>
                    <a:xfrm>
                      <a:off x="0" y="0"/>
                      <a:ext cx="5200650" cy="7499350"/>
                    </a:xfrm>
                    <a:prstGeom prst="rect">
                      <a:avLst/>
                    </a:prstGeom>
                    <a:noFill/>
                    <a:ln>
                      <a:noFill/>
                    </a:ln>
                  </pic:spPr>
                </pic:pic>
              </a:graphicData>
            </a:graphic>
          </wp:inline>
        </w:drawing>
      </w:r>
      <w:r>
        <w:rPr>
          <w:rFonts w:hint="default" w:ascii="Times New Roman" w:hAnsi="Times New Roman" w:eastAsia="宋体" w:cs="Times New Roman"/>
          <w:color w:val="auto"/>
          <w:sz w:val="21"/>
          <w:szCs w:val="21"/>
          <w:highlight w:val="none"/>
        </w:rPr>
        <w:br w:type="page"/>
      </w:r>
    </w:p>
    <w:p w14:paraId="640FD348">
      <w:pPr>
        <w:pStyle w:val="5"/>
        <w:keepNext/>
        <w:keepLines w:val="0"/>
        <w:pageBreakBefore w:val="0"/>
        <w:widowControl/>
        <w:kinsoku/>
        <w:wordWrap/>
        <w:overflowPunct/>
        <w:topLinePunct w:val="0"/>
        <w:autoSpaceDE/>
        <w:autoSpaceDN/>
        <w:bidi w:val="0"/>
        <w:adjustRightInd/>
        <w:snapToGrid/>
        <w:spacing w:before="0" w:after="0" w:line="360" w:lineRule="auto"/>
        <w:ind w:left="0" w:firstLine="0"/>
        <w:textAlignment w:val="auto"/>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附件3排泥水上清液检测报告</w:t>
      </w:r>
    </w:p>
    <w:p w14:paraId="20550C2F">
      <w:pPr>
        <w:pStyle w:val="2"/>
        <w:ind w:left="0" w:leftChars="0" w:firstLine="0" w:firstLineChars="0"/>
        <w:rPr>
          <w:rFonts w:hint="default" w:eastAsia="宋体"/>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color w:val="auto"/>
        </w:rPr>
        <w:drawing>
          <wp:inline distT="0" distB="0" distL="114300" distR="114300">
            <wp:extent cx="5270500" cy="7307580"/>
            <wp:effectExtent l="0" t="0" r="6350" b="762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18"/>
                    <a:stretch>
                      <a:fillRect/>
                    </a:stretch>
                  </pic:blipFill>
                  <pic:spPr>
                    <a:xfrm>
                      <a:off x="0" y="0"/>
                      <a:ext cx="5270500" cy="7307580"/>
                    </a:xfrm>
                    <a:prstGeom prst="rect">
                      <a:avLst/>
                    </a:prstGeom>
                    <a:noFill/>
                    <a:ln>
                      <a:noFill/>
                    </a:ln>
                  </pic:spPr>
                </pic:pic>
              </a:graphicData>
            </a:graphic>
          </wp:inline>
        </w:drawing>
      </w:r>
      <w:r>
        <w:rPr>
          <w:color w:val="auto"/>
        </w:rPr>
        <w:drawing>
          <wp:inline distT="0" distB="0" distL="114300" distR="114300">
            <wp:extent cx="5270500" cy="7243445"/>
            <wp:effectExtent l="0" t="0" r="6350" b="1460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9"/>
                    <a:stretch>
                      <a:fillRect/>
                    </a:stretch>
                  </pic:blipFill>
                  <pic:spPr>
                    <a:xfrm>
                      <a:off x="0" y="0"/>
                      <a:ext cx="5270500" cy="7243445"/>
                    </a:xfrm>
                    <a:prstGeom prst="rect">
                      <a:avLst/>
                    </a:prstGeom>
                    <a:noFill/>
                    <a:ln>
                      <a:noFill/>
                    </a:ln>
                  </pic:spPr>
                </pic:pic>
              </a:graphicData>
            </a:graphic>
          </wp:inline>
        </w:drawing>
      </w:r>
      <w:r>
        <w:rPr>
          <w:color w:val="auto"/>
        </w:rPr>
        <w:drawing>
          <wp:inline distT="0" distB="0" distL="114300" distR="114300">
            <wp:extent cx="5271770" cy="7237730"/>
            <wp:effectExtent l="0" t="0" r="5080" b="127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0"/>
                    <a:stretch>
                      <a:fillRect/>
                    </a:stretch>
                  </pic:blipFill>
                  <pic:spPr>
                    <a:xfrm>
                      <a:off x="0" y="0"/>
                      <a:ext cx="5271770" cy="7237730"/>
                    </a:xfrm>
                    <a:prstGeom prst="rect">
                      <a:avLst/>
                    </a:prstGeom>
                    <a:noFill/>
                    <a:ln>
                      <a:noFill/>
                    </a:ln>
                  </pic:spPr>
                </pic:pic>
              </a:graphicData>
            </a:graphic>
          </wp:inline>
        </w:drawing>
      </w:r>
      <w:r>
        <w:rPr>
          <w:color w:val="auto"/>
        </w:rPr>
        <w:drawing>
          <wp:inline distT="0" distB="0" distL="114300" distR="114300">
            <wp:extent cx="5273675" cy="7377430"/>
            <wp:effectExtent l="0" t="0" r="3175" b="1397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21"/>
                    <a:stretch>
                      <a:fillRect/>
                    </a:stretch>
                  </pic:blipFill>
                  <pic:spPr>
                    <a:xfrm>
                      <a:off x="0" y="0"/>
                      <a:ext cx="5273675" cy="7377430"/>
                    </a:xfrm>
                    <a:prstGeom prst="rect">
                      <a:avLst/>
                    </a:prstGeom>
                    <a:noFill/>
                    <a:ln>
                      <a:noFill/>
                    </a:ln>
                  </pic:spPr>
                </pic:pic>
              </a:graphicData>
            </a:graphic>
          </wp:inline>
        </w:drawing>
      </w:r>
      <w:r>
        <w:rPr>
          <w:color w:val="auto"/>
        </w:rPr>
        <w:drawing>
          <wp:inline distT="0" distB="0" distL="114300" distR="114300">
            <wp:extent cx="5272405" cy="7257415"/>
            <wp:effectExtent l="0" t="0" r="4445" b="635"/>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22"/>
                    <a:stretch>
                      <a:fillRect/>
                    </a:stretch>
                  </pic:blipFill>
                  <pic:spPr>
                    <a:xfrm>
                      <a:off x="0" y="0"/>
                      <a:ext cx="5272405" cy="7257415"/>
                    </a:xfrm>
                    <a:prstGeom prst="rect">
                      <a:avLst/>
                    </a:prstGeom>
                    <a:noFill/>
                    <a:ln>
                      <a:noFill/>
                    </a:ln>
                  </pic:spPr>
                </pic:pic>
              </a:graphicData>
            </a:graphic>
          </wp:inline>
        </w:drawing>
      </w:r>
    </w:p>
    <w:p w14:paraId="71D1D119">
      <w:pPr>
        <w:pStyle w:val="5"/>
        <w:spacing w:line="260" w:lineRule="auto"/>
        <w:ind w:left="0" w:firstLine="0"/>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附件4现状监测报告</w:t>
      </w:r>
    </w:p>
    <w:p w14:paraId="019433ED">
      <w:pPr>
        <w:rPr>
          <w:color w:val="auto"/>
        </w:rPr>
      </w:pPr>
      <w:r>
        <w:rPr>
          <w:color w:val="auto"/>
        </w:rPr>
        <w:drawing>
          <wp:inline distT="0" distB="0" distL="114300" distR="114300">
            <wp:extent cx="5019675" cy="6915150"/>
            <wp:effectExtent l="0" t="0" r="9525" b="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23"/>
                    <a:stretch>
                      <a:fillRect/>
                    </a:stretch>
                  </pic:blipFill>
                  <pic:spPr>
                    <a:xfrm>
                      <a:off x="0" y="0"/>
                      <a:ext cx="5019675" cy="6915150"/>
                    </a:xfrm>
                    <a:prstGeom prst="rect">
                      <a:avLst/>
                    </a:prstGeom>
                    <a:noFill/>
                    <a:ln>
                      <a:noFill/>
                    </a:ln>
                  </pic:spPr>
                </pic:pic>
              </a:graphicData>
            </a:graphic>
          </wp:inline>
        </w:drawing>
      </w:r>
      <w:r>
        <w:rPr>
          <w:color w:val="auto"/>
        </w:rPr>
        <w:drawing>
          <wp:inline distT="0" distB="0" distL="114300" distR="114300">
            <wp:extent cx="4981575" cy="7029450"/>
            <wp:effectExtent l="0" t="0" r="9525" b="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24"/>
                    <a:stretch>
                      <a:fillRect/>
                    </a:stretch>
                  </pic:blipFill>
                  <pic:spPr>
                    <a:xfrm>
                      <a:off x="0" y="0"/>
                      <a:ext cx="4981575" cy="7029450"/>
                    </a:xfrm>
                    <a:prstGeom prst="rect">
                      <a:avLst/>
                    </a:prstGeom>
                    <a:noFill/>
                    <a:ln>
                      <a:noFill/>
                    </a:ln>
                  </pic:spPr>
                </pic:pic>
              </a:graphicData>
            </a:graphic>
          </wp:inline>
        </w:drawing>
      </w:r>
      <w:r>
        <w:rPr>
          <w:color w:val="auto"/>
        </w:rPr>
        <w:drawing>
          <wp:inline distT="0" distB="0" distL="114300" distR="114300">
            <wp:extent cx="5019675" cy="7010400"/>
            <wp:effectExtent l="0" t="0" r="9525" b="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5"/>
                    <a:stretch>
                      <a:fillRect/>
                    </a:stretch>
                  </pic:blipFill>
                  <pic:spPr>
                    <a:xfrm>
                      <a:off x="0" y="0"/>
                      <a:ext cx="5019675" cy="7010400"/>
                    </a:xfrm>
                    <a:prstGeom prst="rect">
                      <a:avLst/>
                    </a:prstGeom>
                    <a:noFill/>
                    <a:ln>
                      <a:noFill/>
                    </a:ln>
                  </pic:spPr>
                </pic:pic>
              </a:graphicData>
            </a:graphic>
          </wp:inline>
        </w:drawing>
      </w:r>
      <w:r>
        <w:rPr>
          <w:color w:val="auto"/>
        </w:rPr>
        <w:drawing>
          <wp:inline distT="0" distB="0" distL="114300" distR="114300">
            <wp:extent cx="5010150" cy="6934200"/>
            <wp:effectExtent l="0" t="0" r="0" b="0"/>
            <wp:docPr id="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pic:cNvPicPr>
                      <a:picLocks noChangeAspect="1"/>
                    </pic:cNvPicPr>
                  </pic:nvPicPr>
                  <pic:blipFill>
                    <a:blip r:embed="rId26"/>
                    <a:stretch>
                      <a:fillRect/>
                    </a:stretch>
                  </pic:blipFill>
                  <pic:spPr>
                    <a:xfrm>
                      <a:off x="0" y="0"/>
                      <a:ext cx="5010150" cy="6934200"/>
                    </a:xfrm>
                    <a:prstGeom prst="rect">
                      <a:avLst/>
                    </a:prstGeom>
                    <a:noFill/>
                    <a:ln>
                      <a:noFill/>
                    </a:ln>
                  </pic:spPr>
                </pic:pic>
              </a:graphicData>
            </a:graphic>
          </wp:inline>
        </w:drawing>
      </w:r>
      <w:r>
        <w:rPr>
          <w:color w:val="auto"/>
        </w:rPr>
        <w:drawing>
          <wp:inline distT="0" distB="0" distL="114300" distR="114300">
            <wp:extent cx="5048250" cy="6858000"/>
            <wp:effectExtent l="0" t="0" r="0" b="0"/>
            <wp:docPr id="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pic:cNvPicPr>
                      <a:picLocks noChangeAspect="1"/>
                    </pic:cNvPicPr>
                  </pic:nvPicPr>
                  <pic:blipFill>
                    <a:blip r:embed="rId27"/>
                    <a:stretch>
                      <a:fillRect/>
                    </a:stretch>
                  </pic:blipFill>
                  <pic:spPr>
                    <a:xfrm>
                      <a:off x="0" y="0"/>
                      <a:ext cx="5048250" cy="6858000"/>
                    </a:xfrm>
                    <a:prstGeom prst="rect">
                      <a:avLst/>
                    </a:prstGeom>
                    <a:noFill/>
                    <a:ln>
                      <a:noFill/>
                    </a:ln>
                  </pic:spPr>
                </pic:pic>
              </a:graphicData>
            </a:graphic>
          </wp:inline>
        </w:drawing>
      </w:r>
      <w:r>
        <w:rPr>
          <w:color w:val="auto"/>
        </w:rPr>
        <w:drawing>
          <wp:inline distT="0" distB="0" distL="114300" distR="114300">
            <wp:extent cx="5038725" cy="6953250"/>
            <wp:effectExtent l="0" t="0" r="9525" b="0"/>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28"/>
                    <a:stretch>
                      <a:fillRect/>
                    </a:stretch>
                  </pic:blipFill>
                  <pic:spPr>
                    <a:xfrm>
                      <a:off x="0" y="0"/>
                      <a:ext cx="5038725" cy="6953250"/>
                    </a:xfrm>
                    <a:prstGeom prst="rect">
                      <a:avLst/>
                    </a:prstGeom>
                    <a:noFill/>
                    <a:ln>
                      <a:noFill/>
                    </a:ln>
                  </pic:spPr>
                </pic:pic>
              </a:graphicData>
            </a:graphic>
          </wp:inline>
        </w:drawing>
      </w:r>
      <w:r>
        <w:rPr>
          <w:color w:val="auto"/>
        </w:rPr>
        <w:drawing>
          <wp:inline distT="0" distB="0" distL="114300" distR="114300">
            <wp:extent cx="5172075" cy="7176135"/>
            <wp:effectExtent l="0" t="0" r="9525" b="5715"/>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29"/>
                    <a:stretch>
                      <a:fillRect/>
                    </a:stretch>
                  </pic:blipFill>
                  <pic:spPr>
                    <a:xfrm>
                      <a:off x="0" y="0"/>
                      <a:ext cx="5172075" cy="7176135"/>
                    </a:xfrm>
                    <a:prstGeom prst="rect">
                      <a:avLst/>
                    </a:prstGeom>
                    <a:noFill/>
                    <a:ln>
                      <a:noFill/>
                    </a:ln>
                  </pic:spPr>
                </pic:pic>
              </a:graphicData>
            </a:graphic>
          </wp:inline>
        </w:drawing>
      </w:r>
      <w:r>
        <w:rPr>
          <w:color w:val="auto"/>
        </w:rPr>
        <w:drawing>
          <wp:inline distT="0" distB="0" distL="114300" distR="114300">
            <wp:extent cx="5000625" cy="7010400"/>
            <wp:effectExtent l="0" t="0" r="9525" b="0"/>
            <wp:docPr id="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pic:cNvPicPr>
                      <a:picLocks noChangeAspect="1"/>
                    </pic:cNvPicPr>
                  </pic:nvPicPr>
                  <pic:blipFill>
                    <a:blip r:embed="rId30"/>
                    <a:stretch>
                      <a:fillRect/>
                    </a:stretch>
                  </pic:blipFill>
                  <pic:spPr>
                    <a:xfrm>
                      <a:off x="0" y="0"/>
                      <a:ext cx="5000625" cy="7010400"/>
                    </a:xfrm>
                    <a:prstGeom prst="rect">
                      <a:avLst/>
                    </a:prstGeom>
                    <a:noFill/>
                    <a:ln>
                      <a:noFill/>
                    </a:ln>
                  </pic:spPr>
                </pic:pic>
              </a:graphicData>
            </a:graphic>
          </wp:inline>
        </w:drawing>
      </w:r>
      <w:r>
        <w:rPr>
          <w:color w:val="auto"/>
        </w:rPr>
        <w:drawing>
          <wp:inline distT="0" distB="0" distL="114300" distR="114300">
            <wp:extent cx="5038725" cy="7067550"/>
            <wp:effectExtent l="0" t="0" r="9525" b="0"/>
            <wp:docPr id="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7"/>
                    <pic:cNvPicPr>
                      <a:picLocks noChangeAspect="1"/>
                    </pic:cNvPicPr>
                  </pic:nvPicPr>
                  <pic:blipFill>
                    <a:blip r:embed="rId31"/>
                    <a:stretch>
                      <a:fillRect/>
                    </a:stretch>
                  </pic:blipFill>
                  <pic:spPr>
                    <a:xfrm>
                      <a:off x="0" y="0"/>
                      <a:ext cx="5038725" cy="7067550"/>
                    </a:xfrm>
                    <a:prstGeom prst="rect">
                      <a:avLst/>
                    </a:prstGeom>
                    <a:noFill/>
                    <a:ln>
                      <a:noFill/>
                    </a:ln>
                  </pic:spPr>
                </pic:pic>
              </a:graphicData>
            </a:graphic>
          </wp:inline>
        </w:drawing>
      </w:r>
      <w:r>
        <w:rPr>
          <w:color w:val="auto"/>
        </w:rPr>
        <w:drawing>
          <wp:inline distT="0" distB="0" distL="114300" distR="114300">
            <wp:extent cx="5010150" cy="6905625"/>
            <wp:effectExtent l="0" t="0" r="0" b="9525"/>
            <wp:docPr id="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8"/>
                    <pic:cNvPicPr>
                      <a:picLocks noChangeAspect="1"/>
                    </pic:cNvPicPr>
                  </pic:nvPicPr>
                  <pic:blipFill>
                    <a:blip r:embed="rId32"/>
                    <a:stretch>
                      <a:fillRect/>
                    </a:stretch>
                  </pic:blipFill>
                  <pic:spPr>
                    <a:xfrm>
                      <a:off x="0" y="0"/>
                      <a:ext cx="5010150" cy="6905625"/>
                    </a:xfrm>
                    <a:prstGeom prst="rect">
                      <a:avLst/>
                    </a:prstGeom>
                    <a:noFill/>
                    <a:ln>
                      <a:noFill/>
                    </a:ln>
                  </pic:spPr>
                </pic:pic>
              </a:graphicData>
            </a:graphic>
          </wp:inline>
        </w:drawing>
      </w:r>
      <w:r>
        <w:rPr>
          <w:color w:val="auto"/>
        </w:rPr>
        <w:drawing>
          <wp:inline distT="0" distB="0" distL="114300" distR="114300">
            <wp:extent cx="5155565" cy="7210425"/>
            <wp:effectExtent l="0" t="0" r="6985" b="9525"/>
            <wp:docPr id="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9"/>
                    <pic:cNvPicPr>
                      <a:picLocks noChangeAspect="1"/>
                    </pic:cNvPicPr>
                  </pic:nvPicPr>
                  <pic:blipFill>
                    <a:blip r:embed="rId33"/>
                    <a:stretch>
                      <a:fillRect/>
                    </a:stretch>
                  </pic:blipFill>
                  <pic:spPr>
                    <a:xfrm>
                      <a:off x="0" y="0"/>
                      <a:ext cx="5155565" cy="7210425"/>
                    </a:xfrm>
                    <a:prstGeom prst="rect">
                      <a:avLst/>
                    </a:prstGeom>
                    <a:noFill/>
                    <a:ln>
                      <a:noFill/>
                    </a:ln>
                  </pic:spPr>
                </pic:pic>
              </a:graphicData>
            </a:graphic>
          </wp:inline>
        </w:drawing>
      </w:r>
      <w:r>
        <w:rPr>
          <w:color w:val="auto"/>
        </w:rPr>
        <w:drawing>
          <wp:inline distT="0" distB="0" distL="114300" distR="114300">
            <wp:extent cx="5019675" cy="6972300"/>
            <wp:effectExtent l="0" t="0" r="9525" b="0"/>
            <wp:docPr id="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0"/>
                    <pic:cNvPicPr>
                      <a:picLocks noChangeAspect="1"/>
                    </pic:cNvPicPr>
                  </pic:nvPicPr>
                  <pic:blipFill>
                    <a:blip r:embed="rId34"/>
                    <a:stretch>
                      <a:fillRect/>
                    </a:stretch>
                  </pic:blipFill>
                  <pic:spPr>
                    <a:xfrm>
                      <a:off x="0" y="0"/>
                      <a:ext cx="5019675" cy="6972300"/>
                    </a:xfrm>
                    <a:prstGeom prst="rect">
                      <a:avLst/>
                    </a:prstGeom>
                    <a:noFill/>
                    <a:ln>
                      <a:noFill/>
                    </a:ln>
                  </pic:spPr>
                </pic:pic>
              </a:graphicData>
            </a:graphic>
          </wp:inline>
        </w:drawing>
      </w:r>
    </w:p>
    <w:p w14:paraId="5D3AB9AC">
      <w:pPr>
        <w:pStyle w:val="2"/>
        <w:rPr>
          <w:rFonts w:hint="default"/>
          <w:color w:val="auto"/>
          <w:lang w:val="en-US" w:eastAsia="zh-CN"/>
        </w:rPr>
      </w:pPr>
    </w:p>
    <w:p w14:paraId="53E524EE">
      <w:pPr>
        <w:rPr>
          <w:rFonts w:hint="default" w:ascii="Times New Roman" w:hAnsi="Times New Roman" w:eastAsia="宋体" w:cs="Times New Roman"/>
          <w:color w:val="auto"/>
          <w:sz w:val="21"/>
          <w:szCs w:val="21"/>
          <w:highlight w:val="none"/>
        </w:rPr>
      </w:pPr>
      <w:r>
        <w:rPr>
          <w:color w:val="auto"/>
        </w:rPr>
        <w:drawing>
          <wp:inline distT="0" distB="0" distL="114300" distR="114300">
            <wp:extent cx="5271135" cy="7279005"/>
            <wp:effectExtent l="0" t="0" r="5715" b="17145"/>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35"/>
                    <a:stretch>
                      <a:fillRect/>
                    </a:stretch>
                  </pic:blipFill>
                  <pic:spPr>
                    <a:xfrm>
                      <a:off x="0" y="0"/>
                      <a:ext cx="5271135" cy="7279005"/>
                    </a:xfrm>
                    <a:prstGeom prst="rect">
                      <a:avLst/>
                    </a:prstGeom>
                    <a:noFill/>
                    <a:ln>
                      <a:noFill/>
                    </a:ln>
                  </pic:spPr>
                </pic:pic>
              </a:graphicData>
            </a:graphic>
          </wp:inline>
        </w:drawing>
      </w:r>
      <w:r>
        <w:rPr>
          <w:color w:val="auto"/>
        </w:rPr>
        <w:drawing>
          <wp:inline distT="0" distB="0" distL="114300" distR="114300">
            <wp:extent cx="5269230" cy="7572375"/>
            <wp:effectExtent l="0" t="0" r="7620" b="9525"/>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36"/>
                    <a:stretch>
                      <a:fillRect/>
                    </a:stretch>
                  </pic:blipFill>
                  <pic:spPr>
                    <a:xfrm>
                      <a:off x="0" y="0"/>
                      <a:ext cx="5269230" cy="7572375"/>
                    </a:xfrm>
                    <a:prstGeom prst="rect">
                      <a:avLst/>
                    </a:prstGeom>
                    <a:noFill/>
                    <a:ln>
                      <a:noFill/>
                    </a:ln>
                  </pic:spPr>
                </pic:pic>
              </a:graphicData>
            </a:graphic>
          </wp:inline>
        </w:drawing>
      </w:r>
      <w:r>
        <w:rPr>
          <w:color w:val="auto"/>
        </w:rPr>
        <w:drawing>
          <wp:inline distT="0" distB="0" distL="114300" distR="114300">
            <wp:extent cx="5270500" cy="7251065"/>
            <wp:effectExtent l="0" t="0" r="6350" b="6985"/>
            <wp:docPr id="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pic:cNvPicPr>
                      <a:picLocks noChangeAspect="1"/>
                    </pic:cNvPicPr>
                  </pic:nvPicPr>
                  <pic:blipFill>
                    <a:blip r:embed="rId37"/>
                    <a:stretch>
                      <a:fillRect/>
                    </a:stretch>
                  </pic:blipFill>
                  <pic:spPr>
                    <a:xfrm>
                      <a:off x="0" y="0"/>
                      <a:ext cx="5270500" cy="7251065"/>
                    </a:xfrm>
                    <a:prstGeom prst="rect">
                      <a:avLst/>
                    </a:prstGeom>
                    <a:noFill/>
                    <a:ln>
                      <a:noFill/>
                    </a:ln>
                  </pic:spPr>
                </pic:pic>
              </a:graphicData>
            </a:graphic>
          </wp:inline>
        </w:drawing>
      </w:r>
      <w:r>
        <w:rPr>
          <w:color w:val="auto"/>
        </w:rPr>
        <w:drawing>
          <wp:inline distT="0" distB="0" distL="114300" distR="114300">
            <wp:extent cx="5114925" cy="7277100"/>
            <wp:effectExtent l="0" t="0" r="9525" b="0"/>
            <wp:docPr id="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pic:cNvPicPr>
                      <a:picLocks noChangeAspect="1"/>
                    </pic:cNvPicPr>
                  </pic:nvPicPr>
                  <pic:blipFill>
                    <a:blip r:embed="rId38"/>
                    <a:stretch>
                      <a:fillRect/>
                    </a:stretch>
                  </pic:blipFill>
                  <pic:spPr>
                    <a:xfrm>
                      <a:off x="0" y="0"/>
                      <a:ext cx="5114925" cy="7277100"/>
                    </a:xfrm>
                    <a:prstGeom prst="rect">
                      <a:avLst/>
                    </a:prstGeom>
                    <a:noFill/>
                    <a:ln>
                      <a:noFill/>
                    </a:ln>
                  </pic:spPr>
                </pic:pic>
              </a:graphicData>
            </a:graphic>
          </wp:inline>
        </w:drawing>
      </w:r>
    </w:p>
    <w:p w14:paraId="4FBCA79E">
      <w:pPr>
        <w:rPr>
          <w:rFonts w:hint="default"/>
          <w:color w:val="auto"/>
        </w:rPr>
      </w:pPr>
    </w:p>
    <w:p w14:paraId="60069B90">
      <w:pPr>
        <w:pStyle w:val="35"/>
        <w:rPr>
          <w:rFonts w:hint="default"/>
          <w:color w:val="auto"/>
        </w:rPr>
      </w:pPr>
    </w:p>
    <w:p w14:paraId="30F73A6B">
      <w:pPr>
        <w:pStyle w:val="36"/>
        <w:rPr>
          <w:rFonts w:hint="default"/>
          <w:color w:val="auto"/>
        </w:rPr>
      </w:pPr>
    </w:p>
    <w:p w14:paraId="4143ABF6">
      <w:pPr>
        <w:pStyle w:val="23"/>
        <w:rPr>
          <w:rFonts w:hint="default"/>
          <w:color w:val="auto"/>
        </w:rPr>
      </w:pPr>
    </w:p>
    <w:p w14:paraId="21341281">
      <w:pPr>
        <w:rPr>
          <w:rFonts w:hint="default"/>
          <w:color w:val="auto"/>
        </w:rPr>
      </w:pPr>
    </w:p>
    <w:p w14:paraId="68B4546D">
      <w:pPr>
        <w:pStyle w:val="5"/>
        <w:spacing w:line="260" w:lineRule="auto"/>
        <w:ind w:left="0" w:firstLine="0"/>
        <w:rPr>
          <w:rFonts w:hint="eastAsia"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附件</w:t>
      </w:r>
      <w:r>
        <w:rPr>
          <w:rFonts w:hint="eastAsia" w:eastAsia="宋体" w:cs="Times New Roman"/>
          <w:color w:val="auto"/>
          <w:sz w:val="21"/>
          <w:szCs w:val="21"/>
          <w:highlight w:val="none"/>
          <w:lang w:val="en-US" w:eastAsia="zh-CN"/>
        </w:rPr>
        <w:t>5核定排放量计算说明</w:t>
      </w:r>
    </w:p>
    <w:p w14:paraId="4328D02E">
      <w:pPr>
        <w:pStyle w:val="35"/>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color w:val="auto"/>
          <w:highlight w:val="none"/>
          <w:lang w:val="en-US" w:eastAsia="zh-CN"/>
        </w:rPr>
      </w:pPr>
      <w:r>
        <w:rPr>
          <w:rFonts w:hint="eastAsia"/>
          <w:b w:val="0"/>
          <w:bCs/>
          <w:color w:val="auto"/>
          <w:szCs w:val="21"/>
          <w:highlight w:val="none"/>
          <w:lang w:val="en-US" w:eastAsia="zh-CN"/>
        </w:rPr>
        <w:t>本项目改变废水排放方式，废水量及废水污染物排放量无变化。</w:t>
      </w:r>
    </w:p>
    <w:p w14:paraId="2AAE9869">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r>
        <w:rPr>
          <w:rFonts w:hint="eastAsia" w:ascii="Times New Roman" w:cs="Times New Roman"/>
          <w:color w:val="auto"/>
          <w:sz w:val="21"/>
          <w:szCs w:val="21"/>
          <w:highlight w:val="none"/>
          <w:lang w:val="en-US" w:eastAsia="zh-CN"/>
        </w:rPr>
        <w:t>排泥水经絮凝、压滤处理后，上清液排放量为</w:t>
      </w:r>
      <w:r>
        <w:rPr>
          <w:rFonts w:hint="default" w:ascii="Times New Roman" w:hAnsi="Times New Roman" w:cs="Times New Roman"/>
          <w:color w:val="auto"/>
          <w:sz w:val="21"/>
          <w:szCs w:val="21"/>
          <w:highlight w:val="none"/>
          <w:lang w:val="en-US" w:eastAsia="zh-CN"/>
        </w:rPr>
        <w:t>132130</w:t>
      </w:r>
      <w:r>
        <w:rPr>
          <w:rFonts w:hint="eastAsia" w:ascii="Times New Roman" w:cs="Times New Roman"/>
          <w:color w:val="auto"/>
          <w:sz w:val="21"/>
          <w:szCs w:val="21"/>
          <w:highlight w:val="none"/>
          <w:lang w:val="en-US" w:eastAsia="zh-CN"/>
        </w:rPr>
        <w:t>t/a，执行</w:t>
      </w:r>
      <w:r>
        <w:rPr>
          <w:rFonts w:hint="default" w:ascii="Times New Roman" w:hAnsi="Times New Roman" w:cs="Times New Roman"/>
          <w:color w:val="auto"/>
          <w:spacing w:val="0"/>
          <w:sz w:val="21"/>
          <w:szCs w:val="21"/>
          <w:highlight w:val="none"/>
          <w:lang w:val="en-US" w:eastAsia="zh-CN"/>
        </w:rPr>
        <w:t>《地表水环境质量标准》（GB3838-2002）表1中三类标准</w:t>
      </w:r>
      <w:r>
        <w:rPr>
          <w:rFonts w:hint="eastAsia" w:ascii="Times New Roman" w:hAnsi="Times New Roman" w:cs="Times New Roman"/>
          <w:color w:val="auto"/>
          <w:spacing w:val="0"/>
          <w:sz w:val="21"/>
          <w:szCs w:val="21"/>
          <w:highlight w:val="none"/>
          <w:lang w:val="en-US" w:eastAsia="zh-CN"/>
        </w:rPr>
        <w:t>。</w:t>
      </w:r>
    </w:p>
    <w:p w14:paraId="1BFDA92E">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rPr>
        <w:t>COD核定排放量=</w:t>
      </w:r>
      <w:r>
        <w:rPr>
          <w:rFonts w:hint="default" w:ascii="Times New Roman" w:hAnsi="Times New Roman" w:cs="Times New Roman"/>
          <w:color w:val="auto"/>
          <w:sz w:val="21"/>
          <w:szCs w:val="21"/>
          <w:highlight w:val="none"/>
          <w:lang w:val="en-US" w:eastAsia="zh-CN"/>
        </w:rPr>
        <w:t>132130</w:t>
      </w:r>
      <w:r>
        <w:rPr>
          <w:rFonts w:hint="default" w:ascii="Times New Roman" w:hAnsi="Times New Roman" w:cs="Times New Roman"/>
          <w:color w:val="auto"/>
          <w:sz w:val="21"/>
          <w:szCs w:val="21"/>
          <w:highlight w:val="none"/>
        </w:rPr>
        <w:t>t/a</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20</w:t>
      </w:r>
      <w:r>
        <w:rPr>
          <w:rFonts w:hint="default" w:ascii="Times New Roman" w:hAnsi="Times New Roman" w:cs="Times New Roman"/>
          <w:bCs/>
          <w:color w:val="auto"/>
          <w:sz w:val="21"/>
          <w:szCs w:val="21"/>
          <w:highlight w:val="none"/>
        </w:rPr>
        <w:t>mg/L×10</w:t>
      </w:r>
      <w:r>
        <w:rPr>
          <w:rFonts w:hint="default" w:ascii="Times New Roman" w:hAnsi="Times New Roman" w:cs="Times New Roman"/>
          <w:bCs/>
          <w:color w:val="auto"/>
          <w:sz w:val="21"/>
          <w:szCs w:val="21"/>
          <w:highlight w:val="none"/>
          <w:vertAlign w:val="superscript"/>
        </w:rPr>
        <w:t>-6</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2.6426</w:t>
      </w:r>
      <w:r>
        <w:rPr>
          <w:rFonts w:hint="default" w:ascii="Times New Roman" w:hAnsi="Times New Roman" w:cs="Times New Roman"/>
          <w:bCs/>
          <w:color w:val="auto"/>
          <w:sz w:val="21"/>
          <w:szCs w:val="21"/>
          <w:highlight w:val="none"/>
        </w:rPr>
        <w:t>t/a</w:t>
      </w:r>
      <w:r>
        <w:rPr>
          <w:rFonts w:hint="default" w:ascii="Times New Roman" w:hAnsi="Times New Roman" w:cs="Times New Roman"/>
          <w:bCs/>
          <w:color w:val="auto"/>
          <w:sz w:val="21"/>
          <w:szCs w:val="21"/>
          <w:highlight w:val="none"/>
          <w:lang w:eastAsia="zh-CN"/>
        </w:rPr>
        <w:t>。</w:t>
      </w:r>
    </w:p>
    <w:p w14:paraId="20EEDF2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color w:val="auto"/>
          <w:highlight w:val="none"/>
          <w:lang w:eastAsia="zh-CN"/>
        </w:rPr>
      </w:pPr>
      <w:r>
        <w:rPr>
          <w:rFonts w:hint="default" w:ascii="Times New Roman" w:hAnsi="Times New Roman" w:cs="Times New Roman"/>
          <w:color w:val="auto"/>
          <w:sz w:val="21"/>
          <w:szCs w:val="21"/>
          <w:highlight w:val="none"/>
        </w:rPr>
        <w:t>氨氮核定排放量</w:t>
      </w:r>
      <w:r>
        <w:rPr>
          <w:rFonts w:hint="default" w:ascii="Times New Roman" w:hAnsi="Times New Roman" w:cs="Times New Roman"/>
          <w:bCs/>
          <w:color w:val="auto"/>
          <w:sz w:val="21"/>
          <w:szCs w:val="21"/>
          <w:highlight w:val="none"/>
        </w:rPr>
        <w:t>=</w:t>
      </w:r>
      <w:r>
        <w:rPr>
          <w:rFonts w:hint="default" w:ascii="Times New Roman" w:hAnsi="Times New Roman" w:cs="Times New Roman"/>
          <w:color w:val="auto"/>
          <w:sz w:val="21"/>
          <w:szCs w:val="21"/>
          <w:highlight w:val="none"/>
          <w:lang w:val="en-US" w:eastAsia="zh-CN"/>
        </w:rPr>
        <w:t>132130</w:t>
      </w:r>
      <w:r>
        <w:rPr>
          <w:rFonts w:hint="default" w:ascii="Times New Roman" w:hAnsi="Times New Roman" w:cs="Times New Roman"/>
          <w:color w:val="auto"/>
          <w:sz w:val="21"/>
          <w:szCs w:val="21"/>
          <w:highlight w:val="none"/>
        </w:rPr>
        <w:t>t/a</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mg/L×10</w:t>
      </w:r>
      <w:r>
        <w:rPr>
          <w:rFonts w:hint="default" w:ascii="Times New Roman" w:hAnsi="Times New Roman" w:cs="Times New Roman"/>
          <w:bCs/>
          <w:color w:val="auto"/>
          <w:sz w:val="21"/>
          <w:szCs w:val="21"/>
          <w:highlight w:val="none"/>
          <w:vertAlign w:val="superscript"/>
        </w:rPr>
        <w:t>-6</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0.13213</w:t>
      </w:r>
      <w:r>
        <w:rPr>
          <w:rFonts w:hint="default" w:ascii="Times New Roman" w:hAnsi="Times New Roman" w:cs="Times New Roman"/>
          <w:bCs/>
          <w:color w:val="auto"/>
          <w:sz w:val="21"/>
          <w:szCs w:val="21"/>
          <w:highlight w:val="none"/>
        </w:rPr>
        <w:t>t/a</w:t>
      </w:r>
      <w:r>
        <w:rPr>
          <w:rFonts w:hint="default" w:ascii="Times New Roman" w:hAnsi="Times New Roman" w:cs="Times New Roman"/>
          <w:bCs/>
          <w:color w:val="auto"/>
          <w:sz w:val="21"/>
          <w:szCs w:val="21"/>
          <w:highlight w:val="none"/>
          <w:lang w:eastAsia="zh-CN"/>
        </w:rPr>
        <w:t>。</w:t>
      </w:r>
    </w:p>
    <w:p w14:paraId="50EBD09F">
      <w:pPr>
        <w:keepNext w:val="0"/>
        <w:keepLines w:val="0"/>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cs="Times New Roman"/>
          <w:bCs/>
          <w:color w:val="auto"/>
          <w:sz w:val="21"/>
          <w:szCs w:val="21"/>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Times New Roman" w:hAnsi="Times New Roman" w:cs="Times New Roman"/>
          <w:bCs/>
          <w:color w:val="auto"/>
          <w:sz w:val="21"/>
          <w:szCs w:val="21"/>
          <w:highlight w:val="none"/>
          <w:lang w:val="en-US" w:eastAsia="zh-CN"/>
        </w:rPr>
        <w:t>则COD</w:t>
      </w:r>
      <w:r>
        <w:rPr>
          <w:rFonts w:hint="default" w:ascii="Times New Roman" w:hAnsi="Times New Roman" w:cs="Times New Roman"/>
          <w:bCs/>
          <w:color w:val="auto"/>
          <w:sz w:val="21"/>
          <w:szCs w:val="21"/>
          <w:highlight w:val="none"/>
        </w:rPr>
        <w:t>核定排放量</w:t>
      </w:r>
      <w:r>
        <w:rPr>
          <w:rFonts w:hint="eastAsia" w:ascii="Times New Roman" w:hAnsi="Times New Roman" w:cs="Times New Roman"/>
          <w:bCs/>
          <w:color w:val="auto"/>
          <w:sz w:val="21"/>
          <w:szCs w:val="21"/>
          <w:highlight w:val="none"/>
          <w:lang w:val="en-US" w:eastAsia="zh-CN"/>
        </w:rPr>
        <w:t>为</w:t>
      </w:r>
      <w:r>
        <w:rPr>
          <w:rFonts w:hint="eastAsia" w:cs="Times New Roman"/>
          <w:bCs/>
          <w:color w:val="auto"/>
          <w:sz w:val="21"/>
          <w:szCs w:val="21"/>
          <w:highlight w:val="none"/>
          <w:lang w:val="en-US" w:eastAsia="zh-CN"/>
        </w:rPr>
        <w:t>2.6426</w:t>
      </w:r>
      <w:r>
        <w:rPr>
          <w:rFonts w:hint="eastAsia" w:ascii="Times New Roman" w:hAnsi="Times New Roman" w:cs="Times New Roman"/>
          <w:bCs/>
          <w:color w:val="auto"/>
          <w:sz w:val="21"/>
          <w:szCs w:val="21"/>
          <w:highlight w:val="none"/>
          <w:lang w:val="en-US" w:eastAsia="zh-CN"/>
        </w:rPr>
        <w:t>t/a，</w:t>
      </w:r>
      <w:r>
        <w:rPr>
          <w:rFonts w:hint="default" w:ascii="Times New Roman" w:hAnsi="Times New Roman" w:cs="Times New Roman"/>
          <w:color w:val="auto"/>
          <w:sz w:val="21"/>
          <w:szCs w:val="21"/>
          <w:highlight w:val="none"/>
        </w:rPr>
        <w:t>氨氮核定排放量</w:t>
      </w:r>
      <w:r>
        <w:rPr>
          <w:rFonts w:hint="eastAsia" w:ascii="Times New Roman" w:hAnsi="Times New Roman" w:cs="Times New Roman"/>
          <w:color w:val="auto"/>
          <w:sz w:val="21"/>
          <w:szCs w:val="21"/>
          <w:highlight w:val="none"/>
          <w:lang w:val="en-US" w:eastAsia="zh-CN"/>
        </w:rPr>
        <w:t>为</w:t>
      </w:r>
      <w:r>
        <w:rPr>
          <w:rFonts w:hint="eastAsia" w:cs="Times New Roman"/>
          <w:bCs/>
          <w:color w:val="auto"/>
          <w:sz w:val="21"/>
          <w:szCs w:val="21"/>
          <w:highlight w:val="none"/>
          <w:lang w:val="en-US" w:eastAsia="zh-CN"/>
        </w:rPr>
        <w:t>0.13213</w:t>
      </w:r>
      <w:r>
        <w:rPr>
          <w:rFonts w:hint="default" w:ascii="Times New Roman" w:hAnsi="Times New Roman" w:cs="Times New Roman"/>
          <w:bCs/>
          <w:color w:val="auto"/>
          <w:sz w:val="21"/>
          <w:szCs w:val="21"/>
          <w:highlight w:val="none"/>
        </w:rPr>
        <w:t>t/a</w:t>
      </w:r>
      <w:r>
        <w:rPr>
          <w:rFonts w:hint="eastAsia" w:ascii="Times New Roman" w:hAnsi="Times New Roman" w:cs="Times New Roman"/>
          <w:bCs/>
          <w:color w:val="auto"/>
          <w:sz w:val="21"/>
          <w:szCs w:val="21"/>
          <w:highlight w:val="none"/>
          <w:lang w:eastAsia="zh-CN"/>
        </w:rPr>
        <w:t>。</w:t>
      </w:r>
    </w:p>
    <w:p w14:paraId="2CCB901E">
      <w:pPr>
        <w:pStyle w:val="5"/>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附件</w:t>
      </w:r>
      <w:r>
        <w:rPr>
          <w:rFonts w:hint="eastAsia"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生态环境分区管控分析报告</w:t>
      </w:r>
    </w:p>
    <w:p w14:paraId="7B645544">
      <w:pPr>
        <w:pStyle w:val="12"/>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color w:val="auto"/>
        </w:rPr>
        <w:drawing>
          <wp:inline distT="0" distB="0" distL="114300" distR="114300">
            <wp:extent cx="5265420" cy="3555365"/>
            <wp:effectExtent l="0" t="0" r="11430" b="698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9"/>
                    <a:stretch>
                      <a:fillRect/>
                    </a:stretch>
                  </pic:blipFill>
                  <pic:spPr>
                    <a:xfrm>
                      <a:off x="0" y="0"/>
                      <a:ext cx="5265420" cy="3555365"/>
                    </a:xfrm>
                    <a:prstGeom prst="rect">
                      <a:avLst/>
                    </a:prstGeom>
                    <a:noFill/>
                    <a:ln>
                      <a:noFill/>
                    </a:ln>
                  </pic:spPr>
                </pic:pic>
              </a:graphicData>
            </a:graphic>
          </wp:inline>
        </w:drawing>
      </w:r>
      <w:r>
        <w:rPr>
          <w:color w:val="auto"/>
        </w:rPr>
        <w:drawing>
          <wp:inline distT="0" distB="0" distL="114300" distR="114300">
            <wp:extent cx="5269865" cy="3362960"/>
            <wp:effectExtent l="0" t="0" r="6985" b="889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40"/>
                    <a:stretch>
                      <a:fillRect/>
                    </a:stretch>
                  </pic:blipFill>
                  <pic:spPr>
                    <a:xfrm>
                      <a:off x="0" y="0"/>
                      <a:ext cx="5269865" cy="3362960"/>
                    </a:xfrm>
                    <a:prstGeom prst="rect">
                      <a:avLst/>
                    </a:prstGeom>
                    <a:noFill/>
                    <a:ln>
                      <a:noFill/>
                    </a:ln>
                  </pic:spPr>
                </pic:pic>
              </a:graphicData>
            </a:graphic>
          </wp:inline>
        </w:drawing>
      </w:r>
      <w:r>
        <w:rPr>
          <w:color w:val="auto"/>
        </w:rPr>
        <w:drawing>
          <wp:inline distT="0" distB="0" distL="114300" distR="114300">
            <wp:extent cx="5272405" cy="3360420"/>
            <wp:effectExtent l="0" t="0" r="4445" b="1143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41"/>
                    <a:stretch>
                      <a:fillRect/>
                    </a:stretch>
                  </pic:blipFill>
                  <pic:spPr>
                    <a:xfrm>
                      <a:off x="0" y="0"/>
                      <a:ext cx="5272405" cy="3360420"/>
                    </a:xfrm>
                    <a:prstGeom prst="rect">
                      <a:avLst/>
                    </a:prstGeom>
                    <a:noFill/>
                    <a:ln>
                      <a:noFill/>
                    </a:ln>
                  </pic:spPr>
                </pic:pic>
              </a:graphicData>
            </a:graphic>
          </wp:inline>
        </w:drawing>
      </w:r>
      <w:r>
        <w:rPr>
          <w:color w:val="auto"/>
        </w:rPr>
        <w:drawing>
          <wp:inline distT="0" distB="0" distL="114300" distR="114300">
            <wp:extent cx="5269230" cy="3509010"/>
            <wp:effectExtent l="0" t="0" r="7620" b="15240"/>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42"/>
                    <a:stretch>
                      <a:fillRect/>
                    </a:stretch>
                  </pic:blipFill>
                  <pic:spPr>
                    <a:xfrm>
                      <a:off x="0" y="0"/>
                      <a:ext cx="5269230" cy="3509010"/>
                    </a:xfrm>
                    <a:prstGeom prst="rect">
                      <a:avLst/>
                    </a:prstGeom>
                    <a:noFill/>
                    <a:ln>
                      <a:noFill/>
                    </a:ln>
                  </pic:spPr>
                </pic:pic>
              </a:graphicData>
            </a:graphic>
          </wp:inline>
        </w:drawing>
      </w:r>
    </w:p>
    <w:p w14:paraId="56049F25">
      <w:pPr>
        <w:rPr>
          <w:color w:val="auto"/>
        </w:rPr>
      </w:pPr>
      <w:r>
        <w:rPr>
          <w:color w:val="auto"/>
        </w:rPr>
        <w:drawing>
          <wp:inline distT="0" distB="0" distL="114300" distR="114300">
            <wp:extent cx="5358765" cy="3448050"/>
            <wp:effectExtent l="0" t="0" r="13335" b="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43"/>
                    <a:stretch>
                      <a:fillRect/>
                    </a:stretch>
                  </pic:blipFill>
                  <pic:spPr>
                    <a:xfrm>
                      <a:off x="0" y="0"/>
                      <a:ext cx="5358765" cy="3448050"/>
                    </a:xfrm>
                    <a:prstGeom prst="rect">
                      <a:avLst/>
                    </a:prstGeom>
                    <a:noFill/>
                    <a:ln>
                      <a:noFill/>
                    </a:ln>
                  </pic:spPr>
                </pic:pic>
              </a:graphicData>
            </a:graphic>
          </wp:inline>
        </w:drawing>
      </w:r>
    </w:p>
    <w:p w14:paraId="03703FB0">
      <w:pPr>
        <w:pStyle w:val="12"/>
        <w:rPr>
          <w:color w:val="auto"/>
        </w:rPr>
      </w:pPr>
      <w:r>
        <w:rPr>
          <w:color w:val="auto"/>
        </w:rPr>
        <w:drawing>
          <wp:inline distT="0" distB="0" distL="114300" distR="114300">
            <wp:extent cx="5358765" cy="3582670"/>
            <wp:effectExtent l="0" t="0" r="13335" b="1778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44"/>
                    <a:stretch>
                      <a:fillRect/>
                    </a:stretch>
                  </pic:blipFill>
                  <pic:spPr>
                    <a:xfrm>
                      <a:off x="0" y="0"/>
                      <a:ext cx="5358765" cy="3582670"/>
                    </a:xfrm>
                    <a:prstGeom prst="rect">
                      <a:avLst/>
                    </a:prstGeom>
                    <a:noFill/>
                    <a:ln>
                      <a:noFill/>
                    </a:ln>
                  </pic:spPr>
                </pic:pic>
              </a:graphicData>
            </a:graphic>
          </wp:inline>
        </w:drawing>
      </w:r>
    </w:p>
    <w:p w14:paraId="0B069FEA">
      <w:pPr>
        <w:pStyle w:val="13"/>
        <w:rPr>
          <w:color w:val="auto"/>
        </w:rPr>
      </w:pPr>
    </w:p>
    <w:p w14:paraId="0D6F553D">
      <w:pPr>
        <w:pStyle w:val="14"/>
        <w:rPr>
          <w:color w:val="auto"/>
        </w:rPr>
      </w:pPr>
    </w:p>
    <w:p w14:paraId="66EF7816">
      <w:pPr>
        <w:rPr>
          <w:color w:val="auto"/>
        </w:rPr>
      </w:pPr>
    </w:p>
    <w:p w14:paraId="23F30C59">
      <w:pPr>
        <w:pStyle w:val="12"/>
        <w:rPr>
          <w:color w:val="auto"/>
        </w:rPr>
      </w:pPr>
    </w:p>
    <w:p w14:paraId="7963B45A">
      <w:pPr>
        <w:pStyle w:val="13"/>
        <w:rPr>
          <w:color w:val="auto"/>
        </w:rPr>
      </w:pPr>
    </w:p>
    <w:p w14:paraId="297C998D">
      <w:pPr>
        <w:pStyle w:val="14"/>
        <w:rPr>
          <w:color w:val="auto"/>
        </w:rPr>
      </w:pPr>
    </w:p>
    <w:p w14:paraId="4C2F91F5">
      <w:pPr>
        <w:rPr>
          <w:color w:val="auto"/>
        </w:rPr>
      </w:pPr>
    </w:p>
    <w:p w14:paraId="05566AE6">
      <w:pPr>
        <w:pStyle w:val="12"/>
        <w:rPr>
          <w:color w:val="auto"/>
        </w:rPr>
      </w:pPr>
      <w:r>
        <w:rPr>
          <w:color w:val="auto"/>
        </w:rPr>
        <w:drawing>
          <wp:inline distT="0" distB="0" distL="114300" distR="114300">
            <wp:extent cx="5363845" cy="3570605"/>
            <wp:effectExtent l="0" t="0" r="8255" b="10795"/>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45"/>
                    <a:stretch>
                      <a:fillRect/>
                    </a:stretch>
                  </pic:blipFill>
                  <pic:spPr>
                    <a:xfrm>
                      <a:off x="0" y="0"/>
                      <a:ext cx="5363845" cy="3570605"/>
                    </a:xfrm>
                    <a:prstGeom prst="rect">
                      <a:avLst/>
                    </a:prstGeom>
                    <a:noFill/>
                    <a:ln>
                      <a:noFill/>
                    </a:ln>
                  </pic:spPr>
                </pic:pic>
              </a:graphicData>
            </a:graphic>
          </wp:inline>
        </w:drawing>
      </w:r>
      <w:r>
        <w:rPr>
          <w:color w:val="auto"/>
        </w:rPr>
        <w:drawing>
          <wp:inline distT="0" distB="0" distL="114300" distR="114300">
            <wp:extent cx="5356225" cy="3620135"/>
            <wp:effectExtent l="0" t="0" r="15875" b="18415"/>
            <wp:docPr id="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1"/>
                    </pic:cNvPicPr>
                  </pic:nvPicPr>
                  <pic:blipFill>
                    <a:blip r:embed="rId46"/>
                    <a:stretch>
                      <a:fillRect/>
                    </a:stretch>
                  </pic:blipFill>
                  <pic:spPr>
                    <a:xfrm>
                      <a:off x="0" y="0"/>
                      <a:ext cx="5356225" cy="3620135"/>
                    </a:xfrm>
                    <a:prstGeom prst="rect">
                      <a:avLst/>
                    </a:prstGeom>
                    <a:noFill/>
                    <a:ln>
                      <a:noFill/>
                    </a:ln>
                  </pic:spPr>
                </pic:pic>
              </a:graphicData>
            </a:graphic>
          </wp:inline>
        </w:drawing>
      </w:r>
      <w:r>
        <w:rPr>
          <w:color w:val="auto"/>
        </w:rPr>
        <w:drawing>
          <wp:inline distT="0" distB="0" distL="114300" distR="114300">
            <wp:extent cx="5358130" cy="3923030"/>
            <wp:effectExtent l="0" t="0" r="13970" b="1270"/>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47"/>
                    <a:stretch>
                      <a:fillRect/>
                    </a:stretch>
                  </pic:blipFill>
                  <pic:spPr>
                    <a:xfrm>
                      <a:off x="0" y="0"/>
                      <a:ext cx="5358130" cy="3923030"/>
                    </a:xfrm>
                    <a:prstGeom prst="rect">
                      <a:avLst/>
                    </a:prstGeom>
                    <a:noFill/>
                    <a:ln>
                      <a:noFill/>
                    </a:ln>
                  </pic:spPr>
                </pic:pic>
              </a:graphicData>
            </a:graphic>
          </wp:inline>
        </w:drawing>
      </w:r>
      <w:r>
        <w:rPr>
          <w:color w:val="auto"/>
        </w:rPr>
        <w:drawing>
          <wp:inline distT="0" distB="0" distL="114300" distR="114300">
            <wp:extent cx="5360035" cy="3561715"/>
            <wp:effectExtent l="0" t="0" r="12065" b="635"/>
            <wp:docPr id="3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1"/>
                    <pic:cNvPicPr>
                      <a:picLocks noChangeAspect="1"/>
                    </pic:cNvPicPr>
                  </pic:nvPicPr>
                  <pic:blipFill>
                    <a:blip r:embed="rId48"/>
                    <a:stretch>
                      <a:fillRect/>
                    </a:stretch>
                  </pic:blipFill>
                  <pic:spPr>
                    <a:xfrm>
                      <a:off x="0" y="0"/>
                      <a:ext cx="5360035" cy="3561715"/>
                    </a:xfrm>
                    <a:prstGeom prst="rect">
                      <a:avLst/>
                    </a:prstGeom>
                    <a:noFill/>
                    <a:ln>
                      <a:noFill/>
                    </a:ln>
                  </pic:spPr>
                </pic:pic>
              </a:graphicData>
            </a:graphic>
          </wp:inline>
        </w:drawing>
      </w:r>
    </w:p>
    <w:p w14:paraId="389831C5">
      <w:pPr>
        <w:pStyle w:val="13"/>
        <w:rPr>
          <w:color w:val="auto"/>
        </w:rPr>
      </w:pPr>
    </w:p>
    <w:p w14:paraId="1C87F338">
      <w:pPr>
        <w:pStyle w:val="14"/>
        <w:rPr>
          <w:color w:val="auto"/>
        </w:rPr>
      </w:pPr>
    </w:p>
    <w:p w14:paraId="686A2534">
      <w:pPr>
        <w:rPr>
          <w:color w:val="auto"/>
        </w:rPr>
      </w:pPr>
    </w:p>
    <w:p w14:paraId="23B145F9">
      <w:pPr>
        <w:pStyle w:val="12"/>
        <w:rPr>
          <w:color w:val="auto"/>
        </w:rPr>
      </w:pPr>
    </w:p>
    <w:p w14:paraId="32F59139">
      <w:pPr>
        <w:pStyle w:val="13"/>
        <w:rPr>
          <w:color w:val="auto"/>
        </w:rPr>
      </w:pPr>
    </w:p>
    <w:p w14:paraId="2A40AEFD">
      <w:pPr>
        <w:pStyle w:val="14"/>
        <w:rPr>
          <w:color w:val="auto"/>
        </w:rPr>
      </w:pPr>
    </w:p>
    <w:p w14:paraId="629FFB01">
      <w:pPr>
        <w:rPr>
          <w:rFonts w:hint="default"/>
          <w:color w:val="auto"/>
          <w:highlight w:val="none"/>
          <w:lang w:val="en-US" w:eastAsia="zh-CN"/>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color w:val="auto"/>
        </w:rPr>
        <w:drawing>
          <wp:inline distT="0" distB="0" distL="114300" distR="114300">
            <wp:extent cx="5354955" cy="3561715"/>
            <wp:effectExtent l="0" t="0" r="17145" b="635"/>
            <wp:docPr id="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3"/>
                    <pic:cNvPicPr>
                      <a:picLocks noChangeAspect="1"/>
                    </pic:cNvPicPr>
                  </pic:nvPicPr>
                  <pic:blipFill>
                    <a:blip r:embed="rId49"/>
                    <a:stretch>
                      <a:fillRect/>
                    </a:stretch>
                  </pic:blipFill>
                  <pic:spPr>
                    <a:xfrm>
                      <a:off x="0" y="0"/>
                      <a:ext cx="5354955" cy="3561715"/>
                    </a:xfrm>
                    <a:prstGeom prst="rect">
                      <a:avLst/>
                    </a:prstGeom>
                    <a:noFill/>
                    <a:ln>
                      <a:noFill/>
                    </a:ln>
                  </pic:spPr>
                </pic:pic>
              </a:graphicData>
            </a:graphic>
          </wp:inline>
        </w:drawing>
      </w:r>
      <w:r>
        <w:rPr>
          <w:color w:val="auto"/>
        </w:rPr>
        <w:drawing>
          <wp:inline distT="0" distB="0" distL="114300" distR="114300">
            <wp:extent cx="5356225" cy="3548380"/>
            <wp:effectExtent l="0" t="0" r="15875" b="13970"/>
            <wp:docPr id="3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4"/>
                    <pic:cNvPicPr>
                      <a:picLocks noChangeAspect="1"/>
                    </pic:cNvPicPr>
                  </pic:nvPicPr>
                  <pic:blipFill>
                    <a:blip r:embed="rId50"/>
                    <a:stretch>
                      <a:fillRect/>
                    </a:stretch>
                  </pic:blipFill>
                  <pic:spPr>
                    <a:xfrm>
                      <a:off x="0" y="0"/>
                      <a:ext cx="5356225" cy="3548380"/>
                    </a:xfrm>
                    <a:prstGeom prst="rect">
                      <a:avLst/>
                    </a:prstGeom>
                    <a:noFill/>
                    <a:ln>
                      <a:noFill/>
                    </a:ln>
                  </pic:spPr>
                </pic:pic>
              </a:graphicData>
            </a:graphic>
          </wp:inline>
        </w:drawing>
      </w:r>
      <w:bookmarkStart w:id="19" w:name="_Toc219"/>
    </w:p>
    <w:p w14:paraId="4A80D917">
      <w:pPr>
        <w:spacing w:line="240" w:lineRule="auto"/>
        <w:jc w:val="center"/>
        <w:outlineLvl w:val="9"/>
        <w:rPr>
          <w:rFonts w:hint="eastAsia" w:eastAsia="宋体"/>
          <w:color w:val="auto"/>
          <w:highlight w:val="none"/>
          <w:lang w:eastAsia="zh-CN"/>
        </w:rPr>
      </w:pPr>
      <w:r>
        <w:rPr>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7328535</wp:posOffset>
                </wp:positionH>
                <wp:positionV relativeFrom="paragraph">
                  <wp:posOffset>4250055</wp:posOffset>
                </wp:positionV>
                <wp:extent cx="864870" cy="707390"/>
                <wp:effectExtent l="4445" t="4445" r="6985" b="12065"/>
                <wp:wrapNone/>
                <wp:docPr id="76" name="文本框 76"/>
                <wp:cNvGraphicFramePr/>
                <a:graphic xmlns:a="http://schemas.openxmlformats.org/drawingml/2006/main">
                  <a:graphicData uri="http://schemas.microsoft.com/office/word/2010/wordprocessingShape">
                    <wps:wsp>
                      <wps:cNvSpPr txBox="1"/>
                      <wps:spPr>
                        <a:xfrm>
                          <a:off x="0" y="0"/>
                          <a:ext cx="864870" cy="7073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BA4BB3E">
                            <w:pPr>
                              <w:jc w:val="center"/>
                              <w:rPr>
                                <w:rFonts w:hint="eastAsia"/>
                                <w:lang w:eastAsia="zh-CN"/>
                              </w:rPr>
                            </w:pPr>
                            <w:r>
                              <w:rPr>
                                <w:rFonts w:hint="eastAsia"/>
                                <w:lang w:eastAsia="zh-CN"/>
                              </w:rPr>
                              <w:t>图例</w:t>
                            </w:r>
                          </w:p>
                          <w:p w14:paraId="1D762A73">
                            <w:pPr>
                              <w:jc w:val="center"/>
                              <w:rPr>
                                <w:rFonts w:hint="eastAsia"/>
                                <w:lang w:eastAsia="zh-CN"/>
                              </w:rPr>
                            </w:pPr>
                            <w:r>
                              <w:rPr>
                                <w:rFonts w:hint="eastAsia"/>
                                <w:color w:val="FF0000"/>
                                <w:lang w:eastAsia="zh-CN"/>
                              </w:rPr>
                              <w:t>★</w:t>
                            </w:r>
                          </w:p>
                          <w:p w14:paraId="0FDAE0D0">
                            <w:pPr>
                              <w:jc w:val="center"/>
                              <w:rPr>
                                <w:rFonts w:hint="eastAsia" w:eastAsia="宋体"/>
                                <w:lang w:eastAsia="zh-CN"/>
                              </w:rPr>
                            </w:pPr>
                            <w:r>
                              <w:rPr>
                                <w:rFonts w:hint="eastAsia"/>
                                <w:lang w:eastAsia="zh-CN"/>
                              </w:rPr>
                              <w:t>项目位置</w:t>
                            </w:r>
                          </w:p>
                        </w:txbxContent>
                      </wps:txbx>
                      <wps:bodyPr upright="1"/>
                    </wps:wsp>
                  </a:graphicData>
                </a:graphic>
              </wp:anchor>
            </w:drawing>
          </mc:Choice>
          <mc:Fallback>
            <w:pict>
              <v:shape id="_x0000_s1026" o:spid="_x0000_s1026" o:spt="202" type="#_x0000_t202" style="position:absolute;left:0pt;margin-left:577.05pt;margin-top:334.65pt;height:55.7pt;width:68.1pt;z-index:251666432;mso-width-relative:page;mso-height-relative:page;" fillcolor="#FFFFFF" filled="t" stroked="t" coordsize="21600,21600" o:gfxdata="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zS7L12wAAAA0BAAAPAAAAAAAA&#10;AAEAIAAAACIAAABkcnMvZG93bnJldi54bWxQSwECFAAUAAAACACHTuJAmfIZ4w8CAAA3BAAADgAA&#10;AAAAAAABACAAAAAqAQAAZHJzL2Uyb0RvYy54bWxQSwUGAAAAAAYABgBZAQAAqwUAAAAA&#10;">
                <v:fill on="t" focussize="0,0"/>
                <v:stroke color="#000000" joinstyle="miter"/>
                <v:imagedata o:title=""/>
                <o:lock v:ext="edit" aspectratio="f"/>
                <v:textbox>
                  <w:txbxContent>
                    <w:p w14:paraId="4BA4BB3E">
                      <w:pPr>
                        <w:jc w:val="center"/>
                        <w:rPr>
                          <w:rFonts w:hint="eastAsia"/>
                          <w:lang w:eastAsia="zh-CN"/>
                        </w:rPr>
                      </w:pPr>
                      <w:r>
                        <w:rPr>
                          <w:rFonts w:hint="eastAsia"/>
                          <w:lang w:eastAsia="zh-CN"/>
                        </w:rPr>
                        <w:t>图例</w:t>
                      </w:r>
                    </w:p>
                    <w:p w14:paraId="1D762A73">
                      <w:pPr>
                        <w:jc w:val="center"/>
                        <w:rPr>
                          <w:rFonts w:hint="eastAsia"/>
                          <w:lang w:eastAsia="zh-CN"/>
                        </w:rPr>
                      </w:pPr>
                      <w:r>
                        <w:rPr>
                          <w:rFonts w:hint="eastAsia"/>
                          <w:color w:val="FF0000"/>
                          <w:lang w:eastAsia="zh-CN"/>
                        </w:rPr>
                        <w:t>★</w:t>
                      </w:r>
                    </w:p>
                    <w:p w14:paraId="0FDAE0D0">
                      <w:pPr>
                        <w:jc w:val="center"/>
                        <w:rPr>
                          <w:rFonts w:hint="eastAsia" w:eastAsia="宋体"/>
                          <w:lang w:eastAsia="zh-CN"/>
                        </w:rPr>
                      </w:pPr>
                      <w:r>
                        <w:rPr>
                          <w:rFonts w:hint="eastAsia"/>
                          <w:lang w:eastAsia="zh-CN"/>
                        </w:rPr>
                        <w:t>项目位置</w:t>
                      </w:r>
                    </w:p>
                  </w:txbxContent>
                </v:textbox>
              </v:shape>
            </w:pict>
          </mc:Fallback>
        </mc:AlternateContent>
      </w:r>
      <w:r>
        <w:rPr>
          <w:color w:val="auto"/>
          <w:highlight w:val="none"/>
        </w:rPr>
        <w:drawing>
          <wp:anchor distT="0" distB="0" distL="114300" distR="114300" simplePos="0" relativeHeight="251665408" behindDoc="0" locked="0" layoutInCell="1" allowOverlap="1">
            <wp:simplePos x="0" y="0"/>
            <wp:positionH relativeFrom="column">
              <wp:posOffset>7371080</wp:posOffset>
            </wp:positionH>
            <wp:positionV relativeFrom="paragraph">
              <wp:posOffset>25400</wp:posOffset>
            </wp:positionV>
            <wp:extent cx="830580" cy="883285"/>
            <wp:effectExtent l="0" t="0" r="7620" b="12065"/>
            <wp:wrapNone/>
            <wp:docPr id="14" name="图片 222" descr="C:/Users/admin/Desktop/鸡西风玫瑰.png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2" descr="C:/Users/admin/Desktop/鸡西风玫瑰.png鸡西风玫瑰"/>
                    <pic:cNvPicPr>
                      <a:picLocks noChangeAspect="1"/>
                    </pic:cNvPicPr>
                  </pic:nvPicPr>
                  <pic:blipFill>
                    <a:blip r:embed="rId51"/>
                    <a:srcRect l="4170" r="4170"/>
                    <a:stretch>
                      <a:fillRect/>
                    </a:stretch>
                  </pic:blipFill>
                  <pic:spPr>
                    <a:xfrm>
                      <a:off x="0" y="0"/>
                      <a:ext cx="830580" cy="883285"/>
                    </a:xfrm>
                    <a:prstGeom prst="rect">
                      <a:avLst/>
                    </a:prstGeom>
                    <a:noFill/>
                    <a:ln>
                      <a:noFill/>
                    </a:ln>
                  </pic:spPr>
                </pic:pic>
              </a:graphicData>
            </a:graphic>
          </wp:anchor>
        </w:drawing>
      </w:r>
      <w:r>
        <w:rPr>
          <w:color w:val="auto"/>
        </w:rPr>
        <w:drawing>
          <wp:inline distT="0" distB="0" distL="114300" distR="114300">
            <wp:extent cx="7715250" cy="4948555"/>
            <wp:effectExtent l="0" t="0" r="0" b="4445"/>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pic:cNvPicPr>
                      <a:picLocks noChangeAspect="1"/>
                    </pic:cNvPicPr>
                  </pic:nvPicPr>
                  <pic:blipFill>
                    <a:blip r:embed="rId52"/>
                    <a:stretch>
                      <a:fillRect/>
                    </a:stretch>
                  </pic:blipFill>
                  <pic:spPr>
                    <a:xfrm>
                      <a:off x="0" y="0"/>
                      <a:ext cx="7715250" cy="4948555"/>
                    </a:xfrm>
                    <a:prstGeom prst="rect">
                      <a:avLst/>
                    </a:prstGeom>
                    <a:noFill/>
                    <a:ln>
                      <a:noFill/>
                    </a:ln>
                  </pic:spPr>
                </pic:pic>
              </a:graphicData>
            </a:graphic>
          </wp:inline>
        </w:drawing>
      </w:r>
    </w:p>
    <w:p w14:paraId="5EA543F3">
      <w:pPr>
        <w:pStyle w:val="5"/>
        <w:jc w:val="center"/>
        <w:rPr>
          <w:rFonts w:hint="default" w:ascii="Times New Roman" w:hAnsi="Times New Roman" w:eastAsia="黑体" w:cs="Times New Roman"/>
          <w:snapToGrid w:val="0"/>
          <w:color w:val="auto"/>
          <w:kern w:val="21"/>
          <w:sz w:val="30"/>
          <w:szCs w:val="30"/>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1 </w:t>
      </w:r>
      <w:r>
        <w:rPr>
          <w:rFonts w:hint="default" w:ascii="Times New Roman" w:hAnsi="Times New Roman" w:eastAsia="宋体" w:cs="Times New Roman"/>
          <w:color w:val="auto"/>
          <w:sz w:val="21"/>
          <w:szCs w:val="21"/>
          <w:highlight w:val="none"/>
        </w:rPr>
        <w:t>项目地理位置图</w:t>
      </w:r>
      <w:r>
        <w:rPr>
          <w:color w:val="auto"/>
          <w:highlight w:val="none"/>
        </w:rPr>
        <mc:AlternateContent>
          <mc:Choice Requires="wps">
            <w:drawing>
              <wp:anchor distT="0" distB="0" distL="114300" distR="114300" simplePos="0" relativeHeight="251667456" behindDoc="0" locked="1" layoutInCell="1" allowOverlap="1">
                <wp:simplePos x="0" y="0"/>
                <wp:positionH relativeFrom="column">
                  <wp:posOffset>4461510</wp:posOffset>
                </wp:positionH>
                <wp:positionV relativeFrom="paragraph">
                  <wp:posOffset>-2532380</wp:posOffset>
                </wp:positionV>
                <wp:extent cx="130810" cy="144145"/>
                <wp:effectExtent l="13335" t="17780" r="27305" b="28575"/>
                <wp:wrapNone/>
                <wp:docPr id="77" name="五角星 77"/>
                <wp:cNvGraphicFramePr/>
                <a:graphic xmlns:a="http://schemas.openxmlformats.org/drawingml/2006/main">
                  <a:graphicData uri="http://schemas.microsoft.com/office/word/2010/wordprocessingShape">
                    <wps:wsp>
                      <wps:cNvSpPr/>
                      <wps:spPr>
                        <a:xfrm>
                          <a:off x="0" y="0"/>
                          <a:ext cx="130810" cy="144145"/>
                        </a:xfrm>
                        <a:prstGeom prst="star5">
                          <a:avLst/>
                        </a:prstGeom>
                        <a:solidFill>
                          <a:srgbClr val="FF0000"/>
                        </a:solidFill>
                        <a:ln w="9525" cap="flat" cmpd="sng">
                          <a:solidFill>
                            <a:srgbClr val="FF0000"/>
                          </a:solidFill>
                          <a:prstDash val="solid"/>
                          <a:miter/>
                          <a:headEnd type="none" w="med" len="med"/>
                          <a:tailEnd type="none" w="med" len="med"/>
                        </a:ln>
                      </wps:spPr>
                      <wps:txbx>
                        <w:txbxContent>
                          <w:p w14:paraId="203447C5"/>
                        </w:txbxContent>
                      </wps:txbx>
                      <wps:bodyPr upright="1"/>
                    </wps:wsp>
                  </a:graphicData>
                </a:graphic>
              </wp:anchor>
            </w:drawing>
          </mc:Choice>
          <mc:Fallback>
            <w:pict>
              <v:shape id="_x0000_s1026" o:spid="_x0000_s1026" style="position:absolute;left:0pt;margin-left:351.3pt;margin-top:-199.4pt;height:11.35pt;width:10.3pt;z-index:251667456;mso-width-relative:page;mso-height-relative:page;" fillcolor="#FF0000" filled="t" stroked="t" coordsize="130810,144145" o:gfxdata="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Ch6bDaAAAADQEAAA8AAAAAAAAAAQAgAAAAIgAA&#10;AGRycy9kb3ducmV2LnhtbFBLAQIUABQAAAAIAIdO4kCbCxJcBgIAAC4EAAAOAAAAAAAAAAEAIAAA&#10;ACkBAABkcnMvZTJvRG9jLnhtbFBLBQYAAAAABgAGAFkBAAChBQAAAAA=&#10;" path="m0,55058l49965,55058,65405,0,80844,55058,130809,55058,90387,89086,105827,144144,65405,110116,24982,144144,40422,89086xe">
                <v:path textboxrect="0,0,130810,144145" o:connectlocs="65405,0;0,55058;24982,144144;105827,144144;130809,55058" o:connectangles="247,164,82,82,0"/>
                <v:fill on="t" focussize="0,0"/>
                <v:stroke color="#FF0000" joinstyle="miter"/>
                <v:imagedata o:title=""/>
                <o:lock v:ext="edit" aspectratio="f"/>
                <v:textbox>
                  <w:txbxContent>
                    <w:p w14:paraId="203447C5"/>
                  </w:txbxContent>
                </v:textbox>
                <w10:anchorlock/>
              </v:shape>
            </w:pict>
          </mc:Fallback>
        </mc:AlternateContent>
      </w:r>
    </w:p>
    <w:bookmarkEnd w:id="19"/>
    <w:p w14:paraId="2CE20544">
      <w:pPr>
        <w:bidi w:val="0"/>
        <w:jc w:val="center"/>
        <w:rPr>
          <w:rFonts w:hint="eastAsia" w:eastAsia="宋体"/>
          <w:color w:val="auto"/>
          <w:highlight w:val="none"/>
          <w:lang w:eastAsia="zh-CN"/>
        </w:rPr>
      </w:pPr>
      <w:r>
        <w:rPr>
          <w:color w:val="auto"/>
          <w:highlight w:val="none"/>
        </w:rPr>
        <w:drawing>
          <wp:anchor distT="0" distB="0" distL="114300" distR="114300" simplePos="0" relativeHeight="251664384" behindDoc="0" locked="0" layoutInCell="1" allowOverlap="1">
            <wp:simplePos x="0" y="0"/>
            <wp:positionH relativeFrom="column">
              <wp:posOffset>6599555</wp:posOffset>
            </wp:positionH>
            <wp:positionV relativeFrom="paragraph">
              <wp:posOffset>41275</wp:posOffset>
            </wp:positionV>
            <wp:extent cx="830580" cy="883285"/>
            <wp:effectExtent l="0" t="0" r="7620" b="12065"/>
            <wp:wrapNone/>
            <wp:docPr id="9" name="图片 222" descr="C:/Users/admin/Desktop/鸡西风玫瑰.png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22" descr="C:/Users/admin/Desktop/鸡西风玫瑰.png鸡西风玫瑰"/>
                    <pic:cNvPicPr>
                      <a:picLocks noChangeAspect="1"/>
                    </pic:cNvPicPr>
                  </pic:nvPicPr>
                  <pic:blipFill>
                    <a:blip r:embed="rId51"/>
                    <a:srcRect l="4170" r="4170"/>
                    <a:stretch>
                      <a:fillRect/>
                    </a:stretch>
                  </pic:blipFill>
                  <pic:spPr>
                    <a:xfrm>
                      <a:off x="0" y="0"/>
                      <a:ext cx="830580" cy="883285"/>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663360" behindDoc="0" locked="0" layoutInCell="1" allowOverlap="1">
                <wp:simplePos x="0" y="0"/>
                <wp:positionH relativeFrom="column">
                  <wp:posOffset>6006465</wp:posOffset>
                </wp:positionH>
                <wp:positionV relativeFrom="paragraph">
                  <wp:posOffset>4723765</wp:posOffset>
                </wp:positionV>
                <wp:extent cx="106680" cy="96520"/>
                <wp:effectExtent l="9525" t="9525" r="17145" b="27305"/>
                <wp:wrapNone/>
                <wp:docPr id="10" name="矩形 10"/>
                <wp:cNvGraphicFramePr/>
                <a:graphic xmlns:a="http://schemas.openxmlformats.org/drawingml/2006/main">
                  <a:graphicData uri="http://schemas.microsoft.com/office/word/2010/wordprocessingShape">
                    <wps:wsp>
                      <wps:cNvSpPr/>
                      <wps:spPr>
                        <a:xfrm>
                          <a:off x="0" y="0"/>
                          <a:ext cx="106680" cy="96520"/>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2.95pt;margin-top:371.95pt;height:7.6pt;width:8.4pt;z-index:251663360;v-text-anchor:middle;mso-width-relative:page;mso-height-relative:page;" filled="f" stroked="t" coordsize="21600,21600" o:gfxdata="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BZA/&#10;mdkAAAALAQAADwAAAAAAAAABACAAAAAiAAAAZHJzL2Rvd25yZXYueG1sUEsBAhQAFAAAAAgAh07i&#10;QK+pou5aAgAAtAQAAA4AAAAAAAAAAQAgAAAAKAEAAGRycy9lMm9Eb2MueG1sUEsFBgAAAAAGAAYA&#10;WQEAAPQFAAAAAA==&#10;">
                <v:fill on="f" focussize="0,0"/>
                <v:stroke weight="1.5pt" color="#92D050 [3204]" joinstyle="round"/>
                <v:imagedata o:title=""/>
                <o:lock v:ext="edit" aspectratio="f"/>
              </v:rect>
            </w:pict>
          </mc:Fallback>
        </mc:AlternateContent>
      </w:r>
      <w:r>
        <w:rPr>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5915660</wp:posOffset>
                </wp:positionH>
                <wp:positionV relativeFrom="paragraph">
                  <wp:posOffset>4039235</wp:posOffset>
                </wp:positionV>
                <wp:extent cx="1536065" cy="1110615"/>
                <wp:effectExtent l="4445" t="4445" r="21590" b="8890"/>
                <wp:wrapNone/>
                <wp:docPr id="7" name="文本框 7"/>
                <wp:cNvGraphicFramePr/>
                <a:graphic xmlns:a="http://schemas.openxmlformats.org/drawingml/2006/main">
                  <a:graphicData uri="http://schemas.microsoft.com/office/word/2010/wordprocessingShape">
                    <wps:wsp>
                      <wps:cNvSpPr txBox="1"/>
                      <wps:spPr>
                        <a:xfrm>
                          <a:off x="0" y="0"/>
                          <a:ext cx="1536065" cy="1110615"/>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7E96406D">
                            <w:pPr>
                              <w:jc w:val="center"/>
                            </w:pPr>
                            <w:r>
                              <w:rPr>
                                <w:rFonts w:hint="eastAsia"/>
                              </w:rPr>
                              <w:t>图  例</w:t>
                            </w:r>
                          </w:p>
                          <w:p w14:paraId="1B4E0C89">
                            <w:pPr>
                              <w:keepNext w:val="0"/>
                              <w:keepLines w:val="0"/>
                              <w:pageBreakBefore w:val="0"/>
                              <w:kinsoku/>
                              <w:wordWrap/>
                              <w:overflowPunct/>
                              <w:topLinePunct w:val="0"/>
                              <w:bidi w:val="0"/>
                              <w:adjustRightInd/>
                              <w:snapToGrid/>
                              <w:spacing w:line="240" w:lineRule="auto"/>
                              <w:ind w:right="0"/>
                              <w:textAlignment w:val="auto"/>
                              <w:rPr>
                                <w:rFonts w:hint="default" w:eastAsia="宋体"/>
                                <w:lang w:val="en-US" w:eastAsia="zh-CN"/>
                              </w:rPr>
                            </w:pPr>
                            <w:r>
                              <w:rPr>
                                <w:rFonts w:hint="eastAsia"/>
                                <w:b/>
                                <w:bCs/>
                                <w:color w:val="FF0000"/>
                              </w:rPr>
                              <w:sym w:font="Wingdings 2" w:char="00A3"/>
                            </w:r>
                            <w:r>
                              <w:rPr>
                                <w:rFonts w:hint="eastAsia"/>
                                <w:b/>
                                <w:bCs/>
                                <w:color w:val="FF0000"/>
                                <w:lang w:val="en-US" w:eastAsia="zh-CN"/>
                              </w:rPr>
                              <w:t xml:space="preserve"> </w:t>
                            </w:r>
                            <w:r>
                              <w:rPr>
                                <w:rFonts w:hint="eastAsia"/>
                              </w:rPr>
                              <w:t>项目位置</w:t>
                            </w:r>
                          </w:p>
                          <w:p w14:paraId="10C7F466">
                            <w:pPr>
                              <w:keepNext w:val="0"/>
                              <w:keepLines w:val="0"/>
                              <w:pageBreakBefore w:val="0"/>
                              <w:kinsoku/>
                              <w:wordWrap/>
                              <w:overflowPunct/>
                              <w:topLinePunct w:val="0"/>
                              <w:bidi w:val="0"/>
                              <w:adjustRightInd/>
                              <w:snapToGrid/>
                              <w:spacing w:line="240" w:lineRule="auto"/>
                              <w:ind w:right="0"/>
                              <w:textAlignment w:val="auto"/>
                            </w:pPr>
                            <w:r>
                              <w:rPr>
                                <w:rFonts w:hint="eastAsia"/>
                                <w:b/>
                                <w:bCs/>
                                <w:color w:val="0070C0"/>
                              </w:rPr>
                              <w:sym w:font="Wingdings 2" w:char="00A3"/>
                            </w:r>
                            <w:r>
                              <w:rPr>
                                <w:rFonts w:hint="eastAsia"/>
                                <w:b/>
                                <w:bCs/>
                                <w:color w:val="0070C0"/>
                                <w:lang w:val="en-US" w:eastAsia="zh-CN"/>
                              </w:rPr>
                              <w:t xml:space="preserve"> </w:t>
                            </w:r>
                            <w:r>
                              <w:rPr>
                                <w:rFonts w:hint="eastAsia"/>
                              </w:rPr>
                              <w:t>声环境保护范围</w:t>
                            </w:r>
                          </w:p>
                          <w:p w14:paraId="62590889">
                            <w:pPr>
                              <w:keepNext w:val="0"/>
                              <w:keepLines w:val="0"/>
                              <w:pageBreakBefore w:val="0"/>
                              <w:kinsoku/>
                              <w:wordWrap/>
                              <w:overflowPunct/>
                              <w:topLinePunct w:val="0"/>
                              <w:bidi w:val="0"/>
                              <w:adjustRightInd/>
                              <w:snapToGrid/>
                              <w:spacing w:line="240" w:lineRule="auto"/>
                              <w:ind w:right="0" w:firstLine="210" w:firstLineChars="100"/>
                              <w:textAlignment w:val="auto"/>
                              <w:rPr>
                                <w:rFonts w:hint="default"/>
                                <w:lang w:val="en-US" w:eastAsia="zh-CN"/>
                              </w:rPr>
                            </w:pPr>
                            <w:r>
                              <w:rPr>
                                <w:rFonts w:hint="eastAsia"/>
                              </w:rPr>
                              <w:t>大气环境保护范围</w:t>
                            </w:r>
                          </w:p>
                        </w:txbxContent>
                      </wps:txbx>
                      <wps:bodyPr upright="1"/>
                    </wps:wsp>
                  </a:graphicData>
                </a:graphic>
              </wp:anchor>
            </w:drawing>
          </mc:Choice>
          <mc:Fallback>
            <w:pict>
              <v:shape id="_x0000_s1026" o:spid="_x0000_s1026" o:spt="202" type="#_x0000_t202" style="position:absolute;left:0pt;margin-left:465.8pt;margin-top:318.05pt;height:87.45pt;width:120.95pt;z-index:251662336;mso-width-relative:page;mso-height-relative:page;" fillcolor="#FFFFFF" filled="t" stroked="t" coordsize="21600,21600" o:gfxdata="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s5vC2gAAAAwBAAAPAAAAAAAA&#10;AAEAIAAAACIAAABkcnMvZG93bnJldi54bWxQSwECFAAUAAAACACHTuJA+mIzMxACAAA3BAAADgAA&#10;AAAAAAABACAAAAApAQAAZHJzL2Uyb0RvYy54bWxQSwUGAAAAAAYABgBZAQAAqwUAAAAA&#10;">
                <v:fill on="t" focussize="0,0"/>
                <v:stroke color="#0070C0" joinstyle="miter"/>
                <v:imagedata o:title=""/>
                <o:lock v:ext="edit" aspectratio="f"/>
                <v:textbox>
                  <w:txbxContent>
                    <w:p w14:paraId="7E96406D">
                      <w:pPr>
                        <w:jc w:val="center"/>
                      </w:pPr>
                      <w:r>
                        <w:rPr>
                          <w:rFonts w:hint="eastAsia"/>
                        </w:rPr>
                        <w:t>图  例</w:t>
                      </w:r>
                    </w:p>
                    <w:p w14:paraId="1B4E0C89">
                      <w:pPr>
                        <w:keepNext w:val="0"/>
                        <w:keepLines w:val="0"/>
                        <w:pageBreakBefore w:val="0"/>
                        <w:kinsoku/>
                        <w:wordWrap/>
                        <w:overflowPunct/>
                        <w:topLinePunct w:val="0"/>
                        <w:bidi w:val="0"/>
                        <w:adjustRightInd/>
                        <w:snapToGrid/>
                        <w:spacing w:line="240" w:lineRule="auto"/>
                        <w:ind w:right="0"/>
                        <w:textAlignment w:val="auto"/>
                        <w:rPr>
                          <w:rFonts w:hint="default" w:eastAsia="宋体"/>
                          <w:lang w:val="en-US" w:eastAsia="zh-CN"/>
                        </w:rPr>
                      </w:pPr>
                      <w:r>
                        <w:rPr>
                          <w:rFonts w:hint="eastAsia"/>
                          <w:b/>
                          <w:bCs/>
                          <w:color w:val="FF0000"/>
                        </w:rPr>
                        <w:sym w:font="Wingdings 2" w:char="00A3"/>
                      </w:r>
                      <w:r>
                        <w:rPr>
                          <w:rFonts w:hint="eastAsia"/>
                          <w:b/>
                          <w:bCs/>
                          <w:color w:val="FF0000"/>
                          <w:lang w:val="en-US" w:eastAsia="zh-CN"/>
                        </w:rPr>
                        <w:t xml:space="preserve"> </w:t>
                      </w:r>
                      <w:r>
                        <w:rPr>
                          <w:rFonts w:hint="eastAsia"/>
                        </w:rPr>
                        <w:t>项目位置</w:t>
                      </w:r>
                    </w:p>
                    <w:p w14:paraId="10C7F466">
                      <w:pPr>
                        <w:keepNext w:val="0"/>
                        <w:keepLines w:val="0"/>
                        <w:pageBreakBefore w:val="0"/>
                        <w:kinsoku/>
                        <w:wordWrap/>
                        <w:overflowPunct/>
                        <w:topLinePunct w:val="0"/>
                        <w:bidi w:val="0"/>
                        <w:adjustRightInd/>
                        <w:snapToGrid/>
                        <w:spacing w:line="240" w:lineRule="auto"/>
                        <w:ind w:right="0"/>
                        <w:textAlignment w:val="auto"/>
                      </w:pPr>
                      <w:r>
                        <w:rPr>
                          <w:rFonts w:hint="eastAsia"/>
                          <w:b/>
                          <w:bCs/>
                          <w:color w:val="0070C0"/>
                        </w:rPr>
                        <w:sym w:font="Wingdings 2" w:char="00A3"/>
                      </w:r>
                      <w:r>
                        <w:rPr>
                          <w:rFonts w:hint="eastAsia"/>
                          <w:b/>
                          <w:bCs/>
                          <w:color w:val="0070C0"/>
                          <w:lang w:val="en-US" w:eastAsia="zh-CN"/>
                        </w:rPr>
                        <w:t xml:space="preserve"> </w:t>
                      </w:r>
                      <w:r>
                        <w:rPr>
                          <w:rFonts w:hint="eastAsia"/>
                        </w:rPr>
                        <w:t>声环境保护范围</w:t>
                      </w:r>
                    </w:p>
                    <w:p w14:paraId="62590889">
                      <w:pPr>
                        <w:keepNext w:val="0"/>
                        <w:keepLines w:val="0"/>
                        <w:pageBreakBefore w:val="0"/>
                        <w:kinsoku/>
                        <w:wordWrap/>
                        <w:overflowPunct/>
                        <w:topLinePunct w:val="0"/>
                        <w:bidi w:val="0"/>
                        <w:adjustRightInd/>
                        <w:snapToGrid/>
                        <w:spacing w:line="240" w:lineRule="auto"/>
                        <w:ind w:right="0" w:firstLine="210" w:firstLineChars="100"/>
                        <w:textAlignment w:val="auto"/>
                        <w:rPr>
                          <w:rFonts w:hint="default"/>
                          <w:lang w:val="en-US" w:eastAsia="zh-CN"/>
                        </w:rPr>
                      </w:pPr>
                      <w:r>
                        <w:rPr>
                          <w:rFonts w:hint="eastAsia"/>
                        </w:rPr>
                        <w:t>大气环境保护范围</w:t>
                      </w:r>
                    </w:p>
                  </w:txbxContent>
                </v:textbox>
              </v:shape>
            </w:pict>
          </mc:Fallback>
        </mc:AlternateContent>
      </w:r>
      <w:r>
        <w:rPr>
          <w:color w:val="auto"/>
          <w:sz w:val="21"/>
          <w:highlight w:val="none"/>
        </w:rPr>
        <w:drawing>
          <wp:inline distT="0" distB="0" distL="114300" distR="114300">
            <wp:extent cx="6376670" cy="5130800"/>
            <wp:effectExtent l="0" t="0" r="5080" b="12700"/>
            <wp:docPr id="54" name="图片 54" descr="e4617798dde5f44f356039f4e82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e4617798dde5f44f356039f4e826456"/>
                    <pic:cNvPicPr>
                      <a:picLocks noChangeAspect="1"/>
                    </pic:cNvPicPr>
                  </pic:nvPicPr>
                  <pic:blipFill>
                    <a:blip r:embed="rId53"/>
                    <a:stretch>
                      <a:fillRect/>
                    </a:stretch>
                  </pic:blipFill>
                  <pic:spPr>
                    <a:xfrm>
                      <a:off x="0" y="0"/>
                      <a:ext cx="6376670" cy="5130800"/>
                    </a:xfrm>
                    <a:prstGeom prst="rect">
                      <a:avLst/>
                    </a:prstGeom>
                  </pic:spPr>
                </pic:pic>
              </a:graphicData>
            </a:graphic>
          </wp:inline>
        </w:drawing>
      </w:r>
    </w:p>
    <w:p w14:paraId="1B72C42F">
      <w:pPr>
        <w:pStyle w:val="5"/>
        <w:keepNext/>
        <w:keepLines w:val="0"/>
        <w:pageBreakBefore w:val="0"/>
        <w:widowControl w:val="0"/>
        <w:kinsoku/>
        <w:wordWrap/>
        <w:overflowPunct w:val="0"/>
        <w:topLinePunct w:val="0"/>
        <w:autoSpaceDE/>
        <w:autoSpaceDN/>
        <w:bidi w:val="0"/>
        <w:adjustRightInd/>
        <w:snapToGrid w:val="0"/>
        <w:spacing w:line="260" w:lineRule="auto"/>
        <w:ind w:left="0" w:firstLine="0"/>
        <w:jc w:val="center"/>
        <w:textAlignment w:val="auto"/>
        <w:rPr>
          <w:rFonts w:hint="eastAsia" w:ascii="宋体" w:hAnsi="宋体" w:eastAsia="宋体" w:cs="宋体"/>
          <w:b/>
          <w:bCs/>
          <w:color w:val="auto"/>
          <w:sz w:val="21"/>
          <w:szCs w:val="21"/>
          <w:highlight w:val="none"/>
        </w:rPr>
      </w:pPr>
      <w:bookmarkStart w:id="20" w:name="_Toc30150"/>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2 </w:t>
      </w:r>
      <w:r>
        <w:rPr>
          <w:rFonts w:hint="eastAsia" w:ascii="宋体" w:hAnsi="宋体" w:eastAsia="宋体" w:cs="宋体"/>
          <w:b/>
          <w:bCs/>
          <w:color w:val="auto"/>
          <w:sz w:val="21"/>
          <w:szCs w:val="21"/>
          <w:highlight w:val="none"/>
        </w:rPr>
        <w:t>周围环境保护目标分布图</w:t>
      </w:r>
    </w:p>
    <w:p w14:paraId="6F5BE37E">
      <w:pPr>
        <w:rPr>
          <w:rFonts w:hint="default"/>
          <w:color w:val="auto"/>
          <w:highlight w:val="none"/>
          <w:lang w:eastAsia="zh-CN"/>
        </w:rPr>
      </w:pPr>
      <w:r>
        <w:rPr>
          <w:rFonts w:hint="eastAsia" w:ascii="宋体" w:hAnsi="宋体" w:eastAsia="宋体" w:cs="宋体"/>
          <w:b/>
          <w:bCs/>
          <w:color w:val="auto"/>
          <w:sz w:val="21"/>
          <w:szCs w:val="21"/>
          <w:highlight w:val="none"/>
        </w:rPr>
        <w:br w:type="page"/>
      </w:r>
      <w:bookmarkEnd w:id="20"/>
    </w:p>
    <w:p w14:paraId="45A90227">
      <w:pPr>
        <w:pStyle w:val="5"/>
        <w:bidi w:val="0"/>
        <w:ind w:left="0" w:leftChars="0" w:firstLine="0" w:firstLineChars="0"/>
        <w:jc w:val="center"/>
        <w:rPr>
          <w:rFonts w:hint="default"/>
          <w:color w:val="auto"/>
          <w:sz w:val="21"/>
          <w:szCs w:val="21"/>
          <w:highlight w:val="none"/>
        </w:rPr>
      </w:pPr>
      <w:r>
        <w:rPr>
          <w:color w:val="auto"/>
          <w:highlight w:val="none"/>
        </w:rPr>
        <w:drawing>
          <wp:anchor distT="0" distB="0" distL="114300" distR="114300" simplePos="0" relativeHeight="251669504" behindDoc="0" locked="0" layoutInCell="1" allowOverlap="1">
            <wp:simplePos x="0" y="0"/>
            <wp:positionH relativeFrom="column">
              <wp:posOffset>7342505</wp:posOffset>
            </wp:positionH>
            <wp:positionV relativeFrom="paragraph">
              <wp:posOffset>-5080</wp:posOffset>
            </wp:positionV>
            <wp:extent cx="830580" cy="883285"/>
            <wp:effectExtent l="0" t="0" r="7620" b="12065"/>
            <wp:wrapNone/>
            <wp:docPr id="57" name="图片 222" descr="C:/Users/admin/Desktop/鸡西风玫瑰.png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22" descr="C:/Users/admin/Desktop/鸡西风玫瑰.png鸡西风玫瑰"/>
                    <pic:cNvPicPr>
                      <a:picLocks noChangeAspect="1"/>
                    </pic:cNvPicPr>
                  </pic:nvPicPr>
                  <pic:blipFill>
                    <a:blip r:embed="rId51"/>
                    <a:srcRect l="4170" r="4170"/>
                    <a:stretch>
                      <a:fillRect/>
                    </a:stretch>
                  </pic:blipFill>
                  <pic:spPr>
                    <a:xfrm>
                      <a:off x="0" y="0"/>
                      <a:ext cx="830580" cy="883285"/>
                    </a:xfrm>
                    <a:prstGeom prst="rect">
                      <a:avLst/>
                    </a:prstGeom>
                    <a:noFill/>
                    <a:ln>
                      <a:noFill/>
                    </a:ln>
                  </pic:spPr>
                </pic:pic>
              </a:graphicData>
            </a:graphic>
          </wp:anchor>
        </w:drawing>
      </w:r>
      <w:r>
        <w:rPr>
          <w:color w:val="auto"/>
          <w:sz w:val="30"/>
        </w:rPr>
        <mc:AlternateContent>
          <mc:Choice Requires="wps">
            <w:drawing>
              <wp:anchor distT="0" distB="0" distL="114300" distR="114300" simplePos="0" relativeHeight="251671552" behindDoc="0" locked="0" layoutInCell="1" allowOverlap="1">
                <wp:simplePos x="0" y="0"/>
                <wp:positionH relativeFrom="column">
                  <wp:posOffset>4147820</wp:posOffset>
                </wp:positionH>
                <wp:positionV relativeFrom="paragraph">
                  <wp:posOffset>503555</wp:posOffset>
                </wp:positionV>
                <wp:extent cx="190500" cy="180975"/>
                <wp:effectExtent l="12700" t="12700" r="25400" b="15875"/>
                <wp:wrapNone/>
                <wp:docPr id="63" name="五角星 63"/>
                <wp:cNvGraphicFramePr/>
                <a:graphic xmlns:a="http://schemas.openxmlformats.org/drawingml/2006/main">
                  <a:graphicData uri="http://schemas.microsoft.com/office/word/2010/wordprocessingShape">
                    <wps:wsp>
                      <wps:cNvSpPr/>
                      <wps:spPr>
                        <a:xfrm>
                          <a:off x="0" y="0"/>
                          <a:ext cx="190500" cy="18097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6.6pt;margin-top:39.65pt;height:14.25pt;width:15pt;z-index:251671552;v-text-anchor:middle;mso-width-relative:page;mso-height-relative:page;" fillcolor="#FF0000" filled="t" stroked="t" coordsize="190500,180975" o:gfxdata="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1VrB42gAAAAoBAAAPAAAAAAAAAAEAIAAAACIAAABkcnMvZG93bnJldi54bWxQ&#10;SwECFAAUAAAACACHTuJAEoKrBGcCAADiBAAADgAAAAAAAAABACAAAAApAQAAZHJzL2Uyb0RvYy54&#10;bWxQSwUGAAAAAAYABgBZAQAAAgYAAAAA&#10;" path="m0,69126l72764,69126,95250,0,117735,69126,190499,69126,131631,111848,154117,180974,95250,138251,36382,180974,58868,111848xe">
                <v:path o:connectlocs="95250,0;0,69126;36382,180974;154117,180974;190499,69126" o:connectangles="247,164,82,82,0"/>
                <v:fill on="t" focussize="0,0"/>
                <v:stroke weight="2pt" color="#FF0000 [2404]" joinstyle="round"/>
                <v:imagedata o:title=""/>
                <o:lock v:ext="edit" aspectratio="f"/>
              </v:shape>
            </w:pict>
          </mc:Fallback>
        </mc:AlternateContent>
      </w:r>
      <w:r>
        <w:rPr>
          <w:color w:val="auto"/>
          <w:sz w:val="30"/>
        </w:rPr>
        <mc:AlternateContent>
          <mc:Choice Requires="wps">
            <w:drawing>
              <wp:anchor distT="0" distB="0" distL="114300" distR="114300" simplePos="0" relativeHeight="251670528" behindDoc="0" locked="0" layoutInCell="1" allowOverlap="1">
                <wp:simplePos x="0" y="0"/>
                <wp:positionH relativeFrom="column">
                  <wp:posOffset>6814820</wp:posOffset>
                </wp:positionH>
                <wp:positionV relativeFrom="paragraph">
                  <wp:posOffset>4294505</wp:posOffset>
                </wp:positionV>
                <wp:extent cx="190500" cy="180975"/>
                <wp:effectExtent l="12700" t="12700" r="25400" b="15875"/>
                <wp:wrapNone/>
                <wp:docPr id="62" name="五角星 62"/>
                <wp:cNvGraphicFramePr/>
                <a:graphic xmlns:a="http://schemas.openxmlformats.org/drawingml/2006/main">
                  <a:graphicData uri="http://schemas.microsoft.com/office/word/2010/wordprocessingShape">
                    <wps:wsp>
                      <wps:cNvSpPr/>
                      <wps:spPr>
                        <a:xfrm>
                          <a:off x="7952105" y="5467350"/>
                          <a:ext cx="190500" cy="18097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36.6pt;margin-top:338.15pt;height:14.25pt;width:15pt;z-index:251670528;v-text-anchor:middle;mso-width-relative:page;mso-height-relative:page;" fillcolor="#FF0000" filled="t" stroked="t" coordsize="190500,180975" o:gfxdata="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&#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9hqPW3AAAAA0BAAAPAAAAAAAAAAEAIAAAACIAAABk&#10;cnMvZG93bnJldi54bWxQSwECFAAUAAAACACHTuJAzNeTzHQCAADuBAAADgAAAAAAAAABACAAAAAr&#10;AQAAZHJzL2Uyb0RvYy54bWxQSwUGAAAAAAYABgBZAQAAEQYAAAAA&#10;" path="m0,69126l72764,69126,95250,0,117735,69126,190499,69126,131631,111848,154117,180974,95250,138251,36382,180974,58868,111848xe">
                <v:path o:connectlocs="95250,0;0,69126;36382,180974;154117,180974;190499,69126" o:connectangles="247,164,82,82,0"/>
                <v:fill on="t" focussize="0,0"/>
                <v:stroke weight="2pt" color="#FF0000 [2404]"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6734175</wp:posOffset>
                </wp:positionH>
                <wp:positionV relativeFrom="paragraph">
                  <wp:posOffset>3830955</wp:posOffset>
                </wp:positionV>
                <wp:extent cx="1431925" cy="1054100"/>
                <wp:effectExtent l="4445" t="4445" r="11430" b="8255"/>
                <wp:wrapNone/>
                <wp:docPr id="56" name="文本框 56"/>
                <wp:cNvGraphicFramePr/>
                <a:graphic xmlns:a="http://schemas.openxmlformats.org/drawingml/2006/main">
                  <a:graphicData uri="http://schemas.microsoft.com/office/word/2010/wordprocessingShape">
                    <wps:wsp>
                      <wps:cNvSpPr txBox="1"/>
                      <wps:spPr>
                        <a:xfrm>
                          <a:off x="0" y="0"/>
                          <a:ext cx="1431925" cy="1054100"/>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01F29F4D">
                            <w:pPr>
                              <w:jc w:val="center"/>
                            </w:pPr>
                            <w:r>
                              <w:rPr>
                                <w:rFonts w:hint="eastAsia"/>
                              </w:rPr>
                              <w:t>图  例</w:t>
                            </w:r>
                          </w:p>
                          <w:p w14:paraId="24F50678">
                            <w:pPr>
                              <w:keepNext w:val="0"/>
                              <w:keepLines w:val="0"/>
                              <w:pageBreakBefore w:val="0"/>
                              <w:kinsoku/>
                              <w:wordWrap/>
                              <w:overflowPunct/>
                              <w:topLinePunct w:val="0"/>
                              <w:bidi w:val="0"/>
                              <w:adjustRightInd/>
                              <w:snapToGrid/>
                              <w:spacing w:line="240" w:lineRule="auto"/>
                              <w:ind w:right="0"/>
                              <w:textAlignment w:val="auto"/>
                              <w:rPr>
                                <w:rFonts w:hint="default" w:eastAsia="宋体"/>
                                <w:lang w:val="en-US" w:eastAsia="zh-CN"/>
                              </w:rPr>
                            </w:pPr>
                            <w:r>
                              <w:rPr>
                                <w:rFonts w:hint="eastAsia"/>
                                <w:b/>
                                <w:bCs/>
                                <w:color w:val="FF0000"/>
                              </w:rPr>
                              <w:sym w:font="Wingdings 2" w:char="00A3"/>
                            </w:r>
                            <w:r>
                              <w:rPr>
                                <w:rFonts w:hint="eastAsia"/>
                                <w:b/>
                                <w:bCs/>
                                <w:color w:val="FF0000"/>
                                <w:lang w:val="en-US" w:eastAsia="zh-CN"/>
                              </w:rPr>
                              <w:t xml:space="preserve">  </w:t>
                            </w:r>
                            <w:r>
                              <w:rPr>
                                <w:rFonts w:hint="eastAsia"/>
                              </w:rPr>
                              <w:t>项目位置</w:t>
                            </w:r>
                          </w:p>
                          <w:p w14:paraId="10B54EE3">
                            <w:pPr>
                              <w:keepNext w:val="0"/>
                              <w:keepLines w:val="0"/>
                              <w:pageBreakBefore w:val="0"/>
                              <w:kinsoku/>
                              <w:wordWrap/>
                              <w:overflowPunct/>
                              <w:topLinePunct w:val="0"/>
                              <w:bidi w:val="0"/>
                              <w:adjustRightInd/>
                              <w:snapToGrid/>
                              <w:spacing w:line="240" w:lineRule="auto"/>
                              <w:ind w:right="0" w:firstLine="420" w:firstLineChars="200"/>
                              <w:textAlignment w:val="auto"/>
                              <w:rPr>
                                <w:rFonts w:hint="default" w:eastAsia="宋体"/>
                                <w:lang w:val="en-US" w:eastAsia="zh-CN"/>
                              </w:rPr>
                            </w:pPr>
                            <w:r>
                              <w:rPr>
                                <w:rFonts w:hint="eastAsia"/>
                                <w:lang w:val="en-US" w:eastAsia="zh-CN"/>
                              </w:rPr>
                              <w:t>排污口位置</w:t>
                            </w:r>
                          </w:p>
                          <w:p w14:paraId="2563489C">
                            <w:pPr>
                              <w:keepNext w:val="0"/>
                              <w:keepLines w:val="0"/>
                              <w:pageBreakBefore w:val="0"/>
                              <w:kinsoku/>
                              <w:wordWrap/>
                              <w:overflowPunct/>
                              <w:topLinePunct w:val="0"/>
                              <w:bidi w:val="0"/>
                              <w:adjustRightInd/>
                              <w:snapToGrid/>
                              <w:spacing w:line="240" w:lineRule="auto"/>
                              <w:ind w:right="0" w:firstLine="210" w:firstLineChars="100"/>
                              <w:textAlignment w:val="auto"/>
                              <w:rPr>
                                <w:rFonts w:hint="default"/>
                                <w:lang w:val="en-US" w:eastAsia="zh-CN"/>
                              </w:rPr>
                            </w:pPr>
                          </w:p>
                        </w:txbxContent>
                      </wps:txbx>
                      <wps:bodyPr upright="1"/>
                    </wps:wsp>
                  </a:graphicData>
                </a:graphic>
              </wp:anchor>
            </w:drawing>
          </mc:Choice>
          <mc:Fallback>
            <w:pict>
              <v:shape id="_x0000_s1026" o:spid="_x0000_s1026" o:spt="202" type="#_x0000_t202" style="position:absolute;left:0pt;margin-left:530.25pt;margin-top:301.65pt;height:83pt;width:112.75pt;z-index:251668480;mso-width-relative:page;mso-height-relative:page;" fillcolor="#FFFFFF" filled="t" stroked="t" coordsize="21600,21600" o:gfxdata="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isxaP2wAAAA0BAAAPAAAA&#10;AAAAAAEAIAAAACIAAABkcnMvZG93bnJldi54bWxQSwECFAAUAAAACACHTuJA3iRG+xICAAA5BAAA&#10;DgAAAAAAAAABACAAAAAqAQAAZHJzL2Uyb0RvYy54bWxQSwUGAAAAAAYABgBZAQAArgUAAAAA&#10;">
                <v:fill on="t" focussize="0,0"/>
                <v:stroke color="#0070C0" joinstyle="miter"/>
                <v:imagedata o:title=""/>
                <o:lock v:ext="edit" aspectratio="f"/>
                <v:textbox>
                  <w:txbxContent>
                    <w:p w14:paraId="01F29F4D">
                      <w:pPr>
                        <w:jc w:val="center"/>
                      </w:pPr>
                      <w:r>
                        <w:rPr>
                          <w:rFonts w:hint="eastAsia"/>
                        </w:rPr>
                        <w:t>图  例</w:t>
                      </w:r>
                    </w:p>
                    <w:p w14:paraId="24F50678">
                      <w:pPr>
                        <w:keepNext w:val="0"/>
                        <w:keepLines w:val="0"/>
                        <w:pageBreakBefore w:val="0"/>
                        <w:kinsoku/>
                        <w:wordWrap/>
                        <w:overflowPunct/>
                        <w:topLinePunct w:val="0"/>
                        <w:bidi w:val="0"/>
                        <w:adjustRightInd/>
                        <w:snapToGrid/>
                        <w:spacing w:line="240" w:lineRule="auto"/>
                        <w:ind w:right="0"/>
                        <w:textAlignment w:val="auto"/>
                        <w:rPr>
                          <w:rFonts w:hint="default" w:eastAsia="宋体"/>
                          <w:lang w:val="en-US" w:eastAsia="zh-CN"/>
                        </w:rPr>
                      </w:pPr>
                      <w:r>
                        <w:rPr>
                          <w:rFonts w:hint="eastAsia"/>
                          <w:b/>
                          <w:bCs/>
                          <w:color w:val="FF0000"/>
                        </w:rPr>
                        <w:sym w:font="Wingdings 2" w:char="00A3"/>
                      </w:r>
                      <w:r>
                        <w:rPr>
                          <w:rFonts w:hint="eastAsia"/>
                          <w:b/>
                          <w:bCs/>
                          <w:color w:val="FF0000"/>
                          <w:lang w:val="en-US" w:eastAsia="zh-CN"/>
                        </w:rPr>
                        <w:t xml:space="preserve">  </w:t>
                      </w:r>
                      <w:r>
                        <w:rPr>
                          <w:rFonts w:hint="eastAsia"/>
                        </w:rPr>
                        <w:t>项目位置</w:t>
                      </w:r>
                    </w:p>
                    <w:p w14:paraId="10B54EE3">
                      <w:pPr>
                        <w:keepNext w:val="0"/>
                        <w:keepLines w:val="0"/>
                        <w:pageBreakBefore w:val="0"/>
                        <w:kinsoku/>
                        <w:wordWrap/>
                        <w:overflowPunct/>
                        <w:topLinePunct w:val="0"/>
                        <w:bidi w:val="0"/>
                        <w:adjustRightInd/>
                        <w:snapToGrid/>
                        <w:spacing w:line="240" w:lineRule="auto"/>
                        <w:ind w:right="0" w:firstLine="420" w:firstLineChars="200"/>
                        <w:textAlignment w:val="auto"/>
                        <w:rPr>
                          <w:rFonts w:hint="default" w:eastAsia="宋体"/>
                          <w:lang w:val="en-US" w:eastAsia="zh-CN"/>
                        </w:rPr>
                      </w:pPr>
                      <w:r>
                        <w:rPr>
                          <w:rFonts w:hint="eastAsia"/>
                          <w:lang w:val="en-US" w:eastAsia="zh-CN"/>
                        </w:rPr>
                        <w:t>排污口位置</w:t>
                      </w:r>
                    </w:p>
                    <w:p w14:paraId="2563489C">
                      <w:pPr>
                        <w:keepNext w:val="0"/>
                        <w:keepLines w:val="0"/>
                        <w:pageBreakBefore w:val="0"/>
                        <w:kinsoku/>
                        <w:wordWrap/>
                        <w:overflowPunct/>
                        <w:topLinePunct w:val="0"/>
                        <w:bidi w:val="0"/>
                        <w:adjustRightInd/>
                        <w:snapToGrid/>
                        <w:spacing w:line="240" w:lineRule="auto"/>
                        <w:ind w:right="0" w:firstLine="210" w:firstLineChars="100"/>
                        <w:textAlignment w:val="auto"/>
                        <w:rPr>
                          <w:rFonts w:hint="default"/>
                          <w:lang w:val="en-US" w:eastAsia="zh-CN"/>
                        </w:rPr>
                      </w:pPr>
                    </w:p>
                  </w:txbxContent>
                </v:textbox>
              </v:shape>
            </w:pict>
          </mc:Fallback>
        </mc:AlternateContent>
      </w:r>
      <w:r>
        <w:rPr>
          <w:color w:val="auto"/>
        </w:rPr>
        <w:drawing>
          <wp:inline distT="0" distB="0" distL="114300" distR="114300">
            <wp:extent cx="7888605" cy="4883150"/>
            <wp:effectExtent l="0" t="0" r="17145" b="12700"/>
            <wp:docPr id="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9"/>
                    <pic:cNvPicPr>
                      <a:picLocks noChangeAspect="1"/>
                    </pic:cNvPicPr>
                  </pic:nvPicPr>
                  <pic:blipFill>
                    <a:blip r:embed="rId54"/>
                    <a:stretch>
                      <a:fillRect/>
                    </a:stretch>
                  </pic:blipFill>
                  <pic:spPr>
                    <a:xfrm>
                      <a:off x="0" y="0"/>
                      <a:ext cx="7888605" cy="4883150"/>
                    </a:xfrm>
                    <a:prstGeom prst="rect">
                      <a:avLst/>
                    </a:prstGeom>
                    <a:noFill/>
                    <a:ln>
                      <a:noFill/>
                    </a:ln>
                  </pic:spPr>
                </pic:pic>
              </a:graphicData>
            </a:graphic>
          </wp:inline>
        </w:drawing>
      </w:r>
    </w:p>
    <w:p w14:paraId="237E926E">
      <w:pPr>
        <w:pStyle w:val="5"/>
        <w:bidi w:val="0"/>
        <w:jc w:val="center"/>
        <w:rPr>
          <w:rFonts w:hint="default"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附图</w:t>
      </w:r>
      <w:r>
        <w:rPr>
          <w:rFonts w:hint="eastAsia" w:eastAsia="宋体" w:cs="Times New Roman"/>
          <w:color w:val="auto"/>
          <w:sz w:val="21"/>
          <w:szCs w:val="21"/>
          <w:highlight w:val="none"/>
          <w:lang w:val="en-US" w:eastAsia="zh-CN"/>
        </w:rPr>
        <w:t>3入河排污口位置图</w:t>
      </w:r>
    </w:p>
    <w:p w14:paraId="4A439E38">
      <w:pPr>
        <w:rPr>
          <w:rFonts w:hint="eastAsia"/>
          <w:color w:val="auto"/>
          <w:highlight w:val="none"/>
          <w:lang w:val="en-US" w:eastAsia="zh-CN"/>
        </w:rPr>
      </w:pPr>
      <w:r>
        <w:rPr>
          <w:rFonts w:hint="eastAsia" w:eastAsia="宋体" w:cs="Times New Roman"/>
          <w:color w:val="auto"/>
          <w:sz w:val="21"/>
          <w:szCs w:val="21"/>
          <w:highlight w:val="none"/>
          <w:lang w:val="en-US" w:eastAsia="zh-CN"/>
        </w:rPr>
        <w:br w:type="page"/>
      </w:r>
    </w:p>
    <w:p w14:paraId="3BE81074">
      <w:pPr>
        <w:jc w:val="center"/>
        <w:rPr>
          <w:rFonts w:hint="eastAsia" w:eastAsia="宋体"/>
          <w:color w:val="auto"/>
          <w:highlight w:val="none"/>
          <w:lang w:eastAsia="zh-CN"/>
        </w:rPr>
      </w:pPr>
      <w:bookmarkStart w:id="21" w:name="_Toc29471"/>
      <w:r>
        <w:rPr>
          <w:rFonts w:hint="eastAsia" w:eastAsia="宋体"/>
          <w:color w:val="auto"/>
          <w:highlight w:val="none"/>
          <w:lang w:eastAsia="zh-CN"/>
        </w:rPr>
        <w:object>
          <v:shape id="_x0000_i1025" o:spt="75" type="#_x0000_t75" style="height:404.2pt;width:452.2pt;" o:ole="t" filled="f" o:preferrelative="t" stroked="f" coordsize="21600,21600">
            <v:path/>
            <v:fill on="f" focussize="0,0"/>
            <v:stroke on="f"/>
            <v:imagedata r:id="rId56" o:title=""/>
            <o:lock v:ext="edit" aspectratio="f"/>
            <w10:wrap type="none"/>
            <w10:anchorlock/>
          </v:shape>
          <o:OLEObject Type="Embed" ProgID="Visio.Drawing.11" ShapeID="_x0000_i1025" DrawAspect="Content" ObjectID="_1468075725" r:id="rId55">
            <o:LockedField>false</o:LockedField>
          </o:OLEObject>
        </w:object>
      </w:r>
    </w:p>
    <w:p w14:paraId="43CAC1B4">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jc w:val="center"/>
        <w:textAlignment w:val="auto"/>
        <w:rPr>
          <w:color w:val="auto"/>
          <w:highlight w:val="none"/>
        </w:rPr>
      </w:pP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4 </w:t>
      </w:r>
      <w:bookmarkEnd w:id="21"/>
      <w:r>
        <w:rPr>
          <w:rFonts w:hint="eastAsia" w:eastAsia="宋体" w:cs="Times New Roman"/>
          <w:color w:val="auto"/>
          <w:sz w:val="21"/>
          <w:szCs w:val="21"/>
          <w:highlight w:val="none"/>
          <w:lang w:val="en-US" w:eastAsia="zh-CN"/>
        </w:rPr>
        <w:t>厂区平面布置</w:t>
      </w:r>
      <w:r>
        <w:rPr>
          <w:rFonts w:hint="eastAsia" w:eastAsia="宋体" w:cs="Times New Roman"/>
          <w:color w:val="auto"/>
          <w:sz w:val="21"/>
          <w:szCs w:val="21"/>
          <w:highlight w:val="none"/>
          <w:lang w:eastAsia="zh-CN"/>
        </w:rPr>
        <w:t>图</w:t>
      </w:r>
    </w:p>
    <w:sectPr>
      <w:footerReference r:id="rId6" w:type="default"/>
      <w:pgSz w:w="16781" w:h="11849" w:orient="landscape"/>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DB3F667C-5971-4E64-9245-72829BA81359}"/>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920469A7-8254-466A-9CA8-E5365B463DF9}"/>
  </w:font>
  <w:font w:name="华文行楷">
    <w:panose1 w:val="02010800040101010101"/>
    <w:charset w:val="86"/>
    <w:family w:val="auto"/>
    <w:pitch w:val="default"/>
    <w:sig w:usb0="00000001" w:usb1="080F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3" w:fontKey="{B567EE15-CC9E-4A37-ACBE-4770CAAEBD0A}"/>
  </w:font>
  <w:font w:name="Arial Unicode MS">
    <w:altName w:val="宋体"/>
    <w:panose1 w:val="020B0604020202020204"/>
    <w:charset w:val="86"/>
    <w:family w:val="auto"/>
    <w:pitch w:val="default"/>
    <w:sig w:usb0="00000000" w:usb1="00000000" w:usb2="0000003F" w:usb3="00000000" w:csb0="603F01FF" w:csb1="FFFF0000"/>
  </w:font>
  <w:font w:name="new times roma">
    <w:altName w:val="Times New Roman"/>
    <w:panose1 w:val="00000000000000000000"/>
    <w:charset w:val="00"/>
    <w:family w:val="auto"/>
    <w:pitch w:val="default"/>
    <w:sig w:usb0="00000000" w:usb1="00000000" w:usb2="00000000" w:usb3="00000000" w:csb0="00040001" w:csb1="00000000"/>
  </w:font>
  <w:font w:name="DF Kai Shu">
    <w:altName w:val="宋体"/>
    <w:panose1 w:val="00000000000000000000"/>
    <w:charset w:val="86"/>
    <w:family w:val="script"/>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embedRegular r:id="rId4" w:fontKey="{CC9B05F7-F276-499B-955D-56F2B6EAF399}"/>
  </w:font>
  <w:font w:name="Helvetica">
    <w:altName w:val="Arial"/>
    <w:panose1 w:val="00000000000000000000"/>
    <w:charset w:val="00"/>
    <w:family w:val="auto"/>
    <w:pitch w:val="default"/>
    <w:sig w:usb0="00000000" w:usb1="00000000" w:usb2="00000000" w:usb3="00000000" w:csb0="00000000" w:csb1="00000000"/>
    <w:embedRegular r:id="rId5" w:fontKey="{608CEB50-FC19-475E-BDB9-6321D588E22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55AEF1">
    <w:pPr>
      <w:pStyle w:val="20"/>
      <w:tabs>
        <w:tab w:val="center" w:pos="4121"/>
        <w:tab w:val="clear" w:pos="4153"/>
      </w:tabs>
      <w:ind w:right="360"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DEC021">
    <w:pPr>
      <w:pStyle w:val="20"/>
      <w:tabs>
        <w:tab w:val="center" w:pos="4121"/>
        <w:tab w:val="clear" w:pos="4153"/>
      </w:tabs>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C47F3F">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33C47F3F">
                    <w:pPr>
                      <w:pStyle w:val="20"/>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28ACAD">
    <w:pPr>
      <w:pStyle w:val="20"/>
      <w:tabs>
        <w:tab w:val="center" w:pos="4121"/>
        <w:tab w:val="clear" w:pos="4153"/>
      </w:tabs>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30BCB0">
                          <w:pPr>
                            <w:pStyle w:val="20"/>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3130BCB0">
                    <w:pPr>
                      <w:pStyle w:val="20"/>
                    </w:pPr>
                    <w:r>
                      <w:fldChar w:fldCharType="begin"/>
                    </w:r>
                    <w:r>
                      <w:instrText xml:space="preserve"> PAGE  \* MERGEFORMAT </w:instrText>
                    </w:r>
                    <w:r>
                      <w:fldChar w:fldCharType="separate"/>
                    </w:r>
                    <w:r>
                      <w:t>28</w:t>
                    </w:r>
                    <w:r>
                      <w:fldChar w:fldCharType="end"/>
                    </w: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68127C">
    <w:pPr>
      <w:pStyle w:val="20"/>
      <w:tabs>
        <w:tab w:val="center" w:pos="4121"/>
        <w:tab w:val="clear" w:pos="4153"/>
        <w:tab w:val="clear" w:pos="8306"/>
      </w:tabs>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5BBD91">
                          <w:pPr>
                            <w:pStyle w:val="20"/>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1D5BBD91">
                    <w:pPr>
                      <w:pStyle w:val="20"/>
                    </w:pPr>
                    <w:r>
                      <w:fldChar w:fldCharType="begin"/>
                    </w:r>
                    <w:r>
                      <w:instrText xml:space="preserve"> PAGE  \* MERGEFORMAT </w:instrText>
                    </w:r>
                    <w:r>
                      <w:fldChar w:fldCharType="separate"/>
                    </w:r>
                    <w:r>
                      <w:t>93</w:t>
                    </w:r>
                    <w:r>
                      <w:fldChar w:fldCharType="end"/>
                    </w:r>
                  </w:p>
                </w:txbxContent>
              </v:textbox>
            </v:shape>
          </w:pict>
        </mc:Fallback>
      </mc:AlternateContent>
    </w:r>
    <w:r>
      <w:rPr>
        <w:rFonts w:hint="eastAsia"/>
      </w:rPr>
      <w:tab/>
    </w: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C3F996"/>
    <w:multiLevelType w:val="singleLevel"/>
    <w:tmpl w:val="8FC3F996"/>
    <w:lvl w:ilvl="0" w:tentative="0">
      <w:start w:val="1"/>
      <w:numFmt w:val="chineseCounting"/>
      <w:suff w:val="nothing"/>
      <w:lvlText w:val="%1、"/>
      <w:lvlJc w:val="left"/>
      <w:pPr>
        <w:ind w:left="0"/>
      </w:pPr>
      <w:rPr>
        <w:rFonts w:hint="eastAsia"/>
      </w:rPr>
    </w:lvl>
  </w:abstractNum>
  <w:abstractNum w:abstractNumId="1">
    <w:nsid w:val="A2F8ED4F"/>
    <w:multiLevelType w:val="singleLevel"/>
    <w:tmpl w:val="A2F8ED4F"/>
    <w:lvl w:ilvl="0" w:tentative="0">
      <w:start w:val="2"/>
      <w:numFmt w:val="decimal"/>
      <w:pStyle w:val="139"/>
      <w:suff w:val="nothing"/>
      <w:lvlText w:val="（%1）"/>
      <w:lvlJc w:val="left"/>
    </w:lvl>
  </w:abstractNum>
  <w:abstractNum w:abstractNumId="2">
    <w:nsid w:val="D53E88B3"/>
    <w:multiLevelType w:val="singleLevel"/>
    <w:tmpl w:val="D53E88B3"/>
    <w:lvl w:ilvl="0" w:tentative="0">
      <w:start w:val="1"/>
      <w:numFmt w:val="decimal"/>
      <w:suff w:val="nothing"/>
      <w:lvlText w:val="%1、"/>
      <w:lvlJc w:val="left"/>
    </w:lvl>
  </w:abstractNum>
  <w:abstractNum w:abstractNumId="3">
    <w:nsid w:val="14861248"/>
    <w:multiLevelType w:val="multilevel"/>
    <w:tmpl w:val="14861248"/>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pStyle w:val="7"/>
      <w:suff w:val="nothing"/>
      <w:lvlText w:val="%1.%2.%3"/>
      <w:lvlJc w:val="left"/>
      <w:pPr>
        <w:ind w:left="3261" w:hanging="851"/>
      </w:pPr>
    </w:lvl>
    <w:lvl w:ilvl="3" w:tentative="0">
      <w:start w:val="1"/>
      <w:numFmt w:val="decimal"/>
      <w:pStyle w:val="8"/>
      <w:suff w:val="nothing"/>
      <w:lvlText w:val="%1.%2.%3.%4"/>
      <w:lvlJc w:val="left"/>
      <w:pPr>
        <w:ind w:left="3415"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58"/>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I0YzJkODU4ZmQ0ZTBhYWQ4M2NkMGZlYWYzY2FkYmUifQ=="/>
  </w:docVars>
  <w:rsids>
    <w:rsidRoot w:val="00172A27"/>
    <w:rsid w:val="00001CED"/>
    <w:rsid w:val="00001E67"/>
    <w:rsid w:val="00003CD8"/>
    <w:rsid w:val="00014965"/>
    <w:rsid w:val="0001523A"/>
    <w:rsid w:val="00016ECB"/>
    <w:rsid w:val="000269F6"/>
    <w:rsid w:val="00031939"/>
    <w:rsid w:val="00032D25"/>
    <w:rsid w:val="0005219D"/>
    <w:rsid w:val="00052A18"/>
    <w:rsid w:val="0005568F"/>
    <w:rsid w:val="0006153D"/>
    <w:rsid w:val="00061B1F"/>
    <w:rsid w:val="00062D86"/>
    <w:rsid w:val="000664DB"/>
    <w:rsid w:val="00066EBC"/>
    <w:rsid w:val="000701C4"/>
    <w:rsid w:val="0007127D"/>
    <w:rsid w:val="00071AE5"/>
    <w:rsid w:val="00074783"/>
    <w:rsid w:val="000763E4"/>
    <w:rsid w:val="00076D34"/>
    <w:rsid w:val="000801E0"/>
    <w:rsid w:val="00082A29"/>
    <w:rsid w:val="0008331D"/>
    <w:rsid w:val="00083C18"/>
    <w:rsid w:val="00092899"/>
    <w:rsid w:val="000A002F"/>
    <w:rsid w:val="000A178E"/>
    <w:rsid w:val="000A5502"/>
    <w:rsid w:val="000A557E"/>
    <w:rsid w:val="000B058F"/>
    <w:rsid w:val="000B6281"/>
    <w:rsid w:val="000B693F"/>
    <w:rsid w:val="000C09AC"/>
    <w:rsid w:val="000C0A63"/>
    <w:rsid w:val="000C1FF9"/>
    <w:rsid w:val="000C437E"/>
    <w:rsid w:val="000C4F74"/>
    <w:rsid w:val="000E5F16"/>
    <w:rsid w:val="000F4452"/>
    <w:rsid w:val="000F6DA1"/>
    <w:rsid w:val="000F6F68"/>
    <w:rsid w:val="000F701B"/>
    <w:rsid w:val="00101AE9"/>
    <w:rsid w:val="00103897"/>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2E78"/>
    <w:rsid w:val="0017504D"/>
    <w:rsid w:val="00177422"/>
    <w:rsid w:val="00184F10"/>
    <w:rsid w:val="00185546"/>
    <w:rsid w:val="0019146B"/>
    <w:rsid w:val="00193414"/>
    <w:rsid w:val="00194398"/>
    <w:rsid w:val="001A3A69"/>
    <w:rsid w:val="001A4716"/>
    <w:rsid w:val="001A64C4"/>
    <w:rsid w:val="001A7D2A"/>
    <w:rsid w:val="001B574C"/>
    <w:rsid w:val="001C0AF9"/>
    <w:rsid w:val="001C155A"/>
    <w:rsid w:val="001C48C0"/>
    <w:rsid w:val="001D1BE5"/>
    <w:rsid w:val="001D6726"/>
    <w:rsid w:val="001E600B"/>
    <w:rsid w:val="001F18D0"/>
    <w:rsid w:val="001F3347"/>
    <w:rsid w:val="001F4440"/>
    <w:rsid w:val="001F69E4"/>
    <w:rsid w:val="00206A65"/>
    <w:rsid w:val="00210D6B"/>
    <w:rsid w:val="00212D31"/>
    <w:rsid w:val="002130C7"/>
    <w:rsid w:val="00217428"/>
    <w:rsid w:val="002218A8"/>
    <w:rsid w:val="0022306D"/>
    <w:rsid w:val="00226574"/>
    <w:rsid w:val="002278EC"/>
    <w:rsid w:val="002357C7"/>
    <w:rsid w:val="002367C4"/>
    <w:rsid w:val="00244B1B"/>
    <w:rsid w:val="0025679E"/>
    <w:rsid w:val="00260C68"/>
    <w:rsid w:val="00261D2B"/>
    <w:rsid w:val="002648B0"/>
    <w:rsid w:val="00275271"/>
    <w:rsid w:val="0027535E"/>
    <w:rsid w:val="0027562F"/>
    <w:rsid w:val="00275AA6"/>
    <w:rsid w:val="002807D5"/>
    <w:rsid w:val="00282CCD"/>
    <w:rsid w:val="002A168C"/>
    <w:rsid w:val="002A2C48"/>
    <w:rsid w:val="002A3EED"/>
    <w:rsid w:val="002A4A39"/>
    <w:rsid w:val="002A5A17"/>
    <w:rsid w:val="002A6425"/>
    <w:rsid w:val="002B49E2"/>
    <w:rsid w:val="002B6923"/>
    <w:rsid w:val="002B7B00"/>
    <w:rsid w:val="002B7C44"/>
    <w:rsid w:val="002C1388"/>
    <w:rsid w:val="002C3C6A"/>
    <w:rsid w:val="002D42DB"/>
    <w:rsid w:val="002E1F3A"/>
    <w:rsid w:val="002E28C7"/>
    <w:rsid w:val="002E298A"/>
    <w:rsid w:val="002E6413"/>
    <w:rsid w:val="002F02A4"/>
    <w:rsid w:val="002F272B"/>
    <w:rsid w:val="002F7C6D"/>
    <w:rsid w:val="003027E4"/>
    <w:rsid w:val="0030332C"/>
    <w:rsid w:val="00312296"/>
    <w:rsid w:val="0031340E"/>
    <w:rsid w:val="00316464"/>
    <w:rsid w:val="0032073A"/>
    <w:rsid w:val="00321D8E"/>
    <w:rsid w:val="00334996"/>
    <w:rsid w:val="00335D51"/>
    <w:rsid w:val="00336969"/>
    <w:rsid w:val="00336C52"/>
    <w:rsid w:val="00341450"/>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D6656"/>
    <w:rsid w:val="003E7681"/>
    <w:rsid w:val="003F0809"/>
    <w:rsid w:val="003F611C"/>
    <w:rsid w:val="003F6A92"/>
    <w:rsid w:val="003F755C"/>
    <w:rsid w:val="004001F5"/>
    <w:rsid w:val="00406F01"/>
    <w:rsid w:val="00411B36"/>
    <w:rsid w:val="00411CA3"/>
    <w:rsid w:val="004121D7"/>
    <w:rsid w:val="00416146"/>
    <w:rsid w:val="00416D50"/>
    <w:rsid w:val="00417772"/>
    <w:rsid w:val="00420E6A"/>
    <w:rsid w:val="00430200"/>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2005"/>
    <w:rsid w:val="004B43A3"/>
    <w:rsid w:val="004B4C49"/>
    <w:rsid w:val="004B58A5"/>
    <w:rsid w:val="004B63D9"/>
    <w:rsid w:val="004C0882"/>
    <w:rsid w:val="004C55BE"/>
    <w:rsid w:val="004E0863"/>
    <w:rsid w:val="004E43BF"/>
    <w:rsid w:val="004E5B30"/>
    <w:rsid w:val="004E7D88"/>
    <w:rsid w:val="004F0779"/>
    <w:rsid w:val="004F1230"/>
    <w:rsid w:val="004F173F"/>
    <w:rsid w:val="004F177C"/>
    <w:rsid w:val="004F2DCE"/>
    <w:rsid w:val="004F51E5"/>
    <w:rsid w:val="005039CB"/>
    <w:rsid w:val="0050558F"/>
    <w:rsid w:val="005057E0"/>
    <w:rsid w:val="00506286"/>
    <w:rsid w:val="0050638A"/>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63274"/>
    <w:rsid w:val="00571D98"/>
    <w:rsid w:val="005720AE"/>
    <w:rsid w:val="0058030D"/>
    <w:rsid w:val="00582045"/>
    <w:rsid w:val="00590AE3"/>
    <w:rsid w:val="005918F1"/>
    <w:rsid w:val="005A06B7"/>
    <w:rsid w:val="005A1759"/>
    <w:rsid w:val="005D0369"/>
    <w:rsid w:val="005D4603"/>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21C19"/>
    <w:rsid w:val="006271BA"/>
    <w:rsid w:val="006343AF"/>
    <w:rsid w:val="0063634A"/>
    <w:rsid w:val="0064250D"/>
    <w:rsid w:val="006535EB"/>
    <w:rsid w:val="00663016"/>
    <w:rsid w:val="00674605"/>
    <w:rsid w:val="006748B8"/>
    <w:rsid w:val="0068535B"/>
    <w:rsid w:val="0068736E"/>
    <w:rsid w:val="0069290A"/>
    <w:rsid w:val="00694990"/>
    <w:rsid w:val="00697032"/>
    <w:rsid w:val="006975AC"/>
    <w:rsid w:val="006A15FB"/>
    <w:rsid w:val="006A72BF"/>
    <w:rsid w:val="006B332A"/>
    <w:rsid w:val="006B33BD"/>
    <w:rsid w:val="006C3F75"/>
    <w:rsid w:val="006D170E"/>
    <w:rsid w:val="006E06AF"/>
    <w:rsid w:val="006F1789"/>
    <w:rsid w:val="00700290"/>
    <w:rsid w:val="007007DA"/>
    <w:rsid w:val="00702588"/>
    <w:rsid w:val="00706C5D"/>
    <w:rsid w:val="007118E6"/>
    <w:rsid w:val="007225C9"/>
    <w:rsid w:val="00726300"/>
    <w:rsid w:val="00733E26"/>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795"/>
    <w:rsid w:val="00814FFB"/>
    <w:rsid w:val="00820568"/>
    <w:rsid w:val="00831A80"/>
    <w:rsid w:val="008332C8"/>
    <w:rsid w:val="00833743"/>
    <w:rsid w:val="008340A4"/>
    <w:rsid w:val="00836799"/>
    <w:rsid w:val="00837028"/>
    <w:rsid w:val="00837131"/>
    <w:rsid w:val="0084150F"/>
    <w:rsid w:val="00843E1B"/>
    <w:rsid w:val="00845F57"/>
    <w:rsid w:val="00847DE1"/>
    <w:rsid w:val="008521E0"/>
    <w:rsid w:val="008525B0"/>
    <w:rsid w:val="00852A28"/>
    <w:rsid w:val="00867C9C"/>
    <w:rsid w:val="00867CBC"/>
    <w:rsid w:val="00876C30"/>
    <w:rsid w:val="00877017"/>
    <w:rsid w:val="008773C0"/>
    <w:rsid w:val="00880364"/>
    <w:rsid w:val="00886C4C"/>
    <w:rsid w:val="0088711C"/>
    <w:rsid w:val="00892ECF"/>
    <w:rsid w:val="00892F06"/>
    <w:rsid w:val="00894285"/>
    <w:rsid w:val="008953F8"/>
    <w:rsid w:val="008A40AE"/>
    <w:rsid w:val="008A4E19"/>
    <w:rsid w:val="008A67C5"/>
    <w:rsid w:val="008B1170"/>
    <w:rsid w:val="008B22E1"/>
    <w:rsid w:val="008B3C78"/>
    <w:rsid w:val="008B4AE9"/>
    <w:rsid w:val="008C30AD"/>
    <w:rsid w:val="008C6C96"/>
    <w:rsid w:val="008D068E"/>
    <w:rsid w:val="008D0F7A"/>
    <w:rsid w:val="008D313A"/>
    <w:rsid w:val="008D63BE"/>
    <w:rsid w:val="008E0CFF"/>
    <w:rsid w:val="008E5D6B"/>
    <w:rsid w:val="008E689B"/>
    <w:rsid w:val="008E76F0"/>
    <w:rsid w:val="008F15FE"/>
    <w:rsid w:val="008F2A94"/>
    <w:rsid w:val="008F5187"/>
    <w:rsid w:val="008F6EB2"/>
    <w:rsid w:val="008F709C"/>
    <w:rsid w:val="00900FC3"/>
    <w:rsid w:val="00902C2A"/>
    <w:rsid w:val="0090312B"/>
    <w:rsid w:val="00904961"/>
    <w:rsid w:val="0091736D"/>
    <w:rsid w:val="00920750"/>
    <w:rsid w:val="009269A2"/>
    <w:rsid w:val="00931001"/>
    <w:rsid w:val="00931863"/>
    <w:rsid w:val="00933524"/>
    <w:rsid w:val="0094251D"/>
    <w:rsid w:val="0094278D"/>
    <w:rsid w:val="00950240"/>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13B3"/>
    <w:rsid w:val="009A72C7"/>
    <w:rsid w:val="009B0897"/>
    <w:rsid w:val="009D0852"/>
    <w:rsid w:val="009D1FBF"/>
    <w:rsid w:val="009D3880"/>
    <w:rsid w:val="009E399C"/>
    <w:rsid w:val="009E43C1"/>
    <w:rsid w:val="009E7E95"/>
    <w:rsid w:val="009F116F"/>
    <w:rsid w:val="009F329E"/>
    <w:rsid w:val="009F5089"/>
    <w:rsid w:val="009F7ED3"/>
    <w:rsid w:val="00A03607"/>
    <w:rsid w:val="00A047FF"/>
    <w:rsid w:val="00A04FEF"/>
    <w:rsid w:val="00A122CD"/>
    <w:rsid w:val="00A12A32"/>
    <w:rsid w:val="00A14248"/>
    <w:rsid w:val="00A14947"/>
    <w:rsid w:val="00A1745D"/>
    <w:rsid w:val="00A23DC5"/>
    <w:rsid w:val="00A34028"/>
    <w:rsid w:val="00A35568"/>
    <w:rsid w:val="00A37056"/>
    <w:rsid w:val="00A40483"/>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3CEC"/>
    <w:rsid w:val="00AA4172"/>
    <w:rsid w:val="00AB1914"/>
    <w:rsid w:val="00AB328E"/>
    <w:rsid w:val="00AB5330"/>
    <w:rsid w:val="00AB7747"/>
    <w:rsid w:val="00AC2532"/>
    <w:rsid w:val="00AD1507"/>
    <w:rsid w:val="00AD5A70"/>
    <w:rsid w:val="00AD738B"/>
    <w:rsid w:val="00AE1BF4"/>
    <w:rsid w:val="00AE4E5E"/>
    <w:rsid w:val="00AE5D97"/>
    <w:rsid w:val="00AE6794"/>
    <w:rsid w:val="00B01110"/>
    <w:rsid w:val="00B02262"/>
    <w:rsid w:val="00B03CEC"/>
    <w:rsid w:val="00B1209F"/>
    <w:rsid w:val="00B12AD0"/>
    <w:rsid w:val="00B21118"/>
    <w:rsid w:val="00B24F30"/>
    <w:rsid w:val="00B31ABF"/>
    <w:rsid w:val="00B335AE"/>
    <w:rsid w:val="00B37CE1"/>
    <w:rsid w:val="00B40ACF"/>
    <w:rsid w:val="00B46BAA"/>
    <w:rsid w:val="00B503C6"/>
    <w:rsid w:val="00B50B5F"/>
    <w:rsid w:val="00B54128"/>
    <w:rsid w:val="00B55826"/>
    <w:rsid w:val="00B579B9"/>
    <w:rsid w:val="00B60426"/>
    <w:rsid w:val="00B622DD"/>
    <w:rsid w:val="00B63522"/>
    <w:rsid w:val="00B76409"/>
    <w:rsid w:val="00B76F1D"/>
    <w:rsid w:val="00B80488"/>
    <w:rsid w:val="00B92A19"/>
    <w:rsid w:val="00B93F2F"/>
    <w:rsid w:val="00B9544C"/>
    <w:rsid w:val="00BA29E9"/>
    <w:rsid w:val="00BB3618"/>
    <w:rsid w:val="00BC0C9E"/>
    <w:rsid w:val="00BC32DC"/>
    <w:rsid w:val="00BD1B51"/>
    <w:rsid w:val="00BD47F6"/>
    <w:rsid w:val="00BE312D"/>
    <w:rsid w:val="00BE3FCA"/>
    <w:rsid w:val="00BF720C"/>
    <w:rsid w:val="00C05719"/>
    <w:rsid w:val="00C10578"/>
    <w:rsid w:val="00C17D62"/>
    <w:rsid w:val="00C21FDC"/>
    <w:rsid w:val="00C2410B"/>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85F20"/>
    <w:rsid w:val="00C91611"/>
    <w:rsid w:val="00CA3585"/>
    <w:rsid w:val="00CA3D5A"/>
    <w:rsid w:val="00CA4C7C"/>
    <w:rsid w:val="00CB0183"/>
    <w:rsid w:val="00CB1EA3"/>
    <w:rsid w:val="00CB51BD"/>
    <w:rsid w:val="00CB552C"/>
    <w:rsid w:val="00CB6A9E"/>
    <w:rsid w:val="00CC6181"/>
    <w:rsid w:val="00CD1788"/>
    <w:rsid w:val="00CD2BCD"/>
    <w:rsid w:val="00CD36AA"/>
    <w:rsid w:val="00CD3791"/>
    <w:rsid w:val="00CD65B0"/>
    <w:rsid w:val="00CE02CD"/>
    <w:rsid w:val="00CE10E9"/>
    <w:rsid w:val="00CF535D"/>
    <w:rsid w:val="00CF5500"/>
    <w:rsid w:val="00D0072E"/>
    <w:rsid w:val="00D12B9C"/>
    <w:rsid w:val="00D15727"/>
    <w:rsid w:val="00D16332"/>
    <w:rsid w:val="00D24972"/>
    <w:rsid w:val="00D2515E"/>
    <w:rsid w:val="00D308ED"/>
    <w:rsid w:val="00D40D69"/>
    <w:rsid w:val="00D51461"/>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0770D"/>
    <w:rsid w:val="00E2064B"/>
    <w:rsid w:val="00E25239"/>
    <w:rsid w:val="00E265B1"/>
    <w:rsid w:val="00E275B0"/>
    <w:rsid w:val="00E30FAC"/>
    <w:rsid w:val="00E412D0"/>
    <w:rsid w:val="00E47CDB"/>
    <w:rsid w:val="00E54D24"/>
    <w:rsid w:val="00E566BC"/>
    <w:rsid w:val="00E60982"/>
    <w:rsid w:val="00E60C8D"/>
    <w:rsid w:val="00E6162F"/>
    <w:rsid w:val="00E6311B"/>
    <w:rsid w:val="00E65D97"/>
    <w:rsid w:val="00E67EFD"/>
    <w:rsid w:val="00E702DC"/>
    <w:rsid w:val="00E71FFB"/>
    <w:rsid w:val="00E76D1D"/>
    <w:rsid w:val="00E806F8"/>
    <w:rsid w:val="00E865C2"/>
    <w:rsid w:val="00E87752"/>
    <w:rsid w:val="00E8793B"/>
    <w:rsid w:val="00E90F81"/>
    <w:rsid w:val="00E91A6D"/>
    <w:rsid w:val="00E9242D"/>
    <w:rsid w:val="00EA6F52"/>
    <w:rsid w:val="00EB041C"/>
    <w:rsid w:val="00EB7E60"/>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A8D"/>
    <w:rsid w:val="00F52CF6"/>
    <w:rsid w:val="00F54496"/>
    <w:rsid w:val="00F61097"/>
    <w:rsid w:val="00F74345"/>
    <w:rsid w:val="00F74441"/>
    <w:rsid w:val="00F77F30"/>
    <w:rsid w:val="00F82589"/>
    <w:rsid w:val="00F82B19"/>
    <w:rsid w:val="00F83396"/>
    <w:rsid w:val="00F90AA7"/>
    <w:rsid w:val="00F9212D"/>
    <w:rsid w:val="00FA00A3"/>
    <w:rsid w:val="00FA301A"/>
    <w:rsid w:val="00FA406A"/>
    <w:rsid w:val="00FA5CB6"/>
    <w:rsid w:val="00FC66AC"/>
    <w:rsid w:val="00FD18F4"/>
    <w:rsid w:val="00FD74B4"/>
    <w:rsid w:val="00FF6FCE"/>
    <w:rsid w:val="00FF7518"/>
    <w:rsid w:val="00FF7FD8"/>
    <w:rsid w:val="01010593"/>
    <w:rsid w:val="01017684"/>
    <w:rsid w:val="010A6538"/>
    <w:rsid w:val="010C0502"/>
    <w:rsid w:val="010D6029"/>
    <w:rsid w:val="010F3B4F"/>
    <w:rsid w:val="01115E6A"/>
    <w:rsid w:val="01177506"/>
    <w:rsid w:val="01182BDD"/>
    <w:rsid w:val="01192C1F"/>
    <w:rsid w:val="011B6997"/>
    <w:rsid w:val="011C62C9"/>
    <w:rsid w:val="01211AD4"/>
    <w:rsid w:val="01213882"/>
    <w:rsid w:val="0123584C"/>
    <w:rsid w:val="01254A1C"/>
    <w:rsid w:val="012670EA"/>
    <w:rsid w:val="012D0479"/>
    <w:rsid w:val="012F41F1"/>
    <w:rsid w:val="01323CE1"/>
    <w:rsid w:val="0136557F"/>
    <w:rsid w:val="01395070"/>
    <w:rsid w:val="014063FE"/>
    <w:rsid w:val="01415CD2"/>
    <w:rsid w:val="01453E77"/>
    <w:rsid w:val="014B08FF"/>
    <w:rsid w:val="014B4F11"/>
    <w:rsid w:val="014C4DA3"/>
    <w:rsid w:val="014F03EF"/>
    <w:rsid w:val="014F4893"/>
    <w:rsid w:val="0151367A"/>
    <w:rsid w:val="01527EDF"/>
    <w:rsid w:val="01541EA9"/>
    <w:rsid w:val="015500B5"/>
    <w:rsid w:val="015643C3"/>
    <w:rsid w:val="01575D64"/>
    <w:rsid w:val="015E4AC8"/>
    <w:rsid w:val="015E6884"/>
    <w:rsid w:val="01626374"/>
    <w:rsid w:val="01697764"/>
    <w:rsid w:val="016A347B"/>
    <w:rsid w:val="016D6AC7"/>
    <w:rsid w:val="01710365"/>
    <w:rsid w:val="017B7436"/>
    <w:rsid w:val="017C6910"/>
    <w:rsid w:val="01804A4C"/>
    <w:rsid w:val="018362EB"/>
    <w:rsid w:val="018514CE"/>
    <w:rsid w:val="01853E11"/>
    <w:rsid w:val="01854C0C"/>
    <w:rsid w:val="018B32D0"/>
    <w:rsid w:val="018C519F"/>
    <w:rsid w:val="01910A08"/>
    <w:rsid w:val="019329D2"/>
    <w:rsid w:val="019422A6"/>
    <w:rsid w:val="0194674A"/>
    <w:rsid w:val="0196601E"/>
    <w:rsid w:val="019D55FE"/>
    <w:rsid w:val="019D759C"/>
    <w:rsid w:val="019F1F35"/>
    <w:rsid w:val="01A22B7C"/>
    <w:rsid w:val="01A3073B"/>
    <w:rsid w:val="01A717A9"/>
    <w:rsid w:val="01AD5116"/>
    <w:rsid w:val="01B110AA"/>
    <w:rsid w:val="01B14C06"/>
    <w:rsid w:val="01B3097E"/>
    <w:rsid w:val="01B6221C"/>
    <w:rsid w:val="01BA61B0"/>
    <w:rsid w:val="01BB1483"/>
    <w:rsid w:val="01BF5575"/>
    <w:rsid w:val="01C0309B"/>
    <w:rsid w:val="01C0753F"/>
    <w:rsid w:val="01C2082B"/>
    <w:rsid w:val="01C40DDD"/>
    <w:rsid w:val="01C44B91"/>
    <w:rsid w:val="01C81F50"/>
    <w:rsid w:val="01C963F3"/>
    <w:rsid w:val="01CA5CC8"/>
    <w:rsid w:val="01CC7C92"/>
    <w:rsid w:val="01CD7566"/>
    <w:rsid w:val="01D30B9A"/>
    <w:rsid w:val="01D31020"/>
    <w:rsid w:val="01D46B46"/>
    <w:rsid w:val="01D6466C"/>
    <w:rsid w:val="01D80157"/>
    <w:rsid w:val="01D83F58"/>
    <w:rsid w:val="01D86637"/>
    <w:rsid w:val="01D9415D"/>
    <w:rsid w:val="01DC03ED"/>
    <w:rsid w:val="01DF5C17"/>
    <w:rsid w:val="01E1319E"/>
    <w:rsid w:val="01E62463"/>
    <w:rsid w:val="01E764AF"/>
    <w:rsid w:val="01E925F2"/>
    <w:rsid w:val="01E9759B"/>
    <w:rsid w:val="01EA0118"/>
    <w:rsid w:val="01EC0334"/>
    <w:rsid w:val="01ED7C29"/>
    <w:rsid w:val="01EF3980"/>
    <w:rsid w:val="01EF572E"/>
    <w:rsid w:val="01F034CB"/>
    <w:rsid w:val="01F41614"/>
    <w:rsid w:val="01F42D45"/>
    <w:rsid w:val="01F65D1B"/>
    <w:rsid w:val="01FE02A2"/>
    <w:rsid w:val="01FF3BC3"/>
    <w:rsid w:val="02013704"/>
    <w:rsid w:val="02016455"/>
    <w:rsid w:val="020617E0"/>
    <w:rsid w:val="02070CCA"/>
    <w:rsid w:val="02077A8A"/>
    <w:rsid w:val="02080F1A"/>
    <w:rsid w:val="020A00DC"/>
    <w:rsid w:val="020C008E"/>
    <w:rsid w:val="020C4532"/>
    <w:rsid w:val="020D07B6"/>
    <w:rsid w:val="020D4CA4"/>
    <w:rsid w:val="020E02AA"/>
    <w:rsid w:val="020F7B7E"/>
    <w:rsid w:val="02117D9A"/>
    <w:rsid w:val="0213766F"/>
    <w:rsid w:val="02145195"/>
    <w:rsid w:val="021740F7"/>
    <w:rsid w:val="02186A33"/>
    <w:rsid w:val="021E7DCE"/>
    <w:rsid w:val="0224187C"/>
    <w:rsid w:val="02291B07"/>
    <w:rsid w:val="022C24DE"/>
    <w:rsid w:val="022E26FA"/>
    <w:rsid w:val="023A2E4D"/>
    <w:rsid w:val="023B0973"/>
    <w:rsid w:val="02441F1E"/>
    <w:rsid w:val="024B6E08"/>
    <w:rsid w:val="025657AD"/>
    <w:rsid w:val="02587777"/>
    <w:rsid w:val="02595DB9"/>
    <w:rsid w:val="025C1016"/>
    <w:rsid w:val="025C7CCF"/>
    <w:rsid w:val="02647ECA"/>
    <w:rsid w:val="02664063"/>
    <w:rsid w:val="02693733"/>
    <w:rsid w:val="026C4FD1"/>
    <w:rsid w:val="026D239C"/>
    <w:rsid w:val="026D3223"/>
    <w:rsid w:val="026E2029"/>
    <w:rsid w:val="027125E7"/>
    <w:rsid w:val="02756840"/>
    <w:rsid w:val="02783976"/>
    <w:rsid w:val="027A5940"/>
    <w:rsid w:val="027B124C"/>
    <w:rsid w:val="027C5214"/>
    <w:rsid w:val="027F2F56"/>
    <w:rsid w:val="0281244D"/>
    <w:rsid w:val="0281282A"/>
    <w:rsid w:val="02816E42"/>
    <w:rsid w:val="02820350"/>
    <w:rsid w:val="028753AF"/>
    <w:rsid w:val="02892562"/>
    <w:rsid w:val="028B18FB"/>
    <w:rsid w:val="028B36A9"/>
    <w:rsid w:val="028E13EB"/>
    <w:rsid w:val="0295277A"/>
    <w:rsid w:val="029E2280"/>
    <w:rsid w:val="02A14633"/>
    <w:rsid w:val="02A40196"/>
    <w:rsid w:val="02A732C3"/>
    <w:rsid w:val="02A97FD3"/>
    <w:rsid w:val="02AB3D4B"/>
    <w:rsid w:val="02B50726"/>
    <w:rsid w:val="02B6369A"/>
    <w:rsid w:val="02B80216"/>
    <w:rsid w:val="02BD75DA"/>
    <w:rsid w:val="02BE582C"/>
    <w:rsid w:val="02C60B85"/>
    <w:rsid w:val="02C848FD"/>
    <w:rsid w:val="02C92423"/>
    <w:rsid w:val="02C941D1"/>
    <w:rsid w:val="02CD31FE"/>
    <w:rsid w:val="02CD5A6F"/>
    <w:rsid w:val="02CE4CF7"/>
    <w:rsid w:val="02D108F4"/>
    <w:rsid w:val="02D212D8"/>
    <w:rsid w:val="02D373D9"/>
    <w:rsid w:val="02D75142"/>
    <w:rsid w:val="02D908B8"/>
    <w:rsid w:val="02DC2156"/>
    <w:rsid w:val="02E2723F"/>
    <w:rsid w:val="02E32D09"/>
    <w:rsid w:val="02E42DB9"/>
    <w:rsid w:val="02E62FD5"/>
    <w:rsid w:val="02EF1E8A"/>
    <w:rsid w:val="02F05C02"/>
    <w:rsid w:val="02F32E16"/>
    <w:rsid w:val="02F54FC6"/>
    <w:rsid w:val="02F76F90"/>
    <w:rsid w:val="02FA25DD"/>
    <w:rsid w:val="02FA6EC4"/>
    <w:rsid w:val="02FD4D40"/>
    <w:rsid w:val="0301396B"/>
    <w:rsid w:val="03027722"/>
    <w:rsid w:val="03031491"/>
    <w:rsid w:val="03065425"/>
    <w:rsid w:val="030767A5"/>
    <w:rsid w:val="030A0A72"/>
    <w:rsid w:val="030A6CC4"/>
    <w:rsid w:val="030D0562"/>
    <w:rsid w:val="030D1D54"/>
    <w:rsid w:val="03103BAE"/>
    <w:rsid w:val="031A4A2D"/>
    <w:rsid w:val="031B2C7F"/>
    <w:rsid w:val="031C69F7"/>
    <w:rsid w:val="031E451D"/>
    <w:rsid w:val="03206072"/>
    <w:rsid w:val="03223A5F"/>
    <w:rsid w:val="03253AFD"/>
    <w:rsid w:val="032558AB"/>
    <w:rsid w:val="03265180"/>
    <w:rsid w:val="032B7DBE"/>
    <w:rsid w:val="032F5C6D"/>
    <w:rsid w:val="03367AB9"/>
    <w:rsid w:val="03391357"/>
    <w:rsid w:val="033A0C2B"/>
    <w:rsid w:val="033A62E9"/>
    <w:rsid w:val="033C40A2"/>
    <w:rsid w:val="033E071B"/>
    <w:rsid w:val="033E4BBF"/>
    <w:rsid w:val="034321D6"/>
    <w:rsid w:val="03433852"/>
    <w:rsid w:val="03483348"/>
    <w:rsid w:val="034A70C0"/>
    <w:rsid w:val="034E72B8"/>
    <w:rsid w:val="034F0CA2"/>
    <w:rsid w:val="035148F2"/>
    <w:rsid w:val="03547F3F"/>
    <w:rsid w:val="03561F09"/>
    <w:rsid w:val="035717DD"/>
    <w:rsid w:val="035A307B"/>
    <w:rsid w:val="035C5045"/>
    <w:rsid w:val="035E0DBD"/>
    <w:rsid w:val="0361265C"/>
    <w:rsid w:val="036B6BBE"/>
    <w:rsid w:val="036B7087"/>
    <w:rsid w:val="037212ED"/>
    <w:rsid w:val="0374413D"/>
    <w:rsid w:val="03744955"/>
    <w:rsid w:val="037474BD"/>
    <w:rsid w:val="037979A5"/>
    <w:rsid w:val="037E2237"/>
    <w:rsid w:val="0385634A"/>
    <w:rsid w:val="038C592B"/>
    <w:rsid w:val="038F0F77"/>
    <w:rsid w:val="03927D69"/>
    <w:rsid w:val="039667A9"/>
    <w:rsid w:val="039B791C"/>
    <w:rsid w:val="039C407F"/>
    <w:rsid w:val="039C5442"/>
    <w:rsid w:val="039E2CB1"/>
    <w:rsid w:val="03A013D6"/>
    <w:rsid w:val="03A04F32"/>
    <w:rsid w:val="03A2514E"/>
    <w:rsid w:val="03A367D0"/>
    <w:rsid w:val="03A72764"/>
    <w:rsid w:val="03AC1B29"/>
    <w:rsid w:val="03B64756"/>
    <w:rsid w:val="03B7227C"/>
    <w:rsid w:val="03B91F1D"/>
    <w:rsid w:val="03B978B9"/>
    <w:rsid w:val="03BD7093"/>
    <w:rsid w:val="03BE76CA"/>
    <w:rsid w:val="03C2759E"/>
    <w:rsid w:val="03C42CC6"/>
    <w:rsid w:val="03C42E7B"/>
    <w:rsid w:val="03C9309C"/>
    <w:rsid w:val="03CA6453"/>
    <w:rsid w:val="03CC265C"/>
    <w:rsid w:val="03D63037"/>
    <w:rsid w:val="03D942D2"/>
    <w:rsid w:val="03DB0660"/>
    <w:rsid w:val="03DD6186"/>
    <w:rsid w:val="03DE5A5A"/>
    <w:rsid w:val="03E017D2"/>
    <w:rsid w:val="03E219EE"/>
    <w:rsid w:val="03E312C3"/>
    <w:rsid w:val="03E54254"/>
    <w:rsid w:val="03E56DE9"/>
    <w:rsid w:val="03E72B61"/>
    <w:rsid w:val="03E77005"/>
    <w:rsid w:val="03E80687"/>
    <w:rsid w:val="03E94B2B"/>
    <w:rsid w:val="03EC63C9"/>
    <w:rsid w:val="03EE3926"/>
    <w:rsid w:val="03F139E0"/>
    <w:rsid w:val="03F37758"/>
    <w:rsid w:val="03F62DA4"/>
    <w:rsid w:val="03F67248"/>
    <w:rsid w:val="03FB03BA"/>
    <w:rsid w:val="04001FDF"/>
    <w:rsid w:val="04082AD7"/>
    <w:rsid w:val="040D5F94"/>
    <w:rsid w:val="040E27E3"/>
    <w:rsid w:val="040E4592"/>
    <w:rsid w:val="040F43A0"/>
    <w:rsid w:val="041A1188"/>
    <w:rsid w:val="041D47D5"/>
    <w:rsid w:val="04216DD6"/>
    <w:rsid w:val="04223B99"/>
    <w:rsid w:val="042518DB"/>
    <w:rsid w:val="0428074B"/>
    <w:rsid w:val="042C4A18"/>
    <w:rsid w:val="042E253E"/>
    <w:rsid w:val="043770CF"/>
    <w:rsid w:val="043A5387"/>
    <w:rsid w:val="043B510F"/>
    <w:rsid w:val="043D09D3"/>
    <w:rsid w:val="043D29C9"/>
    <w:rsid w:val="043F2FAD"/>
    <w:rsid w:val="04447FB3"/>
    <w:rsid w:val="04461F7D"/>
    <w:rsid w:val="0449381C"/>
    <w:rsid w:val="044A0592"/>
    <w:rsid w:val="044A30F0"/>
    <w:rsid w:val="044B1342"/>
    <w:rsid w:val="044B1BF8"/>
    <w:rsid w:val="04511CDD"/>
    <w:rsid w:val="04553F6E"/>
    <w:rsid w:val="045B70AB"/>
    <w:rsid w:val="045F2DCA"/>
    <w:rsid w:val="045F6B9B"/>
    <w:rsid w:val="046507CE"/>
    <w:rsid w:val="046B3792"/>
    <w:rsid w:val="046B3BE8"/>
    <w:rsid w:val="047343F5"/>
    <w:rsid w:val="04740E9E"/>
    <w:rsid w:val="047775AF"/>
    <w:rsid w:val="04777A0C"/>
    <w:rsid w:val="047C599F"/>
    <w:rsid w:val="04812FB5"/>
    <w:rsid w:val="048B5BE2"/>
    <w:rsid w:val="048C6FBD"/>
    <w:rsid w:val="048D3235"/>
    <w:rsid w:val="048E122E"/>
    <w:rsid w:val="048E56D2"/>
    <w:rsid w:val="048E5FAA"/>
    <w:rsid w:val="04904FA7"/>
    <w:rsid w:val="04912D27"/>
    <w:rsid w:val="04932CE9"/>
    <w:rsid w:val="04974587"/>
    <w:rsid w:val="049752DD"/>
    <w:rsid w:val="049802FF"/>
    <w:rsid w:val="04983E5B"/>
    <w:rsid w:val="04984EBD"/>
    <w:rsid w:val="0499741D"/>
    <w:rsid w:val="049D5915"/>
    <w:rsid w:val="04A9250C"/>
    <w:rsid w:val="04AE18D1"/>
    <w:rsid w:val="04B073F7"/>
    <w:rsid w:val="04B21DC8"/>
    <w:rsid w:val="04B327A2"/>
    <w:rsid w:val="04B36EE7"/>
    <w:rsid w:val="04B70785"/>
    <w:rsid w:val="04B7715C"/>
    <w:rsid w:val="04BF1806"/>
    <w:rsid w:val="04BF763A"/>
    <w:rsid w:val="04C07235"/>
    <w:rsid w:val="04C335CE"/>
    <w:rsid w:val="04C873E4"/>
    <w:rsid w:val="04D31337"/>
    <w:rsid w:val="04D550AF"/>
    <w:rsid w:val="04D94B9F"/>
    <w:rsid w:val="04DA4474"/>
    <w:rsid w:val="04DE1209"/>
    <w:rsid w:val="04DE21B6"/>
    <w:rsid w:val="04DF250D"/>
    <w:rsid w:val="04E40EC1"/>
    <w:rsid w:val="04EB042F"/>
    <w:rsid w:val="04ED41A7"/>
    <w:rsid w:val="04F31768"/>
    <w:rsid w:val="04F75026"/>
    <w:rsid w:val="04FB2D39"/>
    <w:rsid w:val="05031C1C"/>
    <w:rsid w:val="05042D98"/>
    <w:rsid w:val="05045994"/>
    <w:rsid w:val="05047743"/>
    <w:rsid w:val="050E236F"/>
    <w:rsid w:val="051200B1"/>
    <w:rsid w:val="0517273C"/>
    <w:rsid w:val="051A51B8"/>
    <w:rsid w:val="051C2760"/>
    <w:rsid w:val="051C683A"/>
    <w:rsid w:val="051E7732"/>
    <w:rsid w:val="052027CE"/>
    <w:rsid w:val="05235E1B"/>
    <w:rsid w:val="05243941"/>
    <w:rsid w:val="052B4CCF"/>
    <w:rsid w:val="052D1694"/>
    <w:rsid w:val="052E47BF"/>
    <w:rsid w:val="0530678A"/>
    <w:rsid w:val="05317944"/>
    <w:rsid w:val="05322502"/>
    <w:rsid w:val="05340028"/>
    <w:rsid w:val="05341DD6"/>
    <w:rsid w:val="053C0C8A"/>
    <w:rsid w:val="054022C8"/>
    <w:rsid w:val="05404C1F"/>
    <w:rsid w:val="05412FEB"/>
    <w:rsid w:val="05453FE3"/>
    <w:rsid w:val="0547556E"/>
    <w:rsid w:val="054F58B7"/>
    <w:rsid w:val="05557F9E"/>
    <w:rsid w:val="05561E22"/>
    <w:rsid w:val="05575AC4"/>
    <w:rsid w:val="055E32F7"/>
    <w:rsid w:val="055E7FA4"/>
    <w:rsid w:val="05616943"/>
    <w:rsid w:val="05696896"/>
    <w:rsid w:val="056B1570"/>
    <w:rsid w:val="056B77C2"/>
    <w:rsid w:val="056C5A14"/>
    <w:rsid w:val="056D353A"/>
    <w:rsid w:val="056F72DE"/>
    <w:rsid w:val="05742AC8"/>
    <w:rsid w:val="057C377D"/>
    <w:rsid w:val="057C3D51"/>
    <w:rsid w:val="057F319B"/>
    <w:rsid w:val="05816FE5"/>
    <w:rsid w:val="05852BDA"/>
    <w:rsid w:val="058663AA"/>
    <w:rsid w:val="058873D6"/>
    <w:rsid w:val="058979DF"/>
    <w:rsid w:val="058D7959"/>
    <w:rsid w:val="05917228"/>
    <w:rsid w:val="05924D4E"/>
    <w:rsid w:val="05942874"/>
    <w:rsid w:val="05972365"/>
    <w:rsid w:val="05986704"/>
    <w:rsid w:val="059E36F3"/>
    <w:rsid w:val="059F30E6"/>
    <w:rsid w:val="05A50F26"/>
    <w:rsid w:val="05AB5C72"/>
    <w:rsid w:val="05AB7BBE"/>
    <w:rsid w:val="05AD75A3"/>
    <w:rsid w:val="05B13426"/>
    <w:rsid w:val="05B178CA"/>
    <w:rsid w:val="05B64EE1"/>
    <w:rsid w:val="05B9052D"/>
    <w:rsid w:val="05BB4F26"/>
    <w:rsid w:val="05BB6053"/>
    <w:rsid w:val="05C313AC"/>
    <w:rsid w:val="05C56ED2"/>
    <w:rsid w:val="05C57BB2"/>
    <w:rsid w:val="05C80770"/>
    <w:rsid w:val="05CB200E"/>
    <w:rsid w:val="05CD6C44"/>
    <w:rsid w:val="05CF67D3"/>
    <w:rsid w:val="05CF7D50"/>
    <w:rsid w:val="05D215EF"/>
    <w:rsid w:val="05D90BCF"/>
    <w:rsid w:val="05D9472B"/>
    <w:rsid w:val="05E05ABA"/>
    <w:rsid w:val="05EE2510"/>
    <w:rsid w:val="05EE467B"/>
    <w:rsid w:val="05F15805"/>
    <w:rsid w:val="05F52F17"/>
    <w:rsid w:val="05F862B3"/>
    <w:rsid w:val="05F902FF"/>
    <w:rsid w:val="05FD48BE"/>
    <w:rsid w:val="0600615C"/>
    <w:rsid w:val="06026684"/>
    <w:rsid w:val="06055520"/>
    <w:rsid w:val="06057FE3"/>
    <w:rsid w:val="06127C3D"/>
    <w:rsid w:val="061439B5"/>
    <w:rsid w:val="0616597F"/>
    <w:rsid w:val="0616772D"/>
    <w:rsid w:val="0617049F"/>
    <w:rsid w:val="06174FC9"/>
    <w:rsid w:val="061A40F4"/>
    <w:rsid w:val="06222576"/>
    <w:rsid w:val="062736E9"/>
    <w:rsid w:val="06287461"/>
    <w:rsid w:val="062A4F87"/>
    <w:rsid w:val="062C51A3"/>
    <w:rsid w:val="062E0F1B"/>
    <w:rsid w:val="062F6A41"/>
    <w:rsid w:val="06317000"/>
    <w:rsid w:val="063302DF"/>
    <w:rsid w:val="063400E4"/>
    <w:rsid w:val="06352F05"/>
    <w:rsid w:val="06367DD0"/>
    <w:rsid w:val="0637015B"/>
    <w:rsid w:val="06383B48"/>
    <w:rsid w:val="063B43C4"/>
    <w:rsid w:val="063C32BB"/>
    <w:rsid w:val="063E7D85"/>
    <w:rsid w:val="064047AA"/>
    <w:rsid w:val="064424ED"/>
    <w:rsid w:val="06475B39"/>
    <w:rsid w:val="064A73D7"/>
    <w:rsid w:val="064C13A1"/>
    <w:rsid w:val="06514C09"/>
    <w:rsid w:val="06523C1B"/>
    <w:rsid w:val="0659586C"/>
    <w:rsid w:val="065B7836"/>
    <w:rsid w:val="065D35AE"/>
    <w:rsid w:val="06604169"/>
    <w:rsid w:val="0667442D"/>
    <w:rsid w:val="06692446"/>
    <w:rsid w:val="06693D01"/>
    <w:rsid w:val="066A1827"/>
    <w:rsid w:val="066C559F"/>
    <w:rsid w:val="06712BB6"/>
    <w:rsid w:val="06715702"/>
    <w:rsid w:val="06727999"/>
    <w:rsid w:val="06744454"/>
    <w:rsid w:val="067A7CBC"/>
    <w:rsid w:val="067C44CB"/>
    <w:rsid w:val="067F6A97"/>
    <w:rsid w:val="06823015"/>
    <w:rsid w:val="068B1EC9"/>
    <w:rsid w:val="068D62C8"/>
    <w:rsid w:val="06905732"/>
    <w:rsid w:val="069114AA"/>
    <w:rsid w:val="06930D7E"/>
    <w:rsid w:val="06954AF6"/>
    <w:rsid w:val="069C0B90"/>
    <w:rsid w:val="069E1EDD"/>
    <w:rsid w:val="06A21E31"/>
    <w:rsid w:val="06A25465"/>
    <w:rsid w:val="06A27213"/>
    <w:rsid w:val="06A42F8B"/>
    <w:rsid w:val="06A50AB1"/>
    <w:rsid w:val="06AB431A"/>
    <w:rsid w:val="06B07B82"/>
    <w:rsid w:val="06BC02D5"/>
    <w:rsid w:val="06BD404D"/>
    <w:rsid w:val="06BE35C9"/>
    <w:rsid w:val="06BF1B73"/>
    <w:rsid w:val="06C07699"/>
    <w:rsid w:val="06C12665"/>
    <w:rsid w:val="06C6670B"/>
    <w:rsid w:val="06C9323D"/>
    <w:rsid w:val="06C979F7"/>
    <w:rsid w:val="06CB64FF"/>
    <w:rsid w:val="06CD24E2"/>
    <w:rsid w:val="06D179D1"/>
    <w:rsid w:val="06D33870"/>
    <w:rsid w:val="06D5093D"/>
    <w:rsid w:val="06DC0977"/>
    <w:rsid w:val="06DD46A0"/>
    <w:rsid w:val="06DD649D"/>
    <w:rsid w:val="06DE46EF"/>
    <w:rsid w:val="06E25862"/>
    <w:rsid w:val="06E57385"/>
    <w:rsid w:val="06E8731C"/>
    <w:rsid w:val="06EC048E"/>
    <w:rsid w:val="06EC66E0"/>
    <w:rsid w:val="06F21D26"/>
    <w:rsid w:val="06F35CC1"/>
    <w:rsid w:val="06F757B1"/>
    <w:rsid w:val="06F832D7"/>
    <w:rsid w:val="06F92896"/>
    <w:rsid w:val="06FC6923"/>
    <w:rsid w:val="06FE6B3F"/>
    <w:rsid w:val="0701218C"/>
    <w:rsid w:val="070875E0"/>
    <w:rsid w:val="070B300A"/>
    <w:rsid w:val="070D0B30"/>
    <w:rsid w:val="070F2026"/>
    <w:rsid w:val="07100621"/>
    <w:rsid w:val="07124399"/>
    <w:rsid w:val="071355FF"/>
    <w:rsid w:val="07153E89"/>
    <w:rsid w:val="071D659A"/>
    <w:rsid w:val="071E2D3E"/>
    <w:rsid w:val="0721282E"/>
    <w:rsid w:val="072145DC"/>
    <w:rsid w:val="07245E7A"/>
    <w:rsid w:val="07261BF2"/>
    <w:rsid w:val="07293586"/>
    <w:rsid w:val="07295285"/>
    <w:rsid w:val="072D11D3"/>
    <w:rsid w:val="072D2F81"/>
    <w:rsid w:val="072D508B"/>
    <w:rsid w:val="072F22BE"/>
    <w:rsid w:val="072F4F4B"/>
    <w:rsid w:val="07322345"/>
    <w:rsid w:val="073267E9"/>
    <w:rsid w:val="073562D9"/>
    <w:rsid w:val="07375BAD"/>
    <w:rsid w:val="073A569E"/>
    <w:rsid w:val="073B6467"/>
    <w:rsid w:val="073C31C4"/>
    <w:rsid w:val="073E518E"/>
    <w:rsid w:val="073F4A62"/>
    <w:rsid w:val="07464042"/>
    <w:rsid w:val="07483BF5"/>
    <w:rsid w:val="074958E1"/>
    <w:rsid w:val="074B1659"/>
    <w:rsid w:val="074C0E53"/>
    <w:rsid w:val="074D717F"/>
    <w:rsid w:val="074E2EF7"/>
    <w:rsid w:val="074F739B"/>
    <w:rsid w:val="075200E8"/>
    <w:rsid w:val="07526D7F"/>
    <w:rsid w:val="07585B24"/>
    <w:rsid w:val="07591FC8"/>
    <w:rsid w:val="075A189C"/>
    <w:rsid w:val="075A7AEE"/>
    <w:rsid w:val="075C3866"/>
    <w:rsid w:val="07630750"/>
    <w:rsid w:val="076540F2"/>
    <w:rsid w:val="076562D9"/>
    <w:rsid w:val="07666493"/>
    <w:rsid w:val="07675A5B"/>
    <w:rsid w:val="076E5B8C"/>
    <w:rsid w:val="076F6FBB"/>
    <w:rsid w:val="07707311"/>
    <w:rsid w:val="0774295E"/>
    <w:rsid w:val="07753BD7"/>
    <w:rsid w:val="077566D6"/>
    <w:rsid w:val="077639A5"/>
    <w:rsid w:val="07770C56"/>
    <w:rsid w:val="07797F74"/>
    <w:rsid w:val="077C1812"/>
    <w:rsid w:val="077F1302"/>
    <w:rsid w:val="07812C00"/>
    <w:rsid w:val="07854B6B"/>
    <w:rsid w:val="07921036"/>
    <w:rsid w:val="07943F08"/>
    <w:rsid w:val="07944DAE"/>
    <w:rsid w:val="0794648D"/>
    <w:rsid w:val="079833F9"/>
    <w:rsid w:val="079923C4"/>
    <w:rsid w:val="079B25E0"/>
    <w:rsid w:val="079F3753"/>
    <w:rsid w:val="07A23A55"/>
    <w:rsid w:val="07A31495"/>
    <w:rsid w:val="07A611BD"/>
    <w:rsid w:val="07A64AE1"/>
    <w:rsid w:val="07A66D5A"/>
    <w:rsid w:val="07A73637"/>
    <w:rsid w:val="07A84FDE"/>
    <w:rsid w:val="07AA0EFE"/>
    <w:rsid w:val="07AC5A1F"/>
    <w:rsid w:val="07AE0C35"/>
    <w:rsid w:val="07AF4ECA"/>
    <w:rsid w:val="07B0158F"/>
    <w:rsid w:val="07B01DD8"/>
    <w:rsid w:val="07B216D8"/>
    <w:rsid w:val="07B54013"/>
    <w:rsid w:val="07B747B2"/>
    <w:rsid w:val="07B96BED"/>
    <w:rsid w:val="07BC4304"/>
    <w:rsid w:val="07C05BA3"/>
    <w:rsid w:val="07C20E4A"/>
    <w:rsid w:val="07C5140B"/>
    <w:rsid w:val="07CD6512"/>
    <w:rsid w:val="07CF228A"/>
    <w:rsid w:val="07D26499"/>
    <w:rsid w:val="07D96C64"/>
    <w:rsid w:val="07DD10FF"/>
    <w:rsid w:val="07DF4305"/>
    <w:rsid w:val="07E06245"/>
    <w:rsid w:val="07E55609"/>
    <w:rsid w:val="07ED2710"/>
    <w:rsid w:val="07F12200"/>
    <w:rsid w:val="07F12B74"/>
    <w:rsid w:val="07F13FAE"/>
    <w:rsid w:val="07F27D26"/>
    <w:rsid w:val="07F576C7"/>
    <w:rsid w:val="07F92E63"/>
    <w:rsid w:val="08033CE1"/>
    <w:rsid w:val="08044DF2"/>
    <w:rsid w:val="0808622A"/>
    <w:rsid w:val="080F08D8"/>
    <w:rsid w:val="08111A6D"/>
    <w:rsid w:val="08114650"/>
    <w:rsid w:val="08122176"/>
    <w:rsid w:val="08123F24"/>
    <w:rsid w:val="08161C67"/>
    <w:rsid w:val="08193505"/>
    <w:rsid w:val="08193855"/>
    <w:rsid w:val="081C4DA3"/>
    <w:rsid w:val="081D4626"/>
    <w:rsid w:val="081E4FBF"/>
    <w:rsid w:val="08206641"/>
    <w:rsid w:val="08226344"/>
    <w:rsid w:val="08255A35"/>
    <w:rsid w:val="08262F95"/>
    <w:rsid w:val="08283748"/>
    <w:rsid w:val="0828574C"/>
    <w:rsid w:val="082C023D"/>
    <w:rsid w:val="082F2355"/>
    <w:rsid w:val="0831084F"/>
    <w:rsid w:val="08316AA1"/>
    <w:rsid w:val="083818D9"/>
    <w:rsid w:val="08404F36"/>
    <w:rsid w:val="084661C6"/>
    <w:rsid w:val="0849203C"/>
    <w:rsid w:val="084A5DB4"/>
    <w:rsid w:val="084D609E"/>
    <w:rsid w:val="084F4E8A"/>
    <w:rsid w:val="08512C9F"/>
    <w:rsid w:val="08517143"/>
    <w:rsid w:val="08517AB0"/>
    <w:rsid w:val="0854453D"/>
    <w:rsid w:val="08564759"/>
    <w:rsid w:val="085831B1"/>
    <w:rsid w:val="08597DA5"/>
    <w:rsid w:val="085E7023"/>
    <w:rsid w:val="08624EAC"/>
    <w:rsid w:val="086329D2"/>
    <w:rsid w:val="08634780"/>
    <w:rsid w:val="08694136"/>
    <w:rsid w:val="086A19A6"/>
    <w:rsid w:val="086A1FB2"/>
    <w:rsid w:val="086C5D2B"/>
    <w:rsid w:val="086C7AD9"/>
    <w:rsid w:val="086D316B"/>
    <w:rsid w:val="086F380C"/>
    <w:rsid w:val="087109F5"/>
    <w:rsid w:val="08730E67"/>
    <w:rsid w:val="087921F6"/>
    <w:rsid w:val="087A4C54"/>
    <w:rsid w:val="087B5F6E"/>
    <w:rsid w:val="088210AA"/>
    <w:rsid w:val="0882554E"/>
    <w:rsid w:val="08850A8D"/>
    <w:rsid w:val="08862D93"/>
    <w:rsid w:val="0887371F"/>
    <w:rsid w:val="08874912"/>
    <w:rsid w:val="0889068B"/>
    <w:rsid w:val="08894C98"/>
    <w:rsid w:val="08896684"/>
    <w:rsid w:val="088C017B"/>
    <w:rsid w:val="088E5CA1"/>
    <w:rsid w:val="089332B7"/>
    <w:rsid w:val="0898267C"/>
    <w:rsid w:val="089D4136"/>
    <w:rsid w:val="089F1C5C"/>
    <w:rsid w:val="08A13C26"/>
    <w:rsid w:val="08A454C4"/>
    <w:rsid w:val="08A52FEB"/>
    <w:rsid w:val="08A76219"/>
    <w:rsid w:val="08AC299F"/>
    <w:rsid w:val="08AE5BBA"/>
    <w:rsid w:val="08AF0E7E"/>
    <w:rsid w:val="08B03E69"/>
    <w:rsid w:val="08B2267B"/>
    <w:rsid w:val="08B51480"/>
    <w:rsid w:val="08B519F0"/>
    <w:rsid w:val="08B576D2"/>
    <w:rsid w:val="08B651F8"/>
    <w:rsid w:val="08B82D1E"/>
    <w:rsid w:val="08BA4CE8"/>
    <w:rsid w:val="08BD0334"/>
    <w:rsid w:val="08C05347"/>
    <w:rsid w:val="08C50B9C"/>
    <w:rsid w:val="08CE42EF"/>
    <w:rsid w:val="08D35DAA"/>
    <w:rsid w:val="08D538D0"/>
    <w:rsid w:val="08D631A4"/>
    <w:rsid w:val="08DF4269"/>
    <w:rsid w:val="08E104C7"/>
    <w:rsid w:val="08E25FED"/>
    <w:rsid w:val="08E92932"/>
    <w:rsid w:val="08ED03E2"/>
    <w:rsid w:val="08F024B8"/>
    <w:rsid w:val="08F13AAD"/>
    <w:rsid w:val="08F53CDB"/>
    <w:rsid w:val="08FB7730"/>
    <w:rsid w:val="08FC59FB"/>
    <w:rsid w:val="08FD6983"/>
    <w:rsid w:val="08FF26FB"/>
    <w:rsid w:val="090221EB"/>
    <w:rsid w:val="09045F63"/>
    <w:rsid w:val="09077801"/>
    <w:rsid w:val="090E70C3"/>
    <w:rsid w:val="0913264A"/>
    <w:rsid w:val="09153639"/>
    <w:rsid w:val="09153C1F"/>
    <w:rsid w:val="09197523"/>
    <w:rsid w:val="091C2D7B"/>
    <w:rsid w:val="092217DD"/>
    <w:rsid w:val="09240154"/>
    <w:rsid w:val="092403B3"/>
    <w:rsid w:val="09265BCD"/>
    <w:rsid w:val="092B7C9F"/>
    <w:rsid w:val="092C7268"/>
    <w:rsid w:val="092E1232"/>
    <w:rsid w:val="09300B06"/>
    <w:rsid w:val="0935611C"/>
    <w:rsid w:val="093700E7"/>
    <w:rsid w:val="09371E95"/>
    <w:rsid w:val="093733C9"/>
    <w:rsid w:val="093A7294"/>
    <w:rsid w:val="09401129"/>
    <w:rsid w:val="094B1DE4"/>
    <w:rsid w:val="094C3466"/>
    <w:rsid w:val="094E5847"/>
    <w:rsid w:val="094F37B7"/>
    <w:rsid w:val="09510A7C"/>
    <w:rsid w:val="09526CCE"/>
    <w:rsid w:val="095742E5"/>
    <w:rsid w:val="096133B5"/>
    <w:rsid w:val="0969226A"/>
    <w:rsid w:val="09694018"/>
    <w:rsid w:val="096D3B08"/>
    <w:rsid w:val="09714C67"/>
    <w:rsid w:val="09722ECD"/>
    <w:rsid w:val="097906FF"/>
    <w:rsid w:val="097A6225"/>
    <w:rsid w:val="097A7FD3"/>
    <w:rsid w:val="097C1F9D"/>
    <w:rsid w:val="098350DA"/>
    <w:rsid w:val="0984611E"/>
    <w:rsid w:val="098470A4"/>
    <w:rsid w:val="09886B94"/>
    <w:rsid w:val="098B0432"/>
    <w:rsid w:val="098C5B93"/>
    <w:rsid w:val="098E3A7F"/>
    <w:rsid w:val="098F7F23"/>
    <w:rsid w:val="09926E4D"/>
    <w:rsid w:val="099346C1"/>
    <w:rsid w:val="099472E7"/>
    <w:rsid w:val="099A2423"/>
    <w:rsid w:val="099E0166"/>
    <w:rsid w:val="099F1469"/>
    <w:rsid w:val="099F7A3A"/>
    <w:rsid w:val="09A137B2"/>
    <w:rsid w:val="09A17C56"/>
    <w:rsid w:val="09A339CE"/>
    <w:rsid w:val="09A35B15"/>
    <w:rsid w:val="09A3752A"/>
    <w:rsid w:val="09A66753"/>
    <w:rsid w:val="09AA1703"/>
    <w:rsid w:val="09AD2157"/>
    <w:rsid w:val="09AD65FB"/>
    <w:rsid w:val="09B47989"/>
    <w:rsid w:val="09B8400A"/>
    <w:rsid w:val="09B96D4E"/>
    <w:rsid w:val="09BB6819"/>
    <w:rsid w:val="09BB68FD"/>
    <w:rsid w:val="09BE1A52"/>
    <w:rsid w:val="09BF2D55"/>
    <w:rsid w:val="09C0632E"/>
    <w:rsid w:val="09C120A6"/>
    <w:rsid w:val="09C13E54"/>
    <w:rsid w:val="09C22B91"/>
    <w:rsid w:val="09C33728"/>
    <w:rsid w:val="09C53944"/>
    <w:rsid w:val="09C676BC"/>
    <w:rsid w:val="09C83435"/>
    <w:rsid w:val="09CA2D09"/>
    <w:rsid w:val="09CD0A4B"/>
    <w:rsid w:val="09D121EF"/>
    <w:rsid w:val="09D85D39"/>
    <w:rsid w:val="09D973F0"/>
    <w:rsid w:val="09DF68E3"/>
    <w:rsid w:val="09E35B78"/>
    <w:rsid w:val="09E60BF4"/>
    <w:rsid w:val="09E75B73"/>
    <w:rsid w:val="09EB0ED1"/>
    <w:rsid w:val="09EB65C7"/>
    <w:rsid w:val="09EF09C1"/>
    <w:rsid w:val="09F45FD8"/>
    <w:rsid w:val="09F77876"/>
    <w:rsid w:val="09FC4E8C"/>
    <w:rsid w:val="09FF584F"/>
    <w:rsid w:val="0A00497C"/>
    <w:rsid w:val="0A020553"/>
    <w:rsid w:val="0A026946"/>
    <w:rsid w:val="0A033827"/>
    <w:rsid w:val="0A03621B"/>
    <w:rsid w:val="0A051F93"/>
    <w:rsid w:val="0A075F99"/>
    <w:rsid w:val="0A083831"/>
    <w:rsid w:val="0A0A75A9"/>
    <w:rsid w:val="0A0B50CF"/>
    <w:rsid w:val="0A110938"/>
    <w:rsid w:val="0A173441"/>
    <w:rsid w:val="0A173A74"/>
    <w:rsid w:val="0A1755E4"/>
    <w:rsid w:val="0A1C108A"/>
    <w:rsid w:val="0A1E3055"/>
    <w:rsid w:val="0A2166A1"/>
    <w:rsid w:val="0A2B4743"/>
    <w:rsid w:val="0A2F7010"/>
    <w:rsid w:val="0A3208AE"/>
    <w:rsid w:val="0A342878"/>
    <w:rsid w:val="0A36214C"/>
    <w:rsid w:val="0A36582B"/>
    <w:rsid w:val="0A3665F0"/>
    <w:rsid w:val="0A392EC5"/>
    <w:rsid w:val="0A3D5178"/>
    <w:rsid w:val="0A406E9B"/>
    <w:rsid w:val="0A430D0D"/>
    <w:rsid w:val="0A4707FD"/>
    <w:rsid w:val="0A4A3E4A"/>
    <w:rsid w:val="0A4A6D32"/>
    <w:rsid w:val="0A4D1921"/>
    <w:rsid w:val="0A4F76B2"/>
    <w:rsid w:val="0A51342A"/>
    <w:rsid w:val="0A540824"/>
    <w:rsid w:val="0A56459C"/>
    <w:rsid w:val="0A595E3B"/>
    <w:rsid w:val="0A6605F5"/>
    <w:rsid w:val="0A6767AA"/>
    <w:rsid w:val="0A682522"/>
    <w:rsid w:val="0A6C2012"/>
    <w:rsid w:val="0A6D18E6"/>
    <w:rsid w:val="0A6D4FCE"/>
    <w:rsid w:val="0A6D7B38"/>
    <w:rsid w:val="0A717B4F"/>
    <w:rsid w:val="0A762E91"/>
    <w:rsid w:val="0A782765"/>
    <w:rsid w:val="0A7B71A7"/>
    <w:rsid w:val="0A7C2668"/>
    <w:rsid w:val="0A7D5FCD"/>
    <w:rsid w:val="0A8530D4"/>
    <w:rsid w:val="0A884A5E"/>
    <w:rsid w:val="0A886CD4"/>
    <w:rsid w:val="0A892BC4"/>
    <w:rsid w:val="0A8A2498"/>
    <w:rsid w:val="0A8F3F52"/>
    <w:rsid w:val="0A8F5D00"/>
    <w:rsid w:val="0A96708F"/>
    <w:rsid w:val="0A981059"/>
    <w:rsid w:val="0A9B6453"/>
    <w:rsid w:val="0A9D666F"/>
    <w:rsid w:val="0A9E7CF1"/>
    <w:rsid w:val="0AA27E70"/>
    <w:rsid w:val="0AA413E9"/>
    <w:rsid w:val="0AA51080"/>
    <w:rsid w:val="0AA6225D"/>
    <w:rsid w:val="0AA74DF8"/>
    <w:rsid w:val="0AAB0D8C"/>
    <w:rsid w:val="0AAE6186"/>
    <w:rsid w:val="0ABD286D"/>
    <w:rsid w:val="0AC110ED"/>
    <w:rsid w:val="0AC27E84"/>
    <w:rsid w:val="0AC37758"/>
    <w:rsid w:val="0ACB1F00"/>
    <w:rsid w:val="0ACB4F8A"/>
    <w:rsid w:val="0ACE1FE7"/>
    <w:rsid w:val="0ACE4A7B"/>
    <w:rsid w:val="0AD054CA"/>
    <w:rsid w:val="0AD20866"/>
    <w:rsid w:val="0AD33E3F"/>
    <w:rsid w:val="0AD630BE"/>
    <w:rsid w:val="0ADD2F10"/>
    <w:rsid w:val="0ADE5D3C"/>
    <w:rsid w:val="0AE05E0C"/>
    <w:rsid w:val="0AE12DED"/>
    <w:rsid w:val="0AE147AE"/>
    <w:rsid w:val="0AE20526"/>
    <w:rsid w:val="0AE41BA8"/>
    <w:rsid w:val="0AE60D67"/>
    <w:rsid w:val="0AE61DC4"/>
    <w:rsid w:val="0AE71698"/>
    <w:rsid w:val="0AEB5587"/>
    <w:rsid w:val="0AEC6CAF"/>
    <w:rsid w:val="0AEF054D"/>
    <w:rsid w:val="0AF049F1"/>
    <w:rsid w:val="0AF40E28"/>
    <w:rsid w:val="0AF67B2D"/>
    <w:rsid w:val="0AF949F7"/>
    <w:rsid w:val="0AFA761E"/>
    <w:rsid w:val="0AFB5144"/>
    <w:rsid w:val="0AFD710E"/>
    <w:rsid w:val="0AFF2497"/>
    <w:rsid w:val="0B01749D"/>
    <w:rsid w:val="0B022976"/>
    <w:rsid w:val="0B04049C"/>
    <w:rsid w:val="0B065FC2"/>
    <w:rsid w:val="0B0B35D9"/>
    <w:rsid w:val="0B0C7351"/>
    <w:rsid w:val="0B13248D"/>
    <w:rsid w:val="0B1D330C"/>
    <w:rsid w:val="0B1D50BA"/>
    <w:rsid w:val="0B212DFC"/>
    <w:rsid w:val="0B237943"/>
    <w:rsid w:val="0B24469B"/>
    <w:rsid w:val="0B260413"/>
    <w:rsid w:val="0B270AEA"/>
    <w:rsid w:val="0B27418B"/>
    <w:rsid w:val="0B332B30"/>
    <w:rsid w:val="0B3348DE"/>
    <w:rsid w:val="0B36617C"/>
    <w:rsid w:val="0B3A2110"/>
    <w:rsid w:val="0B3D750A"/>
    <w:rsid w:val="0B424B21"/>
    <w:rsid w:val="0B446AEB"/>
    <w:rsid w:val="0B470389"/>
    <w:rsid w:val="0B4765DB"/>
    <w:rsid w:val="0B492353"/>
    <w:rsid w:val="0B494101"/>
    <w:rsid w:val="0B5331D2"/>
    <w:rsid w:val="0B536D2E"/>
    <w:rsid w:val="0B554854"/>
    <w:rsid w:val="0B5F1B77"/>
    <w:rsid w:val="0B646908"/>
    <w:rsid w:val="0B674587"/>
    <w:rsid w:val="0B6947A3"/>
    <w:rsid w:val="0B696551"/>
    <w:rsid w:val="0B6B22C9"/>
    <w:rsid w:val="0B6E3B68"/>
    <w:rsid w:val="0B6F49AF"/>
    <w:rsid w:val="0B705C98"/>
    <w:rsid w:val="0B723658"/>
    <w:rsid w:val="0B745622"/>
    <w:rsid w:val="0B7A4555"/>
    <w:rsid w:val="0B7D02EE"/>
    <w:rsid w:val="0B8415DD"/>
    <w:rsid w:val="0B84410E"/>
    <w:rsid w:val="0B870F82"/>
    <w:rsid w:val="0B882E7B"/>
    <w:rsid w:val="0B892115"/>
    <w:rsid w:val="0B8D6901"/>
    <w:rsid w:val="0B907F82"/>
    <w:rsid w:val="0B927856"/>
    <w:rsid w:val="0B931032"/>
    <w:rsid w:val="0B971310"/>
    <w:rsid w:val="0B9730BE"/>
    <w:rsid w:val="0B974E6D"/>
    <w:rsid w:val="0B9A42FC"/>
    <w:rsid w:val="0B9A495D"/>
    <w:rsid w:val="0B9E269F"/>
    <w:rsid w:val="0B9F26A8"/>
    <w:rsid w:val="0B9F6417"/>
    <w:rsid w:val="0BA43585"/>
    <w:rsid w:val="0BA47589"/>
    <w:rsid w:val="0BA74B97"/>
    <w:rsid w:val="0BAB0918"/>
    <w:rsid w:val="0BAB6B6A"/>
    <w:rsid w:val="0BAF6137"/>
    <w:rsid w:val="0BAF70CA"/>
    <w:rsid w:val="0BB21CA6"/>
    <w:rsid w:val="0BB53545"/>
    <w:rsid w:val="0BB94E6C"/>
    <w:rsid w:val="0BC20266"/>
    <w:rsid w:val="0BC55E7E"/>
    <w:rsid w:val="0BCF5714"/>
    <w:rsid w:val="0BD0037E"/>
    <w:rsid w:val="0BD240F7"/>
    <w:rsid w:val="0BD27BF6"/>
    <w:rsid w:val="0BD31C1D"/>
    <w:rsid w:val="0BD3667B"/>
    <w:rsid w:val="0BD7170D"/>
    <w:rsid w:val="0BD7795F"/>
    <w:rsid w:val="0BD845F9"/>
    <w:rsid w:val="0BDA11FD"/>
    <w:rsid w:val="0BDC31C7"/>
    <w:rsid w:val="0BDE00E1"/>
    <w:rsid w:val="0BDE0CED"/>
    <w:rsid w:val="0BE1258C"/>
    <w:rsid w:val="0BE67BA2"/>
    <w:rsid w:val="0BE856C8"/>
    <w:rsid w:val="0BEF5C9E"/>
    <w:rsid w:val="0BF40511"/>
    <w:rsid w:val="0BF422BF"/>
    <w:rsid w:val="0BF901E0"/>
    <w:rsid w:val="0BF978D5"/>
    <w:rsid w:val="0BFA364D"/>
    <w:rsid w:val="0C000C64"/>
    <w:rsid w:val="0C0149DC"/>
    <w:rsid w:val="0C083FBC"/>
    <w:rsid w:val="0C0A1AE2"/>
    <w:rsid w:val="0C0D3381"/>
    <w:rsid w:val="0C106839"/>
    <w:rsid w:val="0C1464BD"/>
    <w:rsid w:val="0C1741FF"/>
    <w:rsid w:val="0C186B5B"/>
    <w:rsid w:val="0C1A7E06"/>
    <w:rsid w:val="0C1B3CF0"/>
    <w:rsid w:val="0C1C35C4"/>
    <w:rsid w:val="0C1E0947"/>
    <w:rsid w:val="0C1E558E"/>
    <w:rsid w:val="0C234952"/>
    <w:rsid w:val="0C2529C5"/>
    <w:rsid w:val="0C25691C"/>
    <w:rsid w:val="0C260CA9"/>
    <w:rsid w:val="0C264442"/>
    <w:rsid w:val="0C2A0A31"/>
    <w:rsid w:val="0C324046"/>
    <w:rsid w:val="0C357A56"/>
    <w:rsid w:val="0C360B29"/>
    <w:rsid w:val="0C3B7EEE"/>
    <w:rsid w:val="0C3C447E"/>
    <w:rsid w:val="0C436DA2"/>
    <w:rsid w:val="0C4A1EDF"/>
    <w:rsid w:val="0C4F3999"/>
    <w:rsid w:val="0C517711"/>
    <w:rsid w:val="0C523489"/>
    <w:rsid w:val="0C542D5E"/>
    <w:rsid w:val="0C590374"/>
    <w:rsid w:val="0C5E1E2E"/>
    <w:rsid w:val="0C637445"/>
    <w:rsid w:val="0C645AF4"/>
    <w:rsid w:val="0C665DD1"/>
    <w:rsid w:val="0C6A07D3"/>
    <w:rsid w:val="0C6A432F"/>
    <w:rsid w:val="0C6D3E1F"/>
    <w:rsid w:val="0C6E02C3"/>
    <w:rsid w:val="0C6F1945"/>
    <w:rsid w:val="0C711B61"/>
    <w:rsid w:val="0C721436"/>
    <w:rsid w:val="0C743400"/>
    <w:rsid w:val="0C7D22B4"/>
    <w:rsid w:val="0C7E65A6"/>
    <w:rsid w:val="0C803B53"/>
    <w:rsid w:val="0C840865"/>
    <w:rsid w:val="0C8A2C23"/>
    <w:rsid w:val="0C8A49D1"/>
    <w:rsid w:val="0C8C24F7"/>
    <w:rsid w:val="0C8D28DB"/>
    <w:rsid w:val="0C8D626F"/>
    <w:rsid w:val="0C8F3D96"/>
    <w:rsid w:val="0C915D60"/>
    <w:rsid w:val="0C9615C8"/>
    <w:rsid w:val="0C9910B8"/>
    <w:rsid w:val="0C9E00D7"/>
    <w:rsid w:val="0C9E02D7"/>
    <w:rsid w:val="0CA21D12"/>
    <w:rsid w:val="0CA35A93"/>
    <w:rsid w:val="0CA43CE5"/>
    <w:rsid w:val="0CA44632"/>
    <w:rsid w:val="0CA830A9"/>
    <w:rsid w:val="0CA84E57"/>
    <w:rsid w:val="0CAA6E21"/>
    <w:rsid w:val="0CAF0D06"/>
    <w:rsid w:val="0CAF268A"/>
    <w:rsid w:val="0CB11F59"/>
    <w:rsid w:val="0CB16C35"/>
    <w:rsid w:val="0CB33F28"/>
    <w:rsid w:val="0CB4672C"/>
    <w:rsid w:val="0CB67574"/>
    <w:rsid w:val="0CBB102F"/>
    <w:rsid w:val="0CBB4B8B"/>
    <w:rsid w:val="0CC31C91"/>
    <w:rsid w:val="0CCC6D98"/>
    <w:rsid w:val="0CD44389"/>
    <w:rsid w:val="0CD625E4"/>
    <w:rsid w:val="0CD93263"/>
    <w:rsid w:val="0CDA2FAD"/>
    <w:rsid w:val="0CDB1EA2"/>
    <w:rsid w:val="0CDD2D53"/>
    <w:rsid w:val="0CDD48B1"/>
    <w:rsid w:val="0CDE69C5"/>
    <w:rsid w:val="0CE642FD"/>
    <w:rsid w:val="0CE73BD2"/>
    <w:rsid w:val="0CEA5470"/>
    <w:rsid w:val="0CEB1914"/>
    <w:rsid w:val="0CEC2F96"/>
    <w:rsid w:val="0CEE6D0E"/>
    <w:rsid w:val="0CEF2A86"/>
    <w:rsid w:val="0CFB142B"/>
    <w:rsid w:val="0CFB58CF"/>
    <w:rsid w:val="0CFD33F5"/>
    <w:rsid w:val="0CFE20FE"/>
    <w:rsid w:val="0CFF716D"/>
    <w:rsid w:val="0D002EE5"/>
    <w:rsid w:val="0D026C5D"/>
    <w:rsid w:val="0D0504FC"/>
    <w:rsid w:val="0D081CA7"/>
    <w:rsid w:val="0D091D9A"/>
    <w:rsid w:val="0D0A78C0"/>
    <w:rsid w:val="0D0C188A"/>
    <w:rsid w:val="0D0C2411"/>
    <w:rsid w:val="0D0D0C68"/>
    <w:rsid w:val="0D0D3E42"/>
    <w:rsid w:val="0D0E73B0"/>
    <w:rsid w:val="0D0F4ED6"/>
    <w:rsid w:val="0D1150F2"/>
    <w:rsid w:val="0D1349C7"/>
    <w:rsid w:val="0D136775"/>
    <w:rsid w:val="0D1A101C"/>
    <w:rsid w:val="0D1C7D1F"/>
    <w:rsid w:val="0D1F336B"/>
    <w:rsid w:val="0D2546FA"/>
    <w:rsid w:val="0D2766C4"/>
    <w:rsid w:val="0D293F6C"/>
    <w:rsid w:val="0D2A3ABE"/>
    <w:rsid w:val="0D2C3CDA"/>
    <w:rsid w:val="0D314E4D"/>
    <w:rsid w:val="0D336E17"/>
    <w:rsid w:val="0D34161D"/>
    <w:rsid w:val="0D352B8F"/>
    <w:rsid w:val="0D374B59"/>
    <w:rsid w:val="0D3859A2"/>
    <w:rsid w:val="0D3C254C"/>
    <w:rsid w:val="0D3D37F2"/>
    <w:rsid w:val="0D3F57BC"/>
    <w:rsid w:val="0D402C68"/>
    <w:rsid w:val="0D4076B0"/>
    <w:rsid w:val="0D411050"/>
    <w:rsid w:val="0D4252AC"/>
    <w:rsid w:val="0D4903E8"/>
    <w:rsid w:val="0D4A1E5A"/>
    <w:rsid w:val="0D4C1C87"/>
    <w:rsid w:val="0D547E2C"/>
    <w:rsid w:val="0D554FDF"/>
    <w:rsid w:val="0D55637F"/>
    <w:rsid w:val="0D6214AA"/>
    <w:rsid w:val="0D646FD0"/>
    <w:rsid w:val="0D676AC1"/>
    <w:rsid w:val="0D693944"/>
    <w:rsid w:val="0D6E60A1"/>
    <w:rsid w:val="0D7116ED"/>
    <w:rsid w:val="0D725B91"/>
    <w:rsid w:val="0D73168E"/>
    <w:rsid w:val="0D7336B7"/>
    <w:rsid w:val="0D735465"/>
    <w:rsid w:val="0D7C3B01"/>
    <w:rsid w:val="0D814026"/>
    <w:rsid w:val="0D892919"/>
    <w:rsid w:val="0D892EDB"/>
    <w:rsid w:val="0D8A4FC9"/>
    <w:rsid w:val="0D927FE1"/>
    <w:rsid w:val="0D93340D"/>
    <w:rsid w:val="0D951880"/>
    <w:rsid w:val="0D961154"/>
    <w:rsid w:val="0D9773A6"/>
    <w:rsid w:val="0D98513A"/>
    <w:rsid w:val="0D9A50E8"/>
    <w:rsid w:val="0D9C49BC"/>
    <w:rsid w:val="0DA05C1B"/>
    <w:rsid w:val="0DA10224"/>
    <w:rsid w:val="0DAE2941"/>
    <w:rsid w:val="0DAE4FDC"/>
    <w:rsid w:val="0DAF383E"/>
    <w:rsid w:val="0DB42355"/>
    <w:rsid w:val="0DB51118"/>
    <w:rsid w:val="0DBA3094"/>
    <w:rsid w:val="0DBD4932"/>
    <w:rsid w:val="0DC108C7"/>
    <w:rsid w:val="0DC12675"/>
    <w:rsid w:val="0DC14423"/>
    <w:rsid w:val="0DC45CC1"/>
    <w:rsid w:val="0DC53105"/>
    <w:rsid w:val="0DC87621"/>
    <w:rsid w:val="0DC932D7"/>
    <w:rsid w:val="0DC9777B"/>
    <w:rsid w:val="0DCB52A1"/>
    <w:rsid w:val="0DCD445C"/>
    <w:rsid w:val="0DD028B8"/>
    <w:rsid w:val="0DD03EED"/>
    <w:rsid w:val="0DD34156"/>
    <w:rsid w:val="0DD73C46"/>
    <w:rsid w:val="0DD90AD6"/>
    <w:rsid w:val="0DDC057E"/>
    <w:rsid w:val="0DDD273B"/>
    <w:rsid w:val="0DDE4FD5"/>
    <w:rsid w:val="0DE22CAF"/>
    <w:rsid w:val="0DEE2D3E"/>
    <w:rsid w:val="0DEF2DBD"/>
    <w:rsid w:val="0DF06AB6"/>
    <w:rsid w:val="0DF465A6"/>
    <w:rsid w:val="0DF50570"/>
    <w:rsid w:val="0DFC18FF"/>
    <w:rsid w:val="0DFC545B"/>
    <w:rsid w:val="0DFC5D03"/>
    <w:rsid w:val="0DFD060A"/>
    <w:rsid w:val="0DFD5C6B"/>
    <w:rsid w:val="0E097B78"/>
    <w:rsid w:val="0E0B5706"/>
    <w:rsid w:val="0E0D7668"/>
    <w:rsid w:val="0E0F1632"/>
    <w:rsid w:val="0E110D06"/>
    <w:rsid w:val="0E122ED0"/>
    <w:rsid w:val="0E1A3B33"/>
    <w:rsid w:val="0E1C78AB"/>
    <w:rsid w:val="0E1E7AC7"/>
    <w:rsid w:val="0E214EC1"/>
    <w:rsid w:val="0E2844A2"/>
    <w:rsid w:val="0E2873B4"/>
    <w:rsid w:val="0E301273"/>
    <w:rsid w:val="0E303356"/>
    <w:rsid w:val="0E320723"/>
    <w:rsid w:val="0E364E11"/>
    <w:rsid w:val="0E3746E5"/>
    <w:rsid w:val="0E3A0F99"/>
    <w:rsid w:val="0E3A5F83"/>
    <w:rsid w:val="0E3A6219"/>
    <w:rsid w:val="0E3B2427"/>
    <w:rsid w:val="0E3E5A73"/>
    <w:rsid w:val="0E3F0DAA"/>
    <w:rsid w:val="0E4137B5"/>
    <w:rsid w:val="0E424B5A"/>
    <w:rsid w:val="0E4376A8"/>
    <w:rsid w:val="0E4532A6"/>
    <w:rsid w:val="0E460DCC"/>
    <w:rsid w:val="0E464928"/>
    <w:rsid w:val="0E4F1A2E"/>
    <w:rsid w:val="0E527771"/>
    <w:rsid w:val="0E56100F"/>
    <w:rsid w:val="0E564460"/>
    <w:rsid w:val="0E574D87"/>
    <w:rsid w:val="0E5C05EF"/>
    <w:rsid w:val="0E5E67B9"/>
    <w:rsid w:val="0E602CB4"/>
    <w:rsid w:val="0E6574A4"/>
    <w:rsid w:val="0E680D42"/>
    <w:rsid w:val="0E6F3E7F"/>
    <w:rsid w:val="0E7019A5"/>
    <w:rsid w:val="0E715E49"/>
    <w:rsid w:val="0E72510F"/>
    <w:rsid w:val="0E72571D"/>
    <w:rsid w:val="0E790B75"/>
    <w:rsid w:val="0E7C659C"/>
    <w:rsid w:val="0E802CFD"/>
    <w:rsid w:val="0E821FED"/>
    <w:rsid w:val="0E8518F4"/>
    <w:rsid w:val="0E884F40"/>
    <w:rsid w:val="0E897BE7"/>
    <w:rsid w:val="0E8B1BAC"/>
    <w:rsid w:val="0E8D6396"/>
    <w:rsid w:val="0E8F4521"/>
    <w:rsid w:val="0E905A81"/>
    <w:rsid w:val="0E912047"/>
    <w:rsid w:val="0E927B6D"/>
    <w:rsid w:val="0E941B37"/>
    <w:rsid w:val="0E9438E5"/>
    <w:rsid w:val="0E9D17C6"/>
    <w:rsid w:val="0E9E29B6"/>
    <w:rsid w:val="0EA004DC"/>
    <w:rsid w:val="0EA0672E"/>
    <w:rsid w:val="0EA37FCC"/>
    <w:rsid w:val="0EA87391"/>
    <w:rsid w:val="0EAD7B7A"/>
    <w:rsid w:val="0EB36461"/>
    <w:rsid w:val="0EB775D4"/>
    <w:rsid w:val="0EB9159E"/>
    <w:rsid w:val="0EC85224"/>
    <w:rsid w:val="0ECB1C73"/>
    <w:rsid w:val="0ECC12D1"/>
    <w:rsid w:val="0ED14B39"/>
    <w:rsid w:val="0ED308B1"/>
    <w:rsid w:val="0ED32557"/>
    <w:rsid w:val="0ED35FFD"/>
    <w:rsid w:val="0EDB7766"/>
    <w:rsid w:val="0EE303C9"/>
    <w:rsid w:val="0EE526EA"/>
    <w:rsid w:val="0EE7120F"/>
    <w:rsid w:val="0EE851DC"/>
    <w:rsid w:val="0EE859DF"/>
    <w:rsid w:val="0EF600FC"/>
    <w:rsid w:val="0EF80318"/>
    <w:rsid w:val="0EF80E8F"/>
    <w:rsid w:val="0EF83E74"/>
    <w:rsid w:val="0EFA6181"/>
    <w:rsid w:val="0EFC21E2"/>
    <w:rsid w:val="0F0008B2"/>
    <w:rsid w:val="0F0207CC"/>
    <w:rsid w:val="0F024CF3"/>
    <w:rsid w:val="0F046CBD"/>
    <w:rsid w:val="0F0547E3"/>
    <w:rsid w:val="0F0C3167"/>
    <w:rsid w:val="0F0C791F"/>
    <w:rsid w:val="0F0D1A26"/>
    <w:rsid w:val="0F0E5156"/>
    <w:rsid w:val="0F111837"/>
    <w:rsid w:val="0F13775A"/>
    <w:rsid w:val="0F1637A4"/>
    <w:rsid w:val="0F19203C"/>
    <w:rsid w:val="0F1A028E"/>
    <w:rsid w:val="0F1F58A5"/>
    <w:rsid w:val="0F205C7F"/>
    <w:rsid w:val="0F2904D1"/>
    <w:rsid w:val="0F2E09A0"/>
    <w:rsid w:val="0F2F1860"/>
    <w:rsid w:val="0F317386"/>
    <w:rsid w:val="0F346E76"/>
    <w:rsid w:val="0F3B1FB3"/>
    <w:rsid w:val="0F3C025F"/>
    <w:rsid w:val="0F3F1AA3"/>
    <w:rsid w:val="0F3F5FF6"/>
    <w:rsid w:val="0F3F7CF5"/>
    <w:rsid w:val="0F4061F8"/>
    <w:rsid w:val="0F4075C9"/>
    <w:rsid w:val="0F421593"/>
    <w:rsid w:val="0F4277E5"/>
    <w:rsid w:val="0F450C44"/>
    <w:rsid w:val="0F452E31"/>
    <w:rsid w:val="0F492922"/>
    <w:rsid w:val="0F4B669A"/>
    <w:rsid w:val="0F4C6A04"/>
    <w:rsid w:val="0F522A6F"/>
    <w:rsid w:val="0F5337A0"/>
    <w:rsid w:val="0F5544F1"/>
    <w:rsid w:val="0F580DB7"/>
    <w:rsid w:val="0F5C08A7"/>
    <w:rsid w:val="0F5F4446"/>
    <w:rsid w:val="0F6634D4"/>
    <w:rsid w:val="0F676B13"/>
    <w:rsid w:val="0F6A2898"/>
    <w:rsid w:val="0F6C03BE"/>
    <w:rsid w:val="0F6F3994"/>
    <w:rsid w:val="0F7200CA"/>
    <w:rsid w:val="0F721827"/>
    <w:rsid w:val="0F786D63"/>
    <w:rsid w:val="0F7D25CB"/>
    <w:rsid w:val="0F81030D"/>
    <w:rsid w:val="0F847DFE"/>
    <w:rsid w:val="0F87169C"/>
    <w:rsid w:val="0F8B4CE8"/>
    <w:rsid w:val="0F932BA2"/>
    <w:rsid w:val="0F957915"/>
    <w:rsid w:val="0F96368D"/>
    <w:rsid w:val="0F9928EF"/>
    <w:rsid w:val="0F9A050E"/>
    <w:rsid w:val="0F9A112B"/>
    <w:rsid w:val="0F9A317D"/>
    <w:rsid w:val="0F9F2542"/>
    <w:rsid w:val="0FA07BF0"/>
    <w:rsid w:val="0FA1275E"/>
    <w:rsid w:val="0FA45387"/>
    <w:rsid w:val="0FA60454"/>
    <w:rsid w:val="0FA933C0"/>
    <w:rsid w:val="0FAC77C9"/>
    <w:rsid w:val="0FAE09D7"/>
    <w:rsid w:val="0FAF4135"/>
    <w:rsid w:val="0FB01208"/>
    <w:rsid w:val="0FB35FED"/>
    <w:rsid w:val="0FB56209"/>
    <w:rsid w:val="0FB57FB7"/>
    <w:rsid w:val="0FBD6E6C"/>
    <w:rsid w:val="0FC54AD9"/>
    <w:rsid w:val="0FCE72CB"/>
    <w:rsid w:val="0FD0094D"/>
    <w:rsid w:val="0FD04DF1"/>
    <w:rsid w:val="0FD22917"/>
    <w:rsid w:val="0FDA3DE2"/>
    <w:rsid w:val="0FDB00FD"/>
    <w:rsid w:val="0FE12B5A"/>
    <w:rsid w:val="0FE268D2"/>
    <w:rsid w:val="0FE67D3D"/>
    <w:rsid w:val="0FE8038D"/>
    <w:rsid w:val="0FED7687"/>
    <w:rsid w:val="0FF1044E"/>
    <w:rsid w:val="0FF46D31"/>
    <w:rsid w:val="0FF52AA9"/>
    <w:rsid w:val="0FF7237E"/>
    <w:rsid w:val="10017FB3"/>
    <w:rsid w:val="10042CED"/>
    <w:rsid w:val="10062C91"/>
    <w:rsid w:val="100827DD"/>
    <w:rsid w:val="1008458B"/>
    <w:rsid w:val="10086339"/>
    <w:rsid w:val="100910F7"/>
    <w:rsid w:val="100920B1"/>
    <w:rsid w:val="100A06B6"/>
    <w:rsid w:val="100D1BA1"/>
    <w:rsid w:val="100E445D"/>
    <w:rsid w:val="100F3B6B"/>
    <w:rsid w:val="10101691"/>
    <w:rsid w:val="101051ED"/>
    <w:rsid w:val="10150A56"/>
    <w:rsid w:val="10172A20"/>
    <w:rsid w:val="10173FAB"/>
    <w:rsid w:val="101747CE"/>
    <w:rsid w:val="101A606C"/>
    <w:rsid w:val="101D790A"/>
    <w:rsid w:val="10202516"/>
    <w:rsid w:val="10251AC8"/>
    <w:rsid w:val="1025513D"/>
    <w:rsid w:val="10294501"/>
    <w:rsid w:val="102B0279"/>
    <w:rsid w:val="102D5D9F"/>
    <w:rsid w:val="102E38C6"/>
    <w:rsid w:val="10305890"/>
    <w:rsid w:val="103274FC"/>
    <w:rsid w:val="103435D2"/>
    <w:rsid w:val="103449ED"/>
    <w:rsid w:val="10345380"/>
    <w:rsid w:val="1034712E"/>
    <w:rsid w:val="10360127"/>
    <w:rsid w:val="1037079D"/>
    <w:rsid w:val="10390BE8"/>
    <w:rsid w:val="103A226A"/>
    <w:rsid w:val="103A58B2"/>
    <w:rsid w:val="10430481"/>
    <w:rsid w:val="104355C3"/>
    <w:rsid w:val="104906FF"/>
    <w:rsid w:val="104B17E4"/>
    <w:rsid w:val="10507CE0"/>
    <w:rsid w:val="10525131"/>
    <w:rsid w:val="10532F3B"/>
    <w:rsid w:val="10564717"/>
    <w:rsid w:val="105968CE"/>
    <w:rsid w:val="105A46BB"/>
    <w:rsid w:val="10645539"/>
    <w:rsid w:val="1066305F"/>
    <w:rsid w:val="106B68C8"/>
    <w:rsid w:val="106D2F64"/>
    <w:rsid w:val="10720430"/>
    <w:rsid w:val="1074577C"/>
    <w:rsid w:val="107460DE"/>
    <w:rsid w:val="10771710"/>
    <w:rsid w:val="10790FE5"/>
    <w:rsid w:val="107B1C4A"/>
    <w:rsid w:val="107C6D27"/>
    <w:rsid w:val="107E2A9F"/>
    <w:rsid w:val="10811A50"/>
    <w:rsid w:val="10831E63"/>
    <w:rsid w:val="10856F1B"/>
    <w:rsid w:val="10864295"/>
    <w:rsid w:val="108B0D18"/>
    <w:rsid w:val="108F6861"/>
    <w:rsid w:val="108F6A88"/>
    <w:rsid w:val="10901D27"/>
    <w:rsid w:val="10944070"/>
    <w:rsid w:val="10965A6F"/>
    <w:rsid w:val="1097590F"/>
    <w:rsid w:val="10991559"/>
    <w:rsid w:val="109C5456"/>
    <w:rsid w:val="10A02A15"/>
    <w:rsid w:val="10A32505"/>
    <w:rsid w:val="10A5002C"/>
    <w:rsid w:val="10A832F4"/>
    <w:rsid w:val="10A83678"/>
    <w:rsid w:val="10AD1AC6"/>
    <w:rsid w:val="10AF1D60"/>
    <w:rsid w:val="10B05EDD"/>
    <w:rsid w:val="10B4201D"/>
    <w:rsid w:val="10B440D2"/>
    <w:rsid w:val="10B63710"/>
    <w:rsid w:val="10B65D95"/>
    <w:rsid w:val="10B93AD7"/>
    <w:rsid w:val="10BA1AAE"/>
    <w:rsid w:val="10BB33AB"/>
    <w:rsid w:val="10BC5375"/>
    <w:rsid w:val="10BD05B2"/>
    <w:rsid w:val="10BD736F"/>
    <w:rsid w:val="10BE733F"/>
    <w:rsid w:val="10C50985"/>
    <w:rsid w:val="10C77FA2"/>
    <w:rsid w:val="10CA5CE4"/>
    <w:rsid w:val="10CA7A92"/>
    <w:rsid w:val="10CD30DE"/>
    <w:rsid w:val="10CF355A"/>
    <w:rsid w:val="10D66437"/>
    <w:rsid w:val="10D7072D"/>
    <w:rsid w:val="10D8227B"/>
    <w:rsid w:val="10D95F27"/>
    <w:rsid w:val="10D97CD5"/>
    <w:rsid w:val="10E01064"/>
    <w:rsid w:val="10E072B6"/>
    <w:rsid w:val="10E36DA6"/>
    <w:rsid w:val="10E45ED0"/>
    <w:rsid w:val="10E675D1"/>
    <w:rsid w:val="10E70644"/>
    <w:rsid w:val="10EA1EE2"/>
    <w:rsid w:val="10EA24F1"/>
    <w:rsid w:val="10EA5A3E"/>
    <w:rsid w:val="10ED3781"/>
    <w:rsid w:val="10F44B0F"/>
    <w:rsid w:val="10F7015B"/>
    <w:rsid w:val="10F863AD"/>
    <w:rsid w:val="10F90377"/>
    <w:rsid w:val="10FA47CF"/>
    <w:rsid w:val="10FB33EF"/>
    <w:rsid w:val="10FB5E9E"/>
    <w:rsid w:val="10FC5772"/>
    <w:rsid w:val="10FE598E"/>
    <w:rsid w:val="10FF6CE8"/>
    <w:rsid w:val="11005262"/>
    <w:rsid w:val="11056D1C"/>
    <w:rsid w:val="110C7E5C"/>
    <w:rsid w:val="110F1949"/>
    <w:rsid w:val="11143B39"/>
    <w:rsid w:val="111451B1"/>
    <w:rsid w:val="111C2F7A"/>
    <w:rsid w:val="11205904"/>
    <w:rsid w:val="1122342A"/>
    <w:rsid w:val="1125116C"/>
    <w:rsid w:val="112847B9"/>
    <w:rsid w:val="112B0DC3"/>
    <w:rsid w:val="112C24FB"/>
    <w:rsid w:val="112C6057"/>
    <w:rsid w:val="112E1DCF"/>
    <w:rsid w:val="112E7589"/>
    <w:rsid w:val="112F3D99"/>
    <w:rsid w:val="113013DE"/>
    <w:rsid w:val="113118BF"/>
    <w:rsid w:val="113D185A"/>
    <w:rsid w:val="11447845"/>
    <w:rsid w:val="11452008"/>
    <w:rsid w:val="114803D5"/>
    <w:rsid w:val="114C494B"/>
    <w:rsid w:val="114E421F"/>
    <w:rsid w:val="11507CD0"/>
    <w:rsid w:val="11531CE4"/>
    <w:rsid w:val="11535CDA"/>
    <w:rsid w:val="11567578"/>
    <w:rsid w:val="115770D7"/>
    <w:rsid w:val="1157762A"/>
    <w:rsid w:val="115832F0"/>
    <w:rsid w:val="115929AD"/>
    <w:rsid w:val="115B4DE3"/>
    <w:rsid w:val="116021A5"/>
    <w:rsid w:val="11636203"/>
    <w:rsid w:val="116577BB"/>
    <w:rsid w:val="11660972"/>
    <w:rsid w:val="116A6B7F"/>
    <w:rsid w:val="116C0ACD"/>
    <w:rsid w:val="116E48C1"/>
    <w:rsid w:val="11716160"/>
    <w:rsid w:val="11717F0E"/>
    <w:rsid w:val="11717F10"/>
    <w:rsid w:val="117618C6"/>
    <w:rsid w:val="1178129C"/>
    <w:rsid w:val="1178430B"/>
    <w:rsid w:val="11785740"/>
    <w:rsid w:val="117A5014"/>
    <w:rsid w:val="117D68B3"/>
    <w:rsid w:val="117E185E"/>
    <w:rsid w:val="117F6ACF"/>
    <w:rsid w:val="11800151"/>
    <w:rsid w:val="11811732"/>
    <w:rsid w:val="11845E93"/>
    <w:rsid w:val="1185547F"/>
    <w:rsid w:val="118714DF"/>
    <w:rsid w:val="11874169"/>
    <w:rsid w:val="11877731"/>
    <w:rsid w:val="118C4D48"/>
    <w:rsid w:val="118E0AC0"/>
    <w:rsid w:val="118E6531"/>
    <w:rsid w:val="118F0A79"/>
    <w:rsid w:val="11902A8A"/>
    <w:rsid w:val="119360D6"/>
    <w:rsid w:val="119C5AA8"/>
    <w:rsid w:val="119F2CCD"/>
    <w:rsid w:val="11A05CA3"/>
    <w:rsid w:val="11A16A45"/>
    <w:rsid w:val="11B04EDA"/>
    <w:rsid w:val="11B12A00"/>
    <w:rsid w:val="11B232FE"/>
    <w:rsid w:val="11BF6AA0"/>
    <w:rsid w:val="11C269BB"/>
    <w:rsid w:val="11C42733"/>
    <w:rsid w:val="11C52FC0"/>
    <w:rsid w:val="11C54C7E"/>
    <w:rsid w:val="11C73FD2"/>
    <w:rsid w:val="11C75D80"/>
    <w:rsid w:val="11CC15E8"/>
    <w:rsid w:val="11CE752D"/>
    <w:rsid w:val="11D02E86"/>
    <w:rsid w:val="11D0732A"/>
    <w:rsid w:val="11D16103"/>
    <w:rsid w:val="11E21E3A"/>
    <w:rsid w:val="11E42DD6"/>
    <w:rsid w:val="11E64458"/>
    <w:rsid w:val="11ED1C8A"/>
    <w:rsid w:val="11ED5CE9"/>
    <w:rsid w:val="11EE77B0"/>
    <w:rsid w:val="11F0177A"/>
    <w:rsid w:val="11F4424F"/>
    <w:rsid w:val="11F72B09"/>
    <w:rsid w:val="11F76665"/>
    <w:rsid w:val="11FC1ECD"/>
    <w:rsid w:val="11FF376C"/>
    <w:rsid w:val="12011A37"/>
    <w:rsid w:val="12042B30"/>
    <w:rsid w:val="12072620"/>
    <w:rsid w:val="12077AB4"/>
    <w:rsid w:val="120B0362"/>
    <w:rsid w:val="120B2C02"/>
    <w:rsid w:val="120D5E88"/>
    <w:rsid w:val="12102A91"/>
    <w:rsid w:val="121340A3"/>
    <w:rsid w:val="12152F8F"/>
    <w:rsid w:val="121865DB"/>
    <w:rsid w:val="121A67F7"/>
    <w:rsid w:val="121C431D"/>
    <w:rsid w:val="121E62E8"/>
    <w:rsid w:val="121F796A"/>
    <w:rsid w:val="12207CD8"/>
    <w:rsid w:val="122B06C2"/>
    <w:rsid w:val="122D01D0"/>
    <w:rsid w:val="122D7F4C"/>
    <w:rsid w:val="122E4051"/>
    <w:rsid w:val="122E5DFF"/>
    <w:rsid w:val="12327017"/>
    <w:rsid w:val="1232769D"/>
    <w:rsid w:val="12380A00"/>
    <w:rsid w:val="12380A2C"/>
    <w:rsid w:val="12386C7D"/>
    <w:rsid w:val="12394ECF"/>
    <w:rsid w:val="123F1FF0"/>
    <w:rsid w:val="123F264B"/>
    <w:rsid w:val="1240313D"/>
    <w:rsid w:val="12435D4E"/>
    <w:rsid w:val="12445622"/>
    <w:rsid w:val="12477073"/>
    <w:rsid w:val="124B4C03"/>
    <w:rsid w:val="124D2729"/>
    <w:rsid w:val="12555A81"/>
    <w:rsid w:val="12575478"/>
    <w:rsid w:val="12597320"/>
    <w:rsid w:val="125A7AA6"/>
    <w:rsid w:val="125D0492"/>
    <w:rsid w:val="125D34BF"/>
    <w:rsid w:val="12617F82"/>
    <w:rsid w:val="12633CFA"/>
    <w:rsid w:val="12635AA8"/>
    <w:rsid w:val="12661A3D"/>
    <w:rsid w:val="12681311"/>
    <w:rsid w:val="126A321F"/>
    <w:rsid w:val="126D2DCB"/>
    <w:rsid w:val="126E269F"/>
    <w:rsid w:val="126F08F1"/>
    <w:rsid w:val="12744159"/>
    <w:rsid w:val="12767ED2"/>
    <w:rsid w:val="12771554"/>
    <w:rsid w:val="12791770"/>
    <w:rsid w:val="127B49BD"/>
    <w:rsid w:val="127E3E8A"/>
    <w:rsid w:val="12802AFE"/>
    <w:rsid w:val="12810624"/>
    <w:rsid w:val="12844F29"/>
    <w:rsid w:val="12865C3B"/>
    <w:rsid w:val="128679E9"/>
    <w:rsid w:val="1289734F"/>
    <w:rsid w:val="128B3251"/>
    <w:rsid w:val="128D0D77"/>
    <w:rsid w:val="128D521B"/>
    <w:rsid w:val="128F05CC"/>
    <w:rsid w:val="128F2D41"/>
    <w:rsid w:val="128F634E"/>
    <w:rsid w:val="12900868"/>
    <w:rsid w:val="12955E7E"/>
    <w:rsid w:val="12974ADF"/>
    <w:rsid w:val="129E4D32"/>
    <w:rsid w:val="129F0AAB"/>
    <w:rsid w:val="129F5B09"/>
    <w:rsid w:val="12A143E4"/>
    <w:rsid w:val="12A14823"/>
    <w:rsid w:val="12A604AE"/>
    <w:rsid w:val="12AB56A1"/>
    <w:rsid w:val="12AB744F"/>
    <w:rsid w:val="12B5308E"/>
    <w:rsid w:val="12B67DB7"/>
    <w:rsid w:val="12B96010"/>
    <w:rsid w:val="12BA4BDF"/>
    <w:rsid w:val="12BE3627"/>
    <w:rsid w:val="12C05E31"/>
    <w:rsid w:val="12C30C3D"/>
    <w:rsid w:val="12C30D5F"/>
    <w:rsid w:val="12C86F91"/>
    <w:rsid w:val="12CA3D79"/>
    <w:rsid w:val="12CB49B0"/>
    <w:rsid w:val="12D1335A"/>
    <w:rsid w:val="12D138EB"/>
    <w:rsid w:val="12D143CF"/>
    <w:rsid w:val="12D40754"/>
    <w:rsid w:val="12D44BF8"/>
    <w:rsid w:val="12DB7D35"/>
    <w:rsid w:val="12DC179C"/>
    <w:rsid w:val="12DD1CFF"/>
    <w:rsid w:val="12DE519C"/>
    <w:rsid w:val="12E110C3"/>
    <w:rsid w:val="12E144B4"/>
    <w:rsid w:val="12E267A6"/>
    <w:rsid w:val="12E7492B"/>
    <w:rsid w:val="12EA441C"/>
    <w:rsid w:val="12EA61CA"/>
    <w:rsid w:val="12EB3CF0"/>
    <w:rsid w:val="12EE06F0"/>
    <w:rsid w:val="12EF558E"/>
    <w:rsid w:val="12F17558"/>
    <w:rsid w:val="12F2507E"/>
    <w:rsid w:val="12F36DB2"/>
    <w:rsid w:val="12F63DBA"/>
    <w:rsid w:val="12F6691D"/>
    <w:rsid w:val="130354DD"/>
    <w:rsid w:val="13061470"/>
    <w:rsid w:val="130628D8"/>
    <w:rsid w:val="13071CE4"/>
    <w:rsid w:val="13076D7C"/>
    <w:rsid w:val="13094A05"/>
    <w:rsid w:val="130A23C8"/>
    <w:rsid w:val="130C4392"/>
    <w:rsid w:val="130C5FE0"/>
    <w:rsid w:val="130F79DE"/>
    <w:rsid w:val="131119A8"/>
    <w:rsid w:val="13113756"/>
    <w:rsid w:val="13141499"/>
    <w:rsid w:val="13144FF5"/>
    <w:rsid w:val="13171F28"/>
    <w:rsid w:val="13182D37"/>
    <w:rsid w:val="131836D1"/>
    <w:rsid w:val="1319260B"/>
    <w:rsid w:val="13194BDF"/>
    <w:rsid w:val="13196AAF"/>
    <w:rsid w:val="131C5101"/>
    <w:rsid w:val="131C5215"/>
    <w:rsid w:val="131E40C5"/>
    <w:rsid w:val="131E6CD1"/>
    <w:rsid w:val="13201BEB"/>
    <w:rsid w:val="13235F61"/>
    <w:rsid w:val="1324792E"/>
    <w:rsid w:val="13272F7A"/>
    <w:rsid w:val="132A4818"/>
    <w:rsid w:val="132F0080"/>
    <w:rsid w:val="132F1E2E"/>
    <w:rsid w:val="13313DF9"/>
    <w:rsid w:val="13373653"/>
    <w:rsid w:val="133B07D3"/>
    <w:rsid w:val="133D3E1D"/>
    <w:rsid w:val="133E6515"/>
    <w:rsid w:val="13405DEA"/>
    <w:rsid w:val="13460082"/>
    <w:rsid w:val="134641E4"/>
    <w:rsid w:val="13495C7E"/>
    <w:rsid w:val="13541895"/>
    <w:rsid w:val="13585D28"/>
    <w:rsid w:val="135F0966"/>
    <w:rsid w:val="13620456"/>
    <w:rsid w:val="13637D2A"/>
    <w:rsid w:val="13685340"/>
    <w:rsid w:val="136D537D"/>
    <w:rsid w:val="136F06A1"/>
    <w:rsid w:val="136F4921"/>
    <w:rsid w:val="13702B73"/>
    <w:rsid w:val="13710699"/>
    <w:rsid w:val="13722A67"/>
    <w:rsid w:val="137361BF"/>
    <w:rsid w:val="13743CE5"/>
    <w:rsid w:val="13743DC0"/>
    <w:rsid w:val="1377358E"/>
    <w:rsid w:val="137B0136"/>
    <w:rsid w:val="137B32C6"/>
    <w:rsid w:val="137B5074"/>
    <w:rsid w:val="137D34C8"/>
    <w:rsid w:val="138008DC"/>
    <w:rsid w:val="13830929"/>
    <w:rsid w:val="1384217A"/>
    <w:rsid w:val="13854144"/>
    <w:rsid w:val="13871C6A"/>
    <w:rsid w:val="138C102F"/>
    <w:rsid w:val="138C54D3"/>
    <w:rsid w:val="139254CE"/>
    <w:rsid w:val="13936861"/>
    <w:rsid w:val="13951726"/>
    <w:rsid w:val="1397700B"/>
    <w:rsid w:val="13992F0A"/>
    <w:rsid w:val="139B5716"/>
    <w:rsid w:val="139D0151"/>
    <w:rsid w:val="139D148E"/>
    <w:rsid w:val="13A26AA4"/>
    <w:rsid w:val="13A4281C"/>
    <w:rsid w:val="13A75E69"/>
    <w:rsid w:val="13A97E33"/>
    <w:rsid w:val="13B14F39"/>
    <w:rsid w:val="13B660AC"/>
    <w:rsid w:val="13B81E24"/>
    <w:rsid w:val="13BA0895"/>
    <w:rsid w:val="13BA3DEE"/>
    <w:rsid w:val="13BB7AE9"/>
    <w:rsid w:val="13BD38DE"/>
    <w:rsid w:val="13BF7656"/>
    <w:rsid w:val="13C06F2A"/>
    <w:rsid w:val="13C13857"/>
    <w:rsid w:val="13C1400A"/>
    <w:rsid w:val="13C277AD"/>
    <w:rsid w:val="13C30AFC"/>
    <w:rsid w:val="13C702B9"/>
    <w:rsid w:val="13CD1DFA"/>
    <w:rsid w:val="13CE4568"/>
    <w:rsid w:val="13CE7DBD"/>
    <w:rsid w:val="13D36C5E"/>
    <w:rsid w:val="13D93620"/>
    <w:rsid w:val="13E175CD"/>
    <w:rsid w:val="13E250F3"/>
    <w:rsid w:val="13E61511"/>
    <w:rsid w:val="13E72709"/>
    <w:rsid w:val="13E76BAD"/>
    <w:rsid w:val="13ED41C3"/>
    <w:rsid w:val="13F05A62"/>
    <w:rsid w:val="13FA243C"/>
    <w:rsid w:val="13FA68E0"/>
    <w:rsid w:val="14024910"/>
    <w:rsid w:val="14025795"/>
    <w:rsid w:val="14067033"/>
    <w:rsid w:val="140A273E"/>
    <w:rsid w:val="140C03C2"/>
    <w:rsid w:val="14117786"/>
    <w:rsid w:val="141259D8"/>
    <w:rsid w:val="14172FEE"/>
    <w:rsid w:val="14186D67"/>
    <w:rsid w:val="14197487"/>
    <w:rsid w:val="141E70C5"/>
    <w:rsid w:val="14213FC1"/>
    <w:rsid w:val="14215C1B"/>
    <w:rsid w:val="14221EEF"/>
    <w:rsid w:val="14261483"/>
    <w:rsid w:val="14270D58"/>
    <w:rsid w:val="142B4CEC"/>
    <w:rsid w:val="142D2812"/>
    <w:rsid w:val="142E5135"/>
    <w:rsid w:val="14301B0C"/>
    <w:rsid w:val="14327E28"/>
    <w:rsid w:val="143771ED"/>
    <w:rsid w:val="14396509"/>
    <w:rsid w:val="143D67CD"/>
    <w:rsid w:val="143E4A1F"/>
    <w:rsid w:val="143F0797"/>
    <w:rsid w:val="143F3336"/>
    <w:rsid w:val="144500FD"/>
    <w:rsid w:val="1447165C"/>
    <w:rsid w:val="1448144A"/>
    <w:rsid w:val="144A1F78"/>
    <w:rsid w:val="144B29A7"/>
    <w:rsid w:val="144C6C7C"/>
    <w:rsid w:val="14501579"/>
    <w:rsid w:val="14515DD5"/>
    <w:rsid w:val="145558C5"/>
    <w:rsid w:val="14575AE1"/>
    <w:rsid w:val="145A6C1B"/>
    <w:rsid w:val="145C4EA5"/>
    <w:rsid w:val="145E6E6F"/>
    <w:rsid w:val="145F58EA"/>
    <w:rsid w:val="14611454"/>
    <w:rsid w:val="146124BC"/>
    <w:rsid w:val="14623356"/>
    <w:rsid w:val="14643D5A"/>
    <w:rsid w:val="14667A34"/>
    <w:rsid w:val="146B158C"/>
    <w:rsid w:val="146D0E60"/>
    <w:rsid w:val="146D2C0E"/>
    <w:rsid w:val="146E5017"/>
    <w:rsid w:val="146E5199"/>
    <w:rsid w:val="147026FF"/>
    <w:rsid w:val="14710F49"/>
    <w:rsid w:val="14720225"/>
    <w:rsid w:val="147246C9"/>
    <w:rsid w:val="14733F9D"/>
    <w:rsid w:val="14756348"/>
    <w:rsid w:val="147922AC"/>
    <w:rsid w:val="147C605C"/>
    <w:rsid w:val="147E16A4"/>
    <w:rsid w:val="14860174"/>
    <w:rsid w:val="14885C9A"/>
    <w:rsid w:val="14893AB6"/>
    <w:rsid w:val="148D32B1"/>
    <w:rsid w:val="148F0807"/>
    <w:rsid w:val="14902DA1"/>
    <w:rsid w:val="149503B7"/>
    <w:rsid w:val="149A54A8"/>
    <w:rsid w:val="149B393A"/>
    <w:rsid w:val="149F2FE4"/>
    <w:rsid w:val="14A01236"/>
    <w:rsid w:val="14A16D5C"/>
    <w:rsid w:val="14A300D8"/>
    <w:rsid w:val="14A405FA"/>
    <w:rsid w:val="14A64372"/>
    <w:rsid w:val="14A66120"/>
    <w:rsid w:val="14A95C11"/>
    <w:rsid w:val="14A960ED"/>
    <w:rsid w:val="14AB3CAB"/>
    <w:rsid w:val="14AD5701"/>
    <w:rsid w:val="14B06F9F"/>
    <w:rsid w:val="14B20F69"/>
    <w:rsid w:val="14B4083D"/>
    <w:rsid w:val="14B91001"/>
    <w:rsid w:val="14B94B6E"/>
    <w:rsid w:val="14BA1BCC"/>
    <w:rsid w:val="14BA7E1E"/>
    <w:rsid w:val="14BF5434"/>
    <w:rsid w:val="14C03686"/>
    <w:rsid w:val="14C1721D"/>
    <w:rsid w:val="14C52A4A"/>
    <w:rsid w:val="14C842E9"/>
    <w:rsid w:val="14C91E0F"/>
    <w:rsid w:val="14CB202B"/>
    <w:rsid w:val="14D05CA0"/>
    <w:rsid w:val="14D47131"/>
    <w:rsid w:val="14D709D0"/>
    <w:rsid w:val="14DC7D94"/>
    <w:rsid w:val="14E05AD6"/>
    <w:rsid w:val="14E12169"/>
    <w:rsid w:val="14E4180F"/>
    <w:rsid w:val="14E826F1"/>
    <w:rsid w:val="14EA2725"/>
    <w:rsid w:val="14EC447B"/>
    <w:rsid w:val="14F1476F"/>
    <w:rsid w:val="14F41582"/>
    <w:rsid w:val="15051099"/>
    <w:rsid w:val="15054F9B"/>
    <w:rsid w:val="1505553D"/>
    <w:rsid w:val="150C68CB"/>
    <w:rsid w:val="150D2643"/>
    <w:rsid w:val="150D619F"/>
    <w:rsid w:val="150F1F18"/>
    <w:rsid w:val="15165000"/>
    <w:rsid w:val="151B539B"/>
    <w:rsid w:val="151C63E2"/>
    <w:rsid w:val="151D5F96"/>
    <w:rsid w:val="151E03AD"/>
    <w:rsid w:val="15202377"/>
    <w:rsid w:val="15205ED3"/>
    <w:rsid w:val="1522179F"/>
    <w:rsid w:val="152359C3"/>
    <w:rsid w:val="1526228F"/>
    <w:rsid w:val="15273705"/>
    <w:rsid w:val="15282FD9"/>
    <w:rsid w:val="15284D87"/>
    <w:rsid w:val="152D239E"/>
    <w:rsid w:val="15354544"/>
    <w:rsid w:val="153876C0"/>
    <w:rsid w:val="15393438"/>
    <w:rsid w:val="153B2D0D"/>
    <w:rsid w:val="153C6A85"/>
    <w:rsid w:val="153D4CD7"/>
    <w:rsid w:val="153D72A5"/>
    <w:rsid w:val="153E45AB"/>
    <w:rsid w:val="15437E13"/>
    <w:rsid w:val="15451DDD"/>
    <w:rsid w:val="15455939"/>
    <w:rsid w:val="15477903"/>
    <w:rsid w:val="154871D8"/>
    <w:rsid w:val="154A11A2"/>
    <w:rsid w:val="154C6CC8"/>
    <w:rsid w:val="154F0566"/>
    <w:rsid w:val="1551198D"/>
    <w:rsid w:val="15514605"/>
    <w:rsid w:val="15521101"/>
    <w:rsid w:val="15542020"/>
    <w:rsid w:val="15570834"/>
    <w:rsid w:val="15595889"/>
    <w:rsid w:val="155C4C28"/>
    <w:rsid w:val="15634011"/>
    <w:rsid w:val="156408BB"/>
    <w:rsid w:val="15657D89"/>
    <w:rsid w:val="1568787A"/>
    <w:rsid w:val="15744B16"/>
    <w:rsid w:val="15747FCD"/>
    <w:rsid w:val="157D4738"/>
    <w:rsid w:val="157D50D3"/>
    <w:rsid w:val="157E709D"/>
    <w:rsid w:val="157F1935"/>
    <w:rsid w:val="15842905"/>
    <w:rsid w:val="15877D00"/>
    <w:rsid w:val="15883A78"/>
    <w:rsid w:val="1589441B"/>
    <w:rsid w:val="15897F1C"/>
    <w:rsid w:val="158A3C94"/>
    <w:rsid w:val="158C165B"/>
    <w:rsid w:val="158C17BA"/>
    <w:rsid w:val="15910B7E"/>
    <w:rsid w:val="159468C1"/>
    <w:rsid w:val="15962639"/>
    <w:rsid w:val="159B37AB"/>
    <w:rsid w:val="15A22D8C"/>
    <w:rsid w:val="15A40BEE"/>
    <w:rsid w:val="15A46B04"/>
    <w:rsid w:val="15A5287C"/>
    <w:rsid w:val="15AC59B8"/>
    <w:rsid w:val="15AC7766"/>
    <w:rsid w:val="15AE34DE"/>
    <w:rsid w:val="15B605E5"/>
    <w:rsid w:val="15B64A89"/>
    <w:rsid w:val="15B66837"/>
    <w:rsid w:val="15C01464"/>
    <w:rsid w:val="15C3425D"/>
    <w:rsid w:val="15C46ECC"/>
    <w:rsid w:val="15C72C7C"/>
    <w:rsid w:val="15C90318"/>
    <w:rsid w:val="15CA4090"/>
    <w:rsid w:val="15CB0007"/>
    <w:rsid w:val="15CB06E2"/>
    <w:rsid w:val="15CF16A7"/>
    <w:rsid w:val="15D76017"/>
    <w:rsid w:val="15DB629E"/>
    <w:rsid w:val="15E46F00"/>
    <w:rsid w:val="15E72E94"/>
    <w:rsid w:val="15EA64E1"/>
    <w:rsid w:val="15EB2077"/>
    <w:rsid w:val="15EE7D7F"/>
    <w:rsid w:val="15F1786F"/>
    <w:rsid w:val="15F31B10"/>
    <w:rsid w:val="15F66C34"/>
    <w:rsid w:val="15F80BFE"/>
    <w:rsid w:val="15FA2BC8"/>
    <w:rsid w:val="15FC6940"/>
    <w:rsid w:val="15FF1F8C"/>
    <w:rsid w:val="160550C9"/>
    <w:rsid w:val="16077A7C"/>
    <w:rsid w:val="16082FC8"/>
    <w:rsid w:val="160B0931"/>
    <w:rsid w:val="160B1CC9"/>
    <w:rsid w:val="160C6457"/>
    <w:rsid w:val="160E696E"/>
    <w:rsid w:val="160F33A3"/>
    <w:rsid w:val="16126189"/>
    <w:rsid w:val="16131283"/>
    <w:rsid w:val="16135A37"/>
    <w:rsid w:val="1615355E"/>
    <w:rsid w:val="16153D7A"/>
    <w:rsid w:val="16177015"/>
    <w:rsid w:val="161B48EC"/>
    <w:rsid w:val="161C0D90"/>
    <w:rsid w:val="161C2A95"/>
    <w:rsid w:val="161C2B3E"/>
    <w:rsid w:val="161F262E"/>
    <w:rsid w:val="162419F3"/>
    <w:rsid w:val="16257519"/>
    <w:rsid w:val="16287735"/>
    <w:rsid w:val="16290DB7"/>
    <w:rsid w:val="16294BEA"/>
    <w:rsid w:val="162C6AF9"/>
    <w:rsid w:val="162D2B22"/>
    <w:rsid w:val="162D4D4B"/>
    <w:rsid w:val="162E2871"/>
    <w:rsid w:val="16380A5A"/>
    <w:rsid w:val="1638549E"/>
    <w:rsid w:val="163B0AEA"/>
    <w:rsid w:val="163B6FFF"/>
    <w:rsid w:val="163F4A7E"/>
    <w:rsid w:val="16465E0D"/>
    <w:rsid w:val="164707FC"/>
    <w:rsid w:val="1649352F"/>
    <w:rsid w:val="164976AB"/>
    <w:rsid w:val="164D28A4"/>
    <w:rsid w:val="16500A3A"/>
    <w:rsid w:val="165266F1"/>
    <w:rsid w:val="165B65E9"/>
    <w:rsid w:val="165B7DDA"/>
    <w:rsid w:val="165C118C"/>
    <w:rsid w:val="165D2399"/>
    <w:rsid w:val="16617428"/>
    <w:rsid w:val="16646293"/>
    <w:rsid w:val="166B5873"/>
    <w:rsid w:val="166C5148"/>
    <w:rsid w:val="166D55CB"/>
    <w:rsid w:val="166E0EC0"/>
    <w:rsid w:val="167069E6"/>
    <w:rsid w:val="1671184E"/>
    <w:rsid w:val="16777D74"/>
    <w:rsid w:val="16781D3E"/>
    <w:rsid w:val="167A7865"/>
    <w:rsid w:val="167B7C4B"/>
    <w:rsid w:val="167C182F"/>
    <w:rsid w:val="167C44F8"/>
    <w:rsid w:val="167F4E7B"/>
    <w:rsid w:val="1680548D"/>
    <w:rsid w:val="16826719"/>
    <w:rsid w:val="16870D8E"/>
    <w:rsid w:val="16897AA8"/>
    <w:rsid w:val="168B7CC4"/>
    <w:rsid w:val="16921052"/>
    <w:rsid w:val="1694148D"/>
    <w:rsid w:val="1695469E"/>
    <w:rsid w:val="169A7F07"/>
    <w:rsid w:val="169C5A2D"/>
    <w:rsid w:val="169E17A5"/>
    <w:rsid w:val="169E79F7"/>
    <w:rsid w:val="169F551D"/>
    <w:rsid w:val="169F72CB"/>
    <w:rsid w:val="16A81790"/>
    <w:rsid w:val="16A91EF8"/>
    <w:rsid w:val="16AB2114"/>
    <w:rsid w:val="16AD19E8"/>
    <w:rsid w:val="16AE750E"/>
    <w:rsid w:val="16B014D8"/>
    <w:rsid w:val="16B207CA"/>
    <w:rsid w:val="16B26FFE"/>
    <w:rsid w:val="16B40FC8"/>
    <w:rsid w:val="16B9038D"/>
    <w:rsid w:val="16BA2357"/>
    <w:rsid w:val="16BB3C28"/>
    <w:rsid w:val="16BC1C2B"/>
    <w:rsid w:val="16BF1FDC"/>
    <w:rsid w:val="16C035CA"/>
    <w:rsid w:val="16C44AD8"/>
    <w:rsid w:val="16C4566D"/>
    <w:rsid w:val="16C874E6"/>
    <w:rsid w:val="16CB1E6E"/>
    <w:rsid w:val="16CB6312"/>
    <w:rsid w:val="16D72F09"/>
    <w:rsid w:val="16DC147A"/>
    <w:rsid w:val="16DE4297"/>
    <w:rsid w:val="16DE6045"/>
    <w:rsid w:val="16DF3B6C"/>
    <w:rsid w:val="16E3365C"/>
    <w:rsid w:val="16E80C72"/>
    <w:rsid w:val="16EB42BE"/>
    <w:rsid w:val="16F45869"/>
    <w:rsid w:val="16F47617"/>
    <w:rsid w:val="16F615E1"/>
    <w:rsid w:val="16FB4332"/>
    <w:rsid w:val="1703785A"/>
    <w:rsid w:val="170535D2"/>
    <w:rsid w:val="1706559C"/>
    <w:rsid w:val="17066928"/>
    <w:rsid w:val="170A5C5C"/>
    <w:rsid w:val="17163A31"/>
    <w:rsid w:val="17171557"/>
    <w:rsid w:val="171F21BA"/>
    <w:rsid w:val="172120C7"/>
    <w:rsid w:val="17215F32"/>
    <w:rsid w:val="17221F62"/>
    <w:rsid w:val="17285513"/>
    <w:rsid w:val="172A128B"/>
    <w:rsid w:val="172B5518"/>
    <w:rsid w:val="172F4478"/>
    <w:rsid w:val="17312D11"/>
    <w:rsid w:val="1732013F"/>
    <w:rsid w:val="17326502"/>
    <w:rsid w:val="173619DD"/>
    <w:rsid w:val="17371DE5"/>
    <w:rsid w:val="17375756"/>
    <w:rsid w:val="173C34E8"/>
    <w:rsid w:val="1740285C"/>
    <w:rsid w:val="174560C4"/>
    <w:rsid w:val="17465999"/>
    <w:rsid w:val="17481711"/>
    <w:rsid w:val="174B2FAF"/>
    <w:rsid w:val="1750389F"/>
    <w:rsid w:val="17577BA6"/>
    <w:rsid w:val="1759391E"/>
    <w:rsid w:val="175A4608"/>
    <w:rsid w:val="176460A3"/>
    <w:rsid w:val="17666845"/>
    <w:rsid w:val="17680005"/>
    <w:rsid w:val="176A78D9"/>
    <w:rsid w:val="176C7FAF"/>
    <w:rsid w:val="176D1177"/>
    <w:rsid w:val="1770386E"/>
    <w:rsid w:val="177235B3"/>
    <w:rsid w:val="177249E0"/>
    <w:rsid w:val="17735226"/>
    <w:rsid w:val="17742506"/>
    <w:rsid w:val="17780248"/>
    <w:rsid w:val="177E3384"/>
    <w:rsid w:val="1782031A"/>
    <w:rsid w:val="17842AD0"/>
    <w:rsid w:val="178564C1"/>
    <w:rsid w:val="1787048B"/>
    <w:rsid w:val="178B7795"/>
    <w:rsid w:val="178D1819"/>
    <w:rsid w:val="17902473"/>
    <w:rsid w:val="17920BDE"/>
    <w:rsid w:val="179606CE"/>
    <w:rsid w:val="17966F3F"/>
    <w:rsid w:val="17984446"/>
    <w:rsid w:val="179C49C1"/>
    <w:rsid w:val="179E3A27"/>
    <w:rsid w:val="179E7583"/>
    <w:rsid w:val="17A06CE7"/>
    <w:rsid w:val="17A50911"/>
    <w:rsid w:val="17A728DB"/>
    <w:rsid w:val="17A75F91"/>
    <w:rsid w:val="17AA4179"/>
    <w:rsid w:val="17AC7EF2"/>
    <w:rsid w:val="17AD77C6"/>
    <w:rsid w:val="17AF353E"/>
    <w:rsid w:val="17B631A7"/>
    <w:rsid w:val="17B648CC"/>
    <w:rsid w:val="17B80644"/>
    <w:rsid w:val="17B91CC2"/>
    <w:rsid w:val="17B91FA2"/>
    <w:rsid w:val="17BB3400"/>
    <w:rsid w:val="17BD3EAD"/>
    <w:rsid w:val="17CD0F85"/>
    <w:rsid w:val="17CE6D57"/>
    <w:rsid w:val="17CF1E32"/>
    <w:rsid w:val="17D15BAA"/>
    <w:rsid w:val="17D43BE0"/>
    <w:rsid w:val="17D54AC3"/>
    <w:rsid w:val="17D55D03"/>
    <w:rsid w:val="17DA4A5F"/>
    <w:rsid w:val="17DE55A1"/>
    <w:rsid w:val="17E21B65"/>
    <w:rsid w:val="17EF6030"/>
    <w:rsid w:val="17F12BE8"/>
    <w:rsid w:val="17F17FFA"/>
    <w:rsid w:val="17FD074D"/>
    <w:rsid w:val="17FD699F"/>
    <w:rsid w:val="17FF2717"/>
    <w:rsid w:val="18003041"/>
    <w:rsid w:val="18003D99"/>
    <w:rsid w:val="18041ADC"/>
    <w:rsid w:val="18055854"/>
    <w:rsid w:val="18094A7F"/>
    <w:rsid w:val="18095344"/>
    <w:rsid w:val="180A2E6A"/>
    <w:rsid w:val="180D7C95"/>
    <w:rsid w:val="180E4708"/>
    <w:rsid w:val="18100480"/>
    <w:rsid w:val="18147845"/>
    <w:rsid w:val="181A0A1C"/>
    <w:rsid w:val="181B72DB"/>
    <w:rsid w:val="181D0DEF"/>
    <w:rsid w:val="182201B4"/>
    <w:rsid w:val="182757CA"/>
    <w:rsid w:val="18277578"/>
    <w:rsid w:val="18295F5F"/>
    <w:rsid w:val="182C1032"/>
    <w:rsid w:val="182D744D"/>
    <w:rsid w:val="182E0907"/>
    <w:rsid w:val="183323C1"/>
    <w:rsid w:val="18351C95"/>
    <w:rsid w:val="1839783A"/>
    <w:rsid w:val="183A60CC"/>
    <w:rsid w:val="183D6D9C"/>
    <w:rsid w:val="183E57A4"/>
    <w:rsid w:val="1840063A"/>
    <w:rsid w:val="18516C98"/>
    <w:rsid w:val="1853036D"/>
    <w:rsid w:val="18550589"/>
    <w:rsid w:val="18552337"/>
    <w:rsid w:val="185B5474"/>
    <w:rsid w:val="185F4F64"/>
    <w:rsid w:val="185F6D12"/>
    <w:rsid w:val="18626802"/>
    <w:rsid w:val="1869193F"/>
    <w:rsid w:val="18695DE3"/>
    <w:rsid w:val="186B56B7"/>
    <w:rsid w:val="186B68C6"/>
    <w:rsid w:val="186D0013"/>
    <w:rsid w:val="186D58D3"/>
    <w:rsid w:val="186E2BE4"/>
    <w:rsid w:val="186F23AF"/>
    <w:rsid w:val="18722EE9"/>
    <w:rsid w:val="18730A0F"/>
    <w:rsid w:val="187529D9"/>
    <w:rsid w:val="187A1D9E"/>
    <w:rsid w:val="187F1162"/>
    <w:rsid w:val="18826EA4"/>
    <w:rsid w:val="18833979"/>
    <w:rsid w:val="18866995"/>
    <w:rsid w:val="18891FE1"/>
    <w:rsid w:val="188B5D59"/>
    <w:rsid w:val="188C2E84"/>
    <w:rsid w:val="188D1AD1"/>
    <w:rsid w:val="189270E7"/>
    <w:rsid w:val="18980476"/>
    <w:rsid w:val="18982224"/>
    <w:rsid w:val="189A2440"/>
    <w:rsid w:val="18A40BC9"/>
    <w:rsid w:val="18A41440"/>
    <w:rsid w:val="18A46E1B"/>
    <w:rsid w:val="18A94431"/>
    <w:rsid w:val="18AB63FB"/>
    <w:rsid w:val="18AF5EEB"/>
    <w:rsid w:val="18B118AD"/>
    <w:rsid w:val="18B21538"/>
    <w:rsid w:val="18B43502"/>
    <w:rsid w:val="18B90B18"/>
    <w:rsid w:val="18BC23B6"/>
    <w:rsid w:val="18BC3B0A"/>
    <w:rsid w:val="18BD040B"/>
    <w:rsid w:val="18BF12FA"/>
    <w:rsid w:val="18C13529"/>
    <w:rsid w:val="18C43019"/>
    <w:rsid w:val="18C474BD"/>
    <w:rsid w:val="18C63235"/>
    <w:rsid w:val="18C64FE3"/>
    <w:rsid w:val="18C9062F"/>
    <w:rsid w:val="18CD45C3"/>
    <w:rsid w:val="18CD6371"/>
    <w:rsid w:val="18CE20EA"/>
    <w:rsid w:val="18CE58F5"/>
    <w:rsid w:val="18CE5C46"/>
    <w:rsid w:val="18D07C10"/>
    <w:rsid w:val="18D3325C"/>
    <w:rsid w:val="18D55226"/>
    <w:rsid w:val="18D72D4C"/>
    <w:rsid w:val="18DC1ABD"/>
    <w:rsid w:val="18DD40DB"/>
    <w:rsid w:val="18E35B95"/>
    <w:rsid w:val="18E36CB5"/>
    <w:rsid w:val="18E67433"/>
    <w:rsid w:val="18E831AB"/>
    <w:rsid w:val="18EB67F8"/>
    <w:rsid w:val="18F179C4"/>
    <w:rsid w:val="18F2402A"/>
    <w:rsid w:val="18F733EE"/>
    <w:rsid w:val="18FC6C57"/>
    <w:rsid w:val="18FE07FD"/>
    <w:rsid w:val="18FE4BA5"/>
    <w:rsid w:val="190470B1"/>
    <w:rsid w:val="19094547"/>
    <w:rsid w:val="190A1374"/>
    <w:rsid w:val="190A51FF"/>
    <w:rsid w:val="19103908"/>
    <w:rsid w:val="1910625E"/>
    <w:rsid w:val="19130CA3"/>
    <w:rsid w:val="19145D4E"/>
    <w:rsid w:val="19185113"/>
    <w:rsid w:val="191E76E8"/>
    <w:rsid w:val="191F46F3"/>
    <w:rsid w:val="192048F7"/>
    <w:rsid w:val="192166BD"/>
    <w:rsid w:val="192341E3"/>
    <w:rsid w:val="192D150C"/>
    <w:rsid w:val="192D79FD"/>
    <w:rsid w:val="192E125B"/>
    <w:rsid w:val="193208CA"/>
    <w:rsid w:val="19324427"/>
    <w:rsid w:val="193463F1"/>
    <w:rsid w:val="19371A3D"/>
    <w:rsid w:val="19397563"/>
    <w:rsid w:val="193B777F"/>
    <w:rsid w:val="193F08F1"/>
    <w:rsid w:val="194128BC"/>
    <w:rsid w:val="19436634"/>
    <w:rsid w:val="19483990"/>
    <w:rsid w:val="194D300E"/>
    <w:rsid w:val="194F7E45"/>
    <w:rsid w:val="19502AFF"/>
    <w:rsid w:val="195048A6"/>
    <w:rsid w:val="19520625"/>
    <w:rsid w:val="195465C3"/>
    <w:rsid w:val="19550115"/>
    <w:rsid w:val="19570331"/>
    <w:rsid w:val="19572D68"/>
    <w:rsid w:val="195C1FE7"/>
    <w:rsid w:val="195C3D9D"/>
    <w:rsid w:val="195F2D42"/>
    <w:rsid w:val="19650358"/>
    <w:rsid w:val="196547FC"/>
    <w:rsid w:val="196565AA"/>
    <w:rsid w:val="1966166D"/>
    <w:rsid w:val="1968609A"/>
    <w:rsid w:val="196A0064"/>
    <w:rsid w:val="19720CC7"/>
    <w:rsid w:val="197267B0"/>
    <w:rsid w:val="1973708C"/>
    <w:rsid w:val="197762DD"/>
    <w:rsid w:val="19793E03"/>
    <w:rsid w:val="198A6011"/>
    <w:rsid w:val="198B3B37"/>
    <w:rsid w:val="198C7FDB"/>
    <w:rsid w:val="198D5B01"/>
    <w:rsid w:val="198F7643"/>
    <w:rsid w:val="1990114D"/>
    <w:rsid w:val="199109E2"/>
    <w:rsid w:val="19923117"/>
    <w:rsid w:val="1995404C"/>
    <w:rsid w:val="199D3F96"/>
    <w:rsid w:val="199E50E5"/>
    <w:rsid w:val="19A05834"/>
    <w:rsid w:val="19A31463"/>
    <w:rsid w:val="19A4550A"/>
    <w:rsid w:val="19A52E4A"/>
    <w:rsid w:val="19A55C3A"/>
    <w:rsid w:val="19A74E14"/>
    <w:rsid w:val="19A846E9"/>
    <w:rsid w:val="19AC5F87"/>
    <w:rsid w:val="19AF3CC9"/>
    <w:rsid w:val="19AF7825"/>
    <w:rsid w:val="19B10D96"/>
    <w:rsid w:val="19B337B9"/>
    <w:rsid w:val="19B65058"/>
    <w:rsid w:val="19B72B7E"/>
    <w:rsid w:val="19BB441C"/>
    <w:rsid w:val="19BD63E6"/>
    <w:rsid w:val="19BE5CBA"/>
    <w:rsid w:val="19BF78A1"/>
    <w:rsid w:val="19C07C84"/>
    <w:rsid w:val="19C72DC1"/>
    <w:rsid w:val="19CC03D7"/>
    <w:rsid w:val="19D13C3F"/>
    <w:rsid w:val="19D379B8"/>
    <w:rsid w:val="19D90D46"/>
    <w:rsid w:val="19D92807"/>
    <w:rsid w:val="19DA5D39"/>
    <w:rsid w:val="19DB2D10"/>
    <w:rsid w:val="19E00326"/>
    <w:rsid w:val="19E03E83"/>
    <w:rsid w:val="19E41BC5"/>
    <w:rsid w:val="19E96351"/>
    <w:rsid w:val="19EC7CCE"/>
    <w:rsid w:val="19EE2484"/>
    <w:rsid w:val="19EE2754"/>
    <w:rsid w:val="19EE3096"/>
    <w:rsid w:val="19F25F57"/>
    <w:rsid w:val="19F30585"/>
    <w:rsid w:val="19F33BB6"/>
    <w:rsid w:val="19F45B80"/>
    <w:rsid w:val="19FE07AD"/>
    <w:rsid w:val="19FF7152"/>
    <w:rsid w:val="1A027F67"/>
    <w:rsid w:val="1A057D8D"/>
    <w:rsid w:val="1A073B05"/>
    <w:rsid w:val="1A09138C"/>
    <w:rsid w:val="1A0A0EFF"/>
    <w:rsid w:val="1A0C2EC9"/>
    <w:rsid w:val="1A0F6516"/>
    <w:rsid w:val="1A163D48"/>
    <w:rsid w:val="1A1678A4"/>
    <w:rsid w:val="1A18361C"/>
    <w:rsid w:val="1A192202"/>
    <w:rsid w:val="1A1A55E6"/>
    <w:rsid w:val="1A1C66C0"/>
    <w:rsid w:val="1A1D6E85"/>
    <w:rsid w:val="1A1F0E4F"/>
    <w:rsid w:val="1A206BD1"/>
    <w:rsid w:val="1A23158A"/>
    <w:rsid w:val="1A27385F"/>
    <w:rsid w:val="1A2E4BEE"/>
    <w:rsid w:val="1A345F7C"/>
    <w:rsid w:val="1A35780A"/>
    <w:rsid w:val="1A3D3083"/>
    <w:rsid w:val="1A3F5F9B"/>
    <w:rsid w:val="1A4039ED"/>
    <w:rsid w:val="1A42393B"/>
    <w:rsid w:val="1A424DED"/>
    <w:rsid w:val="1A4268EB"/>
    <w:rsid w:val="1A4408B5"/>
    <w:rsid w:val="1A450189"/>
    <w:rsid w:val="1A46686A"/>
    <w:rsid w:val="1A475CB0"/>
    <w:rsid w:val="1A4A57A0"/>
    <w:rsid w:val="1A4B1C44"/>
    <w:rsid w:val="1A4E34E2"/>
    <w:rsid w:val="1A4E4600"/>
    <w:rsid w:val="1A526911"/>
    <w:rsid w:val="1A55661F"/>
    <w:rsid w:val="1A562397"/>
    <w:rsid w:val="1A58610F"/>
    <w:rsid w:val="1A591AF2"/>
    <w:rsid w:val="1A592FC2"/>
    <w:rsid w:val="1A5A4033"/>
    <w:rsid w:val="1A5C5053"/>
    <w:rsid w:val="1A5E6E65"/>
    <w:rsid w:val="1A5F749D"/>
    <w:rsid w:val="1A616756"/>
    <w:rsid w:val="1A644AB4"/>
    <w:rsid w:val="1A6745A4"/>
    <w:rsid w:val="1A6751A7"/>
    <w:rsid w:val="1A693E78"/>
    <w:rsid w:val="1A6A061D"/>
    <w:rsid w:val="1A6E5932"/>
    <w:rsid w:val="1A703458"/>
    <w:rsid w:val="1A7036F0"/>
    <w:rsid w:val="1A716259"/>
    <w:rsid w:val="1A74631B"/>
    <w:rsid w:val="1A7542CE"/>
    <w:rsid w:val="1A75606A"/>
    <w:rsid w:val="1A76380C"/>
    <w:rsid w:val="1A766595"/>
    <w:rsid w:val="1A7A7E33"/>
    <w:rsid w:val="1A7D2C10"/>
    <w:rsid w:val="1A7D5B75"/>
    <w:rsid w:val="1A7D7923"/>
    <w:rsid w:val="1A7E53C6"/>
    <w:rsid w:val="1A7F369B"/>
    <w:rsid w:val="1A7F4A0A"/>
    <w:rsid w:val="1A805E8F"/>
    <w:rsid w:val="1A81091F"/>
    <w:rsid w:val="1A82066E"/>
    <w:rsid w:val="1A824F3A"/>
    <w:rsid w:val="1A864A2A"/>
    <w:rsid w:val="1A8A7F67"/>
    <w:rsid w:val="1A8B0292"/>
    <w:rsid w:val="1A8E7D82"/>
    <w:rsid w:val="1A907657"/>
    <w:rsid w:val="1A924679"/>
    <w:rsid w:val="1A9475CB"/>
    <w:rsid w:val="1A9861F1"/>
    <w:rsid w:val="1A98650B"/>
    <w:rsid w:val="1A9A6727"/>
    <w:rsid w:val="1A9D4337"/>
    <w:rsid w:val="1AA80E44"/>
    <w:rsid w:val="1AAB244B"/>
    <w:rsid w:val="1AAE5D2F"/>
    <w:rsid w:val="1AB05F4B"/>
    <w:rsid w:val="1AB33345"/>
    <w:rsid w:val="1AB833B2"/>
    <w:rsid w:val="1AB86E8B"/>
    <w:rsid w:val="1AB94A4F"/>
    <w:rsid w:val="1ABA0B77"/>
    <w:rsid w:val="1ABD2416"/>
    <w:rsid w:val="1AC60017"/>
    <w:rsid w:val="1AC63078"/>
    <w:rsid w:val="1AC840ED"/>
    <w:rsid w:val="1ACD2659"/>
    <w:rsid w:val="1ACE4623"/>
    <w:rsid w:val="1AD11A1D"/>
    <w:rsid w:val="1AD31F78"/>
    <w:rsid w:val="1AD339E7"/>
    <w:rsid w:val="1AD43926"/>
    <w:rsid w:val="1AD66B48"/>
    <w:rsid w:val="1ADA2FC8"/>
    <w:rsid w:val="1ADB5522"/>
    <w:rsid w:val="1AE14356"/>
    <w:rsid w:val="1AE6196C"/>
    <w:rsid w:val="1AE856E5"/>
    <w:rsid w:val="1AEA1FD5"/>
    <w:rsid w:val="1AEB35C0"/>
    <w:rsid w:val="1AEC6857"/>
    <w:rsid w:val="1AEE7796"/>
    <w:rsid w:val="1AF000F5"/>
    <w:rsid w:val="1AF220BF"/>
    <w:rsid w:val="1AF851FC"/>
    <w:rsid w:val="1B0246D5"/>
    <w:rsid w:val="1B040045"/>
    <w:rsid w:val="1B046F80"/>
    <w:rsid w:val="1B053056"/>
    <w:rsid w:val="1B063DBD"/>
    <w:rsid w:val="1B065B6B"/>
    <w:rsid w:val="1B0818E3"/>
    <w:rsid w:val="1B1069E9"/>
    <w:rsid w:val="1B1C1F38"/>
    <w:rsid w:val="1B1C713C"/>
    <w:rsid w:val="1B1E1106"/>
    <w:rsid w:val="1B1F6C2C"/>
    <w:rsid w:val="1B213D1F"/>
    <w:rsid w:val="1B293607"/>
    <w:rsid w:val="1B2D30F7"/>
    <w:rsid w:val="1B2E0C1E"/>
    <w:rsid w:val="1B2E2262"/>
    <w:rsid w:val="1B2F50C2"/>
    <w:rsid w:val="1B324BB2"/>
    <w:rsid w:val="1B3267B5"/>
    <w:rsid w:val="1B3501FE"/>
    <w:rsid w:val="1B3705F1"/>
    <w:rsid w:val="1B391A9C"/>
    <w:rsid w:val="1B3B1CB8"/>
    <w:rsid w:val="1B410951"/>
    <w:rsid w:val="1B4346C9"/>
    <w:rsid w:val="1B444488"/>
    <w:rsid w:val="1B4A1EFB"/>
    <w:rsid w:val="1B4A3CA9"/>
    <w:rsid w:val="1B4B17D0"/>
    <w:rsid w:val="1B4B5C73"/>
    <w:rsid w:val="1B4F12C0"/>
    <w:rsid w:val="1B540E52"/>
    <w:rsid w:val="1B551BB4"/>
    <w:rsid w:val="1B55264E"/>
    <w:rsid w:val="1B5763C6"/>
    <w:rsid w:val="1B590390"/>
    <w:rsid w:val="1B5C34B1"/>
    <w:rsid w:val="1B5E59A7"/>
    <w:rsid w:val="1B610FF3"/>
    <w:rsid w:val="1B617DDC"/>
    <w:rsid w:val="1B632FBD"/>
    <w:rsid w:val="1B650AE3"/>
    <w:rsid w:val="1B656D35"/>
    <w:rsid w:val="1B682381"/>
    <w:rsid w:val="1B684130"/>
    <w:rsid w:val="1B6B22AD"/>
    <w:rsid w:val="1B6E246A"/>
    <w:rsid w:val="1B75684C"/>
    <w:rsid w:val="1B764745"/>
    <w:rsid w:val="1B7D7F39"/>
    <w:rsid w:val="1B824DE1"/>
    <w:rsid w:val="1B8371BB"/>
    <w:rsid w:val="1B8A22F8"/>
    <w:rsid w:val="1B917546"/>
    <w:rsid w:val="1B944F25"/>
    <w:rsid w:val="1B974A15"/>
    <w:rsid w:val="1B9B4505"/>
    <w:rsid w:val="1B9C6022"/>
    <w:rsid w:val="1B9E2247"/>
    <w:rsid w:val="1B9E3C8A"/>
    <w:rsid w:val="1BA23AE5"/>
    <w:rsid w:val="1BA33762"/>
    <w:rsid w:val="1BA64C58"/>
    <w:rsid w:val="1BAD2BF6"/>
    <w:rsid w:val="1BAF1D5E"/>
    <w:rsid w:val="1BB2184F"/>
    <w:rsid w:val="1BB249FC"/>
    <w:rsid w:val="1BBC26CD"/>
    <w:rsid w:val="1BBE1FA1"/>
    <w:rsid w:val="1BBE4697"/>
    <w:rsid w:val="1BC25DC8"/>
    <w:rsid w:val="1BC3580A"/>
    <w:rsid w:val="1BC66BE3"/>
    <w:rsid w:val="1BC752FA"/>
    <w:rsid w:val="1BC81072"/>
    <w:rsid w:val="1BCD6688"/>
    <w:rsid w:val="1BCF3EC0"/>
    <w:rsid w:val="1BD05CC3"/>
    <w:rsid w:val="1BD143CB"/>
    <w:rsid w:val="1BD23C9F"/>
    <w:rsid w:val="1BD25A4D"/>
    <w:rsid w:val="1BD7143D"/>
    <w:rsid w:val="1BDD4B1E"/>
    <w:rsid w:val="1BDE43F2"/>
    <w:rsid w:val="1BE67209"/>
    <w:rsid w:val="1BEA548C"/>
    <w:rsid w:val="1BEC2FB3"/>
    <w:rsid w:val="1BEC4D61"/>
    <w:rsid w:val="1BF9747E"/>
    <w:rsid w:val="1BFB31F6"/>
    <w:rsid w:val="1BFD6F6E"/>
    <w:rsid w:val="1BFE4A94"/>
    <w:rsid w:val="1C062249"/>
    <w:rsid w:val="1C077A18"/>
    <w:rsid w:val="1C086791"/>
    <w:rsid w:val="1C113C73"/>
    <w:rsid w:val="1C187CE4"/>
    <w:rsid w:val="1C1918CE"/>
    <w:rsid w:val="1C1F6AB3"/>
    <w:rsid w:val="1C297D63"/>
    <w:rsid w:val="1C2C1601"/>
    <w:rsid w:val="1C2C4884"/>
    <w:rsid w:val="1C3053AC"/>
    <w:rsid w:val="1C362480"/>
    <w:rsid w:val="1C381D54"/>
    <w:rsid w:val="1C395ACC"/>
    <w:rsid w:val="1C3B7A96"/>
    <w:rsid w:val="1C3D380E"/>
    <w:rsid w:val="1C3D765C"/>
    <w:rsid w:val="1C4032FE"/>
    <w:rsid w:val="1C404828"/>
    <w:rsid w:val="1C495A9D"/>
    <w:rsid w:val="1C4B67C1"/>
    <w:rsid w:val="1C4C57FF"/>
    <w:rsid w:val="1C4E0B38"/>
    <w:rsid w:val="1C5341C9"/>
    <w:rsid w:val="1C5446B4"/>
    <w:rsid w:val="1C5B5A42"/>
    <w:rsid w:val="1C5C1B50"/>
    <w:rsid w:val="1C5D5C5E"/>
    <w:rsid w:val="1C5D7A0C"/>
    <w:rsid w:val="1C5E4627"/>
    <w:rsid w:val="1C5E7925"/>
    <w:rsid w:val="1C6012AB"/>
    <w:rsid w:val="1C6A2129"/>
    <w:rsid w:val="1C6A3ED7"/>
    <w:rsid w:val="1C6B2ABE"/>
    <w:rsid w:val="1C6E1C1A"/>
    <w:rsid w:val="1C6E39C8"/>
    <w:rsid w:val="1C6E7E6B"/>
    <w:rsid w:val="1C7020CB"/>
    <w:rsid w:val="1C704EFA"/>
    <w:rsid w:val="1C712CA5"/>
    <w:rsid w:val="1C735482"/>
    <w:rsid w:val="1C744EE3"/>
    <w:rsid w:val="1C746B04"/>
    <w:rsid w:val="1C780121"/>
    <w:rsid w:val="1C782A98"/>
    <w:rsid w:val="1C784846"/>
    <w:rsid w:val="1C7865F4"/>
    <w:rsid w:val="1C7A05BE"/>
    <w:rsid w:val="1C7D3C0B"/>
    <w:rsid w:val="1C7E0123"/>
    <w:rsid w:val="1C7F3E27"/>
    <w:rsid w:val="1C80194D"/>
    <w:rsid w:val="1C821221"/>
    <w:rsid w:val="1C8256C5"/>
    <w:rsid w:val="1C827473"/>
    <w:rsid w:val="1C844F99"/>
    <w:rsid w:val="1C8608D3"/>
    <w:rsid w:val="1C8615F4"/>
    <w:rsid w:val="1C887FC8"/>
    <w:rsid w:val="1C8D6788"/>
    <w:rsid w:val="1C8E5E18"/>
    <w:rsid w:val="1C901B90"/>
    <w:rsid w:val="1C9553F8"/>
    <w:rsid w:val="1C97240B"/>
    <w:rsid w:val="1CA13D9D"/>
    <w:rsid w:val="1CA218C3"/>
    <w:rsid w:val="1CA55A16"/>
    <w:rsid w:val="1CA636C0"/>
    <w:rsid w:val="1CA76006"/>
    <w:rsid w:val="1CA94A00"/>
    <w:rsid w:val="1CAC44F0"/>
    <w:rsid w:val="1CB02232"/>
    <w:rsid w:val="1CB05D8E"/>
    <w:rsid w:val="1CB14A11"/>
    <w:rsid w:val="1CB735C0"/>
    <w:rsid w:val="1CBA6C0D"/>
    <w:rsid w:val="1CBD494F"/>
    <w:rsid w:val="1CBF06C7"/>
    <w:rsid w:val="1CC22144"/>
    <w:rsid w:val="1CC224AF"/>
    <w:rsid w:val="1CC25AC1"/>
    <w:rsid w:val="1CC47DA2"/>
    <w:rsid w:val="1CC614DF"/>
    <w:rsid w:val="1CC63804"/>
    <w:rsid w:val="1CC655B2"/>
    <w:rsid w:val="1CC950A2"/>
    <w:rsid w:val="1CCB706C"/>
    <w:rsid w:val="1CCE090A"/>
    <w:rsid w:val="1CCE26B8"/>
    <w:rsid w:val="1CCE7662"/>
    <w:rsid w:val="1CD06827"/>
    <w:rsid w:val="1CD11779"/>
    <w:rsid w:val="1CD35F20"/>
    <w:rsid w:val="1CD777BF"/>
    <w:rsid w:val="1CD83537"/>
    <w:rsid w:val="1CE1063D"/>
    <w:rsid w:val="1CE27F12"/>
    <w:rsid w:val="1CE56751"/>
    <w:rsid w:val="1CF163A7"/>
    <w:rsid w:val="1CF245F9"/>
    <w:rsid w:val="1CF7783C"/>
    <w:rsid w:val="1CF778A1"/>
    <w:rsid w:val="1CFC7225"/>
    <w:rsid w:val="1D0221D5"/>
    <w:rsid w:val="1D04432C"/>
    <w:rsid w:val="1D097B94"/>
    <w:rsid w:val="1D0A6937"/>
    <w:rsid w:val="1D0B1216"/>
    <w:rsid w:val="1D0B5412"/>
    <w:rsid w:val="1D0D1432"/>
    <w:rsid w:val="1D0D31E0"/>
    <w:rsid w:val="1D0D3C24"/>
    <w:rsid w:val="1D100F23"/>
    <w:rsid w:val="1D1162ED"/>
    <w:rsid w:val="1D120D0E"/>
    <w:rsid w:val="1D13631D"/>
    <w:rsid w:val="1D175E0D"/>
    <w:rsid w:val="1D181F30"/>
    <w:rsid w:val="1D1B4B41"/>
    <w:rsid w:val="1D1C3424"/>
    <w:rsid w:val="1D1E53EE"/>
    <w:rsid w:val="1D1E587E"/>
    <w:rsid w:val="1D247B2E"/>
    <w:rsid w:val="1D28776C"/>
    <w:rsid w:val="1D2938BC"/>
    <w:rsid w:val="1D2B18B9"/>
    <w:rsid w:val="1D2B5F1E"/>
    <w:rsid w:val="1D2F75FB"/>
    <w:rsid w:val="1D343C6E"/>
    <w:rsid w:val="1D3502B9"/>
    <w:rsid w:val="1D374356"/>
    <w:rsid w:val="1D3764AF"/>
    <w:rsid w:val="1D3C5874"/>
    <w:rsid w:val="1D3F5364"/>
    <w:rsid w:val="1D4166B7"/>
    <w:rsid w:val="1D454590"/>
    <w:rsid w:val="1D4571D1"/>
    <w:rsid w:val="1D4604A0"/>
    <w:rsid w:val="1D484219"/>
    <w:rsid w:val="1D496BFF"/>
    <w:rsid w:val="1D4F1A4B"/>
    <w:rsid w:val="1D50131F"/>
    <w:rsid w:val="1D57445C"/>
    <w:rsid w:val="1D5C7CC4"/>
    <w:rsid w:val="1D5F5A06"/>
    <w:rsid w:val="1D5F6196"/>
    <w:rsid w:val="1D61177E"/>
    <w:rsid w:val="1D6132A5"/>
    <w:rsid w:val="1D6372A4"/>
    <w:rsid w:val="1D646B79"/>
    <w:rsid w:val="1D686FF7"/>
    <w:rsid w:val="1D6A0633"/>
    <w:rsid w:val="1D701DA4"/>
    <w:rsid w:val="1D707B38"/>
    <w:rsid w:val="1D721295"/>
    <w:rsid w:val="1D756FD8"/>
    <w:rsid w:val="1D757536"/>
    <w:rsid w:val="1D7F1C04"/>
    <w:rsid w:val="1D813BCE"/>
    <w:rsid w:val="1D85546D"/>
    <w:rsid w:val="1D85652A"/>
    <w:rsid w:val="1D8611E5"/>
    <w:rsid w:val="1D864D41"/>
    <w:rsid w:val="1D8666D1"/>
    <w:rsid w:val="1D8A2A83"/>
    <w:rsid w:val="1D8E56D5"/>
    <w:rsid w:val="1D90796E"/>
    <w:rsid w:val="1D990760"/>
    <w:rsid w:val="1D992E1D"/>
    <w:rsid w:val="1D9B4C90"/>
    <w:rsid w:val="1D9E279F"/>
    <w:rsid w:val="1DA02130"/>
    <w:rsid w:val="1DA17DCD"/>
    <w:rsid w:val="1DA457A0"/>
    <w:rsid w:val="1DA90758"/>
    <w:rsid w:val="1DB47B00"/>
    <w:rsid w:val="1DB541DC"/>
    <w:rsid w:val="1DB814F0"/>
    <w:rsid w:val="1DB93368"/>
    <w:rsid w:val="1DBE44DB"/>
    <w:rsid w:val="1DC064A5"/>
    <w:rsid w:val="1DC23269"/>
    <w:rsid w:val="1DC37D43"/>
    <w:rsid w:val="1DC51D0D"/>
    <w:rsid w:val="1DC6338F"/>
    <w:rsid w:val="1DC835AB"/>
    <w:rsid w:val="1DC92DDB"/>
    <w:rsid w:val="1DCA2E80"/>
    <w:rsid w:val="1DCA7323"/>
    <w:rsid w:val="1DCF66E8"/>
    <w:rsid w:val="1DD2442A"/>
    <w:rsid w:val="1DD40345"/>
    <w:rsid w:val="1DD43CFE"/>
    <w:rsid w:val="1DD51824"/>
    <w:rsid w:val="1DD51975"/>
    <w:rsid w:val="1DD67A76"/>
    <w:rsid w:val="1DD71A40"/>
    <w:rsid w:val="1DD72298"/>
    <w:rsid w:val="1DD737EE"/>
    <w:rsid w:val="1DD7559C"/>
    <w:rsid w:val="1DD849C1"/>
    <w:rsid w:val="1DD85D04"/>
    <w:rsid w:val="1DDE2731"/>
    <w:rsid w:val="1DDF4DA5"/>
    <w:rsid w:val="1DE005BB"/>
    <w:rsid w:val="1DE1641B"/>
    <w:rsid w:val="1DE32193"/>
    <w:rsid w:val="1DE57CB9"/>
    <w:rsid w:val="1DE76E33"/>
    <w:rsid w:val="1DEA6122"/>
    <w:rsid w:val="1DEB0773"/>
    <w:rsid w:val="1DEB1048"/>
    <w:rsid w:val="1DEC729A"/>
    <w:rsid w:val="1DED3012"/>
    <w:rsid w:val="1DED6B6E"/>
    <w:rsid w:val="1DEE3DF0"/>
    <w:rsid w:val="1DF148B0"/>
    <w:rsid w:val="1DF20628"/>
    <w:rsid w:val="1DF3331F"/>
    <w:rsid w:val="1DF47922"/>
    <w:rsid w:val="1DF61EC7"/>
    <w:rsid w:val="1DF63C75"/>
    <w:rsid w:val="1DF93765"/>
    <w:rsid w:val="1DFB28D0"/>
    <w:rsid w:val="1DFC3255"/>
    <w:rsid w:val="1DFE001E"/>
    <w:rsid w:val="1DFE521F"/>
    <w:rsid w:val="1E01086B"/>
    <w:rsid w:val="1E022BB7"/>
    <w:rsid w:val="1E064511"/>
    <w:rsid w:val="1E0A7E55"/>
    <w:rsid w:val="1E0F0A85"/>
    <w:rsid w:val="1E0F2F88"/>
    <w:rsid w:val="1E1503D5"/>
    <w:rsid w:val="1E18340C"/>
    <w:rsid w:val="1E1B192D"/>
    <w:rsid w:val="1E1B36DB"/>
    <w:rsid w:val="1E1E31CB"/>
    <w:rsid w:val="1E214A6A"/>
    <w:rsid w:val="1E222CBC"/>
    <w:rsid w:val="1E2307E2"/>
    <w:rsid w:val="1E256308"/>
    <w:rsid w:val="1E276524"/>
    <w:rsid w:val="1E28600C"/>
    <w:rsid w:val="1E2C43FB"/>
    <w:rsid w:val="1E326C77"/>
    <w:rsid w:val="1E3A3BD5"/>
    <w:rsid w:val="1E3D18A3"/>
    <w:rsid w:val="1E3D5D47"/>
    <w:rsid w:val="1E443648"/>
    <w:rsid w:val="1E4A0464"/>
    <w:rsid w:val="1E4A36CA"/>
    <w:rsid w:val="1E51534F"/>
    <w:rsid w:val="1E541A70"/>
    <w:rsid w:val="1E592455"/>
    <w:rsid w:val="1E5A7901"/>
    <w:rsid w:val="1E62755C"/>
    <w:rsid w:val="1E693DBB"/>
    <w:rsid w:val="1E6C3F37"/>
    <w:rsid w:val="1E6E627A"/>
    <w:rsid w:val="1E763007"/>
    <w:rsid w:val="1E780D78"/>
    <w:rsid w:val="1E7A43DA"/>
    <w:rsid w:val="1E7B6870"/>
    <w:rsid w:val="1E7D6144"/>
    <w:rsid w:val="1E7F5E3E"/>
    <w:rsid w:val="1E803E86"/>
    <w:rsid w:val="1E81486B"/>
    <w:rsid w:val="1E85003A"/>
    <w:rsid w:val="1E854FF8"/>
    <w:rsid w:val="1E875215"/>
    <w:rsid w:val="1E8970AF"/>
    <w:rsid w:val="1E8A0861"/>
    <w:rsid w:val="1E8E20FF"/>
    <w:rsid w:val="1E967206"/>
    <w:rsid w:val="1E971AC3"/>
    <w:rsid w:val="1E9A6CF6"/>
    <w:rsid w:val="1E9E60BA"/>
    <w:rsid w:val="1EA36355"/>
    <w:rsid w:val="1EA47B74"/>
    <w:rsid w:val="1EA9518B"/>
    <w:rsid w:val="1EAE7EC3"/>
    <w:rsid w:val="1EB06519"/>
    <w:rsid w:val="1EB277FE"/>
    <w:rsid w:val="1EB45462"/>
    <w:rsid w:val="1EB63404"/>
    <w:rsid w:val="1EBA2EF4"/>
    <w:rsid w:val="1EBA350E"/>
    <w:rsid w:val="1EC21DA9"/>
    <w:rsid w:val="1EC22CE6"/>
    <w:rsid w:val="1EC5276A"/>
    <w:rsid w:val="1EC671B0"/>
    <w:rsid w:val="1EC91389"/>
    <w:rsid w:val="1ECE699F"/>
    <w:rsid w:val="1ED02718"/>
    <w:rsid w:val="1ED04E2F"/>
    <w:rsid w:val="1ED41ADC"/>
    <w:rsid w:val="1ED55F80"/>
    <w:rsid w:val="1EDB1A02"/>
    <w:rsid w:val="1EDD3086"/>
    <w:rsid w:val="1EE461C3"/>
    <w:rsid w:val="1EE52A7C"/>
    <w:rsid w:val="1EE9589D"/>
    <w:rsid w:val="1EEB6A69"/>
    <w:rsid w:val="1EED151B"/>
    <w:rsid w:val="1EEE29E3"/>
    <w:rsid w:val="1EF26B32"/>
    <w:rsid w:val="1EF36406"/>
    <w:rsid w:val="1EFA027C"/>
    <w:rsid w:val="1EFA1543"/>
    <w:rsid w:val="1EFB52BB"/>
    <w:rsid w:val="1EFC175F"/>
    <w:rsid w:val="1EFF124F"/>
    <w:rsid w:val="1EFF4DAB"/>
    <w:rsid w:val="1F007446"/>
    <w:rsid w:val="1F074B01"/>
    <w:rsid w:val="1F0B19A2"/>
    <w:rsid w:val="1F0B3750"/>
    <w:rsid w:val="1F0D7EAC"/>
    <w:rsid w:val="1F0E3240"/>
    <w:rsid w:val="1F1023E2"/>
    <w:rsid w:val="1F122D30"/>
    <w:rsid w:val="1F15637C"/>
    <w:rsid w:val="1F185E6D"/>
    <w:rsid w:val="1F1F544D"/>
    <w:rsid w:val="1F25008A"/>
    <w:rsid w:val="1F2729AA"/>
    <w:rsid w:val="1F29007A"/>
    <w:rsid w:val="1F291E28"/>
    <w:rsid w:val="1F2E3015"/>
    <w:rsid w:val="1F372797"/>
    <w:rsid w:val="1F38206B"/>
    <w:rsid w:val="1F3A2287"/>
    <w:rsid w:val="1F3C5FFF"/>
    <w:rsid w:val="1F4206BA"/>
    <w:rsid w:val="1F446C62"/>
    <w:rsid w:val="1F477846"/>
    <w:rsid w:val="1F49071C"/>
    <w:rsid w:val="1F4C3235"/>
    <w:rsid w:val="1F4D7B8E"/>
    <w:rsid w:val="1F4E188E"/>
    <w:rsid w:val="1F4E5D32"/>
    <w:rsid w:val="1F552C1D"/>
    <w:rsid w:val="1F5B41C0"/>
    <w:rsid w:val="1F642E60"/>
    <w:rsid w:val="1F645556"/>
    <w:rsid w:val="1F647304"/>
    <w:rsid w:val="1F6718C9"/>
    <w:rsid w:val="1F680BA2"/>
    <w:rsid w:val="1F684FAA"/>
    <w:rsid w:val="1F6A2B6C"/>
    <w:rsid w:val="1F6B0692"/>
    <w:rsid w:val="1F6B1689"/>
    <w:rsid w:val="1F6B2440"/>
    <w:rsid w:val="1F6E69E8"/>
    <w:rsid w:val="1F7363E0"/>
    <w:rsid w:val="1F784B5D"/>
    <w:rsid w:val="1F7861BF"/>
    <w:rsid w:val="1F7E2174"/>
    <w:rsid w:val="1F8710F0"/>
    <w:rsid w:val="1F8A1EBA"/>
    <w:rsid w:val="1F90634B"/>
    <w:rsid w:val="1F947BE9"/>
    <w:rsid w:val="1F95398F"/>
    <w:rsid w:val="1F9D6372"/>
    <w:rsid w:val="1FA2402F"/>
    <w:rsid w:val="1FA3607E"/>
    <w:rsid w:val="1FA47700"/>
    <w:rsid w:val="1FA85442"/>
    <w:rsid w:val="1FA92F69"/>
    <w:rsid w:val="1FAD2A59"/>
    <w:rsid w:val="1FB42039"/>
    <w:rsid w:val="1FB45B95"/>
    <w:rsid w:val="1FBA6F24"/>
    <w:rsid w:val="1FBE6A14"/>
    <w:rsid w:val="1FBF2ACF"/>
    <w:rsid w:val="1FC075B8"/>
    <w:rsid w:val="1FC102B2"/>
    <w:rsid w:val="1FC41B50"/>
    <w:rsid w:val="1FC446C3"/>
    <w:rsid w:val="1FC85AE5"/>
    <w:rsid w:val="1FC87893"/>
    <w:rsid w:val="1FCD30FB"/>
    <w:rsid w:val="1FCF0C21"/>
    <w:rsid w:val="1FCF304C"/>
    <w:rsid w:val="1FD0285A"/>
    <w:rsid w:val="1FD04999"/>
    <w:rsid w:val="1FD44489"/>
    <w:rsid w:val="1FD55B8C"/>
    <w:rsid w:val="1FD61FB0"/>
    <w:rsid w:val="1FD75D28"/>
    <w:rsid w:val="1FD955FC"/>
    <w:rsid w:val="1FDA015E"/>
    <w:rsid w:val="1FDE70B6"/>
    <w:rsid w:val="1FDF5A2B"/>
    <w:rsid w:val="1FE10954"/>
    <w:rsid w:val="1FE25C23"/>
    <w:rsid w:val="1FE67B91"/>
    <w:rsid w:val="1FE7539E"/>
    <w:rsid w:val="1FE805BF"/>
    <w:rsid w:val="1FF24910"/>
    <w:rsid w:val="1FF42436"/>
    <w:rsid w:val="1FF468DA"/>
    <w:rsid w:val="1FF71F26"/>
    <w:rsid w:val="1FF941E7"/>
    <w:rsid w:val="1FFC12EA"/>
    <w:rsid w:val="1FFF1F6B"/>
    <w:rsid w:val="200059F9"/>
    <w:rsid w:val="2000702C"/>
    <w:rsid w:val="20032679"/>
    <w:rsid w:val="2005311A"/>
    <w:rsid w:val="20112FE8"/>
    <w:rsid w:val="20124FB2"/>
    <w:rsid w:val="20142AD8"/>
    <w:rsid w:val="20146634"/>
    <w:rsid w:val="201900EE"/>
    <w:rsid w:val="201C198C"/>
    <w:rsid w:val="201E5705"/>
    <w:rsid w:val="20210D51"/>
    <w:rsid w:val="20216FA3"/>
    <w:rsid w:val="20230F6D"/>
    <w:rsid w:val="202F346E"/>
    <w:rsid w:val="20344F28"/>
    <w:rsid w:val="20370574"/>
    <w:rsid w:val="20457135"/>
    <w:rsid w:val="20481C2A"/>
    <w:rsid w:val="204A2ABA"/>
    <w:rsid w:val="204A3E24"/>
    <w:rsid w:val="204A474C"/>
    <w:rsid w:val="204A64FA"/>
    <w:rsid w:val="204C4020"/>
    <w:rsid w:val="204D3B51"/>
    <w:rsid w:val="204F1D62"/>
    <w:rsid w:val="20515ADA"/>
    <w:rsid w:val="20517888"/>
    <w:rsid w:val="2059673D"/>
    <w:rsid w:val="205C53A4"/>
    <w:rsid w:val="205C7FDB"/>
    <w:rsid w:val="205E3D53"/>
    <w:rsid w:val="206155F1"/>
    <w:rsid w:val="20623843"/>
    <w:rsid w:val="20631369"/>
    <w:rsid w:val="20642787"/>
    <w:rsid w:val="20672C08"/>
    <w:rsid w:val="206A26F8"/>
    <w:rsid w:val="206B2259"/>
    <w:rsid w:val="206F41B2"/>
    <w:rsid w:val="207215AC"/>
    <w:rsid w:val="20745325"/>
    <w:rsid w:val="20782F99"/>
    <w:rsid w:val="20790B8D"/>
    <w:rsid w:val="20796DDF"/>
    <w:rsid w:val="207B1DBD"/>
    <w:rsid w:val="207B2B57"/>
    <w:rsid w:val="207D46DD"/>
    <w:rsid w:val="207D4F96"/>
    <w:rsid w:val="2080016D"/>
    <w:rsid w:val="208211C5"/>
    <w:rsid w:val="208512E0"/>
    <w:rsid w:val="20860302"/>
    <w:rsid w:val="208D2370"/>
    <w:rsid w:val="208D2BA8"/>
    <w:rsid w:val="208E4638"/>
    <w:rsid w:val="20913FE3"/>
    <w:rsid w:val="2094622D"/>
    <w:rsid w:val="20963CB8"/>
    <w:rsid w:val="20967991"/>
    <w:rsid w:val="209727B1"/>
    <w:rsid w:val="209A56C0"/>
    <w:rsid w:val="209D060D"/>
    <w:rsid w:val="20A16773"/>
    <w:rsid w:val="20A7400A"/>
    <w:rsid w:val="20A747D4"/>
    <w:rsid w:val="20A92DD4"/>
    <w:rsid w:val="20AD0837"/>
    <w:rsid w:val="20B07FB6"/>
    <w:rsid w:val="20B10327"/>
    <w:rsid w:val="20B15C43"/>
    <w:rsid w:val="20B240CD"/>
    <w:rsid w:val="20B45646"/>
    <w:rsid w:val="20B61A5F"/>
    <w:rsid w:val="20BD6CCC"/>
    <w:rsid w:val="20BE2A44"/>
    <w:rsid w:val="20C0056A"/>
    <w:rsid w:val="20C01CFC"/>
    <w:rsid w:val="20C04A0E"/>
    <w:rsid w:val="20C22534"/>
    <w:rsid w:val="20C33369"/>
    <w:rsid w:val="20C41A43"/>
    <w:rsid w:val="20C95670"/>
    <w:rsid w:val="20CA1394"/>
    <w:rsid w:val="20CA763A"/>
    <w:rsid w:val="20D364EF"/>
    <w:rsid w:val="20D52267"/>
    <w:rsid w:val="20DA7812"/>
    <w:rsid w:val="20DB53A4"/>
    <w:rsid w:val="20DD111C"/>
    <w:rsid w:val="20DD55C0"/>
    <w:rsid w:val="20E00C0C"/>
    <w:rsid w:val="20E029BA"/>
    <w:rsid w:val="20E34258"/>
    <w:rsid w:val="20EA55E7"/>
    <w:rsid w:val="20EE50D7"/>
    <w:rsid w:val="20EF0E4F"/>
    <w:rsid w:val="20EF2BFD"/>
    <w:rsid w:val="20F3403C"/>
    <w:rsid w:val="20F36B91"/>
    <w:rsid w:val="20F44810"/>
    <w:rsid w:val="20F546B7"/>
    <w:rsid w:val="20FA14E6"/>
    <w:rsid w:val="20FA198E"/>
    <w:rsid w:val="20FD17BE"/>
    <w:rsid w:val="20FD531A"/>
    <w:rsid w:val="21010555"/>
    <w:rsid w:val="21022930"/>
    <w:rsid w:val="21066E40"/>
    <w:rsid w:val="210975CD"/>
    <w:rsid w:val="210A7A37"/>
    <w:rsid w:val="210E5779"/>
    <w:rsid w:val="210F504D"/>
    <w:rsid w:val="211014F1"/>
    <w:rsid w:val="21105108"/>
    <w:rsid w:val="21132D8F"/>
    <w:rsid w:val="21142811"/>
    <w:rsid w:val="211508B6"/>
    <w:rsid w:val="21197C6C"/>
    <w:rsid w:val="211B1C44"/>
    <w:rsid w:val="212154AC"/>
    <w:rsid w:val="21224D81"/>
    <w:rsid w:val="21246D4B"/>
    <w:rsid w:val="212C3E51"/>
    <w:rsid w:val="21350F58"/>
    <w:rsid w:val="213905FB"/>
    <w:rsid w:val="213A544A"/>
    <w:rsid w:val="213B74B1"/>
    <w:rsid w:val="213C22E6"/>
    <w:rsid w:val="213D1BBA"/>
    <w:rsid w:val="214116AB"/>
    <w:rsid w:val="2144119B"/>
    <w:rsid w:val="21455F13"/>
    <w:rsid w:val="21464F13"/>
    <w:rsid w:val="21472A39"/>
    <w:rsid w:val="214E5B76"/>
    <w:rsid w:val="21507B40"/>
    <w:rsid w:val="21535882"/>
    <w:rsid w:val="21537DD8"/>
    <w:rsid w:val="21552546"/>
    <w:rsid w:val="215869F4"/>
    <w:rsid w:val="215950FE"/>
    <w:rsid w:val="215A2310"/>
    <w:rsid w:val="215C2F2C"/>
    <w:rsid w:val="215C64E4"/>
    <w:rsid w:val="215D225D"/>
    <w:rsid w:val="215D400B"/>
    <w:rsid w:val="215F5FD5"/>
    <w:rsid w:val="21611D4D"/>
    <w:rsid w:val="216474C2"/>
    <w:rsid w:val="216830DB"/>
    <w:rsid w:val="21696E53"/>
    <w:rsid w:val="216B6728"/>
    <w:rsid w:val="216B68BB"/>
    <w:rsid w:val="216C4D8D"/>
    <w:rsid w:val="21700D25"/>
    <w:rsid w:val="21725D08"/>
    <w:rsid w:val="2174620A"/>
    <w:rsid w:val="217750CC"/>
    <w:rsid w:val="21787096"/>
    <w:rsid w:val="2186530F"/>
    <w:rsid w:val="21867A05"/>
    <w:rsid w:val="218B5160"/>
    <w:rsid w:val="218B6DCA"/>
    <w:rsid w:val="218E0668"/>
    <w:rsid w:val="219263AA"/>
    <w:rsid w:val="219536BB"/>
    <w:rsid w:val="219571ED"/>
    <w:rsid w:val="21957C48"/>
    <w:rsid w:val="219A3A21"/>
    <w:rsid w:val="219A525F"/>
    <w:rsid w:val="21A34113"/>
    <w:rsid w:val="21A460DD"/>
    <w:rsid w:val="21A86B50"/>
    <w:rsid w:val="21AE2AB8"/>
    <w:rsid w:val="21B10818"/>
    <w:rsid w:val="21B14C75"/>
    <w:rsid w:val="21B225A8"/>
    <w:rsid w:val="21B601D6"/>
    <w:rsid w:val="21B77BBF"/>
    <w:rsid w:val="21B856E5"/>
    <w:rsid w:val="21C34E99"/>
    <w:rsid w:val="21C5052E"/>
    <w:rsid w:val="21C661A1"/>
    <w:rsid w:val="21CF1302"/>
    <w:rsid w:val="21CF7768"/>
    <w:rsid w:val="21D175BF"/>
    <w:rsid w:val="21D3043D"/>
    <w:rsid w:val="21D342CD"/>
    <w:rsid w:val="21DC74DE"/>
    <w:rsid w:val="21DD6EFA"/>
    <w:rsid w:val="21DE318A"/>
    <w:rsid w:val="21DE339D"/>
    <w:rsid w:val="21E03C1E"/>
    <w:rsid w:val="21E13187"/>
    <w:rsid w:val="21E15242"/>
    <w:rsid w:val="21E36C06"/>
    <w:rsid w:val="21E800D1"/>
    <w:rsid w:val="21EB1616"/>
    <w:rsid w:val="21EB7868"/>
    <w:rsid w:val="21ED0E6A"/>
    <w:rsid w:val="21EE1107"/>
    <w:rsid w:val="21EF5B80"/>
    <w:rsid w:val="21F4496F"/>
    <w:rsid w:val="21F7445F"/>
    <w:rsid w:val="21FA58CD"/>
    <w:rsid w:val="21FA6D5D"/>
    <w:rsid w:val="2201708C"/>
    <w:rsid w:val="220646A2"/>
    <w:rsid w:val="220F6353"/>
    <w:rsid w:val="2210107D"/>
    <w:rsid w:val="22124DF5"/>
    <w:rsid w:val="221376EB"/>
    <w:rsid w:val="22192627"/>
    <w:rsid w:val="221B56B0"/>
    <w:rsid w:val="221C2118"/>
    <w:rsid w:val="221D1128"/>
    <w:rsid w:val="222608A0"/>
    <w:rsid w:val="22266AF2"/>
    <w:rsid w:val="22280ABD"/>
    <w:rsid w:val="222A213F"/>
    <w:rsid w:val="222C235B"/>
    <w:rsid w:val="222D26E1"/>
    <w:rsid w:val="222D60D3"/>
    <w:rsid w:val="222D7E81"/>
    <w:rsid w:val="223631D9"/>
    <w:rsid w:val="22394A78"/>
    <w:rsid w:val="22396826"/>
    <w:rsid w:val="223C6316"/>
    <w:rsid w:val="223F04E2"/>
    <w:rsid w:val="22405E06"/>
    <w:rsid w:val="22407BB4"/>
    <w:rsid w:val="224A458F"/>
    <w:rsid w:val="224D0523"/>
    <w:rsid w:val="224E3F10"/>
    <w:rsid w:val="224F1189"/>
    <w:rsid w:val="224F1BA5"/>
    <w:rsid w:val="22511DC1"/>
    <w:rsid w:val="225145EB"/>
    <w:rsid w:val="22576990"/>
    <w:rsid w:val="22590C76"/>
    <w:rsid w:val="225A0088"/>
    <w:rsid w:val="225A40A6"/>
    <w:rsid w:val="225A426B"/>
    <w:rsid w:val="225B2C40"/>
    <w:rsid w:val="225B7477"/>
    <w:rsid w:val="225E628C"/>
    <w:rsid w:val="225F35EB"/>
    <w:rsid w:val="22632A99"/>
    <w:rsid w:val="2265761B"/>
    <w:rsid w:val="22680EB9"/>
    <w:rsid w:val="226E2973"/>
    <w:rsid w:val="22734063"/>
    <w:rsid w:val="22753050"/>
    <w:rsid w:val="227635D6"/>
    <w:rsid w:val="22806203"/>
    <w:rsid w:val="228C2DF9"/>
    <w:rsid w:val="228C5D81"/>
    <w:rsid w:val="22925F36"/>
    <w:rsid w:val="22943A5C"/>
    <w:rsid w:val="22993768"/>
    <w:rsid w:val="229C4EAB"/>
    <w:rsid w:val="22A068A5"/>
    <w:rsid w:val="22AC2B5D"/>
    <w:rsid w:val="22AD2D70"/>
    <w:rsid w:val="22AF0896"/>
    <w:rsid w:val="22B674CB"/>
    <w:rsid w:val="22B70195"/>
    <w:rsid w:val="22B91715"/>
    <w:rsid w:val="22BB723B"/>
    <w:rsid w:val="22BF62A8"/>
    <w:rsid w:val="22C02AA3"/>
    <w:rsid w:val="22C2681B"/>
    <w:rsid w:val="22C2713B"/>
    <w:rsid w:val="22C5455D"/>
    <w:rsid w:val="22C55A01"/>
    <w:rsid w:val="22C73E32"/>
    <w:rsid w:val="22C95DFC"/>
    <w:rsid w:val="22CB1664"/>
    <w:rsid w:val="22CB70E1"/>
    <w:rsid w:val="22CC58EC"/>
    <w:rsid w:val="22CD2F8A"/>
    <w:rsid w:val="22D16A5E"/>
    <w:rsid w:val="22D24584"/>
    <w:rsid w:val="22D50B4C"/>
    <w:rsid w:val="22D87DED"/>
    <w:rsid w:val="22DB168B"/>
    <w:rsid w:val="22DF12E8"/>
    <w:rsid w:val="22E20C6B"/>
    <w:rsid w:val="22E26EBD"/>
    <w:rsid w:val="22E348AC"/>
    <w:rsid w:val="22E370DD"/>
    <w:rsid w:val="22E42C35"/>
    <w:rsid w:val="22E5075C"/>
    <w:rsid w:val="22E744D4"/>
    <w:rsid w:val="22E76282"/>
    <w:rsid w:val="22E9024C"/>
    <w:rsid w:val="22EC0514"/>
    <w:rsid w:val="22EC1AEA"/>
    <w:rsid w:val="22EF1F13"/>
    <w:rsid w:val="22EF3388"/>
    <w:rsid w:val="22EF5136"/>
    <w:rsid w:val="22F10325"/>
    <w:rsid w:val="22F32E79"/>
    <w:rsid w:val="22F36224"/>
    <w:rsid w:val="22F626D9"/>
    <w:rsid w:val="22F95FB5"/>
    <w:rsid w:val="22FA5320"/>
    <w:rsid w:val="22FB7F7F"/>
    <w:rsid w:val="23005752"/>
    <w:rsid w:val="230307BE"/>
    <w:rsid w:val="23052BAC"/>
    <w:rsid w:val="230706D2"/>
    <w:rsid w:val="23072F6E"/>
    <w:rsid w:val="230B3A9D"/>
    <w:rsid w:val="231057D9"/>
    <w:rsid w:val="23124597"/>
    <w:rsid w:val="23150953"/>
    <w:rsid w:val="23164DB9"/>
    <w:rsid w:val="23181CF2"/>
    <w:rsid w:val="23187C1A"/>
    <w:rsid w:val="231A09C1"/>
    <w:rsid w:val="231B23CF"/>
    <w:rsid w:val="231D7EF5"/>
    <w:rsid w:val="23250B58"/>
    <w:rsid w:val="23256DAA"/>
    <w:rsid w:val="23264FFC"/>
    <w:rsid w:val="23270D74"/>
    <w:rsid w:val="232A43C0"/>
    <w:rsid w:val="232C1EE7"/>
    <w:rsid w:val="232E2103"/>
    <w:rsid w:val="232E5C5F"/>
    <w:rsid w:val="23343401"/>
    <w:rsid w:val="23362D65"/>
    <w:rsid w:val="23396B62"/>
    <w:rsid w:val="233F124C"/>
    <w:rsid w:val="23425BAE"/>
    <w:rsid w:val="2342795C"/>
    <w:rsid w:val="23427BCD"/>
    <w:rsid w:val="2346744C"/>
    <w:rsid w:val="234A05BF"/>
    <w:rsid w:val="234B6811"/>
    <w:rsid w:val="234F08C0"/>
    <w:rsid w:val="235002CB"/>
    <w:rsid w:val="23517B9F"/>
    <w:rsid w:val="2355768F"/>
    <w:rsid w:val="235A0D1F"/>
    <w:rsid w:val="235C6C70"/>
    <w:rsid w:val="235F43AF"/>
    <w:rsid w:val="23607DE2"/>
    <w:rsid w:val="23614286"/>
    <w:rsid w:val="23621DAC"/>
    <w:rsid w:val="23623B5A"/>
    <w:rsid w:val="23625212"/>
    <w:rsid w:val="23627FFE"/>
    <w:rsid w:val="236E0751"/>
    <w:rsid w:val="236E6522"/>
    <w:rsid w:val="237018FC"/>
    <w:rsid w:val="23720241"/>
    <w:rsid w:val="23735D67"/>
    <w:rsid w:val="23765646"/>
    <w:rsid w:val="2378512C"/>
    <w:rsid w:val="237A70F6"/>
    <w:rsid w:val="237C2E6E"/>
    <w:rsid w:val="237F470C"/>
    <w:rsid w:val="2383034F"/>
    <w:rsid w:val="23890C21"/>
    <w:rsid w:val="238D507B"/>
    <w:rsid w:val="238E494F"/>
    <w:rsid w:val="239051F6"/>
    <w:rsid w:val="23922691"/>
    <w:rsid w:val="2392443F"/>
    <w:rsid w:val="23974966"/>
    <w:rsid w:val="23975438"/>
    <w:rsid w:val="23983A20"/>
    <w:rsid w:val="239A32F4"/>
    <w:rsid w:val="239B6CDE"/>
    <w:rsid w:val="239D2DE4"/>
    <w:rsid w:val="239F4DAE"/>
    <w:rsid w:val="23A67EEB"/>
    <w:rsid w:val="23A74B93"/>
    <w:rsid w:val="23A979DB"/>
    <w:rsid w:val="23B00D6A"/>
    <w:rsid w:val="23B23D14"/>
    <w:rsid w:val="23B4085A"/>
    <w:rsid w:val="23B51EDC"/>
    <w:rsid w:val="23BA5744"/>
    <w:rsid w:val="23BE146B"/>
    <w:rsid w:val="23BE2382"/>
    <w:rsid w:val="23C05D79"/>
    <w:rsid w:val="23C10881"/>
    <w:rsid w:val="23C14D25"/>
    <w:rsid w:val="23C16AD3"/>
    <w:rsid w:val="23C71C0F"/>
    <w:rsid w:val="23C860B3"/>
    <w:rsid w:val="23C91E2B"/>
    <w:rsid w:val="23C94B75"/>
    <w:rsid w:val="23C95987"/>
    <w:rsid w:val="23CB2115"/>
    <w:rsid w:val="23CD191B"/>
    <w:rsid w:val="23CD5478"/>
    <w:rsid w:val="23CE0B11"/>
    <w:rsid w:val="23CE11F0"/>
    <w:rsid w:val="23CE7442"/>
    <w:rsid w:val="23D033B6"/>
    <w:rsid w:val="23DA4A93"/>
    <w:rsid w:val="23DC1B5F"/>
    <w:rsid w:val="23DC3528"/>
    <w:rsid w:val="23DC390D"/>
    <w:rsid w:val="23DD3EED"/>
    <w:rsid w:val="23DE15D6"/>
    <w:rsid w:val="23E2215F"/>
    <w:rsid w:val="23E32EED"/>
    <w:rsid w:val="23E70CF0"/>
    <w:rsid w:val="23E9602A"/>
    <w:rsid w:val="23EB3172"/>
    <w:rsid w:val="23ED78C8"/>
    <w:rsid w:val="23EF6DDD"/>
    <w:rsid w:val="23F0560A"/>
    <w:rsid w:val="23F24EDE"/>
    <w:rsid w:val="23F41E93"/>
    <w:rsid w:val="23F549CE"/>
    <w:rsid w:val="23F724F4"/>
    <w:rsid w:val="23FA1FE5"/>
    <w:rsid w:val="23FC4938"/>
    <w:rsid w:val="24030E99"/>
    <w:rsid w:val="2405635C"/>
    <w:rsid w:val="24062738"/>
    <w:rsid w:val="240864B0"/>
    <w:rsid w:val="240D3AC6"/>
    <w:rsid w:val="24101808"/>
    <w:rsid w:val="24125580"/>
    <w:rsid w:val="241412F8"/>
    <w:rsid w:val="24174945"/>
    <w:rsid w:val="2417728C"/>
    <w:rsid w:val="242332EA"/>
    <w:rsid w:val="24253506"/>
    <w:rsid w:val="242846A7"/>
    <w:rsid w:val="242D23BA"/>
    <w:rsid w:val="24373239"/>
    <w:rsid w:val="24383F19"/>
    <w:rsid w:val="24392B0D"/>
    <w:rsid w:val="24413208"/>
    <w:rsid w:val="2443573A"/>
    <w:rsid w:val="24446896"/>
    <w:rsid w:val="244A2F6C"/>
    <w:rsid w:val="244E3A9F"/>
    <w:rsid w:val="244F2331"/>
    <w:rsid w:val="244F40DF"/>
    <w:rsid w:val="24535D9D"/>
    <w:rsid w:val="24547947"/>
    <w:rsid w:val="245C4A4D"/>
    <w:rsid w:val="245E2574"/>
    <w:rsid w:val="24661642"/>
    <w:rsid w:val="246B4E01"/>
    <w:rsid w:val="246C3C2F"/>
    <w:rsid w:val="246F4781"/>
    <w:rsid w:val="247052DC"/>
    <w:rsid w:val="247268A5"/>
    <w:rsid w:val="247274B4"/>
    <w:rsid w:val="24735AD4"/>
    <w:rsid w:val="247509BC"/>
    <w:rsid w:val="247578BD"/>
    <w:rsid w:val="24773635"/>
    <w:rsid w:val="247973AD"/>
    <w:rsid w:val="24863878"/>
    <w:rsid w:val="248F22B5"/>
    <w:rsid w:val="248F6BD1"/>
    <w:rsid w:val="24A0493A"/>
    <w:rsid w:val="24A23DB7"/>
    <w:rsid w:val="24A26904"/>
    <w:rsid w:val="24A73F1B"/>
    <w:rsid w:val="24AA57B9"/>
    <w:rsid w:val="24AB32DF"/>
    <w:rsid w:val="24B31DC2"/>
    <w:rsid w:val="24B44BFC"/>
    <w:rsid w:val="24B634E8"/>
    <w:rsid w:val="24BB1774"/>
    <w:rsid w:val="24BB2C9E"/>
    <w:rsid w:val="24BB4180"/>
    <w:rsid w:val="24BD373E"/>
    <w:rsid w:val="24C148B0"/>
    <w:rsid w:val="24C20D54"/>
    <w:rsid w:val="24C21763"/>
    <w:rsid w:val="24CA19B7"/>
    <w:rsid w:val="24CC1BD3"/>
    <w:rsid w:val="24CD76F9"/>
    <w:rsid w:val="24CE594B"/>
    <w:rsid w:val="24D40A88"/>
    <w:rsid w:val="24D932C9"/>
    <w:rsid w:val="24DF6C29"/>
    <w:rsid w:val="24E22A16"/>
    <w:rsid w:val="24E567F1"/>
    <w:rsid w:val="24E579C1"/>
    <w:rsid w:val="24E61397"/>
    <w:rsid w:val="24E73D99"/>
    <w:rsid w:val="24EA11A8"/>
    <w:rsid w:val="24EA2059"/>
    <w:rsid w:val="24ED56A6"/>
    <w:rsid w:val="24EE1B49"/>
    <w:rsid w:val="24F133E8"/>
    <w:rsid w:val="24F25D15"/>
    <w:rsid w:val="24F469CF"/>
    <w:rsid w:val="24F46A34"/>
    <w:rsid w:val="24F66C50"/>
    <w:rsid w:val="24F84776"/>
    <w:rsid w:val="24FB4266"/>
    <w:rsid w:val="2503311B"/>
    <w:rsid w:val="25045019"/>
    <w:rsid w:val="25050C41"/>
    <w:rsid w:val="250C1FD0"/>
    <w:rsid w:val="25115838"/>
    <w:rsid w:val="25132A7F"/>
    <w:rsid w:val="25186BC6"/>
    <w:rsid w:val="251D6C08"/>
    <w:rsid w:val="251E273A"/>
    <w:rsid w:val="251E4C45"/>
    <w:rsid w:val="25203CCD"/>
    <w:rsid w:val="252578AB"/>
    <w:rsid w:val="252B1D17"/>
    <w:rsid w:val="252B1ECD"/>
    <w:rsid w:val="252D53FE"/>
    <w:rsid w:val="252E179E"/>
    <w:rsid w:val="25382DC5"/>
    <w:rsid w:val="25387269"/>
    <w:rsid w:val="253A4D8F"/>
    <w:rsid w:val="253B28B5"/>
    <w:rsid w:val="253F0438"/>
    <w:rsid w:val="2540611D"/>
    <w:rsid w:val="25423C43"/>
    <w:rsid w:val="25445C0D"/>
    <w:rsid w:val="254554E2"/>
    <w:rsid w:val="254774AC"/>
    <w:rsid w:val="254A2AF8"/>
    <w:rsid w:val="254C6870"/>
    <w:rsid w:val="254D39A1"/>
    <w:rsid w:val="254E083A"/>
    <w:rsid w:val="254E4396"/>
    <w:rsid w:val="254F0607"/>
    <w:rsid w:val="2551032A"/>
    <w:rsid w:val="255319AC"/>
    <w:rsid w:val="25552D38"/>
    <w:rsid w:val="2557798A"/>
    <w:rsid w:val="25641E0C"/>
    <w:rsid w:val="256516E0"/>
    <w:rsid w:val="256736AA"/>
    <w:rsid w:val="25705E1C"/>
    <w:rsid w:val="25710085"/>
    <w:rsid w:val="25777D91"/>
    <w:rsid w:val="25783B09"/>
    <w:rsid w:val="257858B7"/>
    <w:rsid w:val="25787583"/>
    <w:rsid w:val="257A6826"/>
    <w:rsid w:val="257E0B6C"/>
    <w:rsid w:val="258129BE"/>
    <w:rsid w:val="25820CEA"/>
    <w:rsid w:val="25822292"/>
    <w:rsid w:val="25826736"/>
    <w:rsid w:val="25854EB2"/>
    <w:rsid w:val="258C1362"/>
    <w:rsid w:val="258C4EBE"/>
    <w:rsid w:val="258D2BFC"/>
    <w:rsid w:val="25902C01"/>
    <w:rsid w:val="25910727"/>
    <w:rsid w:val="25916979"/>
    <w:rsid w:val="2593624D"/>
    <w:rsid w:val="25950217"/>
    <w:rsid w:val="259721E1"/>
    <w:rsid w:val="259874E2"/>
    <w:rsid w:val="259A75DB"/>
    <w:rsid w:val="259B0619"/>
    <w:rsid w:val="259C77F7"/>
    <w:rsid w:val="259D531E"/>
    <w:rsid w:val="259F2E44"/>
    <w:rsid w:val="259F4BF2"/>
    <w:rsid w:val="25A06641"/>
    <w:rsid w:val="25A16BBC"/>
    <w:rsid w:val="25A20B86"/>
    <w:rsid w:val="25A246E2"/>
    <w:rsid w:val="25A4045A"/>
    <w:rsid w:val="25AE0DB5"/>
    <w:rsid w:val="25B2102B"/>
    <w:rsid w:val="25B432C7"/>
    <w:rsid w:val="25B6018D"/>
    <w:rsid w:val="25B82157"/>
    <w:rsid w:val="25B95E84"/>
    <w:rsid w:val="25BB4AB6"/>
    <w:rsid w:val="25BD776E"/>
    <w:rsid w:val="25C428AA"/>
    <w:rsid w:val="25C74149"/>
    <w:rsid w:val="25CB59E7"/>
    <w:rsid w:val="25CE197B"/>
    <w:rsid w:val="25D02FFD"/>
    <w:rsid w:val="25D074A1"/>
    <w:rsid w:val="25D16D75"/>
    <w:rsid w:val="25D725DE"/>
    <w:rsid w:val="25D961D0"/>
    <w:rsid w:val="25DE1BBE"/>
    <w:rsid w:val="25DF1492"/>
    <w:rsid w:val="25DF76E4"/>
    <w:rsid w:val="25E60A73"/>
    <w:rsid w:val="25EB42DB"/>
    <w:rsid w:val="25EC2454"/>
    <w:rsid w:val="25EC2D81"/>
    <w:rsid w:val="25F106D6"/>
    <w:rsid w:val="25F3318F"/>
    <w:rsid w:val="25F52A64"/>
    <w:rsid w:val="25F5515A"/>
    <w:rsid w:val="25F74973"/>
    <w:rsid w:val="25FC0296"/>
    <w:rsid w:val="25FC13BE"/>
    <w:rsid w:val="25FD5DBC"/>
    <w:rsid w:val="26022290"/>
    <w:rsid w:val="260458EE"/>
    <w:rsid w:val="260809E9"/>
    <w:rsid w:val="26086C3B"/>
    <w:rsid w:val="260929B3"/>
    <w:rsid w:val="260D24A3"/>
    <w:rsid w:val="260E3B25"/>
    <w:rsid w:val="26110E6F"/>
    <w:rsid w:val="26121868"/>
    <w:rsid w:val="26153106"/>
    <w:rsid w:val="26170C2C"/>
    <w:rsid w:val="261730FD"/>
    <w:rsid w:val="26192BF6"/>
    <w:rsid w:val="262072FB"/>
    <w:rsid w:val="26215F4F"/>
    <w:rsid w:val="2624159B"/>
    <w:rsid w:val="262477ED"/>
    <w:rsid w:val="262B2929"/>
    <w:rsid w:val="262C1DCB"/>
    <w:rsid w:val="262D48F3"/>
    <w:rsid w:val="262D66A1"/>
    <w:rsid w:val="262E5F76"/>
    <w:rsid w:val="26323CB8"/>
    <w:rsid w:val="26345C82"/>
    <w:rsid w:val="26377839"/>
    <w:rsid w:val="26413EFB"/>
    <w:rsid w:val="2644502B"/>
    <w:rsid w:val="26446FFE"/>
    <w:rsid w:val="264528BD"/>
    <w:rsid w:val="26467763"/>
    <w:rsid w:val="26490BC0"/>
    <w:rsid w:val="264F486A"/>
    <w:rsid w:val="26515721"/>
    <w:rsid w:val="26545C54"/>
    <w:rsid w:val="265579A6"/>
    <w:rsid w:val="26591245"/>
    <w:rsid w:val="265C0D35"/>
    <w:rsid w:val="26606A77"/>
    <w:rsid w:val="26645926"/>
    <w:rsid w:val="26681488"/>
    <w:rsid w:val="266B0F78"/>
    <w:rsid w:val="266B5D96"/>
    <w:rsid w:val="266F6CBA"/>
    <w:rsid w:val="2674607E"/>
    <w:rsid w:val="26751DF6"/>
    <w:rsid w:val="26760048"/>
    <w:rsid w:val="2678331D"/>
    <w:rsid w:val="267C4F33"/>
    <w:rsid w:val="267F0C45"/>
    <w:rsid w:val="2681079B"/>
    <w:rsid w:val="268465AB"/>
    <w:rsid w:val="268828FF"/>
    <w:rsid w:val="268842A2"/>
    <w:rsid w:val="268B4F3A"/>
    <w:rsid w:val="268D0EEE"/>
    <w:rsid w:val="268E3B27"/>
    <w:rsid w:val="268F6768"/>
    <w:rsid w:val="26923BC9"/>
    <w:rsid w:val="26936D10"/>
    <w:rsid w:val="26962499"/>
    <w:rsid w:val="2696358E"/>
    <w:rsid w:val="269811C6"/>
    <w:rsid w:val="269823AA"/>
    <w:rsid w:val="269C3827"/>
    <w:rsid w:val="269E30FB"/>
    <w:rsid w:val="26A36964"/>
    <w:rsid w:val="26A77398"/>
    <w:rsid w:val="26AA5F44"/>
    <w:rsid w:val="26AB5818"/>
    <w:rsid w:val="26AD1F5C"/>
    <w:rsid w:val="26AF5308"/>
    <w:rsid w:val="26B20955"/>
    <w:rsid w:val="26B7240F"/>
    <w:rsid w:val="26B80661"/>
    <w:rsid w:val="26B97F35"/>
    <w:rsid w:val="26BE72FA"/>
    <w:rsid w:val="26C07516"/>
    <w:rsid w:val="26C16DEA"/>
    <w:rsid w:val="26C37006"/>
    <w:rsid w:val="26C80178"/>
    <w:rsid w:val="26CA3EF0"/>
    <w:rsid w:val="26CB3A94"/>
    <w:rsid w:val="26D0702D"/>
    <w:rsid w:val="26D66D39"/>
    <w:rsid w:val="26D92385"/>
    <w:rsid w:val="26D94133"/>
    <w:rsid w:val="26DC6C91"/>
    <w:rsid w:val="26DD103B"/>
    <w:rsid w:val="26DE174A"/>
    <w:rsid w:val="26E10197"/>
    <w:rsid w:val="26E14D5A"/>
    <w:rsid w:val="26E256DE"/>
    <w:rsid w:val="26E33204"/>
    <w:rsid w:val="26E36D60"/>
    <w:rsid w:val="26E47D34"/>
    <w:rsid w:val="26E52AD8"/>
    <w:rsid w:val="26E66850"/>
    <w:rsid w:val="26E74AA2"/>
    <w:rsid w:val="26E80EE7"/>
    <w:rsid w:val="26EC030B"/>
    <w:rsid w:val="26ED223B"/>
    <w:rsid w:val="26EF7DFB"/>
    <w:rsid w:val="26F1147D"/>
    <w:rsid w:val="26F15921"/>
    <w:rsid w:val="26F40F6D"/>
    <w:rsid w:val="26F60CAF"/>
    <w:rsid w:val="26F61189"/>
    <w:rsid w:val="26F71615"/>
    <w:rsid w:val="2700492A"/>
    <w:rsid w:val="2702368A"/>
    <w:rsid w:val="27076EF2"/>
    <w:rsid w:val="27160EE4"/>
    <w:rsid w:val="271967C0"/>
    <w:rsid w:val="271B0BF0"/>
    <w:rsid w:val="27221F7E"/>
    <w:rsid w:val="27233601"/>
    <w:rsid w:val="272445CF"/>
    <w:rsid w:val="27247AA4"/>
    <w:rsid w:val="272C0707"/>
    <w:rsid w:val="272E5D11"/>
    <w:rsid w:val="272F1FA5"/>
    <w:rsid w:val="273121C1"/>
    <w:rsid w:val="273306F3"/>
    <w:rsid w:val="27377A67"/>
    <w:rsid w:val="27383550"/>
    <w:rsid w:val="27391076"/>
    <w:rsid w:val="273B094A"/>
    <w:rsid w:val="27433CA3"/>
    <w:rsid w:val="274C0DA9"/>
    <w:rsid w:val="274C2B57"/>
    <w:rsid w:val="274E2D73"/>
    <w:rsid w:val="274E4B21"/>
    <w:rsid w:val="274F616C"/>
    <w:rsid w:val="2750262D"/>
    <w:rsid w:val="27524CC1"/>
    <w:rsid w:val="2753038A"/>
    <w:rsid w:val="27585A15"/>
    <w:rsid w:val="2758774E"/>
    <w:rsid w:val="27592132"/>
    <w:rsid w:val="275B2D9A"/>
    <w:rsid w:val="275C5E37"/>
    <w:rsid w:val="275D2FB6"/>
    <w:rsid w:val="275E59B7"/>
    <w:rsid w:val="275E733D"/>
    <w:rsid w:val="2760669F"/>
    <w:rsid w:val="2762237B"/>
    <w:rsid w:val="27637EA1"/>
    <w:rsid w:val="276500BD"/>
    <w:rsid w:val="276A7481"/>
    <w:rsid w:val="276B50A0"/>
    <w:rsid w:val="276E0D20"/>
    <w:rsid w:val="27786E27"/>
    <w:rsid w:val="27787DF0"/>
    <w:rsid w:val="277976C4"/>
    <w:rsid w:val="277A3B68"/>
    <w:rsid w:val="277B0D7F"/>
    <w:rsid w:val="277B343D"/>
    <w:rsid w:val="277B51EB"/>
    <w:rsid w:val="277D0F63"/>
    <w:rsid w:val="277D5407"/>
    <w:rsid w:val="277F117F"/>
    <w:rsid w:val="27806CA5"/>
    <w:rsid w:val="27826579"/>
    <w:rsid w:val="2785379B"/>
    <w:rsid w:val="27871DE1"/>
    <w:rsid w:val="27873B8F"/>
    <w:rsid w:val="27895B59"/>
    <w:rsid w:val="27897907"/>
    <w:rsid w:val="278A3680"/>
    <w:rsid w:val="278E278E"/>
    <w:rsid w:val="27905EE6"/>
    <w:rsid w:val="27983FEE"/>
    <w:rsid w:val="27985E53"/>
    <w:rsid w:val="279B6677"/>
    <w:rsid w:val="279D1605"/>
    <w:rsid w:val="279D7857"/>
    <w:rsid w:val="279E3F73"/>
    <w:rsid w:val="279F193A"/>
    <w:rsid w:val="279F537D"/>
    <w:rsid w:val="27A60C72"/>
    <w:rsid w:val="27AD6260"/>
    <w:rsid w:val="27AD638E"/>
    <w:rsid w:val="27B01338"/>
    <w:rsid w:val="27B23302"/>
    <w:rsid w:val="27B30E28"/>
    <w:rsid w:val="27B40E77"/>
    <w:rsid w:val="27BA5D13"/>
    <w:rsid w:val="27BD06EE"/>
    <w:rsid w:val="27BF3329"/>
    <w:rsid w:val="27C1173F"/>
    <w:rsid w:val="27C2106B"/>
    <w:rsid w:val="27C22E19"/>
    <w:rsid w:val="27C76682"/>
    <w:rsid w:val="27C85CF5"/>
    <w:rsid w:val="27CE17BE"/>
    <w:rsid w:val="27D15DD1"/>
    <w:rsid w:val="27D25752"/>
    <w:rsid w:val="27D50D9F"/>
    <w:rsid w:val="27D66A0D"/>
    <w:rsid w:val="27D90D77"/>
    <w:rsid w:val="27DA63B5"/>
    <w:rsid w:val="27DF1DAC"/>
    <w:rsid w:val="27E40FE2"/>
    <w:rsid w:val="27E72880"/>
    <w:rsid w:val="27EE09E2"/>
    <w:rsid w:val="27F03E2A"/>
    <w:rsid w:val="27F473D8"/>
    <w:rsid w:val="27F82CDF"/>
    <w:rsid w:val="27FA6426"/>
    <w:rsid w:val="27FF7BCA"/>
    <w:rsid w:val="28011B94"/>
    <w:rsid w:val="28017DE6"/>
    <w:rsid w:val="280478D6"/>
    <w:rsid w:val="280653FC"/>
    <w:rsid w:val="28096C9A"/>
    <w:rsid w:val="280B656E"/>
    <w:rsid w:val="280B7BC3"/>
    <w:rsid w:val="280E42B1"/>
    <w:rsid w:val="28123DA1"/>
    <w:rsid w:val="28164F13"/>
    <w:rsid w:val="28173165"/>
    <w:rsid w:val="28177609"/>
    <w:rsid w:val="281A2C55"/>
    <w:rsid w:val="281F201A"/>
    <w:rsid w:val="28212236"/>
    <w:rsid w:val="28213FE4"/>
    <w:rsid w:val="28237166"/>
    <w:rsid w:val="28277120"/>
    <w:rsid w:val="28304227"/>
    <w:rsid w:val="28304CAC"/>
    <w:rsid w:val="28327F9F"/>
    <w:rsid w:val="283334DF"/>
    <w:rsid w:val="2833567F"/>
    <w:rsid w:val="28335AC5"/>
    <w:rsid w:val="28337E41"/>
    <w:rsid w:val="283830DC"/>
    <w:rsid w:val="28396011"/>
    <w:rsid w:val="283D06F2"/>
    <w:rsid w:val="283E2079"/>
    <w:rsid w:val="283F26BC"/>
    <w:rsid w:val="284C02A7"/>
    <w:rsid w:val="284D6B87"/>
    <w:rsid w:val="284E28FF"/>
    <w:rsid w:val="28501239"/>
    <w:rsid w:val="2852419D"/>
    <w:rsid w:val="28551EE0"/>
    <w:rsid w:val="285C14C0"/>
    <w:rsid w:val="285C501C"/>
    <w:rsid w:val="285D2B42"/>
    <w:rsid w:val="285F2D5E"/>
    <w:rsid w:val="285F7943"/>
    <w:rsid w:val="28602527"/>
    <w:rsid w:val="28650375"/>
    <w:rsid w:val="28652321"/>
    <w:rsid w:val="2869172C"/>
    <w:rsid w:val="28695417"/>
    <w:rsid w:val="286B34B1"/>
    <w:rsid w:val="286C33DB"/>
    <w:rsid w:val="28702875"/>
    <w:rsid w:val="28706D19"/>
    <w:rsid w:val="28724840"/>
    <w:rsid w:val="28731691"/>
    <w:rsid w:val="287560DE"/>
    <w:rsid w:val="28760635"/>
    <w:rsid w:val="2876639C"/>
    <w:rsid w:val="287F0D0A"/>
    <w:rsid w:val="28813F71"/>
    <w:rsid w:val="28814A83"/>
    <w:rsid w:val="288307FB"/>
    <w:rsid w:val="288602EB"/>
    <w:rsid w:val="28874D02"/>
    <w:rsid w:val="28924EE2"/>
    <w:rsid w:val="289447B6"/>
    <w:rsid w:val="2895052E"/>
    <w:rsid w:val="289651BD"/>
    <w:rsid w:val="289933AC"/>
    <w:rsid w:val="289E5635"/>
    <w:rsid w:val="289F4A11"/>
    <w:rsid w:val="28A1297A"/>
    <w:rsid w:val="28A76295"/>
    <w:rsid w:val="28A864B3"/>
    <w:rsid w:val="28AB7D51"/>
    <w:rsid w:val="28AD3ACA"/>
    <w:rsid w:val="28B135BA"/>
    <w:rsid w:val="28B210E0"/>
    <w:rsid w:val="28B430AA"/>
    <w:rsid w:val="28B46C06"/>
    <w:rsid w:val="28B766F6"/>
    <w:rsid w:val="28B8366A"/>
    <w:rsid w:val="28BA1D43"/>
    <w:rsid w:val="28BC3D0D"/>
    <w:rsid w:val="28BC7129"/>
    <w:rsid w:val="28C36E49"/>
    <w:rsid w:val="28C606E7"/>
    <w:rsid w:val="28CA01D8"/>
    <w:rsid w:val="28CC21F1"/>
    <w:rsid w:val="28CF57EE"/>
    <w:rsid w:val="28D252DE"/>
    <w:rsid w:val="28D41056"/>
    <w:rsid w:val="28D56B7C"/>
    <w:rsid w:val="28D6244E"/>
    <w:rsid w:val="28D64DCE"/>
    <w:rsid w:val="28D92B11"/>
    <w:rsid w:val="28DA4193"/>
    <w:rsid w:val="28DB32AB"/>
    <w:rsid w:val="28DC0C29"/>
    <w:rsid w:val="28DC798B"/>
    <w:rsid w:val="28DE142D"/>
    <w:rsid w:val="28DE1ED5"/>
    <w:rsid w:val="28DE5E2A"/>
    <w:rsid w:val="28DF3C8D"/>
    <w:rsid w:val="28E079FB"/>
    <w:rsid w:val="28E514B5"/>
    <w:rsid w:val="28E54BC4"/>
    <w:rsid w:val="28E60D8A"/>
    <w:rsid w:val="28EA087A"/>
    <w:rsid w:val="28EA3771"/>
    <w:rsid w:val="28EE2D47"/>
    <w:rsid w:val="28F33BD2"/>
    <w:rsid w:val="28F45255"/>
    <w:rsid w:val="28F74D45"/>
    <w:rsid w:val="28F9286B"/>
    <w:rsid w:val="29001E4B"/>
    <w:rsid w:val="29017971"/>
    <w:rsid w:val="29023E15"/>
    <w:rsid w:val="29080D00"/>
    <w:rsid w:val="29086F52"/>
    <w:rsid w:val="290A766E"/>
    <w:rsid w:val="290D27BA"/>
    <w:rsid w:val="291D0C4F"/>
    <w:rsid w:val="291D7154"/>
    <w:rsid w:val="29206EB8"/>
    <w:rsid w:val="29211DC2"/>
    <w:rsid w:val="292136CE"/>
    <w:rsid w:val="292518B2"/>
    <w:rsid w:val="292813A2"/>
    <w:rsid w:val="292875F4"/>
    <w:rsid w:val="29291B2B"/>
    <w:rsid w:val="292A511A"/>
    <w:rsid w:val="292C49EE"/>
    <w:rsid w:val="292D4147"/>
    <w:rsid w:val="292D69B8"/>
    <w:rsid w:val="292E034E"/>
    <w:rsid w:val="292F2731"/>
    <w:rsid w:val="292F67EE"/>
    <w:rsid w:val="29324F91"/>
    <w:rsid w:val="29341AF5"/>
    <w:rsid w:val="29347D47"/>
    <w:rsid w:val="29373393"/>
    <w:rsid w:val="2939535D"/>
    <w:rsid w:val="2939710B"/>
    <w:rsid w:val="294066EC"/>
    <w:rsid w:val="29420FD2"/>
    <w:rsid w:val="29471828"/>
    <w:rsid w:val="294A1318"/>
    <w:rsid w:val="294A3CD7"/>
    <w:rsid w:val="294C22A1"/>
    <w:rsid w:val="294C5091"/>
    <w:rsid w:val="295126A7"/>
    <w:rsid w:val="295876D6"/>
    <w:rsid w:val="295C2DFA"/>
    <w:rsid w:val="295E3016"/>
    <w:rsid w:val="29606D8E"/>
    <w:rsid w:val="296244C7"/>
    <w:rsid w:val="29634F5F"/>
    <w:rsid w:val="29652E48"/>
    <w:rsid w:val="29657F00"/>
    <w:rsid w:val="296B6BF6"/>
    <w:rsid w:val="296C128F"/>
    <w:rsid w:val="296C4BAC"/>
    <w:rsid w:val="296C74E1"/>
    <w:rsid w:val="2973261D"/>
    <w:rsid w:val="29752839"/>
    <w:rsid w:val="297665B1"/>
    <w:rsid w:val="29785E86"/>
    <w:rsid w:val="29797B7D"/>
    <w:rsid w:val="297C5914"/>
    <w:rsid w:val="297E7214"/>
    <w:rsid w:val="297F5466"/>
    <w:rsid w:val="29852351"/>
    <w:rsid w:val="29890093"/>
    <w:rsid w:val="298B4335"/>
    <w:rsid w:val="298E38FB"/>
    <w:rsid w:val="29903241"/>
    <w:rsid w:val="29916F47"/>
    <w:rsid w:val="29917294"/>
    <w:rsid w:val="2996177C"/>
    <w:rsid w:val="2996455E"/>
    <w:rsid w:val="2996630C"/>
    <w:rsid w:val="29966FCF"/>
    <w:rsid w:val="29967E2D"/>
    <w:rsid w:val="29982084"/>
    <w:rsid w:val="29986528"/>
    <w:rsid w:val="299A404E"/>
    <w:rsid w:val="29A5470F"/>
    <w:rsid w:val="29A96C5C"/>
    <w:rsid w:val="29A97E6C"/>
    <w:rsid w:val="29AA0009"/>
    <w:rsid w:val="29AA1DB7"/>
    <w:rsid w:val="29AB625B"/>
    <w:rsid w:val="29AE18A7"/>
    <w:rsid w:val="29AE5D4B"/>
    <w:rsid w:val="29B175E9"/>
    <w:rsid w:val="29B806DA"/>
    <w:rsid w:val="29B82726"/>
    <w:rsid w:val="29BD08F2"/>
    <w:rsid w:val="29BE1908"/>
    <w:rsid w:val="29BF1D06"/>
    <w:rsid w:val="29C410CB"/>
    <w:rsid w:val="29C643E5"/>
    <w:rsid w:val="29C70AA4"/>
    <w:rsid w:val="29CC7F7F"/>
    <w:rsid w:val="29D60DFE"/>
    <w:rsid w:val="29D63102"/>
    <w:rsid w:val="29D7596E"/>
    <w:rsid w:val="29D82DC8"/>
    <w:rsid w:val="29DD4321"/>
    <w:rsid w:val="29E325E0"/>
    <w:rsid w:val="29EB2AFB"/>
    <w:rsid w:val="29EB48A9"/>
    <w:rsid w:val="29EB7E9F"/>
    <w:rsid w:val="29EC23D0"/>
    <w:rsid w:val="29EF43E8"/>
    <w:rsid w:val="29F00112"/>
    <w:rsid w:val="29F41202"/>
    <w:rsid w:val="29F5538C"/>
    <w:rsid w:val="29F55728"/>
    <w:rsid w:val="29FB2071"/>
    <w:rsid w:val="29FC1D70"/>
    <w:rsid w:val="29FC6AB7"/>
    <w:rsid w:val="29FF2103"/>
    <w:rsid w:val="2A0911D4"/>
    <w:rsid w:val="2A094D30"/>
    <w:rsid w:val="2A0A5FF9"/>
    <w:rsid w:val="2A0B6CFA"/>
    <w:rsid w:val="2A0C6676"/>
    <w:rsid w:val="2A110088"/>
    <w:rsid w:val="2A142478"/>
    <w:rsid w:val="2A163DA4"/>
    <w:rsid w:val="2A1738F0"/>
    <w:rsid w:val="2A1831C5"/>
    <w:rsid w:val="2A1C25CC"/>
    <w:rsid w:val="2A261D85"/>
    <w:rsid w:val="2A263B34"/>
    <w:rsid w:val="2A27165A"/>
    <w:rsid w:val="2A2A2060"/>
    <w:rsid w:val="2A2C6C70"/>
    <w:rsid w:val="2A2C7A58"/>
    <w:rsid w:val="2A2D05FF"/>
    <w:rsid w:val="2A2E4796"/>
    <w:rsid w:val="2A32072A"/>
    <w:rsid w:val="2A332420"/>
    <w:rsid w:val="2A337FFE"/>
    <w:rsid w:val="2A353D77"/>
    <w:rsid w:val="2A360FB4"/>
    <w:rsid w:val="2A385615"/>
    <w:rsid w:val="2A4346E5"/>
    <w:rsid w:val="2A44045E"/>
    <w:rsid w:val="2A452503"/>
    <w:rsid w:val="2A465F84"/>
    <w:rsid w:val="2A467D32"/>
    <w:rsid w:val="2A491627"/>
    <w:rsid w:val="2A4B17EC"/>
    <w:rsid w:val="2A524929"/>
    <w:rsid w:val="2A5561C7"/>
    <w:rsid w:val="2A581813"/>
    <w:rsid w:val="2A585CB7"/>
    <w:rsid w:val="2A5D6D30"/>
    <w:rsid w:val="2A5F7045"/>
    <w:rsid w:val="2A61691A"/>
    <w:rsid w:val="2A636B36"/>
    <w:rsid w:val="2A6428AE"/>
    <w:rsid w:val="2A643B57"/>
    <w:rsid w:val="2A697EC4"/>
    <w:rsid w:val="2A6B1334"/>
    <w:rsid w:val="2A6D3510"/>
    <w:rsid w:val="2A6F54DA"/>
    <w:rsid w:val="2A7228D5"/>
    <w:rsid w:val="2A73489F"/>
    <w:rsid w:val="2A742AF1"/>
    <w:rsid w:val="2A756869"/>
    <w:rsid w:val="2A78062B"/>
    <w:rsid w:val="2A791292"/>
    <w:rsid w:val="2A7A5D12"/>
    <w:rsid w:val="2A7B6309"/>
    <w:rsid w:val="2A801755"/>
    <w:rsid w:val="2A830965"/>
    <w:rsid w:val="2A842E0D"/>
    <w:rsid w:val="2A857040"/>
    <w:rsid w:val="2A88034A"/>
    <w:rsid w:val="2A8B1BE9"/>
    <w:rsid w:val="2A8C0497"/>
    <w:rsid w:val="2A9211C9"/>
    <w:rsid w:val="2A924D25"/>
    <w:rsid w:val="2A924FCC"/>
    <w:rsid w:val="2A95137B"/>
    <w:rsid w:val="2A9C2048"/>
    <w:rsid w:val="2A9D15F2"/>
    <w:rsid w:val="2A9E4D57"/>
    <w:rsid w:val="2AA1140C"/>
    <w:rsid w:val="2AA2188F"/>
    <w:rsid w:val="2AA2529F"/>
    <w:rsid w:val="2AA35184"/>
    <w:rsid w:val="2AA36F92"/>
    <w:rsid w:val="2AA50EFC"/>
    <w:rsid w:val="2AA62753"/>
    <w:rsid w:val="2AA809EC"/>
    <w:rsid w:val="2AAB5DE7"/>
    <w:rsid w:val="2AAD433F"/>
    <w:rsid w:val="2AAE58D7"/>
    <w:rsid w:val="2AB00919"/>
    <w:rsid w:val="2AB23619"/>
    <w:rsid w:val="2AB24AC6"/>
    <w:rsid w:val="2AB30A53"/>
    <w:rsid w:val="2AB412AE"/>
    <w:rsid w:val="2AB56C65"/>
    <w:rsid w:val="2AB64438"/>
    <w:rsid w:val="2AB7478C"/>
    <w:rsid w:val="2AB96756"/>
    <w:rsid w:val="2ABA24CE"/>
    <w:rsid w:val="2ABC7FF4"/>
    <w:rsid w:val="2ABE4C3D"/>
    <w:rsid w:val="2ABF7AE4"/>
    <w:rsid w:val="2AC01F46"/>
    <w:rsid w:val="2AC12920"/>
    <w:rsid w:val="2AC1385C"/>
    <w:rsid w:val="2AC24A4E"/>
    <w:rsid w:val="2AC450FA"/>
    <w:rsid w:val="2AC66B4F"/>
    <w:rsid w:val="2ACB0237"/>
    <w:rsid w:val="2ACB46DB"/>
    <w:rsid w:val="2ACB6489"/>
    <w:rsid w:val="2ACE4132"/>
    <w:rsid w:val="2AD57308"/>
    <w:rsid w:val="2AD74E2E"/>
    <w:rsid w:val="2AD757E4"/>
    <w:rsid w:val="2AD76BDC"/>
    <w:rsid w:val="2AD861DD"/>
    <w:rsid w:val="2AD905D3"/>
    <w:rsid w:val="2ADA66CC"/>
    <w:rsid w:val="2ADB2A24"/>
    <w:rsid w:val="2ADE440E"/>
    <w:rsid w:val="2AE228F7"/>
    <w:rsid w:val="2AE412F9"/>
    <w:rsid w:val="2AEA21EB"/>
    <w:rsid w:val="2AEF03C9"/>
    <w:rsid w:val="2AF23A16"/>
    <w:rsid w:val="2AF43C32"/>
    <w:rsid w:val="2AF459E0"/>
    <w:rsid w:val="2AF7102C"/>
    <w:rsid w:val="2AF84B1D"/>
    <w:rsid w:val="2AFC2AE6"/>
    <w:rsid w:val="2AFF093C"/>
    <w:rsid w:val="2B022A53"/>
    <w:rsid w:val="2B033E75"/>
    <w:rsid w:val="2B0379D1"/>
    <w:rsid w:val="2B0A5203"/>
    <w:rsid w:val="2B0B5E2F"/>
    <w:rsid w:val="2B0C0FDF"/>
    <w:rsid w:val="2B0D0850"/>
    <w:rsid w:val="2B0E3784"/>
    <w:rsid w:val="2B1240B8"/>
    <w:rsid w:val="2B163BA8"/>
    <w:rsid w:val="2B1716CE"/>
    <w:rsid w:val="2B193698"/>
    <w:rsid w:val="2B2360C9"/>
    <w:rsid w:val="2B277B63"/>
    <w:rsid w:val="2B2838DB"/>
    <w:rsid w:val="2B2C517A"/>
    <w:rsid w:val="2B2D2CA0"/>
    <w:rsid w:val="2B361B54"/>
    <w:rsid w:val="2B3B11AE"/>
    <w:rsid w:val="2B3D7387"/>
    <w:rsid w:val="2B3E6C5B"/>
    <w:rsid w:val="2B435C33"/>
    <w:rsid w:val="2B45623B"/>
    <w:rsid w:val="2B457FE9"/>
    <w:rsid w:val="2B492D8D"/>
    <w:rsid w:val="2B4A3852"/>
    <w:rsid w:val="2B4C7BA5"/>
    <w:rsid w:val="2B4F0E68"/>
    <w:rsid w:val="2B54022C"/>
    <w:rsid w:val="2B5841C1"/>
    <w:rsid w:val="2B585F6F"/>
    <w:rsid w:val="2B5B780D"/>
    <w:rsid w:val="2B5E10AB"/>
    <w:rsid w:val="2B604E23"/>
    <w:rsid w:val="2B620B9B"/>
    <w:rsid w:val="2B634913"/>
    <w:rsid w:val="2B6366C1"/>
    <w:rsid w:val="2B69017C"/>
    <w:rsid w:val="2B6C5576"/>
    <w:rsid w:val="2B6C62CF"/>
    <w:rsid w:val="2B6C7C6C"/>
    <w:rsid w:val="2B6D775F"/>
    <w:rsid w:val="2B6F2DD8"/>
    <w:rsid w:val="2B74267D"/>
    <w:rsid w:val="2B75326F"/>
    <w:rsid w:val="2B764647"/>
    <w:rsid w:val="2B77216D"/>
    <w:rsid w:val="2B7B7EAF"/>
    <w:rsid w:val="2B7D7783"/>
    <w:rsid w:val="2B7E058C"/>
    <w:rsid w:val="2B7E34FB"/>
    <w:rsid w:val="2B822FEC"/>
    <w:rsid w:val="2B8723B0"/>
    <w:rsid w:val="2B8C3E6A"/>
    <w:rsid w:val="2B8F5708"/>
    <w:rsid w:val="2B8F74B6"/>
    <w:rsid w:val="2B911481"/>
    <w:rsid w:val="2B9B0113"/>
    <w:rsid w:val="2B9B22FF"/>
    <w:rsid w:val="2B9D1BD3"/>
    <w:rsid w:val="2B9F3D2E"/>
    <w:rsid w:val="2BA03472"/>
    <w:rsid w:val="2BA61030"/>
    <w:rsid w:val="2BA936A8"/>
    <w:rsid w:val="2BA94A1C"/>
    <w:rsid w:val="2BAA3D44"/>
    <w:rsid w:val="2BAE2033"/>
    <w:rsid w:val="2BAE3DE1"/>
    <w:rsid w:val="2BAE6156"/>
    <w:rsid w:val="2BAF1907"/>
    <w:rsid w:val="2BB12C5F"/>
    <w:rsid w:val="2BB45CC1"/>
    <w:rsid w:val="2BB533C1"/>
    <w:rsid w:val="2BB57697"/>
    <w:rsid w:val="2BB67139"/>
    <w:rsid w:val="2BB83445"/>
    <w:rsid w:val="2BB86A0D"/>
    <w:rsid w:val="2BBA09D7"/>
    <w:rsid w:val="2BBA5CF7"/>
    <w:rsid w:val="2BBB64FD"/>
    <w:rsid w:val="2BBD13CD"/>
    <w:rsid w:val="2BBD4A6B"/>
    <w:rsid w:val="2BBE64C7"/>
    <w:rsid w:val="2BC01D66"/>
    <w:rsid w:val="2BC264BA"/>
    <w:rsid w:val="2BC442AE"/>
    <w:rsid w:val="2BCF5BB2"/>
    <w:rsid w:val="2BD001FB"/>
    <w:rsid w:val="2BD1187D"/>
    <w:rsid w:val="2BD355F5"/>
    <w:rsid w:val="2BD61589"/>
    <w:rsid w:val="2BDB6BA0"/>
    <w:rsid w:val="2BDC2840"/>
    <w:rsid w:val="2BE05F64"/>
    <w:rsid w:val="2BE414A3"/>
    <w:rsid w:val="2BE55328"/>
    <w:rsid w:val="2BE733F6"/>
    <w:rsid w:val="2BEA71D2"/>
    <w:rsid w:val="2BEE68D3"/>
    <w:rsid w:val="2BF06C2B"/>
    <w:rsid w:val="2BF437BD"/>
    <w:rsid w:val="2BFB2D9E"/>
    <w:rsid w:val="2BFD2672"/>
    <w:rsid w:val="2BFD7003"/>
    <w:rsid w:val="2BFF4499"/>
    <w:rsid w:val="2BFF63EA"/>
    <w:rsid w:val="2BFF77EC"/>
    <w:rsid w:val="2C0003B4"/>
    <w:rsid w:val="2C02237E"/>
    <w:rsid w:val="2C022E1A"/>
    <w:rsid w:val="2C025EDA"/>
    <w:rsid w:val="2C045708"/>
    <w:rsid w:val="2C047EA4"/>
    <w:rsid w:val="2C0504DF"/>
    <w:rsid w:val="2C0559CB"/>
    <w:rsid w:val="2C063C1D"/>
    <w:rsid w:val="2C0C6D59"/>
    <w:rsid w:val="2C11436F"/>
    <w:rsid w:val="2C1300E8"/>
    <w:rsid w:val="2C161986"/>
    <w:rsid w:val="2C175C27"/>
    <w:rsid w:val="2C1874AC"/>
    <w:rsid w:val="2C1A1476"/>
    <w:rsid w:val="2C1B0D4A"/>
    <w:rsid w:val="2C1B6F9C"/>
    <w:rsid w:val="2C251BC9"/>
    <w:rsid w:val="2C296E55"/>
    <w:rsid w:val="2C2C3DE8"/>
    <w:rsid w:val="2C2C7879"/>
    <w:rsid w:val="2C300C99"/>
    <w:rsid w:val="2C302A48"/>
    <w:rsid w:val="2C31218A"/>
    <w:rsid w:val="2C315A5A"/>
    <w:rsid w:val="2C327883"/>
    <w:rsid w:val="2C332538"/>
    <w:rsid w:val="2C35005E"/>
    <w:rsid w:val="2C363DD6"/>
    <w:rsid w:val="2C3C763E"/>
    <w:rsid w:val="2C3F712F"/>
    <w:rsid w:val="2C446EDF"/>
    <w:rsid w:val="2C46226B"/>
    <w:rsid w:val="2C477D91"/>
    <w:rsid w:val="2C484235"/>
    <w:rsid w:val="2C487FD5"/>
    <w:rsid w:val="2C50426F"/>
    <w:rsid w:val="2C532BDA"/>
    <w:rsid w:val="2C534988"/>
    <w:rsid w:val="2C54585B"/>
    <w:rsid w:val="2C55425C"/>
    <w:rsid w:val="2C571A8D"/>
    <w:rsid w:val="2C587B0C"/>
    <w:rsid w:val="2C5B55EB"/>
    <w:rsid w:val="2C5D1363"/>
    <w:rsid w:val="2C6426F1"/>
    <w:rsid w:val="2C644CC2"/>
    <w:rsid w:val="2C652EE7"/>
    <w:rsid w:val="2C6754A3"/>
    <w:rsid w:val="2C693389"/>
    <w:rsid w:val="2C70553A"/>
    <w:rsid w:val="2C723060"/>
    <w:rsid w:val="2C732934"/>
    <w:rsid w:val="2C7F39CF"/>
    <w:rsid w:val="2C815051"/>
    <w:rsid w:val="2C840FE5"/>
    <w:rsid w:val="2C8608B9"/>
    <w:rsid w:val="2C892A75"/>
    <w:rsid w:val="2C9034E6"/>
    <w:rsid w:val="2C923702"/>
    <w:rsid w:val="2C954FA0"/>
    <w:rsid w:val="2C9805ED"/>
    <w:rsid w:val="2C985B8A"/>
    <w:rsid w:val="2C9F5E1F"/>
    <w:rsid w:val="2CA70830"/>
    <w:rsid w:val="2CA86A82"/>
    <w:rsid w:val="2CA9478B"/>
    <w:rsid w:val="2CAC09AD"/>
    <w:rsid w:val="2CAE4A0E"/>
    <w:rsid w:val="2CB01DDA"/>
    <w:rsid w:val="2CB06299"/>
    <w:rsid w:val="2CB34EDA"/>
    <w:rsid w:val="2CB90C8F"/>
    <w:rsid w:val="2CBC252D"/>
    <w:rsid w:val="2CC213E0"/>
    <w:rsid w:val="2CC31B0E"/>
    <w:rsid w:val="2CC413E2"/>
    <w:rsid w:val="2CC66F08"/>
    <w:rsid w:val="2CC9212B"/>
    <w:rsid w:val="2CCB451E"/>
    <w:rsid w:val="2CCE400E"/>
    <w:rsid w:val="2CCF04B2"/>
    <w:rsid w:val="2CD0422B"/>
    <w:rsid w:val="2CD629A7"/>
    <w:rsid w:val="2CD755B9"/>
    <w:rsid w:val="2CD77367"/>
    <w:rsid w:val="2CD979CA"/>
    <w:rsid w:val="2CDC0358"/>
    <w:rsid w:val="2CDD51B6"/>
    <w:rsid w:val="2CE101E6"/>
    <w:rsid w:val="2CE11F94"/>
    <w:rsid w:val="2CE455E0"/>
    <w:rsid w:val="2CE51A84"/>
    <w:rsid w:val="2CED52F7"/>
    <w:rsid w:val="2CF4294C"/>
    <w:rsid w:val="2CFC0B7C"/>
    <w:rsid w:val="2CFE3816"/>
    <w:rsid w:val="2CFE48F4"/>
    <w:rsid w:val="2CFF066C"/>
    <w:rsid w:val="2D0143E4"/>
    <w:rsid w:val="2D0A773C"/>
    <w:rsid w:val="2D0C4CA8"/>
    <w:rsid w:val="2D0D4B37"/>
    <w:rsid w:val="2D12039F"/>
    <w:rsid w:val="2D122D03"/>
    <w:rsid w:val="2D142369"/>
    <w:rsid w:val="2D151C3D"/>
    <w:rsid w:val="2D2325AC"/>
    <w:rsid w:val="2D232822"/>
    <w:rsid w:val="2D241E80"/>
    <w:rsid w:val="2D257DDB"/>
    <w:rsid w:val="2D2A1671"/>
    <w:rsid w:val="2D2A393B"/>
    <w:rsid w:val="2D2A56E9"/>
    <w:rsid w:val="2D2D51D9"/>
    <w:rsid w:val="2D2E3032"/>
    <w:rsid w:val="2D306A77"/>
    <w:rsid w:val="2D360531"/>
    <w:rsid w:val="2D3622E0"/>
    <w:rsid w:val="2D3C366E"/>
    <w:rsid w:val="2D40315E"/>
    <w:rsid w:val="2D464721"/>
    <w:rsid w:val="2D4B1056"/>
    <w:rsid w:val="2D4D405D"/>
    <w:rsid w:val="2D593A83"/>
    <w:rsid w:val="2D5B1E69"/>
    <w:rsid w:val="2D5B3AF4"/>
    <w:rsid w:val="2D5E5392"/>
    <w:rsid w:val="2D616C31"/>
    <w:rsid w:val="2D6329A9"/>
    <w:rsid w:val="2D6741DC"/>
    <w:rsid w:val="2D687AB5"/>
    <w:rsid w:val="2D6C1150"/>
    <w:rsid w:val="2D71156A"/>
    <w:rsid w:val="2D766B80"/>
    <w:rsid w:val="2D79041E"/>
    <w:rsid w:val="2D793729"/>
    <w:rsid w:val="2D796670"/>
    <w:rsid w:val="2D7B7EC6"/>
    <w:rsid w:val="2D7C1CBC"/>
    <w:rsid w:val="2D8377D6"/>
    <w:rsid w:val="2D8A43D9"/>
    <w:rsid w:val="2D8C0151"/>
    <w:rsid w:val="2D8D5C78"/>
    <w:rsid w:val="2D9139BA"/>
    <w:rsid w:val="2D940DB4"/>
    <w:rsid w:val="2D945258"/>
    <w:rsid w:val="2D956126"/>
    <w:rsid w:val="2D9B6B06"/>
    <w:rsid w:val="2D9E56F5"/>
    <w:rsid w:val="2D9E60D7"/>
    <w:rsid w:val="2DA03BFD"/>
    <w:rsid w:val="2DA332D1"/>
    <w:rsid w:val="2DA3549B"/>
    <w:rsid w:val="2DA37249"/>
    <w:rsid w:val="2DA846A6"/>
    <w:rsid w:val="2DAA4A7C"/>
    <w:rsid w:val="2DAC07F4"/>
    <w:rsid w:val="2DAC392E"/>
    <w:rsid w:val="2DAD1E76"/>
    <w:rsid w:val="2DAF3E40"/>
    <w:rsid w:val="2DB43204"/>
    <w:rsid w:val="2DB444AD"/>
    <w:rsid w:val="2DB80F46"/>
    <w:rsid w:val="2DBD655D"/>
    <w:rsid w:val="2DBF4B12"/>
    <w:rsid w:val="2DC0604D"/>
    <w:rsid w:val="2DC23B73"/>
    <w:rsid w:val="2DC41EB4"/>
    <w:rsid w:val="2DCD775F"/>
    <w:rsid w:val="2DCE2518"/>
    <w:rsid w:val="2DCF003E"/>
    <w:rsid w:val="2DD11160"/>
    <w:rsid w:val="2DD37B2E"/>
    <w:rsid w:val="2DD83397"/>
    <w:rsid w:val="2DD91C74"/>
    <w:rsid w:val="2DE27D71"/>
    <w:rsid w:val="2DE57862"/>
    <w:rsid w:val="2DE7182C"/>
    <w:rsid w:val="2DE735DA"/>
    <w:rsid w:val="2DE75388"/>
    <w:rsid w:val="2DE82A20"/>
    <w:rsid w:val="2DE9470A"/>
    <w:rsid w:val="2DEA30CA"/>
    <w:rsid w:val="2DED7260"/>
    <w:rsid w:val="2DF06932"/>
    <w:rsid w:val="2DF45CF7"/>
    <w:rsid w:val="2DF6381D"/>
    <w:rsid w:val="2DF8162E"/>
    <w:rsid w:val="2DF91E34"/>
    <w:rsid w:val="2DFA1A5F"/>
    <w:rsid w:val="2DFA44A9"/>
    <w:rsid w:val="2DFB52D7"/>
    <w:rsid w:val="2DFE26D1"/>
    <w:rsid w:val="2E00644A"/>
    <w:rsid w:val="2E061849"/>
    <w:rsid w:val="2E075A2A"/>
    <w:rsid w:val="2E087164"/>
    <w:rsid w:val="2E0A551A"/>
    <w:rsid w:val="2E0E0B66"/>
    <w:rsid w:val="2E0E23C4"/>
    <w:rsid w:val="2E0E6A8A"/>
    <w:rsid w:val="2E0F48DF"/>
    <w:rsid w:val="2E114AFB"/>
    <w:rsid w:val="2E126FD1"/>
    <w:rsid w:val="2E150147"/>
    <w:rsid w:val="2E162111"/>
    <w:rsid w:val="2E187C37"/>
    <w:rsid w:val="2E1B14D5"/>
    <w:rsid w:val="2E1B2739"/>
    <w:rsid w:val="2E1D6FFC"/>
    <w:rsid w:val="2E2110EE"/>
    <w:rsid w:val="2E233B01"/>
    <w:rsid w:val="2E262354"/>
    <w:rsid w:val="2E291E44"/>
    <w:rsid w:val="2E2959A0"/>
    <w:rsid w:val="2E382087"/>
    <w:rsid w:val="2E385BE3"/>
    <w:rsid w:val="2E3E709D"/>
    <w:rsid w:val="2E41718E"/>
    <w:rsid w:val="2E456552"/>
    <w:rsid w:val="2E47051C"/>
    <w:rsid w:val="2E4918A3"/>
    <w:rsid w:val="2E491A3F"/>
    <w:rsid w:val="2E495111"/>
    <w:rsid w:val="2E496043"/>
    <w:rsid w:val="2E4C5B33"/>
    <w:rsid w:val="2E4E18AB"/>
    <w:rsid w:val="2E505623"/>
    <w:rsid w:val="2E532A1D"/>
    <w:rsid w:val="2E552C39"/>
    <w:rsid w:val="2E575575"/>
    <w:rsid w:val="2E586286"/>
    <w:rsid w:val="2E5A3DAC"/>
    <w:rsid w:val="2E6030FC"/>
    <w:rsid w:val="2E6305ED"/>
    <w:rsid w:val="2E632643"/>
    <w:rsid w:val="2E6469D8"/>
    <w:rsid w:val="2E652751"/>
    <w:rsid w:val="2E6609A2"/>
    <w:rsid w:val="2E666BF4"/>
    <w:rsid w:val="2E667F96"/>
    <w:rsid w:val="2E690493"/>
    <w:rsid w:val="2E6B53DA"/>
    <w:rsid w:val="2E7009A8"/>
    <w:rsid w:val="2E734E6D"/>
    <w:rsid w:val="2E750BE6"/>
    <w:rsid w:val="2E772BB0"/>
    <w:rsid w:val="2E7806D6"/>
    <w:rsid w:val="2E7A26A0"/>
    <w:rsid w:val="2E7A444E"/>
    <w:rsid w:val="2E7D3F3E"/>
    <w:rsid w:val="2E8226AB"/>
    <w:rsid w:val="2E8227CF"/>
    <w:rsid w:val="2E8250B1"/>
    <w:rsid w:val="2E857DAE"/>
    <w:rsid w:val="2E860B9A"/>
    <w:rsid w:val="2E864BA1"/>
    <w:rsid w:val="2E895C66"/>
    <w:rsid w:val="2E8D2118"/>
    <w:rsid w:val="2E8E1840"/>
    <w:rsid w:val="2E8E6402"/>
    <w:rsid w:val="2E923CDF"/>
    <w:rsid w:val="2E933762"/>
    <w:rsid w:val="2E953036"/>
    <w:rsid w:val="2E975000"/>
    <w:rsid w:val="2E9848D4"/>
    <w:rsid w:val="2E9A064C"/>
    <w:rsid w:val="2E9A2581"/>
    <w:rsid w:val="2EA119DB"/>
    <w:rsid w:val="2EA15E7F"/>
    <w:rsid w:val="2EA27501"/>
    <w:rsid w:val="2EA414CB"/>
    <w:rsid w:val="2EA65243"/>
    <w:rsid w:val="2EA8527E"/>
    <w:rsid w:val="2EA9431C"/>
    <w:rsid w:val="2EAD1279"/>
    <w:rsid w:val="2EB0560C"/>
    <w:rsid w:val="2EB15996"/>
    <w:rsid w:val="2EB711FE"/>
    <w:rsid w:val="2EB86D24"/>
    <w:rsid w:val="2EBC05C2"/>
    <w:rsid w:val="2EBC55DC"/>
    <w:rsid w:val="2EBF6305"/>
    <w:rsid w:val="2EC42C7A"/>
    <w:rsid w:val="2EC4391B"/>
    <w:rsid w:val="2EC61441"/>
    <w:rsid w:val="2EC9206D"/>
    <w:rsid w:val="2EC97183"/>
    <w:rsid w:val="2EC9779A"/>
    <w:rsid w:val="2ECB2EFB"/>
    <w:rsid w:val="2ECB4CA9"/>
    <w:rsid w:val="2ECB6A58"/>
    <w:rsid w:val="2ED075DC"/>
    <w:rsid w:val="2ED1017B"/>
    <w:rsid w:val="2ED33B5E"/>
    <w:rsid w:val="2EDB31E4"/>
    <w:rsid w:val="2EE2703D"/>
    <w:rsid w:val="2EE31FF3"/>
    <w:rsid w:val="2EE443DB"/>
    <w:rsid w:val="2EE52969"/>
    <w:rsid w:val="2EEB0EA8"/>
    <w:rsid w:val="2EED2E72"/>
    <w:rsid w:val="2EEE4F05"/>
    <w:rsid w:val="2EF012F9"/>
    <w:rsid w:val="2EF02962"/>
    <w:rsid w:val="2EF04710"/>
    <w:rsid w:val="2EF0571D"/>
    <w:rsid w:val="2EF10DD9"/>
    <w:rsid w:val="2EF139C1"/>
    <w:rsid w:val="2EF17594"/>
    <w:rsid w:val="2EF35FAE"/>
    <w:rsid w:val="2EFF2BA5"/>
    <w:rsid w:val="2F000DF7"/>
    <w:rsid w:val="2F02063D"/>
    <w:rsid w:val="2F0361F1"/>
    <w:rsid w:val="2F0B142F"/>
    <w:rsid w:val="2F0B154A"/>
    <w:rsid w:val="2F0C08F6"/>
    <w:rsid w:val="2F10029A"/>
    <w:rsid w:val="2F104DB2"/>
    <w:rsid w:val="2F120B2A"/>
    <w:rsid w:val="2F1C004F"/>
    <w:rsid w:val="2F1D6BCC"/>
    <w:rsid w:val="2F1E2E03"/>
    <w:rsid w:val="2F21465F"/>
    <w:rsid w:val="2F236894"/>
    <w:rsid w:val="2F2F5238"/>
    <w:rsid w:val="2F2F6AAD"/>
    <w:rsid w:val="2F300FB0"/>
    <w:rsid w:val="2F327502"/>
    <w:rsid w:val="2F37233F"/>
    <w:rsid w:val="2F391C13"/>
    <w:rsid w:val="2F3A598B"/>
    <w:rsid w:val="2F3D0CEE"/>
    <w:rsid w:val="2F3E191F"/>
    <w:rsid w:val="2F407445"/>
    <w:rsid w:val="2F45680A"/>
    <w:rsid w:val="2F4777A0"/>
    <w:rsid w:val="2F48454C"/>
    <w:rsid w:val="2F4B7B98"/>
    <w:rsid w:val="2F4F461B"/>
    <w:rsid w:val="2F4F58DB"/>
    <w:rsid w:val="2F5051AF"/>
    <w:rsid w:val="2F511653"/>
    <w:rsid w:val="2F57027C"/>
    <w:rsid w:val="2F575600"/>
    <w:rsid w:val="2F57653D"/>
    <w:rsid w:val="2F594063"/>
    <w:rsid w:val="2F596867"/>
    <w:rsid w:val="2F5C7FF7"/>
    <w:rsid w:val="2F5D4B93"/>
    <w:rsid w:val="2F6340F7"/>
    <w:rsid w:val="2F64740E"/>
    <w:rsid w:val="2F697244"/>
    <w:rsid w:val="2F6A001E"/>
    <w:rsid w:val="2F6A44C2"/>
    <w:rsid w:val="2F6B12EF"/>
    <w:rsid w:val="2F6D7B0F"/>
    <w:rsid w:val="2F6F1AD9"/>
    <w:rsid w:val="2F723377"/>
    <w:rsid w:val="2F7651CE"/>
    <w:rsid w:val="2F792957"/>
    <w:rsid w:val="2F7C41F6"/>
    <w:rsid w:val="2F7D4F4A"/>
    <w:rsid w:val="2F82048D"/>
    <w:rsid w:val="2F832C79"/>
    <w:rsid w:val="2F863070"/>
    <w:rsid w:val="2F866E22"/>
    <w:rsid w:val="2F882B9B"/>
    <w:rsid w:val="2F8C268B"/>
    <w:rsid w:val="2F8F4328"/>
    <w:rsid w:val="2F9627A7"/>
    <w:rsid w:val="2F9652B7"/>
    <w:rsid w:val="2F967EFE"/>
    <w:rsid w:val="2F9D4288"/>
    <w:rsid w:val="2F9E416C"/>
    <w:rsid w:val="2FA15A0A"/>
    <w:rsid w:val="2FA344C0"/>
    <w:rsid w:val="2FA76FD1"/>
    <w:rsid w:val="2FAA0D63"/>
    <w:rsid w:val="2FAA2CAC"/>
    <w:rsid w:val="2FAD5FC1"/>
    <w:rsid w:val="2FAF45CB"/>
    <w:rsid w:val="2FB35E69"/>
    <w:rsid w:val="2FB43990"/>
    <w:rsid w:val="2FB4573E"/>
    <w:rsid w:val="2FB67708"/>
    <w:rsid w:val="2FBC2844"/>
    <w:rsid w:val="2FBD0A5E"/>
    <w:rsid w:val="2FC00586"/>
    <w:rsid w:val="2FC02334"/>
    <w:rsid w:val="2FC30453"/>
    <w:rsid w:val="2FC35981"/>
    <w:rsid w:val="2FC5794B"/>
    <w:rsid w:val="2FC674F5"/>
    <w:rsid w:val="2FC75471"/>
    <w:rsid w:val="2FC82F97"/>
    <w:rsid w:val="2FCB09DB"/>
    <w:rsid w:val="2FCC2A87"/>
    <w:rsid w:val="2FD45DE0"/>
    <w:rsid w:val="2FD64419"/>
    <w:rsid w:val="2FD7142C"/>
    <w:rsid w:val="2FD858D0"/>
    <w:rsid w:val="2FD8767E"/>
    <w:rsid w:val="2FDD2EE6"/>
    <w:rsid w:val="2FDD4C94"/>
    <w:rsid w:val="2FDE33B6"/>
    <w:rsid w:val="2FDE58A3"/>
    <w:rsid w:val="2FDF1D04"/>
    <w:rsid w:val="2FE57FED"/>
    <w:rsid w:val="2FE74788"/>
    <w:rsid w:val="2FEC019D"/>
    <w:rsid w:val="2FED29FE"/>
    <w:rsid w:val="2FEE50F3"/>
    <w:rsid w:val="2FEF2D58"/>
    <w:rsid w:val="2FEF6776"/>
    <w:rsid w:val="2FF2263C"/>
    <w:rsid w:val="2FF344B8"/>
    <w:rsid w:val="2FF36512"/>
    <w:rsid w:val="2FF507E6"/>
    <w:rsid w:val="2FF74010"/>
    <w:rsid w:val="2FFB15BE"/>
    <w:rsid w:val="2FFD0DFC"/>
    <w:rsid w:val="3002033D"/>
    <w:rsid w:val="30030473"/>
    <w:rsid w:val="30077F63"/>
    <w:rsid w:val="30082117"/>
    <w:rsid w:val="300F0BC6"/>
    <w:rsid w:val="300F506A"/>
    <w:rsid w:val="30142680"/>
    <w:rsid w:val="3014442E"/>
    <w:rsid w:val="30182170"/>
    <w:rsid w:val="30183DA9"/>
    <w:rsid w:val="301B5877"/>
    <w:rsid w:val="301F52AD"/>
    <w:rsid w:val="302503E9"/>
    <w:rsid w:val="30251352"/>
    <w:rsid w:val="302723B3"/>
    <w:rsid w:val="30297EDA"/>
    <w:rsid w:val="302C1778"/>
    <w:rsid w:val="302C79CA"/>
    <w:rsid w:val="302F1268"/>
    <w:rsid w:val="30313158"/>
    <w:rsid w:val="30323FB6"/>
    <w:rsid w:val="30330D58"/>
    <w:rsid w:val="30354AD0"/>
    <w:rsid w:val="303C4D07"/>
    <w:rsid w:val="303D7627"/>
    <w:rsid w:val="30416A1A"/>
    <w:rsid w:val="30422D49"/>
    <w:rsid w:val="3042552E"/>
    <w:rsid w:val="30443C64"/>
    <w:rsid w:val="30444D13"/>
    <w:rsid w:val="304A7E50"/>
    <w:rsid w:val="304D7F03"/>
    <w:rsid w:val="304E0CC8"/>
    <w:rsid w:val="305331A8"/>
    <w:rsid w:val="30542A7D"/>
    <w:rsid w:val="305558AE"/>
    <w:rsid w:val="30562C99"/>
    <w:rsid w:val="3056544F"/>
    <w:rsid w:val="305667F5"/>
    <w:rsid w:val="30572D9F"/>
    <w:rsid w:val="30580BC9"/>
    <w:rsid w:val="30584527"/>
    <w:rsid w:val="305F1B4D"/>
    <w:rsid w:val="306553A3"/>
    <w:rsid w:val="30657FDD"/>
    <w:rsid w:val="30676C54"/>
    <w:rsid w:val="3069477A"/>
    <w:rsid w:val="306C6018"/>
    <w:rsid w:val="306E1D90"/>
    <w:rsid w:val="306E3B3E"/>
    <w:rsid w:val="3071362F"/>
    <w:rsid w:val="30731155"/>
    <w:rsid w:val="307373A7"/>
    <w:rsid w:val="3075311F"/>
    <w:rsid w:val="307750E9"/>
    <w:rsid w:val="30785D29"/>
    <w:rsid w:val="307D6477"/>
    <w:rsid w:val="307E5655"/>
    <w:rsid w:val="30845298"/>
    <w:rsid w:val="30845E67"/>
    <w:rsid w:val="30851151"/>
    <w:rsid w:val="30872E52"/>
    <w:rsid w:val="308A78C9"/>
    <w:rsid w:val="308B2942"/>
    <w:rsid w:val="308C311F"/>
    <w:rsid w:val="30915A7F"/>
    <w:rsid w:val="309335A5"/>
    <w:rsid w:val="3095731D"/>
    <w:rsid w:val="30963095"/>
    <w:rsid w:val="309655D5"/>
    <w:rsid w:val="3098247E"/>
    <w:rsid w:val="309A2B85"/>
    <w:rsid w:val="309B1AA0"/>
    <w:rsid w:val="309D5228"/>
    <w:rsid w:val="309F4922"/>
    <w:rsid w:val="30A003C2"/>
    <w:rsid w:val="30A413A6"/>
    <w:rsid w:val="30A457B2"/>
    <w:rsid w:val="30A6152A"/>
    <w:rsid w:val="30A9726C"/>
    <w:rsid w:val="30AC4667"/>
    <w:rsid w:val="30B1398F"/>
    <w:rsid w:val="30B33C47"/>
    <w:rsid w:val="30BC6FA0"/>
    <w:rsid w:val="30C11F27"/>
    <w:rsid w:val="30C419B0"/>
    <w:rsid w:val="30C41C15"/>
    <w:rsid w:val="30C81950"/>
    <w:rsid w:val="30C9346B"/>
    <w:rsid w:val="30CE0A81"/>
    <w:rsid w:val="30D065A7"/>
    <w:rsid w:val="30D50061"/>
    <w:rsid w:val="30D75B88"/>
    <w:rsid w:val="30D81136"/>
    <w:rsid w:val="30DA5678"/>
    <w:rsid w:val="30DA6B89"/>
    <w:rsid w:val="30DB1F65"/>
    <w:rsid w:val="30DC4672"/>
    <w:rsid w:val="30E16A06"/>
    <w:rsid w:val="30E327D8"/>
    <w:rsid w:val="30E3452C"/>
    <w:rsid w:val="30E66E9D"/>
    <w:rsid w:val="30EB4A3B"/>
    <w:rsid w:val="30F06C49"/>
    <w:rsid w:val="30F77FD8"/>
    <w:rsid w:val="30F87556"/>
    <w:rsid w:val="3102072B"/>
    <w:rsid w:val="31032463"/>
    <w:rsid w:val="310426F5"/>
    <w:rsid w:val="31081B8B"/>
    <w:rsid w:val="310D15A9"/>
    <w:rsid w:val="310E0E7D"/>
    <w:rsid w:val="311424C4"/>
    <w:rsid w:val="31181346"/>
    <w:rsid w:val="311A7304"/>
    <w:rsid w:val="311B250B"/>
    <w:rsid w:val="311C2969"/>
    <w:rsid w:val="311E2ED7"/>
    <w:rsid w:val="31216E03"/>
    <w:rsid w:val="3126266B"/>
    <w:rsid w:val="31280191"/>
    <w:rsid w:val="313065F7"/>
    <w:rsid w:val="313759B1"/>
    <w:rsid w:val="313869E4"/>
    <w:rsid w:val="313C3C3D"/>
    <w:rsid w:val="31411253"/>
    <w:rsid w:val="3143321D"/>
    <w:rsid w:val="31435B14"/>
    <w:rsid w:val="3148755E"/>
    <w:rsid w:val="314A1279"/>
    <w:rsid w:val="314B0324"/>
    <w:rsid w:val="315076E8"/>
    <w:rsid w:val="315216B2"/>
    <w:rsid w:val="31570A76"/>
    <w:rsid w:val="315A40C3"/>
    <w:rsid w:val="315C42DF"/>
    <w:rsid w:val="315C449C"/>
    <w:rsid w:val="315E0057"/>
    <w:rsid w:val="31623C66"/>
    <w:rsid w:val="316373A4"/>
    <w:rsid w:val="31660CB9"/>
    <w:rsid w:val="31677457"/>
    <w:rsid w:val="316867E0"/>
    <w:rsid w:val="316B3B03"/>
    <w:rsid w:val="316D33DC"/>
    <w:rsid w:val="31750EFD"/>
    <w:rsid w:val="317B29B7"/>
    <w:rsid w:val="317C484D"/>
    <w:rsid w:val="317E6003"/>
    <w:rsid w:val="317F1D7B"/>
    <w:rsid w:val="317F1F89"/>
    <w:rsid w:val="31813D45"/>
    <w:rsid w:val="31864EB8"/>
    <w:rsid w:val="318850D4"/>
    <w:rsid w:val="318B0720"/>
    <w:rsid w:val="318B0BE0"/>
    <w:rsid w:val="318D6246"/>
    <w:rsid w:val="31943A79"/>
    <w:rsid w:val="319475D5"/>
    <w:rsid w:val="3195334D"/>
    <w:rsid w:val="3196684B"/>
    <w:rsid w:val="319677F1"/>
    <w:rsid w:val="31973569"/>
    <w:rsid w:val="31992E3D"/>
    <w:rsid w:val="31994BEB"/>
    <w:rsid w:val="319C292D"/>
    <w:rsid w:val="319C6CC2"/>
    <w:rsid w:val="319E0453"/>
    <w:rsid w:val="31A31F0E"/>
    <w:rsid w:val="31A32185"/>
    <w:rsid w:val="31A62DFA"/>
    <w:rsid w:val="31A677D0"/>
    <w:rsid w:val="31AA07B4"/>
    <w:rsid w:val="31AB2B70"/>
    <w:rsid w:val="31AC0D3B"/>
    <w:rsid w:val="31AD0696"/>
    <w:rsid w:val="31AF2660"/>
    <w:rsid w:val="31AF440F"/>
    <w:rsid w:val="31B4289A"/>
    <w:rsid w:val="31B45209"/>
    <w:rsid w:val="31B82709"/>
    <w:rsid w:val="31BF1AB8"/>
    <w:rsid w:val="31BF293A"/>
    <w:rsid w:val="31C12394"/>
    <w:rsid w:val="31C9085B"/>
    <w:rsid w:val="31CB55CE"/>
    <w:rsid w:val="31CD0D39"/>
    <w:rsid w:val="31CF4AB1"/>
    <w:rsid w:val="31CF7994"/>
    <w:rsid w:val="31D16A7B"/>
    <w:rsid w:val="31D47C7D"/>
    <w:rsid w:val="31D67BED"/>
    <w:rsid w:val="31DA35B5"/>
    <w:rsid w:val="31DE6AA2"/>
    <w:rsid w:val="31E06CBE"/>
    <w:rsid w:val="31E3055C"/>
    <w:rsid w:val="31E7004C"/>
    <w:rsid w:val="31E76BD8"/>
    <w:rsid w:val="31E83DC4"/>
    <w:rsid w:val="31EC0C04"/>
    <w:rsid w:val="31EE33F5"/>
    <w:rsid w:val="31F14A27"/>
    <w:rsid w:val="31F16829"/>
    <w:rsid w:val="31F2254D"/>
    <w:rsid w:val="31F43832"/>
    <w:rsid w:val="31FB7654"/>
    <w:rsid w:val="31FD161E"/>
    <w:rsid w:val="3200110E"/>
    <w:rsid w:val="32036508"/>
    <w:rsid w:val="32087FC3"/>
    <w:rsid w:val="32132BEF"/>
    <w:rsid w:val="32193F7E"/>
    <w:rsid w:val="321D0063"/>
    <w:rsid w:val="32211625"/>
    <w:rsid w:val="32244DFC"/>
    <w:rsid w:val="3227669B"/>
    <w:rsid w:val="322841C1"/>
    <w:rsid w:val="322975E7"/>
    <w:rsid w:val="322C3CB1"/>
    <w:rsid w:val="322C5A5F"/>
    <w:rsid w:val="322F72FD"/>
    <w:rsid w:val="32320699"/>
    <w:rsid w:val="32342B66"/>
    <w:rsid w:val="323D69CE"/>
    <w:rsid w:val="32400B34"/>
    <w:rsid w:val="32405B2A"/>
    <w:rsid w:val="324234D5"/>
    <w:rsid w:val="32452FC5"/>
    <w:rsid w:val="32454D73"/>
    <w:rsid w:val="324616E0"/>
    <w:rsid w:val="32471DFD"/>
    <w:rsid w:val="324F5BF1"/>
    <w:rsid w:val="3251196A"/>
    <w:rsid w:val="32513718"/>
    <w:rsid w:val="3255145A"/>
    <w:rsid w:val="32591540"/>
    <w:rsid w:val="325B78A5"/>
    <w:rsid w:val="326206E5"/>
    <w:rsid w:val="32621481"/>
    <w:rsid w:val="326351F9"/>
    <w:rsid w:val="3264199E"/>
    <w:rsid w:val="32650F71"/>
    <w:rsid w:val="3268280F"/>
    <w:rsid w:val="326A2A2B"/>
    <w:rsid w:val="326D7029"/>
    <w:rsid w:val="326E26B3"/>
    <w:rsid w:val="32700042"/>
    <w:rsid w:val="32737B32"/>
    <w:rsid w:val="32747406"/>
    <w:rsid w:val="32764F2C"/>
    <w:rsid w:val="32843AED"/>
    <w:rsid w:val="32891103"/>
    <w:rsid w:val="328C0BF4"/>
    <w:rsid w:val="329029CD"/>
    <w:rsid w:val="32957AA8"/>
    <w:rsid w:val="32987598"/>
    <w:rsid w:val="32991471"/>
    <w:rsid w:val="329C0D99"/>
    <w:rsid w:val="329E6876"/>
    <w:rsid w:val="32A2203A"/>
    <w:rsid w:val="32A25D21"/>
    <w:rsid w:val="32A32356"/>
    <w:rsid w:val="32A36D88"/>
    <w:rsid w:val="32A41A99"/>
    <w:rsid w:val="32A777DC"/>
    <w:rsid w:val="32A95302"/>
    <w:rsid w:val="32AA2E28"/>
    <w:rsid w:val="32AC3044"/>
    <w:rsid w:val="32B36180"/>
    <w:rsid w:val="32B37F2E"/>
    <w:rsid w:val="32B53CA7"/>
    <w:rsid w:val="32B64F51"/>
    <w:rsid w:val="32B82A64"/>
    <w:rsid w:val="32B83797"/>
    <w:rsid w:val="32BF4133"/>
    <w:rsid w:val="32BF490D"/>
    <w:rsid w:val="32BF68D3"/>
    <w:rsid w:val="32C263C3"/>
    <w:rsid w:val="32C57C62"/>
    <w:rsid w:val="32C959A4"/>
    <w:rsid w:val="32CC1EED"/>
    <w:rsid w:val="32CE61B4"/>
    <w:rsid w:val="32D00AE0"/>
    <w:rsid w:val="32D0288E"/>
    <w:rsid w:val="32D560F7"/>
    <w:rsid w:val="32DA022E"/>
    <w:rsid w:val="32DA370D"/>
    <w:rsid w:val="32DC2D5E"/>
    <w:rsid w:val="32DD4FAB"/>
    <w:rsid w:val="32E26A66"/>
    <w:rsid w:val="32E4633A"/>
    <w:rsid w:val="32E75E2A"/>
    <w:rsid w:val="32EB76C8"/>
    <w:rsid w:val="32F01183"/>
    <w:rsid w:val="32F03BA4"/>
    <w:rsid w:val="32F21E9F"/>
    <w:rsid w:val="32F26CA9"/>
    <w:rsid w:val="32F56799"/>
    <w:rsid w:val="32FB3683"/>
    <w:rsid w:val="32FB774C"/>
    <w:rsid w:val="32FD73FC"/>
    <w:rsid w:val="3301513E"/>
    <w:rsid w:val="330469DC"/>
    <w:rsid w:val="33072028"/>
    <w:rsid w:val="330B0D48"/>
    <w:rsid w:val="330B7D6A"/>
    <w:rsid w:val="330C5891"/>
    <w:rsid w:val="330C763F"/>
    <w:rsid w:val="330D3AE3"/>
    <w:rsid w:val="33114C55"/>
    <w:rsid w:val="33122EA7"/>
    <w:rsid w:val="33134E71"/>
    <w:rsid w:val="33164C7B"/>
    <w:rsid w:val="331704BD"/>
    <w:rsid w:val="33184235"/>
    <w:rsid w:val="331A61FF"/>
    <w:rsid w:val="331C1F78"/>
    <w:rsid w:val="331D7A9E"/>
    <w:rsid w:val="332215E4"/>
    <w:rsid w:val="3326188F"/>
    <w:rsid w:val="3328091C"/>
    <w:rsid w:val="332930F1"/>
    <w:rsid w:val="332D1A72"/>
    <w:rsid w:val="332D7CE1"/>
    <w:rsid w:val="332E4F6B"/>
    <w:rsid w:val="333029D5"/>
    <w:rsid w:val="333703B7"/>
    <w:rsid w:val="33386686"/>
    <w:rsid w:val="33395BB8"/>
    <w:rsid w:val="333E1EEE"/>
    <w:rsid w:val="333E57F9"/>
    <w:rsid w:val="334119DE"/>
    <w:rsid w:val="334943EF"/>
    <w:rsid w:val="33496E63"/>
    <w:rsid w:val="334D791B"/>
    <w:rsid w:val="335039CF"/>
    <w:rsid w:val="335214F5"/>
    <w:rsid w:val="33541FD5"/>
    <w:rsid w:val="3358616F"/>
    <w:rsid w:val="335B5AF2"/>
    <w:rsid w:val="335F1E64"/>
    <w:rsid w:val="3364747B"/>
    <w:rsid w:val="336B25B7"/>
    <w:rsid w:val="33775400"/>
    <w:rsid w:val="33791178"/>
    <w:rsid w:val="33811DDB"/>
    <w:rsid w:val="3381627F"/>
    <w:rsid w:val="33857D5D"/>
    <w:rsid w:val="3386325D"/>
    <w:rsid w:val="33866BEF"/>
    <w:rsid w:val="33882539"/>
    <w:rsid w:val="33890261"/>
    <w:rsid w:val="33896EE1"/>
    <w:rsid w:val="338B0EAB"/>
    <w:rsid w:val="338D4C23"/>
    <w:rsid w:val="338F274A"/>
    <w:rsid w:val="339128A9"/>
    <w:rsid w:val="3392223A"/>
    <w:rsid w:val="33953AD8"/>
    <w:rsid w:val="339E0BDF"/>
    <w:rsid w:val="33A1247D"/>
    <w:rsid w:val="33A37FA3"/>
    <w:rsid w:val="33A7639F"/>
    <w:rsid w:val="33B201E6"/>
    <w:rsid w:val="33B2468A"/>
    <w:rsid w:val="33BC0BBD"/>
    <w:rsid w:val="33C06DA7"/>
    <w:rsid w:val="33C22CE8"/>
    <w:rsid w:val="33C30645"/>
    <w:rsid w:val="33C5616B"/>
    <w:rsid w:val="33C63297"/>
    <w:rsid w:val="33CD6DCE"/>
    <w:rsid w:val="33CF2B46"/>
    <w:rsid w:val="33CF6FEA"/>
    <w:rsid w:val="33D04B10"/>
    <w:rsid w:val="33D4015C"/>
    <w:rsid w:val="33D771D0"/>
    <w:rsid w:val="33D934D4"/>
    <w:rsid w:val="33DC1707"/>
    <w:rsid w:val="33DF6B01"/>
    <w:rsid w:val="33E52369"/>
    <w:rsid w:val="33E660E2"/>
    <w:rsid w:val="33F00D0E"/>
    <w:rsid w:val="33F829BD"/>
    <w:rsid w:val="33F86541"/>
    <w:rsid w:val="33F9642F"/>
    <w:rsid w:val="33FB1B8D"/>
    <w:rsid w:val="33FE2F6A"/>
    <w:rsid w:val="33FF738F"/>
    <w:rsid w:val="34024234"/>
    <w:rsid w:val="340824FC"/>
    <w:rsid w:val="340A0022"/>
    <w:rsid w:val="340F5638"/>
    <w:rsid w:val="341113B0"/>
    <w:rsid w:val="3411315F"/>
    <w:rsid w:val="3414192E"/>
    <w:rsid w:val="341744ED"/>
    <w:rsid w:val="34190265"/>
    <w:rsid w:val="341A3419"/>
    <w:rsid w:val="341E7629"/>
    <w:rsid w:val="342033A2"/>
    <w:rsid w:val="34232E92"/>
    <w:rsid w:val="34242FB6"/>
    <w:rsid w:val="34255B84"/>
    <w:rsid w:val="342563FC"/>
    <w:rsid w:val="342653A7"/>
    <w:rsid w:val="342866FA"/>
    <w:rsid w:val="342A4220"/>
    <w:rsid w:val="342E5821"/>
    <w:rsid w:val="342F41AF"/>
    <w:rsid w:val="34313C5A"/>
    <w:rsid w:val="343155AF"/>
    <w:rsid w:val="3431799D"/>
    <w:rsid w:val="3434509F"/>
    <w:rsid w:val="343614B1"/>
    <w:rsid w:val="34362BC5"/>
    <w:rsid w:val="343A5A3C"/>
    <w:rsid w:val="343B2D13"/>
    <w:rsid w:val="343E47B7"/>
    <w:rsid w:val="344057F2"/>
    <w:rsid w:val="34425A0E"/>
    <w:rsid w:val="34433534"/>
    <w:rsid w:val="34496D9C"/>
    <w:rsid w:val="3451678A"/>
    <w:rsid w:val="34545741"/>
    <w:rsid w:val="34565015"/>
    <w:rsid w:val="34574764"/>
    <w:rsid w:val="3457548F"/>
    <w:rsid w:val="34592D57"/>
    <w:rsid w:val="345B087E"/>
    <w:rsid w:val="34621C0C"/>
    <w:rsid w:val="34627928"/>
    <w:rsid w:val="34642998"/>
    <w:rsid w:val="346534AA"/>
    <w:rsid w:val="34675474"/>
    <w:rsid w:val="34684D49"/>
    <w:rsid w:val="346911EC"/>
    <w:rsid w:val="346A286F"/>
    <w:rsid w:val="346A6D13"/>
    <w:rsid w:val="346C2A8B"/>
    <w:rsid w:val="346C4839"/>
    <w:rsid w:val="346E05B1"/>
    <w:rsid w:val="346E6803"/>
    <w:rsid w:val="347150DC"/>
    <w:rsid w:val="34727975"/>
    <w:rsid w:val="34761214"/>
    <w:rsid w:val="34796F56"/>
    <w:rsid w:val="347C1C67"/>
    <w:rsid w:val="347C3FD8"/>
    <w:rsid w:val="347D6A46"/>
    <w:rsid w:val="347E7F4E"/>
    <w:rsid w:val="347F27BE"/>
    <w:rsid w:val="34806536"/>
    <w:rsid w:val="34807019"/>
    <w:rsid w:val="3482376E"/>
    <w:rsid w:val="34825E0A"/>
    <w:rsid w:val="34872286"/>
    <w:rsid w:val="34880F47"/>
    <w:rsid w:val="3489363D"/>
    <w:rsid w:val="348D78CC"/>
    <w:rsid w:val="348F6779"/>
    <w:rsid w:val="34983880"/>
    <w:rsid w:val="349A13A6"/>
    <w:rsid w:val="349B2A17"/>
    <w:rsid w:val="349D49F2"/>
    <w:rsid w:val="349F69BC"/>
    <w:rsid w:val="34A31424"/>
    <w:rsid w:val="34A75871"/>
    <w:rsid w:val="34A9783B"/>
    <w:rsid w:val="34AB35B3"/>
    <w:rsid w:val="34AC10D9"/>
    <w:rsid w:val="34AE07E1"/>
    <w:rsid w:val="34AE6BFF"/>
    <w:rsid w:val="34B34216"/>
    <w:rsid w:val="34B42CD7"/>
    <w:rsid w:val="34B47F8E"/>
    <w:rsid w:val="34B65AB4"/>
    <w:rsid w:val="34B85CD0"/>
    <w:rsid w:val="34BB30CA"/>
    <w:rsid w:val="34C208FD"/>
    <w:rsid w:val="34C27960"/>
    <w:rsid w:val="34C401D1"/>
    <w:rsid w:val="34C75F13"/>
    <w:rsid w:val="34C767CC"/>
    <w:rsid w:val="34C943A5"/>
    <w:rsid w:val="34CC52D7"/>
    <w:rsid w:val="34CD748C"/>
    <w:rsid w:val="34CE091E"/>
    <w:rsid w:val="34CE72A2"/>
    <w:rsid w:val="34CE7CA8"/>
    <w:rsid w:val="34CF6B76"/>
    <w:rsid w:val="34D10B40"/>
    <w:rsid w:val="34D36666"/>
    <w:rsid w:val="34E0563C"/>
    <w:rsid w:val="34E73EBF"/>
    <w:rsid w:val="34F30AB6"/>
    <w:rsid w:val="34F43D78"/>
    <w:rsid w:val="34F5482E"/>
    <w:rsid w:val="34F62354"/>
    <w:rsid w:val="34F82570"/>
    <w:rsid w:val="34FA3BF3"/>
    <w:rsid w:val="34FB5395"/>
    <w:rsid w:val="35081F3D"/>
    <w:rsid w:val="350B5E00"/>
    <w:rsid w:val="350C3926"/>
    <w:rsid w:val="351006CF"/>
    <w:rsid w:val="35101668"/>
    <w:rsid w:val="35123632"/>
    <w:rsid w:val="35131158"/>
    <w:rsid w:val="351331F9"/>
    <w:rsid w:val="35145978"/>
    <w:rsid w:val="35150A2C"/>
    <w:rsid w:val="35161C05"/>
    <w:rsid w:val="351647A5"/>
    <w:rsid w:val="3518051D"/>
    <w:rsid w:val="351B4977"/>
    <w:rsid w:val="35243365"/>
    <w:rsid w:val="352B31F5"/>
    <w:rsid w:val="352B532A"/>
    <w:rsid w:val="35344874"/>
    <w:rsid w:val="35352E7D"/>
    <w:rsid w:val="35357321"/>
    <w:rsid w:val="353A0493"/>
    <w:rsid w:val="353C420B"/>
    <w:rsid w:val="353F1F4D"/>
    <w:rsid w:val="35415CC5"/>
    <w:rsid w:val="35417A73"/>
    <w:rsid w:val="354237EC"/>
    <w:rsid w:val="35443D18"/>
    <w:rsid w:val="35447564"/>
    <w:rsid w:val="354F3EEC"/>
    <w:rsid w:val="35521C81"/>
    <w:rsid w:val="35523A2F"/>
    <w:rsid w:val="35527ED3"/>
    <w:rsid w:val="355754E9"/>
    <w:rsid w:val="35586B6B"/>
    <w:rsid w:val="355A28E3"/>
    <w:rsid w:val="355A6D87"/>
    <w:rsid w:val="355C2A85"/>
    <w:rsid w:val="355C48AD"/>
    <w:rsid w:val="3560331F"/>
    <w:rsid w:val="35631901"/>
    <w:rsid w:val="3563442E"/>
    <w:rsid w:val="35673502"/>
    <w:rsid w:val="356F59EC"/>
    <w:rsid w:val="357339A5"/>
    <w:rsid w:val="357716E7"/>
    <w:rsid w:val="35775243"/>
    <w:rsid w:val="35777939"/>
    <w:rsid w:val="357A2F85"/>
    <w:rsid w:val="357A3B1C"/>
    <w:rsid w:val="357C0AAC"/>
    <w:rsid w:val="3583008C"/>
    <w:rsid w:val="358856A2"/>
    <w:rsid w:val="358931C8"/>
    <w:rsid w:val="359009FB"/>
    <w:rsid w:val="35942299"/>
    <w:rsid w:val="35944047"/>
    <w:rsid w:val="359A53D6"/>
    <w:rsid w:val="359A63C0"/>
    <w:rsid w:val="359F64F2"/>
    <w:rsid w:val="35A149B6"/>
    <w:rsid w:val="35A239BC"/>
    <w:rsid w:val="35A46254"/>
    <w:rsid w:val="35A5691A"/>
    <w:rsid w:val="35A746CB"/>
    <w:rsid w:val="35AB1391"/>
    <w:rsid w:val="35AD6EB7"/>
    <w:rsid w:val="35AF70D3"/>
    <w:rsid w:val="35B42802"/>
    <w:rsid w:val="35BA15D4"/>
    <w:rsid w:val="35BC17F0"/>
    <w:rsid w:val="35BC70FA"/>
    <w:rsid w:val="35C0308E"/>
    <w:rsid w:val="35C04B91"/>
    <w:rsid w:val="35C366DA"/>
    <w:rsid w:val="35C83CF1"/>
    <w:rsid w:val="35C9101D"/>
    <w:rsid w:val="35C97A69"/>
    <w:rsid w:val="35CB558F"/>
    <w:rsid w:val="35CD1307"/>
    <w:rsid w:val="35CE1DFE"/>
    <w:rsid w:val="35CF6816"/>
    <w:rsid w:val="35D112E4"/>
    <w:rsid w:val="35D501BC"/>
    <w:rsid w:val="35D7578A"/>
    <w:rsid w:val="35DB7EC8"/>
    <w:rsid w:val="35DF2C43"/>
    <w:rsid w:val="35DF2FB2"/>
    <w:rsid w:val="35E04660"/>
    <w:rsid w:val="35E2289C"/>
    <w:rsid w:val="35E328D9"/>
    <w:rsid w:val="35EA7D42"/>
    <w:rsid w:val="35EB5CD8"/>
    <w:rsid w:val="35EF4301"/>
    <w:rsid w:val="35EF74CF"/>
    <w:rsid w:val="35F24F62"/>
    <w:rsid w:val="35FC1BEC"/>
    <w:rsid w:val="35FF348B"/>
    <w:rsid w:val="36015455"/>
    <w:rsid w:val="36032F7B"/>
    <w:rsid w:val="36037DA4"/>
    <w:rsid w:val="36074A7F"/>
    <w:rsid w:val="36080591"/>
    <w:rsid w:val="3608381A"/>
    <w:rsid w:val="360A4309"/>
    <w:rsid w:val="360D3DFA"/>
    <w:rsid w:val="360E2E9B"/>
    <w:rsid w:val="360F7B72"/>
    <w:rsid w:val="36145188"/>
    <w:rsid w:val="36162CAE"/>
    <w:rsid w:val="36174C78"/>
    <w:rsid w:val="36176A26"/>
    <w:rsid w:val="361909F0"/>
    <w:rsid w:val="361F444A"/>
    <w:rsid w:val="36251143"/>
    <w:rsid w:val="362A49AB"/>
    <w:rsid w:val="362C0724"/>
    <w:rsid w:val="362C2EF1"/>
    <w:rsid w:val="362D624A"/>
    <w:rsid w:val="362F1FC2"/>
    <w:rsid w:val="36355F3E"/>
    <w:rsid w:val="36356EAC"/>
    <w:rsid w:val="36374158"/>
    <w:rsid w:val="36391D81"/>
    <w:rsid w:val="363B2715"/>
    <w:rsid w:val="363C023B"/>
    <w:rsid w:val="3643115A"/>
    <w:rsid w:val="36432478"/>
    <w:rsid w:val="36462E68"/>
    <w:rsid w:val="364A2958"/>
    <w:rsid w:val="36530255"/>
    <w:rsid w:val="365437D6"/>
    <w:rsid w:val="36545584"/>
    <w:rsid w:val="365612FD"/>
    <w:rsid w:val="365732C7"/>
    <w:rsid w:val="36583853"/>
    <w:rsid w:val="365D6B2F"/>
    <w:rsid w:val="36653C36"/>
    <w:rsid w:val="36681030"/>
    <w:rsid w:val="366C6D72"/>
    <w:rsid w:val="366D4898"/>
    <w:rsid w:val="366F76E7"/>
    <w:rsid w:val="367141CE"/>
    <w:rsid w:val="36723C5D"/>
    <w:rsid w:val="36745C27"/>
    <w:rsid w:val="3676199F"/>
    <w:rsid w:val="36777699"/>
    <w:rsid w:val="367B6FB5"/>
    <w:rsid w:val="3680281D"/>
    <w:rsid w:val="368045CB"/>
    <w:rsid w:val="368220F2"/>
    <w:rsid w:val="368340BC"/>
    <w:rsid w:val="36871691"/>
    <w:rsid w:val="3687277C"/>
    <w:rsid w:val="36891FCF"/>
    <w:rsid w:val="368A71F8"/>
    <w:rsid w:val="369129F7"/>
    <w:rsid w:val="36923549"/>
    <w:rsid w:val="369431FE"/>
    <w:rsid w:val="36964EAD"/>
    <w:rsid w:val="36966D52"/>
    <w:rsid w:val="369736C3"/>
    <w:rsid w:val="3699743B"/>
    <w:rsid w:val="369B1405"/>
    <w:rsid w:val="369D33CF"/>
    <w:rsid w:val="369D517D"/>
    <w:rsid w:val="36A21135"/>
    <w:rsid w:val="36A22794"/>
    <w:rsid w:val="36A71B58"/>
    <w:rsid w:val="36A858D0"/>
    <w:rsid w:val="36A91D74"/>
    <w:rsid w:val="36AA7F2F"/>
    <w:rsid w:val="36B13AD8"/>
    <w:rsid w:val="36B14785"/>
    <w:rsid w:val="36B240C8"/>
    <w:rsid w:val="36B31729"/>
    <w:rsid w:val="36B60F67"/>
    <w:rsid w:val="36B727F9"/>
    <w:rsid w:val="36B75FBF"/>
    <w:rsid w:val="36BD312A"/>
    <w:rsid w:val="36BE50F4"/>
    <w:rsid w:val="36C02C1A"/>
    <w:rsid w:val="36C344B8"/>
    <w:rsid w:val="36C47148"/>
    <w:rsid w:val="36C827C2"/>
    <w:rsid w:val="36C92B6B"/>
    <w:rsid w:val="36C97D20"/>
    <w:rsid w:val="36CC5A63"/>
    <w:rsid w:val="36CD6D52"/>
    <w:rsid w:val="36D30B9F"/>
    <w:rsid w:val="36D42D35"/>
    <w:rsid w:val="36D466C5"/>
    <w:rsid w:val="36D93D4C"/>
    <w:rsid w:val="36DD23A2"/>
    <w:rsid w:val="36DF5796"/>
    <w:rsid w:val="36E42DAC"/>
    <w:rsid w:val="36E56469"/>
    <w:rsid w:val="36E56B24"/>
    <w:rsid w:val="36E6103A"/>
    <w:rsid w:val="36E7464B"/>
    <w:rsid w:val="36E903C3"/>
    <w:rsid w:val="36E94D26"/>
    <w:rsid w:val="36EA57B9"/>
    <w:rsid w:val="36EE7787"/>
    <w:rsid w:val="36F01751"/>
    <w:rsid w:val="36F6488E"/>
    <w:rsid w:val="36F80606"/>
    <w:rsid w:val="36F8396F"/>
    <w:rsid w:val="36FB4891"/>
    <w:rsid w:val="36FE4069"/>
    <w:rsid w:val="37022B95"/>
    <w:rsid w:val="37076A9B"/>
    <w:rsid w:val="370C40B1"/>
    <w:rsid w:val="37103BA1"/>
    <w:rsid w:val="37107F95"/>
    <w:rsid w:val="37113475"/>
    <w:rsid w:val="37152F66"/>
    <w:rsid w:val="37160A8C"/>
    <w:rsid w:val="371A057C"/>
    <w:rsid w:val="371C0798"/>
    <w:rsid w:val="371F3DE4"/>
    <w:rsid w:val="37213AEB"/>
    <w:rsid w:val="37215DAE"/>
    <w:rsid w:val="37217B5C"/>
    <w:rsid w:val="372223AA"/>
    <w:rsid w:val="37226B12"/>
    <w:rsid w:val="37256F21"/>
    <w:rsid w:val="37257503"/>
    <w:rsid w:val="372633C5"/>
    <w:rsid w:val="372C4753"/>
    <w:rsid w:val="372E04CB"/>
    <w:rsid w:val="372E4C5F"/>
    <w:rsid w:val="372F1B4E"/>
    <w:rsid w:val="37305FF2"/>
    <w:rsid w:val="37307DA0"/>
    <w:rsid w:val="3733163E"/>
    <w:rsid w:val="373553B6"/>
    <w:rsid w:val="37362EDC"/>
    <w:rsid w:val="373A4D44"/>
    <w:rsid w:val="373E2203"/>
    <w:rsid w:val="374455F9"/>
    <w:rsid w:val="37461371"/>
    <w:rsid w:val="37465815"/>
    <w:rsid w:val="37465A08"/>
    <w:rsid w:val="3748158D"/>
    <w:rsid w:val="374A567A"/>
    <w:rsid w:val="374B2E2B"/>
    <w:rsid w:val="374B6987"/>
    <w:rsid w:val="37500442"/>
    <w:rsid w:val="37503F9E"/>
    <w:rsid w:val="375241BA"/>
    <w:rsid w:val="37544FE6"/>
    <w:rsid w:val="375515B4"/>
    <w:rsid w:val="37557806"/>
    <w:rsid w:val="375C3AD3"/>
    <w:rsid w:val="375D490D"/>
    <w:rsid w:val="375F0685"/>
    <w:rsid w:val="37632F89"/>
    <w:rsid w:val="37643EED"/>
    <w:rsid w:val="37667C65"/>
    <w:rsid w:val="376E73A5"/>
    <w:rsid w:val="37704640"/>
    <w:rsid w:val="37725830"/>
    <w:rsid w:val="37744822"/>
    <w:rsid w:val="37753A04"/>
    <w:rsid w:val="37760883"/>
    <w:rsid w:val="37773C20"/>
    <w:rsid w:val="377B23EA"/>
    <w:rsid w:val="377C1237"/>
    <w:rsid w:val="378123A9"/>
    <w:rsid w:val="378325C5"/>
    <w:rsid w:val="378671E1"/>
    <w:rsid w:val="37872489"/>
    <w:rsid w:val="378835C5"/>
    <w:rsid w:val="378B3228"/>
    <w:rsid w:val="378C0D4E"/>
    <w:rsid w:val="378E4AC6"/>
    <w:rsid w:val="37904CE2"/>
    <w:rsid w:val="37920FAE"/>
    <w:rsid w:val="379775C4"/>
    <w:rsid w:val="37977BBC"/>
    <w:rsid w:val="37983B97"/>
    <w:rsid w:val="379929F5"/>
    <w:rsid w:val="379B23DD"/>
    <w:rsid w:val="379E11AD"/>
    <w:rsid w:val="37A12A4B"/>
    <w:rsid w:val="37A442EA"/>
    <w:rsid w:val="37A662B4"/>
    <w:rsid w:val="37A85152"/>
    <w:rsid w:val="37AB5678"/>
    <w:rsid w:val="37AE6F16"/>
    <w:rsid w:val="37B10249"/>
    <w:rsid w:val="37B7226F"/>
    <w:rsid w:val="37B81B43"/>
    <w:rsid w:val="37B90489"/>
    <w:rsid w:val="37B95FE7"/>
    <w:rsid w:val="37BC1633"/>
    <w:rsid w:val="37BC5AD7"/>
    <w:rsid w:val="37C35B89"/>
    <w:rsid w:val="37C52C3A"/>
    <w:rsid w:val="37C64260"/>
    <w:rsid w:val="37C8622A"/>
    <w:rsid w:val="37C93D50"/>
    <w:rsid w:val="37CD5B9C"/>
    <w:rsid w:val="37CE75B8"/>
    <w:rsid w:val="37D01583"/>
    <w:rsid w:val="37D3697D"/>
    <w:rsid w:val="37DA41AF"/>
    <w:rsid w:val="37DE77FC"/>
    <w:rsid w:val="37E07842"/>
    <w:rsid w:val="37E128C2"/>
    <w:rsid w:val="37E66CE8"/>
    <w:rsid w:val="37EA43F2"/>
    <w:rsid w:val="37ED7A3F"/>
    <w:rsid w:val="37F012DD"/>
    <w:rsid w:val="37F4701F"/>
    <w:rsid w:val="37F54B45"/>
    <w:rsid w:val="37F76B0F"/>
    <w:rsid w:val="37FC5ED4"/>
    <w:rsid w:val="37FD02CD"/>
    <w:rsid w:val="37FE3BFC"/>
    <w:rsid w:val="37FE7E9E"/>
    <w:rsid w:val="38083B97"/>
    <w:rsid w:val="380A4A95"/>
    <w:rsid w:val="380B09B8"/>
    <w:rsid w:val="380B4369"/>
    <w:rsid w:val="380D1E8F"/>
    <w:rsid w:val="38170F5F"/>
    <w:rsid w:val="38172D0E"/>
    <w:rsid w:val="381F0910"/>
    <w:rsid w:val="38203594"/>
    <w:rsid w:val="38224237"/>
    <w:rsid w:val="3825542A"/>
    <w:rsid w:val="382578D8"/>
    <w:rsid w:val="382B67B9"/>
    <w:rsid w:val="38303DA7"/>
    <w:rsid w:val="38305B7D"/>
    <w:rsid w:val="3831064E"/>
    <w:rsid w:val="38325D99"/>
    <w:rsid w:val="38333699"/>
    <w:rsid w:val="3834301C"/>
    <w:rsid w:val="38353194"/>
    <w:rsid w:val="3835486A"/>
    <w:rsid w:val="383A044D"/>
    <w:rsid w:val="384229DF"/>
    <w:rsid w:val="38431D54"/>
    <w:rsid w:val="384440D0"/>
    <w:rsid w:val="38455ACD"/>
    <w:rsid w:val="38467783"/>
    <w:rsid w:val="3848736B"/>
    <w:rsid w:val="384A30E3"/>
    <w:rsid w:val="384E4FBD"/>
    <w:rsid w:val="384E5182"/>
    <w:rsid w:val="384F204E"/>
    <w:rsid w:val="384F24A7"/>
    <w:rsid w:val="38514471"/>
    <w:rsid w:val="38547ABE"/>
    <w:rsid w:val="385A0A04"/>
    <w:rsid w:val="385D37E7"/>
    <w:rsid w:val="385E26EA"/>
    <w:rsid w:val="386046B4"/>
    <w:rsid w:val="38635F53"/>
    <w:rsid w:val="38637D01"/>
    <w:rsid w:val="38653A79"/>
    <w:rsid w:val="386D5023"/>
    <w:rsid w:val="386D6DD1"/>
    <w:rsid w:val="387463B2"/>
    <w:rsid w:val="3875408A"/>
    <w:rsid w:val="38763ED8"/>
    <w:rsid w:val="38787C50"/>
    <w:rsid w:val="387C7014"/>
    <w:rsid w:val="38855EC9"/>
    <w:rsid w:val="388F6D48"/>
    <w:rsid w:val="38912AC0"/>
    <w:rsid w:val="38926838"/>
    <w:rsid w:val="389425B0"/>
    <w:rsid w:val="38972D3F"/>
    <w:rsid w:val="38983E4E"/>
    <w:rsid w:val="389B393F"/>
    <w:rsid w:val="389B56ED"/>
    <w:rsid w:val="389F78EA"/>
    <w:rsid w:val="38A5089C"/>
    <w:rsid w:val="38A65E3F"/>
    <w:rsid w:val="38AA5930"/>
    <w:rsid w:val="38AC5B4C"/>
    <w:rsid w:val="38B7004D"/>
    <w:rsid w:val="38B86F38"/>
    <w:rsid w:val="38B90459"/>
    <w:rsid w:val="38B927E7"/>
    <w:rsid w:val="38BA2623"/>
    <w:rsid w:val="38BB18EB"/>
    <w:rsid w:val="38BB2412"/>
    <w:rsid w:val="38BD1B07"/>
    <w:rsid w:val="38C033A5"/>
    <w:rsid w:val="38C35493"/>
    <w:rsid w:val="38C42E95"/>
    <w:rsid w:val="38C764E2"/>
    <w:rsid w:val="38CC1660"/>
    <w:rsid w:val="38CF2505"/>
    <w:rsid w:val="38CF35E8"/>
    <w:rsid w:val="38CF5396"/>
    <w:rsid w:val="38D0417E"/>
    <w:rsid w:val="38D1110E"/>
    <w:rsid w:val="38D62BC9"/>
    <w:rsid w:val="38DB0EAE"/>
    <w:rsid w:val="38E057F5"/>
    <w:rsid w:val="38E075A3"/>
    <w:rsid w:val="38E452E6"/>
    <w:rsid w:val="38E91D32"/>
    <w:rsid w:val="38E928FC"/>
    <w:rsid w:val="38E946AA"/>
    <w:rsid w:val="38EA21D0"/>
    <w:rsid w:val="38EC5F48"/>
    <w:rsid w:val="38EC7CF6"/>
    <w:rsid w:val="38EE040E"/>
    <w:rsid w:val="38F117B0"/>
    <w:rsid w:val="38F12CD3"/>
    <w:rsid w:val="38F1355F"/>
    <w:rsid w:val="38F44DFD"/>
    <w:rsid w:val="38F60B75"/>
    <w:rsid w:val="38F92413"/>
    <w:rsid w:val="38F94373"/>
    <w:rsid w:val="38F94775"/>
    <w:rsid w:val="38F972B9"/>
    <w:rsid w:val="38FD1F03"/>
    <w:rsid w:val="38FF3A42"/>
    <w:rsid w:val="38FF3ECD"/>
    <w:rsid w:val="390246F3"/>
    <w:rsid w:val="39070FD4"/>
    <w:rsid w:val="39074B30"/>
    <w:rsid w:val="390B6245"/>
    <w:rsid w:val="39162FC5"/>
    <w:rsid w:val="3919532C"/>
    <w:rsid w:val="391A2AB5"/>
    <w:rsid w:val="391B05DB"/>
    <w:rsid w:val="391D4354"/>
    <w:rsid w:val="39203E44"/>
    <w:rsid w:val="39217148"/>
    <w:rsid w:val="39246EA0"/>
    <w:rsid w:val="39290F4A"/>
    <w:rsid w:val="392971ED"/>
    <w:rsid w:val="39304C93"/>
    <w:rsid w:val="39311478"/>
    <w:rsid w:val="3938118D"/>
    <w:rsid w:val="393A05EC"/>
    <w:rsid w:val="393A3157"/>
    <w:rsid w:val="393D2C48"/>
    <w:rsid w:val="394051F8"/>
    <w:rsid w:val="394204F7"/>
    <w:rsid w:val="39461AFC"/>
    <w:rsid w:val="394C4C39"/>
    <w:rsid w:val="394D77FC"/>
    <w:rsid w:val="39504729"/>
    <w:rsid w:val="3953226C"/>
    <w:rsid w:val="3953286E"/>
    <w:rsid w:val="39535FC7"/>
    <w:rsid w:val="39551D3F"/>
    <w:rsid w:val="39561614"/>
    <w:rsid w:val="39567866"/>
    <w:rsid w:val="39581830"/>
    <w:rsid w:val="395A55A8"/>
    <w:rsid w:val="395D699C"/>
    <w:rsid w:val="39610843"/>
    <w:rsid w:val="39616936"/>
    <w:rsid w:val="3962620A"/>
    <w:rsid w:val="39641F82"/>
    <w:rsid w:val="39657AA9"/>
    <w:rsid w:val="39663F4D"/>
    <w:rsid w:val="39665CFB"/>
    <w:rsid w:val="39684404"/>
    <w:rsid w:val="396C0E37"/>
    <w:rsid w:val="39706B79"/>
    <w:rsid w:val="39736669"/>
    <w:rsid w:val="397D3044"/>
    <w:rsid w:val="397D6458"/>
    <w:rsid w:val="397D70D7"/>
    <w:rsid w:val="39810D86"/>
    <w:rsid w:val="398114C3"/>
    <w:rsid w:val="3983274D"/>
    <w:rsid w:val="398B39B3"/>
    <w:rsid w:val="398B750F"/>
    <w:rsid w:val="398C14D9"/>
    <w:rsid w:val="398C590D"/>
    <w:rsid w:val="398E5251"/>
    <w:rsid w:val="39906069"/>
    <w:rsid w:val="39932868"/>
    <w:rsid w:val="3995213C"/>
    <w:rsid w:val="399860D0"/>
    <w:rsid w:val="399C1130"/>
    <w:rsid w:val="399C796E"/>
    <w:rsid w:val="399F120C"/>
    <w:rsid w:val="39A14F85"/>
    <w:rsid w:val="39A63CD6"/>
    <w:rsid w:val="39A700C1"/>
    <w:rsid w:val="39A86313"/>
    <w:rsid w:val="39AB2E16"/>
    <w:rsid w:val="39AE76A2"/>
    <w:rsid w:val="39B12CEE"/>
    <w:rsid w:val="39BC1DBE"/>
    <w:rsid w:val="39BC70BE"/>
    <w:rsid w:val="39BD18DE"/>
    <w:rsid w:val="39C173D5"/>
    <w:rsid w:val="39CC2A82"/>
    <w:rsid w:val="39CD5D7A"/>
    <w:rsid w:val="39CE3969"/>
    <w:rsid w:val="39D07613"/>
    <w:rsid w:val="39D30EB6"/>
    <w:rsid w:val="39D52E80"/>
    <w:rsid w:val="39D54C2E"/>
    <w:rsid w:val="39D569DC"/>
    <w:rsid w:val="39D570FE"/>
    <w:rsid w:val="39D577AD"/>
    <w:rsid w:val="39D64A99"/>
    <w:rsid w:val="39DA0497"/>
    <w:rsid w:val="39DA3FF3"/>
    <w:rsid w:val="39DE1D35"/>
    <w:rsid w:val="39DF6898"/>
    <w:rsid w:val="39E52059"/>
    <w:rsid w:val="39E6508D"/>
    <w:rsid w:val="39E758BD"/>
    <w:rsid w:val="39E97DA8"/>
    <w:rsid w:val="39ED170C"/>
    <w:rsid w:val="39ED1F78"/>
    <w:rsid w:val="39F552D0"/>
    <w:rsid w:val="39F74BA5"/>
    <w:rsid w:val="39FA4695"/>
    <w:rsid w:val="39FC665F"/>
    <w:rsid w:val="3A013C75"/>
    <w:rsid w:val="3A03179B"/>
    <w:rsid w:val="3A044DC2"/>
    <w:rsid w:val="3A06303A"/>
    <w:rsid w:val="3A064DE8"/>
    <w:rsid w:val="3A0A0C34"/>
    <w:rsid w:val="3A0A0D7C"/>
    <w:rsid w:val="3A0B0650"/>
    <w:rsid w:val="3A10210A"/>
    <w:rsid w:val="3A103EB8"/>
    <w:rsid w:val="3A156272"/>
    <w:rsid w:val="3A1A4D37"/>
    <w:rsid w:val="3A1B12AC"/>
    <w:rsid w:val="3A1B478A"/>
    <w:rsid w:val="3A1C0AAF"/>
    <w:rsid w:val="3A1E073A"/>
    <w:rsid w:val="3A255BB6"/>
    <w:rsid w:val="3A29194C"/>
    <w:rsid w:val="3A2B3AE8"/>
    <w:rsid w:val="3A2E4B81"/>
    <w:rsid w:val="3A2E7EAC"/>
    <w:rsid w:val="3A306308"/>
    <w:rsid w:val="3A3519D1"/>
    <w:rsid w:val="3A3F654C"/>
    <w:rsid w:val="3A40479E"/>
    <w:rsid w:val="3A410516"/>
    <w:rsid w:val="3A414072"/>
    <w:rsid w:val="3A440893"/>
    <w:rsid w:val="3A445910"/>
    <w:rsid w:val="3A465B2C"/>
    <w:rsid w:val="3A496293"/>
    <w:rsid w:val="3A4A1178"/>
    <w:rsid w:val="3A4B6C9E"/>
    <w:rsid w:val="3A53360C"/>
    <w:rsid w:val="3A5448AB"/>
    <w:rsid w:val="3A571AE7"/>
    <w:rsid w:val="3A575643"/>
    <w:rsid w:val="3A581C37"/>
    <w:rsid w:val="3A59760D"/>
    <w:rsid w:val="3A5E2E76"/>
    <w:rsid w:val="3A663AD8"/>
    <w:rsid w:val="3A6A6066"/>
    <w:rsid w:val="3A6B550B"/>
    <w:rsid w:val="3A751279"/>
    <w:rsid w:val="3A7B57D6"/>
    <w:rsid w:val="3A830B2E"/>
    <w:rsid w:val="3A84407A"/>
    <w:rsid w:val="3A8723CC"/>
    <w:rsid w:val="3A8839A7"/>
    <w:rsid w:val="3A887EF3"/>
    <w:rsid w:val="3A8B353F"/>
    <w:rsid w:val="3A8D6676"/>
    <w:rsid w:val="3A921CEB"/>
    <w:rsid w:val="3A995C5C"/>
    <w:rsid w:val="3A9C574C"/>
    <w:rsid w:val="3A9D19CF"/>
    <w:rsid w:val="3AA26176"/>
    <w:rsid w:val="3AA34D2C"/>
    <w:rsid w:val="3AA45590"/>
    <w:rsid w:val="3AA60379"/>
    <w:rsid w:val="3AA64BD0"/>
    <w:rsid w:val="3AA70E2C"/>
    <w:rsid w:val="3AA80482"/>
    <w:rsid w:val="3AAC1E33"/>
    <w:rsid w:val="3AAC3BE1"/>
    <w:rsid w:val="3AAD495E"/>
    <w:rsid w:val="3AAF1923"/>
    <w:rsid w:val="3AB900AC"/>
    <w:rsid w:val="3ABC194A"/>
    <w:rsid w:val="3ACC1ED6"/>
    <w:rsid w:val="3ACF167E"/>
    <w:rsid w:val="3AD35612"/>
    <w:rsid w:val="3AD43138"/>
    <w:rsid w:val="3AD76784"/>
    <w:rsid w:val="3AD82C28"/>
    <w:rsid w:val="3AD849D6"/>
    <w:rsid w:val="3AD969A0"/>
    <w:rsid w:val="3ADA2030"/>
    <w:rsid w:val="3ADB0022"/>
    <w:rsid w:val="3ADD4A26"/>
    <w:rsid w:val="3ADE7B13"/>
    <w:rsid w:val="3AE07D2F"/>
    <w:rsid w:val="3AE113B1"/>
    <w:rsid w:val="3AE315B0"/>
    <w:rsid w:val="3AE51797"/>
    <w:rsid w:val="3AE55345"/>
    <w:rsid w:val="3AE72E6B"/>
    <w:rsid w:val="3AE852B6"/>
    <w:rsid w:val="3AE92834"/>
    <w:rsid w:val="3AEC0481"/>
    <w:rsid w:val="3AEF7F72"/>
    <w:rsid w:val="3AF364B7"/>
    <w:rsid w:val="3AF61300"/>
    <w:rsid w:val="3AF6515B"/>
    <w:rsid w:val="3AF80B99"/>
    <w:rsid w:val="3AF92B9E"/>
    <w:rsid w:val="3AFD443D"/>
    <w:rsid w:val="3AFD4730"/>
    <w:rsid w:val="3AFD5E03"/>
    <w:rsid w:val="3AFD61EB"/>
    <w:rsid w:val="3B007A89"/>
    <w:rsid w:val="3B027CA5"/>
    <w:rsid w:val="3B082DE1"/>
    <w:rsid w:val="3B111C96"/>
    <w:rsid w:val="3B132EBB"/>
    <w:rsid w:val="3B181276"/>
    <w:rsid w:val="3B191B5E"/>
    <w:rsid w:val="3B1A5974"/>
    <w:rsid w:val="3B1B0D67"/>
    <w:rsid w:val="3B1D4ADF"/>
    <w:rsid w:val="3B1D688D"/>
    <w:rsid w:val="3B21695D"/>
    <w:rsid w:val="3B2A0FAA"/>
    <w:rsid w:val="3B2E2245"/>
    <w:rsid w:val="3B2F036E"/>
    <w:rsid w:val="3B304812"/>
    <w:rsid w:val="3B3140E6"/>
    <w:rsid w:val="3B3167B3"/>
    <w:rsid w:val="3B31760D"/>
    <w:rsid w:val="3B345984"/>
    <w:rsid w:val="3B3763D1"/>
    <w:rsid w:val="3B3A743F"/>
    <w:rsid w:val="3B3B31B7"/>
    <w:rsid w:val="3B3D0CDD"/>
    <w:rsid w:val="3B3E4314"/>
    <w:rsid w:val="3B424545"/>
    <w:rsid w:val="3B4262F3"/>
    <w:rsid w:val="3B4406AD"/>
    <w:rsid w:val="3B451F73"/>
    <w:rsid w:val="3B4A1BD1"/>
    <w:rsid w:val="3B4A2E09"/>
    <w:rsid w:val="3B530501"/>
    <w:rsid w:val="3B5424B5"/>
    <w:rsid w:val="3B5C3046"/>
    <w:rsid w:val="3B6444BC"/>
    <w:rsid w:val="3B64626A"/>
    <w:rsid w:val="3B6B3A9C"/>
    <w:rsid w:val="3B6B584A"/>
    <w:rsid w:val="3B6D4F6B"/>
    <w:rsid w:val="3B6E0E96"/>
    <w:rsid w:val="3B6F2B03"/>
    <w:rsid w:val="3B7346FF"/>
    <w:rsid w:val="3B787F67"/>
    <w:rsid w:val="3B7A5A8D"/>
    <w:rsid w:val="3B7F12F6"/>
    <w:rsid w:val="3B7F1F51"/>
    <w:rsid w:val="3B81506E"/>
    <w:rsid w:val="3B8763FC"/>
    <w:rsid w:val="3B8E745C"/>
    <w:rsid w:val="3B903503"/>
    <w:rsid w:val="3B905FB8"/>
    <w:rsid w:val="3B9308FD"/>
    <w:rsid w:val="3B955CD0"/>
    <w:rsid w:val="3B974891"/>
    <w:rsid w:val="3B9A7EDD"/>
    <w:rsid w:val="3B9F54F4"/>
    <w:rsid w:val="3BA35F47"/>
    <w:rsid w:val="3BA716DB"/>
    <w:rsid w:val="3BA74A92"/>
    <w:rsid w:val="3BAB1B9C"/>
    <w:rsid w:val="3BAB20EB"/>
    <w:rsid w:val="3BAB3E99"/>
    <w:rsid w:val="3BAB7ADE"/>
    <w:rsid w:val="3BAC7C11"/>
    <w:rsid w:val="3BAE24DA"/>
    <w:rsid w:val="3BB014AF"/>
    <w:rsid w:val="3BB164CD"/>
    <w:rsid w:val="3BB56AC5"/>
    <w:rsid w:val="3BB93856"/>
    <w:rsid w:val="3BBF7944"/>
    <w:rsid w:val="3BC1190E"/>
    <w:rsid w:val="3BC136BC"/>
    <w:rsid w:val="3BC60CD2"/>
    <w:rsid w:val="3BCE7B87"/>
    <w:rsid w:val="3BD3519D"/>
    <w:rsid w:val="3BD776DA"/>
    <w:rsid w:val="3BD80A06"/>
    <w:rsid w:val="3BDA477E"/>
    <w:rsid w:val="3BDC22A4"/>
    <w:rsid w:val="3BDF1D94"/>
    <w:rsid w:val="3BE63123"/>
    <w:rsid w:val="3BE70C49"/>
    <w:rsid w:val="3BEE0229"/>
    <w:rsid w:val="3BF27D19"/>
    <w:rsid w:val="3BF36DBD"/>
    <w:rsid w:val="3BF375EE"/>
    <w:rsid w:val="3BF84C04"/>
    <w:rsid w:val="3BF865C3"/>
    <w:rsid w:val="3BFC46F4"/>
    <w:rsid w:val="3BFD046C"/>
    <w:rsid w:val="3C011D0B"/>
    <w:rsid w:val="3C0417FB"/>
    <w:rsid w:val="3C0637C5"/>
    <w:rsid w:val="3C070B8D"/>
    <w:rsid w:val="3C1001A0"/>
    <w:rsid w:val="3C1063F2"/>
    <w:rsid w:val="3C166A9C"/>
    <w:rsid w:val="3C17152E"/>
    <w:rsid w:val="3C1934F8"/>
    <w:rsid w:val="3C1F6635"/>
    <w:rsid w:val="3C2459F9"/>
    <w:rsid w:val="3C2854E9"/>
    <w:rsid w:val="3C2D2B00"/>
    <w:rsid w:val="3C300842"/>
    <w:rsid w:val="3C317E23"/>
    <w:rsid w:val="3C3A4B39"/>
    <w:rsid w:val="3C3E2F5F"/>
    <w:rsid w:val="3C4165AB"/>
    <w:rsid w:val="3C432323"/>
    <w:rsid w:val="3C44609B"/>
    <w:rsid w:val="3C4A1903"/>
    <w:rsid w:val="3C4B742A"/>
    <w:rsid w:val="3C4C171C"/>
    <w:rsid w:val="3C4D13F4"/>
    <w:rsid w:val="3C502C92"/>
    <w:rsid w:val="3C504A40"/>
    <w:rsid w:val="3C553E04"/>
    <w:rsid w:val="3C5A45CF"/>
    <w:rsid w:val="3C5F4C83"/>
    <w:rsid w:val="3C6179FE"/>
    <w:rsid w:val="3C6B3628"/>
    <w:rsid w:val="3C700C3E"/>
    <w:rsid w:val="3C7050E2"/>
    <w:rsid w:val="3C706E90"/>
    <w:rsid w:val="3C793F97"/>
    <w:rsid w:val="3C795D45"/>
    <w:rsid w:val="3C7B228A"/>
    <w:rsid w:val="3C7B3438"/>
    <w:rsid w:val="3C7E4C3C"/>
    <w:rsid w:val="3C7F0E81"/>
    <w:rsid w:val="3C805325"/>
    <w:rsid w:val="3C814BF9"/>
    <w:rsid w:val="3C8766A6"/>
    <w:rsid w:val="3C89024E"/>
    <w:rsid w:val="3C8A7F52"/>
    <w:rsid w:val="3C9012E0"/>
    <w:rsid w:val="3C9618E6"/>
    <w:rsid w:val="3C990195"/>
    <w:rsid w:val="3C9C3DF5"/>
    <w:rsid w:val="3C9E1C4F"/>
    <w:rsid w:val="3CA164D5"/>
    <w:rsid w:val="3CA1704A"/>
    <w:rsid w:val="3CA31014"/>
    <w:rsid w:val="3CA31F01"/>
    <w:rsid w:val="3CA408E8"/>
    <w:rsid w:val="3CBB45AF"/>
    <w:rsid w:val="3CBC20D5"/>
    <w:rsid w:val="3CBE19AA"/>
    <w:rsid w:val="3CC037FD"/>
    <w:rsid w:val="3CC03974"/>
    <w:rsid w:val="3CC05722"/>
    <w:rsid w:val="3CC316B6"/>
    <w:rsid w:val="3CC347D3"/>
    <w:rsid w:val="3CCA65A0"/>
    <w:rsid w:val="3CCC056A"/>
    <w:rsid w:val="3CCD3C8C"/>
    <w:rsid w:val="3CCD6091"/>
    <w:rsid w:val="3CD236A7"/>
    <w:rsid w:val="3CD63197"/>
    <w:rsid w:val="3CDA245A"/>
    <w:rsid w:val="3CDE71C1"/>
    <w:rsid w:val="3CE05DC4"/>
    <w:rsid w:val="3CE37662"/>
    <w:rsid w:val="3CE6604E"/>
    <w:rsid w:val="3CE7185D"/>
    <w:rsid w:val="3CEA4A31"/>
    <w:rsid w:val="3CEC4769"/>
    <w:rsid w:val="3CEE0A37"/>
    <w:rsid w:val="3CF0711C"/>
    <w:rsid w:val="3CF67395"/>
    <w:rsid w:val="3CF96E86"/>
    <w:rsid w:val="3CFA3924"/>
    <w:rsid w:val="3CFC735A"/>
    <w:rsid w:val="3CFE624A"/>
    <w:rsid w:val="3D011811"/>
    <w:rsid w:val="3D05582A"/>
    <w:rsid w:val="3D056A3F"/>
    <w:rsid w:val="3D0F48FB"/>
    <w:rsid w:val="3D10720F"/>
    <w:rsid w:val="3D112421"/>
    <w:rsid w:val="3D18555E"/>
    <w:rsid w:val="3D1B3B06"/>
    <w:rsid w:val="3D2008B6"/>
    <w:rsid w:val="3D204412"/>
    <w:rsid w:val="3D2739C8"/>
    <w:rsid w:val="3D2739F3"/>
    <w:rsid w:val="3D2C1009"/>
    <w:rsid w:val="3D2C725B"/>
    <w:rsid w:val="3D2F0AF9"/>
    <w:rsid w:val="3D2F4655"/>
    <w:rsid w:val="3D3035F9"/>
    <w:rsid w:val="3D344362"/>
    <w:rsid w:val="3D347EBE"/>
    <w:rsid w:val="3D363C36"/>
    <w:rsid w:val="3D393726"/>
    <w:rsid w:val="3D4445A5"/>
    <w:rsid w:val="3D4520CB"/>
    <w:rsid w:val="3D491BBB"/>
    <w:rsid w:val="3D4D6987"/>
    <w:rsid w:val="3D4E71D1"/>
    <w:rsid w:val="3D4F2F4A"/>
    <w:rsid w:val="3D50442D"/>
    <w:rsid w:val="3D566086"/>
    <w:rsid w:val="3D567E34"/>
    <w:rsid w:val="3D597924"/>
    <w:rsid w:val="3D5D11C3"/>
    <w:rsid w:val="3D605157"/>
    <w:rsid w:val="3D624A2B"/>
    <w:rsid w:val="3D6469F5"/>
    <w:rsid w:val="3D670293"/>
    <w:rsid w:val="3D691975"/>
    <w:rsid w:val="3D6A7D83"/>
    <w:rsid w:val="3D6B6BFA"/>
    <w:rsid w:val="3D6D517E"/>
    <w:rsid w:val="3D6E33D0"/>
    <w:rsid w:val="3D736C38"/>
    <w:rsid w:val="3D74650C"/>
    <w:rsid w:val="3D747A54"/>
    <w:rsid w:val="3D766728"/>
    <w:rsid w:val="3D785FFC"/>
    <w:rsid w:val="3D7B5AED"/>
    <w:rsid w:val="3D7B789B"/>
    <w:rsid w:val="3D7D7F1F"/>
    <w:rsid w:val="3D7E17DF"/>
    <w:rsid w:val="3D842BF3"/>
    <w:rsid w:val="3D8726E3"/>
    <w:rsid w:val="3D89020A"/>
    <w:rsid w:val="3D8E3A72"/>
    <w:rsid w:val="3D913562"/>
    <w:rsid w:val="3D915310"/>
    <w:rsid w:val="3D9B618F"/>
    <w:rsid w:val="3D9C66F8"/>
    <w:rsid w:val="3D9E01E0"/>
    <w:rsid w:val="3DA23C6B"/>
    <w:rsid w:val="3DA4758B"/>
    <w:rsid w:val="3DA47914"/>
    <w:rsid w:val="3DA54918"/>
    <w:rsid w:val="3DAC75A2"/>
    <w:rsid w:val="3DB12122"/>
    <w:rsid w:val="3DB17760"/>
    <w:rsid w:val="3DB3369B"/>
    <w:rsid w:val="3DBB238D"/>
    <w:rsid w:val="3DBC3A61"/>
    <w:rsid w:val="3DBD4357"/>
    <w:rsid w:val="3DBD7EB3"/>
    <w:rsid w:val="3DC26A6B"/>
    <w:rsid w:val="3DCE20C0"/>
    <w:rsid w:val="3DD31485"/>
    <w:rsid w:val="3DD516A1"/>
    <w:rsid w:val="3DD671C7"/>
    <w:rsid w:val="3DD86A9B"/>
    <w:rsid w:val="3DDA6CB7"/>
    <w:rsid w:val="3DDD2303"/>
    <w:rsid w:val="3DE11078"/>
    <w:rsid w:val="3DE37306"/>
    <w:rsid w:val="3DE61E57"/>
    <w:rsid w:val="3DE73182"/>
    <w:rsid w:val="3DE93370"/>
    <w:rsid w:val="3DEA73A4"/>
    <w:rsid w:val="3DEB2C72"/>
    <w:rsid w:val="3DEB6224"/>
    <w:rsid w:val="3DF37D79"/>
    <w:rsid w:val="3DF96E3A"/>
    <w:rsid w:val="3DFC7B0B"/>
    <w:rsid w:val="3DFD29A6"/>
    <w:rsid w:val="3E015FF2"/>
    <w:rsid w:val="3E02320C"/>
    <w:rsid w:val="3E083824"/>
    <w:rsid w:val="3E1026D9"/>
    <w:rsid w:val="3E104487"/>
    <w:rsid w:val="3E1113DE"/>
    <w:rsid w:val="3E133F77"/>
    <w:rsid w:val="3E18333B"/>
    <w:rsid w:val="3E1A3557"/>
    <w:rsid w:val="3E1A5306"/>
    <w:rsid w:val="3E1A6DC1"/>
    <w:rsid w:val="3E1D0952"/>
    <w:rsid w:val="3E1D4DF6"/>
    <w:rsid w:val="3E1F291C"/>
    <w:rsid w:val="3E23240C"/>
    <w:rsid w:val="3E241CE0"/>
    <w:rsid w:val="3E247F32"/>
    <w:rsid w:val="3E250F63"/>
    <w:rsid w:val="3E29379B"/>
    <w:rsid w:val="3E295549"/>
    <w:rsid w:val="3E2E7003"/>
    <w:rsid w:val="3E304B29"/>
    <w:rsid w:val="3E3143FD"/>
    <w:rsid w:val="3E3144BE"/>
    <w:rsid w:val="3E357B4C"/>
    <w:rsid w:val="3E377C66"/>
    <w:rsid w:val="3E3A106C"/>
    <w:rsid w:val="3E3C34CE"/>
    <w:rsid w:val="3E3D275E"/>
    <w:rsid w:val="3E3F6B1A"/>
    <w:rsid w:val="3E43485C"/>
    <w:rsid w:val="3E46434D"/>
    <w:rsid w:val="3E467DCB"/>
    <w:rsid w:val="3E4C3FFA"/>
    <w:rsid w:val="3E4F1453"/>
    <w:rsid w:val="3E4F1FA4"/>
    <w:rsid w:val="3E530817"/>
    <w:rsid w:val="3E564C85"/>
    <w:rsid w:val="3E587BDC"/>
    <w:rsid w:val="3E5A3954"/>
    <w:rsid w:val="3E5E3444"/>
    <w:rsid w:val="3E636CAD"/>
    <w:rsid w:val="3E64108F"/>
    <w:rsid w:val="3E691C6B"/>
    <w:rsid w:val="3E693B97"/>
    <w:rsid w:val="3E6D7B2B"/>
    <w:rsid w:val="3E6E11AD"/>
    <w:rsid w:val="3E767CA2"/>
    <w:rsid w:val="3E772758"/>
    <w:rsid w:val="3E78202C"/>
    <w:rsid w:val="3E78424B"/>
    <w:rsid w:val="3E7C7D6E"/>
    <w:rsid w:val="3E864749"/>
    <w:rsid w:val="3E8B7FB1"/>
    <w:rsid w:val="3E8E35FE"/>
    <w:rsid w:val="3E90381A"/>
    <w:rsid w:val="3E907376"/>
    <w:rsid w:val="3E921340"/>
    <w:rsid w:val="3E927814"/>
    <w:rsid w:val="3E941710"/>
    <w:rsid w:val="3E94330A"/>
    <w:rsid w:val="3E95498C"/>
    <w:rsid w:val="3E970704"/>
    <w:rsid w:val="3E976956"/>
    <w:rsid w:val="3E9831C1"/>
    <w:rsid w:val="3E9A01F4"/>
    <w:rsid w:val="3E9C5D1B"/>
    <w:rsid w:val="3E9D66EF"/>
    <w:rsid w:val="3EA10976"/>
    <w:rsid w:val="3EA11583"/>
    <w:rsid w:val="3EA11895"/>
    <w:rsid w:val="3EAB2402"/>
    <w:rsid w:val="3EAC2D08"/>
    <w:rsid w:val="3EAD617A"/>
    <w:rsid w:val="3EB06725"/>
    <w:rsid w:val="3EB07A18"/>
    <w:rsid w:val="3EB9437E"/>
    <w:rsid w:val="3EBF1FF6"/>
    <w:rsid w:val="3EC7118D"/>
    <w:rsid w:val="3ECB4852"/>
    <w:rsid w:val="3ECB6600"/>
    <w:rsid w:val="3ECC5112"/>
    <w:rsid w:val="3ECD2378"/>
    <w:rsid w:val="3ECF148E"/>
    <w:rsid w:val="3ED23E32"/>
    <w:rsid w:val="3ED90D1D"/>
    <w:rsid w:val="3EDC25BB"/>
    <w:rsid w:val="3EDD198D"/>
    <w:rsid w:val="3EE002FD"/>
    <w:rsid w:val="3EE020AB"/>
    <w:rsid w:val="3EE15347"/>
    <w:rsid w:val="3EE31B9B"/>
    <w:rsid w:val="3EE86526"/>
    <w:rsid w:val="3EEA4CD8"/>
    <w:rsid w:val="3EEF23AA"/>
    <w:rsid w:val="3EF23B8C"/>
    <w:rsid w:val="3EF26282"/>
    <w:rsid w:val="3EFB0C93"/>
    <w:rsid w:val="3EFC4A0B"/>
    <w:rsid w:val="3EFF0135"/>
    <w:rsid w:val="3F001B51"/>
    <w:rsid w:val="3F03223E"/>
    <w:rsid w:val="3F045DCE"/>
    <w:rsid w:val="3F051B12"/>
    <w:rsid w:val="3F0538C0"/>
    <w:rsid w:val="3F057D64"/>
    <w:rsid w:val="3F06588A"/>
    <w:rsid w:val="3F0840B9"/>
    <w:rsid w:val="3F0A35CC"/>
    <w:rsid w:val="3F0B2DA6"/>
    <w:rsid w:val="3F0F473E"/>
    <w:rsid w:val="3F171845"/>
    <w:rsid w:val="3F19736B"/>
    <w:rsid w:val="3F1E4982"/>
    <w:rsid w:val="3F220916"/>
    <w:rsid w:val="3F260B3C"/>
    <w:rsid w:val="3F281CA4"/>
    <w:rsid w:val="3F283A52"/>
    <w:rsid w:val="3F325EA5"/>
    <w:rsid w:val="3F375A43"/>
    <w:rsid w:val="3F397A0D"/>
    <w:rsid w:val="3F3E5CD5"/>
    <w:rsid w:val="3F3E6DD2"/>
    <w:rsid w:val="3F3F46D3"/>
    <w:rsid w:val="3F407113"/>
    <w:rsid w:val="3F441A8C"/>
    <w:rsid w:val="3F44662B"/>
    <w:rsid w:val="3F4A741D"/>
    <w:rsid w:val="3F4B1EE8"/>
    <w:rsid w:val="3F4D34B9"/>
    <w:rsid w:val="3F4D4F72"/>
    <w:rsid w:val="3F4F5483"/>
    <w:rsid w:val="3F544847"/>
    <w:rsid w:val="3F5465F5"/>
    <w:rsid w:val="3F555269"/>
    <w:rsid w:val="3F5605BF"/>
    <w:rsid w:val="3F56236D"/>
    <w:rsid w:val="3F5900B0"/>
    <w:rsid w:val="3F591E5E"/>
    <w:rsid w:val="3F5A676C"/>
    <w:rsid w:val="3F6251B6"/>
    <w:rsid w:val="3F660E74"/>
    <w:rsid w:val="3F6A406B"/>
    <w:rsid w:val="3F6C1B91"/>
    <w:rsid w:val="3F6C393F"/>
    <w:rsid w:val="3F6D50FF"/>
    <w:rsid w:val="3F6E19E9"/>
    <w:rsid w:val="3F6F1681"/>
    <w:rsid w:val="3F740BAA"/>
    <w:rsid w:val="3F744EE9"/>
    <w:rsid w:val="3F746C97"/>
    <w:rsid w:val="3F780536"/>
    <w:rsid w:val="3F7942AE"/>
    <w:rsid w:val="3F7B6278"/>
    <w:rsid w:val="3F7B7B8A"/>
    <w:rsid w:val="3F7D3AA3"/>
    <w:rsid w:val="3F811F08"/>
    <w:rsid w:val="3F817E67"/>
    <w:rsid w:val="3F862E62"/>
    <w:rsid w:val="3F8844F1"/>
    <w:rsid w:val="3F905FED"/>
    <w:rsid w:val="3F9115F7"/>
    <w:rsid w:val="3F9335CD"/>
    <w:rsid w:val="3F966C0E"/>
    <w:rsid w:val="3F9904AC"/>
    <w:rsid w:val="3F995D91"/>
    <w:rsid w:val="3F9B4B17"/>
    <w:rsid w:val="3F9D1D4A"/>
    <w:rsid w:val="3FA70E1B"/>
    <w:rsid w:val="3FA94B93"/>
    <w:rsid w:val="3FAC01DF"/>
    <w:rsid w:val="3FAC745B"/>
    <w:rsid w:val="3FAF13AE"/>
    <w:rsid w:val="3FAF7CCF"/>
    <w:rsid w:val="3FB12ADB"/>
    <w:rsid w:val="3FB164F4"/>
    <w:rsid w:val="3FB3156E"/>
    <w:rsid w:val="3FB377C0"/>
    <w:rsid w:val="3FB53538"/>
    <w:rsid w:val="3FBD419A"/>
    <w:rsid w:val="3FBE7F13"/>
    <w:rsid w:val="3FC26C5C"/>
    <w:rsid w:val="3FC63871"/>
    <w:rsid w:val="3FC75AA0"/>
    <w:rsid w:val="3FC96EB0"/>
    <w:rsid w:val="3FCF2120"/>
    <w:rsid w:val="3FDA2F9E"/>
    <w:rsid w:val="3FDB2873"/>
    <w:rsid w:val="3FE16D38"/>
    <w:rsid w:val="3FE55985"/>
    <w:rsid w:val="3FEE07F8"/>
    <w:rsid w:val="3FEF7FA2"/>
    <w:rsid w:val="3FF027C2"/>
    <w:rsid w:val="3FF102E8"/>
    <w:rsid w:val="3FFA34B2"/>
    <w:rsid w:val="3FFD2A12"/>
    <w:rsid w:val="3FFD4EDF"/>
    <w:rsid w:val="3FFF0C57"/>
    <w:rsid w:val="3FFF2A05"/>
    <w:rsid w:val="4004001B"/>
    <w:rsid w:val="40062655"/>
    <w:rsid w:val="400647A9"/>
    <w:rsid w:val="400A75C6"/>
    <w:rsid w:val="400B75FC"/>
    <w:rsid w:val="400D3374"/>
    <w:rsid w:val="400E7546"/>
    <w:rsid w:val="4010076E"/>
    <w:rsid w:val="40104C12"/>
    <w:rsid w:val="401144E6"/>
    <w:rsid w:val="40170617"/>
    <w:rsid w:val="40183AC7"/>
    <w:rsid w:val="401A037E"/>
    <w:rsid w:val="401F4E55"/>
    <w:rsid w:val="40203CB1"/>
    <w:rsid w:val="40227D90"/>
    <w:rsid w:val="4024246B"/>
    <w:rsid w:val="4025767C"/>
    <w:rsid w:val="402814CD"/>
    <w:rsid w:val="402E32EA"/>
    <w:rsid w:val="4030560B"/>
    <w:rsid w:val="403264EC"/>
    <w:rsid w:val="403326AF"/>
    <w:rsid w:val="403F2E01"/>
    <w:rsid w:val="40442B0E"/>
    <w:rsid w:val="40445CE2"/>
    <w:rsid w:val="40477F08"/>
    <w:rsid w:val="404A39B1"/>
    <w:rsid w:val="404B79F8"/>
    <w:rsid w:val="404F1B83"/>
    <w:rsid w:val="4053079A"/>
    <w:rsid w:val="40572841"/>
    <w:rsid w:val="405B099C"/>
    <w:rsid w:val="405E3BCF"/>
    <w:rsid w:val="405E758E"/>
    <w:rsid w:val="405F1467"/>
    <w:rsid w:val="405F16F6"/>
    <w:rsid w:val="40630A6C"/>
    <w:rsid w:val="40646D0C"/>
    <w:rsid w:val="40673C32"/>
    <w:rsid w:val="40692574"/>
    <w:rsid w:val="40697DEF"/>
    <w:rsid w:val="406B009A"/>
    <w:rsid w:val="407214B1"/>
    <w:rsid w:val="407231D7"/>
    <w:rsid w:val="40723CDF"/>
    <w:rsid w:val="40744D04"/>
    <w:rsid w:val="4077259B"/>
    <w:rsid w:val="407A6407"/>
    <w:rsid w:val="407A79D6"/>
    <w:rsid w:val="407C22A8"/>
    <w:rsid w:val="407C5E04"/>
    <w:rsid w:val="407F58F4"/>
    <w:rsid w:val="40827192"/>
    <w:rsid w:val="408353E4"/>
    <w:rsid w:val="40844CB8"/>
    <w:rsid w:val="40863629"/>
    <w:rsid w:val="40890521"/>
    <w:rsid w:val="408D0011"/>
    <w:rsid w:val="408F7457"/>
    <w:rsid w:val="409018CD"/>
    <w:rsid w:val="40910A42"/>
    <w:rsid w:val="409475F1"/>
    <w:rsid w:val="40967C9A"/>
    <w:rsid w:val="4099146F"/>
    <w:rsid w:val="4099578D"/>
    <w:rsid w:val="409D0A43"/>
    <w:rsid w:val="409D5D7A"/>
    <w:rsid w:val="40A57942"/>
    <w:rsid w:val="40A610D2"/>
    <w:rsid w:val="40A67324"/>
    <w:rsid w:val="40A8309D"/>
    <w:rsid w:val="40AC03DF"/>
    <w:rsid w:val="40AD06B3"/>
    <w:rsid w:val="40AD5B64"/>
    <w:rsid w:val="40AE41D1"/>
    <w:rsid w:val="40B25CC9"/>
    <w:rsid w:val="40B530C4"/>
    <w:rsid w:val="40BB7697"/>
    <w:rsid w:val="40BE0DB2"/>
    <w:rsid w:val="40BE0F76"/>
    <w:rsid w:val="40C1373E"/>
    <w:rsid w:val="40C17EEE"/>
    <w:rsid w:val="40C357E1"/>
    <w:rsid w:val="40C438A3"/>
    <w:rsid w:val="40C655E2"/>
    <w:rsid w:val="40C67C6D"/>
    <w:rsid w:val="40C74FEA"/>
    <w:rsid w:val="40C81049"/>
    <w:rsid w:val="40C96B6F"/>
    <w:rsid w:val="40CD48B1"/>
    <w:rsid w:val="40CD582B"/>
    <w:rsid w:val="40CF4866"/>
    <w:rsid w:val="40D07EFD"/>
    <w:rsid w:val="40D53766"/>
    <w:rsid w:val="40DA0D7C"/>
    <w:rsid w:val="40DA57F1"/>
    <w:rsid w:val="40DC581F"/>
    <w:rsid w:val="40DE4339"/>
    <w:rsid w:val="40E045E4"/>
    <w:rsid w:val="40E37C31"/>
    <w:rsid w:val="40E439A9"/>
    <w:rsid w:val="40E47132"/>
    <w:rsid w:val="40E56385"/>
    <w:rsid w:val="40E85247"/>
    <w:rsid w:val="40EC1096"/>
    <w:rsid w:val="40ED0AAF"/>
    <w:rsid w:val="40F41E3E"/>
    <w:rsid w:val="40F621C4"/>
    <w:rsid w:val="40F67CBC"/>
    <w:rsid w:val="40FA31CC"/>
    <w:rsid w:val="40FB1513"/>
    <w:rsid w:val="40FE4A6B"/>
    <w:rsid w:val="40FF07E3"/>
    <w:rsid w:val="410127AD"/>
    <w:rsid w:val="410140EC"/>
    <w:rsid w:val="4101455B"/>
    <w:rsid w:val="410249FD"/>
    <w:rsid w:val="410302D3"/>
    <w:rsid w:val="41051135"/>
    <w:rsid w:val="41061B71"/>
    <w:rsid w:val="41076015"/>
    <w:rsid w:val="410A5D60"/>
    <w:rsid w:val="410C362B"/>
    <w:rsid w:val="410D6D4A"/>
    <w:rsid w:val="41160006"/>
    <w:rsid w:val="41171FD0"/>
    <w:rsid w:val="411C3143"/>
    <w:rsid w:val="412076AA"/>
    <w:rsid w:val="41232723"/>
    <w:rsid w:val="41281AE7"/>
    <w:rsid w:val="412C5A7C"/>
    <w:rsid w:val="412D48D8"/>
    <w:rsid w:val="41322966"/>
    <w:rsid w:val="41326E0A"/>
    <w:rsid w:val="41332DEE"/>
    <w:rsid w:val="41336AA3"/>
    <w:rsid w:val="41384420"/>
    <w:rsid w:val="413E093E"/>
    <w:rsid w:val="41405083"/>
    <w:rsid w:val="41434B73"/>
    <w:rsid w:val="41441117"/>
    <w:rsid w:val="414B6FDA"/>
    <w:rsid w:val="414F0FC2"/>
    <w:rsid w:val="41536C1F"/>
    <w:rsid w:val="41555250"/>
    <w:rsid w:val="41562AF9"/>
    <w:rsid w:val="41641FEF"/>
    <w:rsid w:val="416A0352"/>
    <w:rsid w:val="416D24A3"/>
    <w:rsid w:val="41742F7F"/>
    <w:rsid w:val="41764F49"/>
    <w:rsid w:val="4177481D"/>
    <w:rsid w:val="417D0085"/>
    <w:rsid w:val="41815E93"/>
    <w:rsid w:val="41892EE4"/>
    <w:rsid w:val="418B6F45"/>
    <w:rsid w:val="418E2292"/>
    <w:rsid w:val="419302A8"/>
    <w:rsid w:val="419453CF"/>
    <w:rsid w:val="41983D4B"/>
    <w:rsid w:val="41990C37"/>
    <w:rsid w:val="419A1BB9"/>
    <w:rsid w:val="419B675D"/>
    <w:rsid w:val="41A354FD"/>
    <w:rsid w:val="41A35612"/>
    <w:rsid w:val="41AB3DDC"/>
    <w:rsid w:val="41AE6491"/>
    <w:rsid w:val="41B11ADD"/>
    <w:rsid w:val="41B21056"/>
    <w:rsid w:val="41B36CDD"/>
    <w:rsid w:val="41B63641"/>
    <w:rsid w:val="41B8730F"/>
    <w:rsid w:val="41BA23CC"/>
    <w:rsid w:val="41BB0BAE"/>
    <w:rsid w:val="41BC71EB"/>
    <w:rsid w:val="41BE4CC7"/>
    <w:rsid w:val="41BE5A2A"/>
    <w:rsid w:val="41C12819"/>
    <w:rsid w:val="41C31810"/>
    <w:rsid w:val="41C37A62"/>
    <w:rsid w:val="41C454A4"/>
    <w:rsid w:val="41C60CE5"/>
    <w:rsid w:val="41C63BEE"/>
    <w:rsid w:val="41C662EF"/>
    <w:rsid w:val="41CF2217"/>
    <w:rsid w:val="41D1217F"/>
    <w:rsid w:val="41D81760"/>
    <w:rsid w:val="41DB1250"/>
    <w:rsid w:val="41DB4DAC"/>
    <w:rsid w:val="41DC3706"/>
    <w:rsid w:val="41E06866"/>
    <w:rsid w:val="41E40104"/>
    <w:rsid w:val="41E53E7C"/>
    <w:rsid w:val="41E952A1"/>
    <w:rsid w:val="41E9571B"/>
    <w:rsid w:val="41E974C9"/>
    <w:rsid w:val="41EC6FB9"/>
    <w:rsid w:val="41EE19F9"/>
    <w:rsid w:val="41EE4ADF"/>
    <w:rsid w:val="41F145CF"/>
    <w:rsid w:val="41F30347"/>
    <w:rsid w:val="41F61BE6"/>
    <w:rsid w:val="41FA16D6"/>
    <w:rsid w:val="41FB71FC"/>
    <w:rsid w:val="41FD11C6"/>
    <w:rsid w:val="41FF4F3E"/>
    <w:rsid w:val="42004812"/>
    <w:rsid w:val="42023833"/>
    <w:rsid w:val="42044303"/>
    <w:rsid w:val="420A5BE2"/>
    <w:rsid w:val="420A6C99"/>
    <w:rsid w:val="420E33EE"/>
    <w:rsid w:val="4210073E"/>
    <w:rsid w:val="421107CE"/>
    <w:rsid w:val="421309EA"/>
    <w:rsid w:val="421502BE"/>
    <w:rsid w:val="42154762"/>
    <w:rsid w:val="42204EB5"/>
    <w:rsid w:val="42291FBB"/>
    <w:rsid w:val="42295B17"/>
    <w:rsid w:val="422E312E"/>
    <w:rsid w:val="423821FE"/>
    <w:rsid w:val="423A0FD9"/>
    <w:rsid w:val="423A3BCC"/>
    <w:rsid w:val="423B52A6"/>
    <w:rsid w:val="423B584A"/>
    <w:rsid w:val="423D7815"/>
    <w:rsid w:val="425154F8"/>
    <w:rsid w:val="425272CB"/>
    <w:rsid w:val="425828A0"/>
    <w:rsid w:val="425A367A"/>
    <w:rsid w:val="425C043B"/>
    <w:rsid w:val="425C413F"/>
    <w:rsid w:val="425D3A13"/>
    <w:rsid w:val="42606EAF"/>
    <w:rsid w:val="42612D34"/>
    <w:rsid w:val="426624C3"/>
    <w:rsid w:val="42672AE3"/>
    <w:rsid w:val="426B4382"/>
    <w:rsid w:val="426D5A4D"/>
    <w:rsid w:val="426D634C"/>
    <w:rsid w:val="427174BE"/>
    <w:rsid w:val="42721D88"/>
    <w:rsid w:val="42723962"/>
    <w:rsid w:val="427C5B2B"/>
    <w:rsid w:val="427F1BDB"/>
    <w:rsid w:val="42816FF2"/>
    <w:rsid w:val="4283791D"/>
    <w:rsid w:val="42843695"/>
    <w:rsid w:val="42843BC2"/>
    <w:rsid w:val="428561CB"/>
    <w:rsid w:val="428B4A24"/>
    <w:rsid w:val="428C585C"/>
    <w:rsid w:val="42903DE8"/>
    <w:rsid w:val="429733C9"/>
    <w:rsid w:val="42984A4B"/>
    <w:rsid w:val="429E2362"/>
    <w:rsid w:val="42A338A7"/>
    <w:rsid w:val="42A35700"/>
    <w:rsid w:val="42A41642"/>
    <w:rsid w:val="42A930FC"/>
    <w:rsid w:val="42A950BB"/>
    <w:rsid w:val="42AA5F72"/>
    <w:rsid w:val="42B34E2B"/>
    <w:rsid w:val="42B51AA1"/>
    <w:rsid w:val="42B52239"/>
    <w:rsid w:val="42B530EB"/>
    <w:rsid w:val="42B5384F"/>
    <w:rsid w:val="42BD444E"/>
    <w:rsid w:val="42BF46CD"/>
    <w:rsid w:val="42C24102"/>
    <w:rsid w:val="42C341BE"/>
    <w:rsid w:val="42C615B8"/>
    <w:rsid w:val="42C73697"/>
    <w:rsid w:val="42C77FCE"/>
    <w:rsid w:val="42C817D4"/>
    <w:rsid w:val="42CA40AF"/>
    <w:rsid w:val="42CD0147"/>
    <w:rsid w:val="42CE4911"/>
    <w:rsid w:val="42D261AF"/>
    <w:rsid w:val="42D31F27"/>
    <w:rsid w:val="42D53EF1"/>
    <w:rsid w:val="42D737C5"/>
    <w:rsid w:val="42DA5063"/>
    <w:rsid w:val="42DA7950"/>
    <w:rsid w:val="42E20147"/>
    <w:rsid w:val="42E3216A"/>
    <w:rsid w:val="42E44134"/>
    <w:rsid w:val="42E51853"/>
    <w:rsid w:val="42E87780"/>
    <w:rsid w:val="42EC4B1D"/>
    <w:rsid w:val="42ED123B"/>
    <w:rsid w:val="42ED1DD1"/>
    <w:rsid w:val="42ED352D"/>
    <w:rsid w:val="42EE0B0F"/>
    <w:rsid w:val="42EF6D61"/>
    <w:rsid w:val="42F500EF"/>
    <w:rsid w:val="42F8373B"/>
    <w:rsid w:val="42FA5706"/>
    <w:rsid w:val="42FE6FA4"/>
    <w:rsid w:val="43087E22"/>
    <w:rsid w:val="43122A4F"/>
    <w:rsid w:val="43140575"/>
    <w:rsid w:val="431542ED"/>
    <w:rsid w:val="431A7B56"/>
    <w:rsid w:val="431D0717"/>
    <w:rsid w:val="431D372B"/>
    <w:rsid w:val="4320516C"/>
    <w:rsid w:val="43255786"/>
    <w:rsid w:val="432B495E"/>
    <w:rsid w:val="432D5ADB"/>
    <w:rsid w:val="432E070E"/>
    <w:rsid w:val="43302ED5"/>
    <w:rsid w:val="4339622E"/>
    <w:rsid w:val="433A6FE6"/>
    <w:rsid w:val="434075BC"/>
    <w:rsid w:val="434123BC"/>
    <w:rsid w:val="43421586"/>
    <w:rsid w:val="43430E5B"/>
    <w:rsid w:val="43443F1E"/>
    <w:rsid w:val="43454BD3"/>
    <w:rsid w:val="4346094B"/>
    <w:rsid w:val="434609B3"/>
    <w:rsid w:val="434E7CF8"/>
    <w:rsid w:val="4350713C"/>
    <w:rsid w:val="4352109E"/>
    <w:rsid w:val="43543068"/>
    <w:rsid w:val="43572B58"/>
    <w:rsid w:val="435A088F"/>
    <w:rsid w:val="435D5832"/>
    <w:rsid w:val="43600C36"/>
    <w:rsid w:val="436653E0"/>
    <w:rsid w:val="4366740F"/>
    <w:rsid w:val="4368266F"/>
    <w:rsid w:val="43696F7C"/>
    <w:rsid w:val="436B7F3C"/>
    <w:rsid w:val="436C6603"/>
    <w:rsid w:val="436D237B"/>
    <w:rsid w:val="437453F5"/>
    <w:rsid w:val="43746A4F"/>
    <w:rsid w:val="437901B2"/>
    <w:rsid w:val="43790D20"/>
    <w:rsid w:val="4379487C"/>
    <w:rsid w:val="43807474"/>
    <w:rsid w:val="438356FB"/>
    <w:rsid w:val="43843DC2"/>
    <w:rsid w:val="43866F99"/>
    <w:rsid w:val="438751EB"/>
    <w:rsid w:val="43882D11"/>
    <w:rsid w:val="438C45B0"/>
    <w:rsid w:val="438D102F"/>
    <w:rsid w:val="438F2C60"/>
    <w:rsid w:val="438F661B"/>
    <w:rsid w:val="43902128"/>
    <w:rsid w:val="43905BA3"/>
    <w:rsid w:val="43930246"/>
    <w:rsid w:val="439671DC"/>
    <w:rsid w:val="43973DCE"/>
    <w:rsid w:val="439C59D6"/>
    <w:rsid w:val="43A318F9"/>
    <w:rsid w:val="43A643FA"/>
    <w:rsid w:val="43A86F10"/>
    <w:rsid w:val="43AC6A00"/>
    <w:rsid w:val="43AE6F7D"/>
    <w:rsid w:val="43B12268"/>
    <w:rsid w:val="43B14016"/>
    <w:rsid w:val="43B600AD"/>
    <w:rsid w:val="43B81849"/>
    <w:rsid w:val="43B92ECB"/>
    <w:rsid w:val="43B95163"/>
    <w:rsid w:val="43B9736F"/>
    <w:rsid w:val="43BF3FB9"/>
    <w:rsid w:val="43C006FD"/>
    <w:rsid w:val="43C04259"/>
    <w:rsid w:val="43C24475"/>
    <w:rsid w:val="43C31F9B"/>
    <w:rsid w:val="43C401ED"/>
    <w:rsid w:val="43C81360"/>
    <w:rsid w:val="43C8760E"/>
    <w:rsid w:val="43CC0E50"/>
    <w:rsid w:val="43CD667C"/>
    <w:rsid w:val="43CE2E1A"/>
    <w:rsid w:val="43CF1E4E"/>
    <w:rsid w:val="43D45F57"/>
    <w:rsid w:val="43DB1093"/>
    <w:rsid w:val="43E02BE7"/>
    <w:rsid w:val="43E066A9"/>
    <w:rsid w:val="43E36C7A"/>
    <w:rsid w:val="43F62371"/>
    <w:rsid w:val="44022AC4"/>
    <w:rsid w:val="440426ED"/>
    <w:rsid w:val="44044A8E"/>
    <w:rsid w:val="44071E88"/>
    <w:rsid w:val="44087AD1"/>
    <w:rsid w:val="440A7BCA"/>
    <w:rsid w:val="440C749E"/>
    <w:rsid w:val="440E3217"/>
    <w:rsid w:val="44124CF1"/>
    <w:rsid w:val="4413477E"/>
    <w:rsid w:val="44134CD1"/>
    <w:rsid w:val="441445A5"/>
    <w:rsid w:val="44150A49"/>
    <w:rsid w:val="44156B63"/>
    <w:rsid w:val="44175E54"/>
    <w:rsid w:val="441D1006"/>
    <w:rsid w:val="44222311"/>
    <w:rsid w:val="44223EC2"/>
    <w:rsid w:val="44226CC2"/>
    <w:rsid w:val="442E1B0B"/>
    <w:rsid w:val="442E5667"/>
    <w:rsid w:val="44330ECF"/>
    <w:rsid w:val="443D58AA"/>
    <w:rsid w:val="443F7874"/>
    <w:rsid w:val="444255B6"/>
    <w:rsid w:val="4447497A"/>
    <w:rsid w:val="444E13D2"/>
    <w:rsid w:val="445157F9"/>
    <w:rsid w:val="44557097"/>
    <w:rsid w:val="445A46AE"/>
    <w:rsid w:val="44611C1B"/>
    <w:rsid w:val="446175D3"/>
    <w:rsid w:val="44661A1F"/>
    <w:rsid w:val="446C43E1"/>
    <w:rsid w:val="446E2DED"/>
    <w:rsid w:val="4473751E"/>
    <w:rsid w:val="447C2876"/>
    <w:rsid w:val="447D039C"/>
    <w:rsid w:val="447D214A"/>
    <w:rsid w:val="44872FC9"/>
    <w:rsid w:val="448E7078"/>
    <w:rsid w:val="448F2126"/>
    <w:rsid w:val="44913E48"/>
    <w:rsid w:val="44915BF6"/>
    <w:rsid w:val="449851D6"/>
    <w:rsid w:val="44986938"/>
    <w:rsid w:val="449A2CFC"/>
    <w:rsid w:val="449C4CC6"/>
    <w:rsid w:val="44A14FA7"/>
    <w:rsid w:val="44A8626A"/>
    <w:rsid w:val="44AE67A8"/>
    <w:rsid w:val="44B02520"/>
    <w:rsid w:val="44B042CE"/>
    <w:rsid w:val="44B32010"/>
    <w:rsid w:val="44B71B00"/>
    <w:rsid w:val="44B738AE"/>
    <w:rsid w:val="44BE2E8F"/>
    <w:rsid w:val="44BF2763"/>
    <w:rsid w:val="44C10289"/>
    <w:rsid w:val="44C304A5"/>
    <w:rsid w:val="44C61D43"/>
    <w:rsid w:val="44C67F95"/>
    <w:rsid w:val="44CB1108"/>
    <w:rsid w:val="44CB3B1B"/>
    <w:rsid w:val="44CD14E0"/>
    <w:rsid w:val="44CD30D2"/>
    <w:rsid w:val="44CE0BF8"/>
    <w:rsid w:val="44D0671E"/>
    <w:rsid w:val="44D37FBC"/>
    <w:rsid w:val="44D426B2"/>
    <w:rsid w:val="44DF1057"/>
    <w:rsid w:val="44E623E5"/>
    <w:rsid w:val="44E81CBA"/>
    <w:rsid w:val="44E83CA9"/>
    <w:rsid w:val="44E93C84"/>
    <w:rsid w:val="44EC4ED1"/>
    <w:rsid w:val="44F05012"/>
    <w:rsid w:val="44F06DC0"/>
    <w:rsid w:val="44F22B38"/>
    <w:rsid w:val="44F42EE1"/>
    <w:rsid w:val="44F63F31"/>
    <w:rsid w:val="44F85C75"/>
    <w:rsid w:val="44F87A23"/>
    <w:rsid w:val="44FA4815"/>
    <w:rsid w:val="450308A1"/>
    <w:rsid w:val="45034D45"/>
    <w:rsid w:val="450624C3"/>
    <w:rsid w:val="45091C30"/>
    <w:rsid w:val="450C780B"/>
    <w:rsid w:val="450E5498"/>
    <w:rsid w:val="45115463"/>
    <w:rsid w:val="451231DA"/>
    <w:rsid w:val="45141548"/>
    <w:rsid w:val="45147E19"/>
    <w:rsid w:val="451505D5"/>
    <w:rsid w:val="4517434D"/>
    <w:rsid w:val="451A3E3D"/>
    <w:rsid w:val="451C1963"/>
    <w:rsid w:val="451C5E07"/>
    <w:rsid w:val="451E56DB"/>
    <w:rsid w:val="45227CA0"/>
    <w:rsid w:val="45237196"/>
    <w:rsid w:val="452409D7"/>
    <w:rsid w:val="452756F8"/>
    <w:rsid w:val="45280308"/>
    <w:rsid w:val="452847AC"/>
    <w:rsid w:val="453250A1"/>
    <w:rsid w:val="45352A25"/>
    <w:rsid w:val="453942C3"/>
    <w:rsid w:val="453A003B"/>
    <w:rsid w:val="453F5652"/>
    <w:rsid w:val="4541761C"/>
    <w:rsid w:val="4545710C"/>
    <w:rsid w:val="454915A7"/>
    <w:rsid w:val="454A2974"/>
    <w:rsid w:val="454B2248"/>
    <w:rsid w:val="454D5FC1"/>
    <w:rsid w:val="454D7D6F"/>
    <w:rsid w:val="454F1D39"/>
    <w:rsid w:val="4550160D"/>
    <w:rsid w:val="45505AB1"/>
    <w:rsid w:val="45561AB0"/>
    <w:rsid w:val="455A248C"/>
    <w:rsid w:val="45611A6C"/>
    <w:rsid w:val="45622249"/>
    <w:rsid w:val="4565155C"/>
    <w:rsid w:val="456D21BF"/>
    <w:rsid w:val="456D2CB0"/>
    <w:rsid w:val="456E41DF"/>
    <w:rsid w:val="456E4C88"/>
    <w:rsid w:val="456F4189"/>
    <w:rsid w:val="456F738A"/>
    <w:rsid w:val="45735B6A"/>
    <w:rsid w:val="4574354D"/>
    <w:rsid w:val="457906C4"/>
    <w:rsid w:val="457E5811"/>
    <w:rsid w:val="457E617A"/>
    <w:rsid w:val="457F1EF2"/>
    <w:rsid w:val="45800144"/>
    <w:rsid w:val="45833790"/>
    <w:rsid w:val="45863281"/>
    <w:rsid w:val="458946E9"/>
    <w:rsid w:val="458B21FF"/>
    <w:rsid w:val="45911A11"/>
    <w:rsid w:val="45962E4E"/>
    <w:rsid w:val="45986D8C"/>
    <w:rsid w:val="45992C39"/>
    <w:rsid w:val="459B4382"/>
    <w:rsid w:val="459C0CF6"/>
    <w:rsid w:val="459C2AA4"/>
    <w:rsid w:val="459F20B2"/>
    <w:rsid w:val="45A06EFF"/>
    <w:rsid w:val="45A32084"/>
    <w:rsid w:val="45AA51C1"/>
    <w:rsid w:val="45AC718B"/>
    <w:rsid w:val="45AE54CB"/>
    <w:rsid w:val="45B1654F"/>
    <w:rsid w:val="45B222C8"/>
    <w:rsid w:val="45B918A8"/>
    <w:rsid w:val="45C16A25"/>
    <w:rsid w:val="45C36283"/>
    <w:rsid w:val="45C66EB9"/>
    <w:rsid w:val="45C95510"/>
    <w:rsid w:val="45CA13BF"/>
    <w:rsid w:val="45CA1598"/>
    <w:rsid w:val="45D466E2"/>
    <w:rsid w:val="45D87F80"/>
    <w:rsid w:val="45DA5812"/>
    <w:rsid w:val="45DB181E"/>
    <w:rsid w:val="45DB2DA7"/>
    <w:rsid w:val="45DE130F"/>
    <w:rsid w:val="45E06E35"/>
    <w:rsid w:val="45E22BAD"/>
    <w:rsid w:val="45E83F3B"/>
    <w:rsid w:val="45EC3A2B"/>
    <w:rsid w:val="45EC57D9"/>
    <w:rsid w:val="45EE269E"/>
    <w:rsid w:val="45EE77A4"/>
    <w:rsid w:val="45EE7D8D"/>
    <w:rsid w:val="45F11042"/>
    <w:rsid w:val="45F244DE"/>
    <w:rsid w:val="45F4653A"/>
    <w:rsid w:val="45F97EF6"/>
    <w:rsid w:val="45FD79E7"/>
    <w:rsid w:val="460074D7"/>
    <w:rsid w:val="46020B59"/>
    <w:rsid w:val="46032B23"/>
    <w:rsid w:val="460743C1"/>
    <w:rsid w:val="46080139"/>
    <w:rsid w:val="460C70AB"/>
    <w:rsid w:val="46113D93"/>
    <w:rsid w:val="4616725F"/>
    <w:rsid w:val="4618037D"/>
    <w:rsid w:val="461865CE"/>
    <w:rsid w:val="46192347"/>
    <w:rsid w:val="461B071B"/>
    <w:rsid w:val="461B1C1B"/>
    <w:rsid w:val="461D1E37"/>
    <w:rsid w:val="461E41BA"/>
    <w:rsid w:val="461F516B"/>
    <w:rsid w:val="46205483"/>
    <w:rsid w:val="46256F3D"/>
    <w:rsid w:val="46266A8D"/>
    <w:rsid w:val="46284338"/>
    <w:rsid w:val="462A65A2"/>
    <w:rsid w:val="462C02CC"/>
    <w:rsid w:val="462C3E28"/>
    <w:rsid w:val="462C5BD6"/>
    <w:rsid w:val="462E5CB9"/>
    <w:rsid w:val="463351B6"/>
    <w:rsid w:val="463364C0"/>
    <w:rsid w:val="46340F2E"/>
    <w:rsid w:val="46357180"/>
    <w:rsid w:val="46377A12"/>
    <w:rsid w:val="46381AE3"/>
    <w:rsid w:val="463D7073"/>
    <w:rsid w:val="4644098E"/>
    <w:rsid w:val="46472A10"/>
    <w:rsid w:val="464B4747"/>
    <w:rsid w:val="464F5C0D"/>
    <w:rsid w:val="46511AE0"/>
    <w:rsid w:val="46534369"/>
    <w:rsid w:val="46541B0B"/>
    <w:rsid w:val="46584C1D"/>
    <w:rsid w:val="466510E8"/>
    <w:rsid w:val="46651908"/>
    <w:rsid w:val="4665558C"/>
    <w:rsid w:val="466B2BA2"/>
    <w:rsid w:val="46713F31"/>
    <w:rsid w:val="46726D53"/>
    <w:rsid w:val="4674757D"/>
    <w:rsid w:val="46770F87"/>
    <w:rsid w:val="467852BF"/>
    <w:rsid w:val="4678706D"/>
    <w:rsid w:val="467908C2"/>
    <w:rsid w:val="467B090B"/>
    <w:rsid w:val="467F21AA"/>
    <w:rsid w:val="46813CB3"/>
    <w:rsid w:val="46821C9A"/>
    <w:rsid w:val="468448D8"/>
    <w:rsid w:val="468679DC"/>
    <w:rsid w:val="46873754"/>
    <w:rsid w:val="46893028"/>
    <w:rsid w:val="468974CC"/>
    <w:rsid w:val="468C2B19"/>
    <w:rsid w:val="46957C1F"/>
    <w:rsid w:val="46971BE9"/>
    <w:rsid w:val="469B2D5C"/>
    <w:rsid w:val="469D0882"/>
    <w:rsid w:val="469F0A9E"/>
    <w:rsid w:val="46A84713"/>
    <w:rsid w:val="46AD52B3"/>
    <w:rsid w:val="46AE0CE1"/>
    <w:rsid w:val="46B02CAB"/>
    <w:rsid w:val="46B06807"/>
    <w:rsid w:val="46B300A5"/>
    <w:rsid w:val="46B36B91"/>
    <w:rsid w:val="46B75DE7"/>
    <w:rsid w:val="46B8390E"/>
    <w:rsid w:val="46BB787A"/>
    <w:rsid w:val="46BD2CD2"/>
    <w:rsid w:val="46BF2EEE"/>
    <w:rsid w:val="46BF64C2"/>
    <w:rsid w:val="46C40504"/>
    <w:rsid w:val="46C51F28"/>
    <w:rsid w:val="46C70E61"/>
    <w:rsid w:val="46CC73B9"/>
    <w:rsid w:val="46CD355E"/>
    <w:rsid w:val="46CE09C1"/>
    <w:rsid w:val="46D149CF"/>
    <w:rsid w:val="46D1677D"/>
    <w:rsid w:val="46D70238"/>
    <w:rsid w:val="46D955A7"/>
    <w:rsid w:val="46D97270"/>
    <w:rsid w:val="46E110B6"/>
    <w:rsid w:val="46E42955"/>
    <w:rsid w:val="46E80DB5"/>
    <w:rsid w:val="46E82445"/>
    <w:rsid w:val="46EB5A91"/>
    <w:rsid w:val="46EB783F"/>
    <w:rsid w:val="46ED0E13"/>
    <w:rsid w:val="46F13E60"/>
    <w:rsid w:val="46F15894"/>
    <w:rsid w:val="46F56910"/>
    <w:rsid w:val="46F72688"/>
    <w:rsid w:val="46FA2178"/>
    <w:rsid w:val="46FA6535"/>
    <w:rsid w:val="46FD1503"/>
    <w:rsid w:val="46FD6304"/>
    <w:rsid w:val="47024B89"/>
    <w:rsid w:val="47044DA5"/>
    <w:rsid w:val="470628CB"/>
    <w:rsid w:val="4707219F"/>
    <w:rsid w:val="470923BB"/>
    <w:rsid w:val="470B7EE1"/>
    <w:rsid w:val="470E2EE7"/>
    <w:rsid w:val="471054F8"/>
    <w:rsid w:val="47124BC1"/>
    <w:rsid w:val="47133957"/>
    <w:rsid w:val="4714323A"/>
    <w:rsid w:val="471548BC"/>
    <w:rsid w:val="47176886"/>
    <w:rsid w:val="471919C1"/>
    <w:rsid w:val="471A69C9"/>
    <w:rsid w:val="471E5E67"/>
    <w:rsid w:val="472114B3"/>
    <w:rsid w:val="47217705"/>
    <w:rsid w:val="47237081"/>
    <w:rsid w:val="47246288"/>
    <w:rsid w:val="47250D5F"/>
    <w:rsid w:val="472D42FC"/>
    <w:rsid w:val="473236C0"/>
    <w:rsid w:val="47342495"/>
    <w:rsid w:val="47356D0C"/>
    <w:rsid w:val="47370CD6"/>
    <w:rsid w:val="4737208D"/>
    <w:rsid w:val="47394A4E"/>
    <w:rsid w:val="473E02B7"/>
    <w:rsid w:val="473E2065"/>
    <w:rsid w:val="474358CD"/>
    <w:rsid w:val="474478EF"/>
    <w:rsid w:val="47486A40"/>
    <w:rsid w:val="474F4272"/>
    <w:rsid w:val="47503B46"/>
    <w:rsid w:val="47503FE6"/>
    <w:rsid w:val="4750418A"/>
    <w:rsid w:val="47507FEA"/>
    <w:rsid w:val="47523D62"/>
    <w:rsid w:val="47571378"/>
    <w:rsid w:val="475911F7"/>
    <w:rsid w:val="47596E9F"/>
    <w:rsid w:val="47637D1D"/>
    <w:rsid w:val="476845ED"/>
    <w:rsid w:val="476A01DA"/>
    <w:rsid w:val="476A10AC"/>
    <w:rsid w:val="476E3D90"/>
    <w:rsid w:val="47767A51"/>
    <w:rsid w:val="47775577"/>
    <w:rsid w:val="4779329E"/>
    <w:rsid w:val="477E6905"/>
    <w:rsid w:val="47811F51"/>
    <w:rsid w:val="4783216D"/>
    <w:rsid w:val="47846F53"/>
    <w:rsid w:val="47867568"/>
    <w:rsid w:val="47887784"/>
    <w:rsid w:val="478F21EB"/>
    <w:rsid w:val="47901267"/>
    <w:rsid w:val="47953C4F"/>
    <w:rsid w:val="479B74B7"/>
    <w:rsid w:val="479F062A"/>
    <w:rsid w:val="47A07E0C"/>
    <w:rsid w:val="47A619B8"/>
    <w:rsid w:val="47AA594C"/>
    <w:rsid w:val="47AE4B10"/>
    <w:rsid w:val="47B2035D"/>
    <w:rsid w:val="47B36F08"/>
    <w:rsid w:val="47B57E4D"/>
    <w:rsid w:val="47B67368"/>
    <w:rsid w:val="47B71E17"/>
    <w:rsid w:val="47B746AA"/>
    <w:rsid w:val="47BE6D02"/>
    <w:rsid w:val="47BF7F9B"/>
    <w:rsid w:val="47C00975"/>
    <w:rsid w:val="47C6205A"/>
    <w:rsid w:val="47CA7D9C"/>
    <w:rsid w:val="47CC58C3"/>
    <w:rsid w:val="47CF7161"/>
    <w:rsid w:val="47D26C51"/>
    <w:rsid w:val="47D74267"/>
    <w:rsid w:val="47D863C3"/>
    <w:rsid w:val="47DC3CA8"/>
    <w:rsid w:val="47DC523D"/>
    <w:rsid w:val="47DF34E2"/>
    <w:rsid w:val="47E0311C"/>
    <w:rsid w:val="47E32732"/>
    <w:rsid w:val="47E524E0"/>
    <w:rsid w:val="47E81FD1"/>
    <w:rsid w:val="47EA722E"/>
    <w:rsid w:val="47EF37F7"/>
    <w:rsid w:val="47F44E19"/>
    <w:rsid w:val="47FB7F56"/>
    <w:rsid w:val="47FD1E93"/>
    <w:rsid w:val="48014387"/>
    <w:rsid w:val="48036E0A"/>
    <w:rsid w:val="48041878"/>
    <w:rsid w:val="48054931"/>
    <w:rsid w:val="480908C5"/>
    <w:rsid w:val="480A136E"/>
    <w:rsid w:val="480B5E1D"/>
    <w:rsid w:val="480C3F11"/>
    <w:rsid w:val="480E5012"/>
    <w:rsid w:val="481132D5"/>
    <w:rsid w:val="48144482"/>
    <w:rsid w:val="48153186"/>
    <w:rsid w:val="481903DC"/>
    <w:rsid w:val="481E59F2"/>
    <w:rsid w:val="481F27F7"/>
    <w:rsid w:val="48256D81"/>
    <w:rsid w:val="48270D4B"/>
    <w:rsid w:val="482A083B"/>
    <w:rsid w:val="482A25E9"/>
    <w:rsid w:val="482B265C"/>
    <w:rsid w:val="482D3E87"/>
    <w:rsid w:val="48315726"/>
    <w:rsid w:val="48335D86"/>
    <w:rsid w:val="483416BA"/>
    <w:rsid w:val="48347F7E"/>
    <w:rsid w:val="483E6094"/>
    <w:rsid w:val="484511D1"/>
    <w:rsid w:val="48457423"/>
    <w:rsid w:val="48484C47"/>
    <w:rsid w:val="484A4A39"/>
    <w:rsid w:val="484C255F"/>
    <w:rsid w:val="484E0AD2"/>
    <w:rsid w:val="485811E2"/>
    <w:rsid w:val="485B27A2"/>
    <w:rsid w:val="485B4F92"/>
    <w:rsid w:val="486378A9"/>
    <w:rsid w:val="48642021"/>
    <w:rsid w:val="48650157"/>
    <w:rsid w:val="4867383D"/>
    <w:rsid w:val="486A1C17"/>
    <w:rsid w:val="486C1747"/>
    <w:rsid w:val="486D24D6"/>
    <w:rsid w:val="4870272E"/>
    <w:rsid w:val="48723461"/>
    <w:rsid w:val="48763E7B"/>
    <w:rsid w:val="487A051B"/>
    <w:rsid w:val="487B1097"/>
    <w:rsid w:val="487B4BF3"/>
    <w:rsid w:val="487C1662"/>
    <w:rsid w:val="487D6BBD"/>
    <w:rsid w:val="4880045B"/>
    <w:rsid w:val="48814D1C"/>
    <w:rsid w:val="48825F81"/>
    <w:rsid w:val="488404C7"/>
    <w:rsid w:val="48867CD4"/>
    <w:rsid w:val="4889543F"/>
    <w:rsid w:val="488C32A4"/>
    <w:rsid w:val="488C5052"/>
    <w:rsid w:val="488F68F0"/>
    <w:rsid w:val="489050BE"/>
    <w:rsid w:val="48952158"/>
    <w:rsid w:val="48961A2D"/>
    <w:rsid w:val="489D100D"/>
    <w:rsid w:val="489D2DBB"/>
    <w:rsid w:val="48A36846"/>
    <w:rsid w:val="48A4239B"/>
    <w:rsid w:val="48A466CE"/>
    <w:rsid w:val="48A51C70"/>
    <w:rsid w:val="48A534D7"/>
    <w:rsid w:val="48A64365"/>
    <w:rsid w:val="48A73C3A"/>
    <w:rsid w:val="48B00D40"/>
    <w:rsid w:val="48B9571B"/>
    <w:rsid w:val="48BA396D"/>
    <w:rsid w:val="48BC0D87"/>
    <w:rsid w:val="48BD345D"/>
    <w:rsid w:val="48BD520B"/>
    <w:rsid w:val="48BF0F83"/>
    <w:rsid w:val="48C04DCB"/>
    <w:rsid w:val="48C4659A"/>
    <w:rsid w:val="48C53D36"/>
    <w:rsid w:val="48C90054"/>
    <w:rsid w:val="48C91E02"/>
    <w:rsid w:val="48CA7928"/>
    <w:rsid w:val="48CB5B7A"/>
    <w:rsid w:val="48CD108C"/>
    <w:rsid w:val="48CD2E1A"/>
    <w:rsid w:val="48D3302F"/>
    <w:rsid w:val="48D72771"/>
    <w:rsid w:val="48D80297"/>
    <w:rsid w:val="48D83DF3"/>
    <w:rsid w:val="48D94F98"/>
    <w:rsid w:val="48DA5DBD"/>
    <w:rsid w:val="48DB1977"/>
    <w:rsid w:val="48DF0B70"/>
    <w:rsid w:val="48DF5182"/>
    <w:rsid w:val="48E00EFA"/>
    <w:rsid w:val="48E03492"/>
    <w:rsid w:val="48E21116"/>
    <w:rsid w:val="48E22EC4"/>
    <w:rsid w:val="48E629B4"/>
    <w:rsid w:val="48E924A4"/>
    <w:rsid w:val="48EC3300"/>
    <w:rsid w:val="48EF5D2E"/>
    <w:rsid w:val="48F0738F"/>
    <w:rsid w:val="48F549A5"/>
    <w:rsid w:val="48F74BC1"/>
    <w:rsid w:val="48F7696F"/>
    <w:rsid w:val="48FA1472"/>
    <w:rsid w:val="48FA645F"/>
    <w:rsid w:val="490115D2"/>
    <w:rsid w:val="49044BE8"/>
    <w:rsid w:val="4907292A"/>
    <w:rsid w:val="49080B7C"/>
    <w:rsid w:val="490A3089"/>
    <w:rsid w:val="490C7F41"/>
    <w:rsid w:val="490D78A6"/>
    <w:rsid w:val="490E1F0B"/>
    <w:rsid w:val="49156DF5"/>
    <w:rsid w:val="49162368"/>
    <w:rsid w:val="491A265E"/>
    <w:rsid w:val="491D214E"/>
    <w:rsid w:val="491D5CAA"/>
    <w:rsid w:val="491F7C74"/>
    <w:rsid w:val="49255DFC"/>
    <w:rsid w:val="49276B29"/>
    <w:rsid w:val="492B486B"/>
    <w:rsid w:val="492C24DC"/>
    <w:rsid w:val="492E7EB7"/>
    <w:rsid w:val="49325BF9"/>
    <w:rsid w:val="4933371F"/>
    <w:rsid w:val="49362ED7"/>
    <w:rsid w:val="49380D36"/>
    <w:rsid w:val="49385C0C"/>
    <w:rsid w:val="4938670B"/>
    <w:rsid w:val="493D3419"/>
    <w:rsid w:val="493F54EA"/>
    <w:rsid w:val="49410206"/>
    <w:rsid w:val="49424029"/>
    <w:rsid w:val="49425710"/>
    <w:rsid w:val="49431BB4"/>
    <w:rsid w:val="49463453"/>
    <w:rsid w:val="494816E4"/>
    <w:rsid w:val="49492F43"/>
    <w:rsid w:val="494B0A69"/>
    <w:rsid w:val="494B472D"/>
    <w:rsid w:val="494E2307"/>
    <w:rsid w:val="4950607F"/>
    <w:rsid w:val="49585496"/>
    <w:rsid w:val="495913D8"/>
    <w:rsid w:val="495A6EFE"/>
    <w:rsid w:val="495F2766"/>
    <w:rsid w:val="496164DE"/>
    <w:rsid w:val="49697141"/>
    <w:rsid w:val="496B2EB9"/>
    <w:rsid w:val="496C291C"/>
    <w:rsid w:val="496D32A5"/>
    <w:rsid w:val="496E4757"/>
    <w:rsid w:val="496F62BB"/>
    <w:rsid w:val="497266D3"/>
    <w:rsid w:val="4977360C"/>
    <w:rsid w:val="49793828"/>
    <w:rsid w:val="497C0C22"/>
    <w:rsid w:val="498015D8"/>
    <w:rsid w:val="49804BB7"/>
    <w:rsid w:val="49805A76"/>
    <w:rsid w:val="49811327"/>
    <w:rsid w:val="498126DD"/>
    <w:rsid w:val="49815D26"/>
    <w:rsid w:val="49816239"/>
    <w:rsid w:val="49861AA1"/>
    <w:rsid w:val="49877112"/>
    <w:rsid w:val="498A77E3"/>
    <w:rsid w:val="49902920"/>
    <w:rsid w:val="499046CE"/>
    <w:rsid w:val="4990798C"/>
    <w:rsid w:val="49912D54"/>
    <w:rsid w:val="499441BE"/>
    <w:rsid w:val="49951AC7"/>
    <w:rsid w:val="49957E72"/>
    <w:rsid w:val="49995C78"/>
    <w:rsid w:val="499A452E"/>
    <w:rsid w:val="499F2B63"/>
    <w:rsid w:val="49A32653"/>
    <w:rsid w:val="49A3380F"/>
    <w:rsid w:val="49A81A70"/>
    <w:rsid w:val="49A918FB"/>
    <w:rsid w:val="49AA1FDC"/>
    <w:rsid w:val="49AA31B5"/>
    <w:rsid w:val="49AB59AC"/>
    <w:rsid w:val="49AB775A"/>
    <w:rsid w:val="49AC538B"/>
    <w:rsid w:val="49AD1724"/>
    <w:rsid w:val="49AE2DA6"/>
    <w:rsid w:val="49B605D8"/>
    <w:rsid w:val="49B753C7"/>
    <w:rsid w:val="49B900C8"/>
    <w:rsid w:val="49BA799D"/>
    <w:rsid w:val="49BC2721"/>
    <w:rsid w:val="49C20652"/>
    <w:rsid w:val="49C32CF5"/>
    <w:rsid w:val="49C56A6D"/>
    <w:rsid w:val="49C64593"/>
    <w:rsid w:val="49C751FD"/>
    <w:rsid w:val="49C97B1D"/>
    <w:rsid w:val="49CA4084"/>
    <w:rsid w:val="49CF169A"/>
    <w:rsid w:val="49D2118A"/>
    <w:rsid w:val="49D40682"/>
    <w:rsid w:val="49D4280C"/>
    <w:rsid w:val="49D62A28"/>
    <w:rsid w:val="49D7054F"/>
    <w:rsid w:val="49D767A1"/>
    <w:rsid w:val="49DC7715"/>
    <w:rsid w:val="49E01723"/>
    <w:rsid w:val="49E04077"/>
    <w:rsid w:val="49E113CD"/>
    <w:rsid w:val="49E1317B"/>
    <w:rsid w:val="49E8275C"/>
    <w:rsid w:val="49E968C3"/>
    <w:rsid w:val="49EB1A27"/>
    <w:rsid w:val="49EB7B56"/>
    <w:rsid w:val="49EC224C"/>
    <w:rsid w:val="49EF3AEA"/>
    <w:rsid w:val="49EF7646"/>
    <w:rsid w:val="49F033BE"/>
    <w:rsid w:val="49F20EE5"/>
    <w:rsid w:val="49F44C5D"/>
    <w:rsid w:val="49F53598"/>
    <w:rsid w:val="49F64D3C"/>
    <w:rsid w:val="49F7299F"/>
    <w:rsid w:val="49F96717"/>
    <w:rsid w:val="49FC1D63"/>
    <w:rsid w:val="49FC7FB5"/>
    <w:rsid w:val="49FD6207"/>
    <w:rsid w:val="4A023139"/>
    <w:rsid w:val="4A03113E"/>
    <w:rsid w:val="4A0328F9"/>
    <w:rsid w:val="4A0A26D2"/>
    <w:rsid w:val="4A0A7296"/>
    <w:rsid w:val="4A0D21C2"/>
    <w:rsid w:val="4A0F1A96"/>
    <w:rsid w:val="4A0F5F3A"/>
    <w:rsid w:val="4A17094B"/>
    <w:rsid w:val="4A174DEF"/>
    <w:rsid w:val="4A1E617D"/>
    <w:rsid w:val="4A2410AF"/>
    <w:rsid w:val="4A247CED"/>
    <w:rsid w:val="4A273284"/>
    <w:rsid w:val="4A2819C9"/>
    <w:rsid w:val="4A2C089A"/>
    <w:rsid w:val="4A2C2648"/>
    <w:rsid w:val="4A304D07"/>
    <w:rsid w:val="4A314103"/>
    <w:rsid w:val="4A353E64"/>
    <w:rsid w:val="4A3B0ADD"/>
    <w:rsid w:val="4A3E05CE"/>
    <w:rsid w:val="4A413C1A"/>
    <w:rsid w:val="4A435BE4"/>
    <w:rsid w:val="4A4756D4"/>
    <w:rsid w:val="4A477482"/>
    <w:rsid w:val="4A492030"/>
    <w:rsid w:val="4A53662B"/>
    <w:rsid w:val="4A600544"/>
    <w:rsid w:val="4A6022F2"/>
    <w:rsid w:val="4A633B90"/>
    <w:rsid w:val="4A695243"/>
    <w:rsid w:val="4A6A3171"/>
    <w:rsid w:val="4A6D4A0F"/>
    <w:rsid w:val="4A6F2535"/>
    <w:rsid w:val="4A712751"/>
    <w:rsid w:val="4A727F0E"/>
    <w:rsid w:val="4A730277"/>
    <w:rsid w:val="4A742241"/>
    <w:rsid w:val="4A754154"/>
    <w:rsid w:val="4A761B16"/>
    <w:rsid w:val="4A767D68"/>
    <w:rsid w:val="4A791606"/>
    <w:rsid w:val="4A7B537E"/>
    <w:rsid w:val="4A7B576F"/>
    <w:rsid w:val="4A7E09CA"/>
    <w:rsid w:val="4A802994"/>
    <w:rsid w:val="4A82495E"/>
    <w:rsid w:val="4A82670C"/>
    <w:rsid w:val="4A857FAB"/>
    <w:rsid w:val="4A895CED"/>
    <w:rsid w:val="4A8C38A0"/>
    <w:rsid w:val="4A8D10ED"/>
    <w:rsid w:val="4A8E09AD"/>
    <w:rsid w:val="4A8E50B1"/>
    <w:rsid w:val="4A8F4985"/>
    <w:rsid w:val="4A8F7F71"/>
    <w:rsid w:val="4A9401EE"/>
    <w:rsid w:val="4A954692"/>
    <w:rsid w:val="4A9B05A9"/>
    <w:rsid w:val="4A9F106C"/>
    <w:rsid w:val="4A9F72BE"/>
    <w:rsid w:val="4AA30431"/>
    <w:rsid w:val="4AA448D5"/>
    <w:rsid w:val="4AA5064D"/>
    <w:rsid w:val="4AAA6481"/>
    <w:rsid w:val="4AAD305D"/>
    <w:rsid w:val="4AAF6887"/>
    <w:rsid w:val="4AB03279"/>
    <w:rsid w:val="4AB04516"/>
    <w:rsid w:val="4AB16FF2"/>
    <w:rsid w:val="4AB368C6"/>
    <w:rsid w:val="4AB50890"/>
    <w:rsid w:val="4ABB577A"/>
    <w:rsid w:val="4ABD30CC"/>
    <w:rsid w:val="4AC07235"/>
    <w:rsid w:val="4AC15D58"/>
    <w:rsid w:val="4AC22FAD"/>
    <w:rsid w:val="4AC40AD3"/>
    <w:rsid w:val="4AC46D25"/>
    <w:rsid w:val="4AC705C3"/>
    <w:rsid w:val="4ACA3C0F"/>
    <w:rsid w:val="4ACF05F5"/>
    <w:rsid w:val="4AD11442"/>
    <w:rsid w:val="4AD131F0"/>
    <w:rsid w:val="4AD60806"/>
    <w:rsid w:val="4ADB18EB"/>
    <w:rsid w:val="4ADE7383"/>
    <w:rsid w:val="4ADF355A"/>
    <w:rsid w:val="4AE5022F"/>
    <w:rsid w:val="4AE7656F"/>
    <w:rsid w:val="4AE779C2"/>
    <w:rsid w:val="4AE97F15"/>
    <w:rsid w:val="4AEA4061"/>
    <w:rsid w:val="4AEB2504"/>
    <w:rsid w:val="4AEE5B50"/>
    <w:rsid w:val="4AF37CCE"/>
    <w:rsid w:val="4AF64A04"/>
    <w:rsid w:val="4AF869CF"/>
    <w:rsid w:val="4AF95AE8"/>
    <w:rsid w:val="4AFB201B"/>
    <w:rsid w:val="4AFE2ACC"/>
    <w:rsid w:val="4B0042F9"/>
    <w:rsid w:val="4B0F5512"/>
    <w:rsid w:val="4B11183E"/>
    <w:rsid w:val="4B137364"/>
    <w:rsid w:val="4B1732F9"/>
    <w:rsid w:val="4B187071"/>
    <w:rsid w:val="4B1A6945"/>
    <w:rsid w:val="4B1D4687"/>
    <w:rsid w:val="4B217CD3"/>
    <w:rsid w:val="4B223A4B"/>
    <w:rsid w:val="4B271062"/>
    <w:rsid w:val="4B2B0B52"/>
    <w:rsid w:val="4B2C48CA"/>
    <w:rsid w:val="4B307F16"/>
    <w:rsid w:val="4B3774F7"/>
    <w:rsid w:val="4B386DCB"/>
    <w:rsid w:val="4B3F72F1"/>
    <w:rsid w:val="4B441C14"/>
    <w:rsid w:val="4B48362D"/>
    <w:rsid w:val="4B4C0AC8"/>
    <w:rsid w:val="4B4C2876"/>
    <w:rsid w:val="4B555BCF"/>
    <w:rsid w:val="4B5A4F93"/>
    <w:rsid w:val="4B5C0D0B"/>
    <w:rsid w:val="4B5F09E6"/>
    <w:rsid w:val="4B616322"/>
    <w:rsid w:val="4B6202EC"/>
    <w:rsid w:val="4B6422B6"/>
    <w:rsid w:val="4B6573C5"/>
    <w:rsid w:val="4B6978CC"/>
    <w:rsid w:val="4B6C4CC7"/>
    <w:rsid w:val="4B6D2F19"/>
    <w:rsid w:val="4B736055"/>
    <w:rsid w:val="4B777E35"/>
    <w:rsid w:val="4B797B0F"/>
    <w:rsid w:val="4B7B4D7B"/>
    <w:rsid w:val="4B7C13AE"/>
    <w:rsid w:val="4B7D55E8"/>
    <w:rsid w:val="4B7F2C4C"/>
    <w:rsid w:val="4B8058CD"/>
    <w:rsid w:val="4B8402B1"/>
    <w:rsid w:val="4B8509FE"/>
    <w:rsid w:val="4B863FDA"/>
    <w:rsid w:val="4B865D88"/>
    <w:rsid w:val="4B92297F"/>
    <w:rsid w:val="4B9318F2"/>
    <w:rsid w:val="4B9366F7"/>
    <w:rsid w:val="4B9506C1"/>
    <w:rsid w:val="4B9530C4"/>
    <w:rsid w:val="4B983D0E"/>
    <w:rsid w:val="4B9F6E4A"/>
    <w:rsid w:val="4BA17066"/>
    <w:rsid w:val="4BA426B2"/>
    <w:rsid w:val="4BA803F5"/>
    <w:rsid w:val="4BA821A3"/>
    <w:rsid w:val="4BA97CC9"/>
    <w:rsid w:val="4BAB3A41"/>
    <w:rsid w:val="4BAB57EF"/>
    <w:rsid w:val="4BAE52DF"/>
    <w:rsid w:val="4BAF6219"/>
    <w:rsid w:val="4BB01057"/>
    <w:rsid w:val="4BB26B7D"/>
    <w:rsid w:val="4BB943B0"/>
    <w:rsid w:val="4BBA3C84"/>
    <w:rsid w:val="4BBC5C4E"/>
    <w:rsid w:val="4BBF594C"/>
    <w:rsid w:val="4BC468B1"/>
    <w:rsid w:val="4BC52D55"/>
    <w:rsid w:val="4BC82845"/>
    <w:rsid w:val="4BD3035B"/>
    <w:rsid w:val="4BD626E7"/>
    <w:rsid w:val="4BD765E4"/>
    <w:rsid w:val="4BD905AE"/>
    <w:rsid w:val="4BDA60D4"/>
    <w:rsid w:val="4BDC009E"/>
    <w:rsid w:val="4BDE3E16"/>
    <w:rsid w:val="4BE156B5"/>
    <w:rsid w:val="4BE551A5"/>
    <w:rsid w:val="4BE62CCB"/>
    <w:rsid w:val="4BEA27BB"/>
    <w:rsid w:val="4BEB6533"/>
    <w:rsid w:val="4BED22AB"/>
    <w:rsid w:val="4BEE392E"/>
    <w:rsid w:val="4BF61160"/>
    <w:rsid w:val="4BF62612"/>
    <w:rsid w:val="4BF70A34"/>
    <w:rsid w:val="4BF70D1F"/>
    <w:rsid w:val="4BF90C50"/>
    <w:rsid w:val="4BFC24EE"/>
    <w:rsid w:val="4BFC604B"/>
    <w:rsid w:val="4C0118B3"/>
    <w:rsid w:val="4C01255B"/>
    <w:rsid w:val="4C0575F5"/>
    <w:rsid w:val="4C072813"/>
    <w:rsid w:val="4C0A2342"/>
    <w:rsid w:val="4C0B2731"/>
    <w:rsid w:val="4C0D2006"/>
    <w:rsid w:val="4C107D48"/>
    <w:rsid w:val="4C115F9A"/>
    <w:rsid w:val="4C11613A"/>
    <w:rsid w:val="4C12586E"/>
    <w:rsid w:val="4C15535E"/>
    <w:rsid w:val="4C177328"/>
    <w:rsid w:val="4C196BFC"/>
    <w:rsid w:val="4C1B0BC7"/>
    <w:rsid w:val="4C1C011A"/>
    <w:rsid w:val="4C20442F"/>
    <w:rsid w:val="4C215AB1"/>
    <w:rsid w:val="4C2757BD"/>
    <w:rsid w:val="4C2E4820"/>
    <w:rsid w:val="4C2F01CE"/>
    <w:rsid w:val="4C2F1256"/>
    <w:rsid w:val="4C3103EA"/>
    <w:rsid w:val="4C327CBE"/>
    <w:rsid w:val="4C343841"/>
    <w:rsid w:val="4C392213"/>
    <w:rsid w:val="4C3B4DC5"/>
    <w:rsid w:val="4C3B6274"/>
    <w:rsid w:val="4C4719BC"/>
    <w:rsid w:val="4C4874E2"/>
    <w:rsid w:val="4C4A0649"/>
    <w:rsid w:val="4C4C5224"/>
    <w:rsid w:val="4C511115"/>
    <w:rsid w:val="4C516396"/>
    <w:rsid w:val="4C5D5CF6"/>
    <w:rsid w:val="4C667968"/>
    <w:rsid w:val="4C675BBA"/>
    <w:rsid w:val="4C6B091A"/>
    <w:rsid w:val="4C6C226D"/>
    <w:rsid w:val="4C6D0CF6"/>
    <w:rsid w:val="4C6E50DF"/>
    <w:rsid w:val="4C713CFE"/>
    <w:rsid w:val="4C716A38"/>
    <w:rsid w:val="4C744019"/>
    <w:rsid w:val="4C79769B"/>
    <w:rsid w:val="4C7E4CB1"/>
    <w:rsid w:val="4C804ECE"/>
    <w:rsid w:val="4C83051A"/>
    <w:rsid w:val="4C87000A"/>
    <w:rsid w:val="4C8C73CE"/>
    <w:rsid w:val="4C94244E"/>
    <w:rsid w:val="4C9857B2"/>
    <w:rsid w:val="4C9D782D"/>
    <w:rsid w:val="4CA02E7A"/>
    <w:rsid w:val="4CA0731E"/>
    <w:rsid w:val="4CA24E44"/>
    <w:rsid w:val="4CA276AB"/>
    <w:rsid w:val="4CA412EE"/>
    <w:rsid w:val="4CA50490"/>
    <w:rsid w:val="4CA54934"/>
    <w:rsid w:val="4CB132D9"/>
    <w:rsid w:val="4CB22BAD"/>
    <w:rsid w:val="4CB30DFF"/>
    <w:rsid w:val="4CBF59F6"/>
    <w:rsid w:val="4CC0176E"/>
    <w:rsid w:val="4CC21042"/>
    <w:rsid w:val="4CC215D8"/>
    <w:rsid w:val="4CC2206D"/>
    <w:rsid w:val="4CC4300C"/>
    <w:rsid w:val="4CC50B32"/>
    <w:rsid w:val="4CC528E0"/>
    <w:rsid w:val="4CC622E8"/>
    <w:rsid w:val="4CC72AFC"/>
    <w:rsid w:val="4CC76658"/>
    <w:rsid w:val="4CCE3E8B"/>
    <w:rsid w:val="4CCE58CF"/>
    <w:rsid w:val="4CD15729"/>
    <w:rsid w:val="4CD3324F"/>
    <w:rsid w:val="4CD40D75"/>
    <w:rsid w:val="4CD66EB3"/>
    <w:rsid w:val="4CDB0356"/>
    <w:rsid w:val="4CDD5E7C"/>
    <w:rsid w:val="4CE27936"/>
    <w:rsid w:val="4CE42B3C"/>
    <w:rsid w:val="4CE4647E"/>
    <w:rsid w:val="4CE470D3"/>
    <w:rsid w:val="4CED0898"/>
    <w:rsid w:val="4CEE62DB"/>
    <w:rsid w:val="4CEF5BAF"/>
    <w:rsid w:val="4CF809E5"/>
    <w:rsid w:val="4D023C3A"/>
    <w:rsid w:val="4D0347ED"/>
    <w:rsid w:val="4D04450E"/>
    <w:rsid w:val="4D0478A8"/>
    <w:rsid w:val="4D090A1F"/>
    <w:rsid w:val="4D0A4797"/>
    <w:rsid w:val="4D0D77FD"/>
    <w:rsid w:val="4D1004F6"/>
    <w:rsid w:val="4D153868"/>
    <w:rsid w:val="4D155616"/>
    <w:rsid w:val="4D1A36F9"/>
    <w:rsid w:val="4D1D44CA"/>
    <w:rsid w:val="4D243AAB"/>
    <w:rsid w:val="4D2770F7"/>
    <w:rsid w:val="4D301632"/>
    <w:rsid w:val="4D355CB8"/>
    <w:rsid w:val="4D3B1C54"/>
    <w:rsid w:val="4D3B2BA3"/>
    <w:rsid w:val="4D3D2DBF"/>
    <w:rsid w:val="4D3D4B6D"/>
    <w:rsid w:val="4D3D691B"/>
    <w:rsid w:val="4D3D72F9"/>
    <w:rsid w:val="4D3F481B"/>
    <w:rsid w:val="4D41465D"/>
    <w:rsid w:val="4D4203D5"/>
    <w:rsid w:val="4D461C73"/>
    <w:rsid w:val="4D467EC5"/>
    <w:rsid w:val="4D470D2F"/>
    <w:rsid w:val="4D4952BF"/>
    <w:rsid w:val="4D4A6344"/>
    <w:rsid w:val="4D4C3002"/>
    <w:rsid w:val="4D4F66DD"/>
    <w:rsid w:val="4D5048A0"/>
    <w:rsid w:val="4D511823"/>
    <w:rsid w:val="4D534390"/>
    <w:rsid w:val="4D551EB6"/>
    <w:rsid w:val="4D5716EC"/>
    <w:rsid w:val="4D583754"/>
    <w:rsid w:val="4D622825"/>
    <w:rsid w:val="4D64659D"/>
    <w:rsid w:val="4D6473B4"/>
    <w:rsid w:val="4D70238D"/>
    <w:rsid w:val="4D73058E"/>
    <w:rsid w:val="4D782FD9"/>
    <w:rsid w:val="4D7D140D"/>
    <w:rsid w:val="4D806F98"/>
    <w:rsid w:val="4D834C75"/>
    <w:rsid w:val="4D84279B"/>
    <w:rsid w:val="4D8602C2"/>
    <w:rsid w:val="4D880DF6"/>
    <w:rsid w:val="4D8B3B2A"/>
    <w:rsid w:val="4D8E361A"/>
    <w:rsid w:val="4D8F45EB"/>
    <w:rsid w:val="4D910B7E"/>
    <w:rsid w:val="4D956757"/>
    <w:rsid w:val="4D9C1893"/>
    <w:rsid w:val="4D9E78F3"/>
    <w:rsid w:val="4D9F75D5"/>
    <w:rsid w:val="4DA326D4"/>
    <w:rsid w:val="4DA44CDC"/>
    <w:rsid w:val="4DA60964"/>
    <w:rsid w:val="4DA67FC9"/>
    <w:rsid w:val="4DA70238"/>
    <w:rsid w:val="4DA7075E"/>
    <w:rsid w:val="4DA846DC"/>
    <w:rsid w:val="4DAB40F0"/>
    <w:rsid w:val="4DAD1CF2"/>
    <w:rsid w:val="4DAE0572"/>
    <w:rsid w:val="4DB43081"/>
    <w:rsid w:val="4DBA61BD"/>
    <w:rsid w:val="4DBE2C0C"/>
    <w:rsid w:val="4DC112FA"/>
    <w:rsid w:val="4DC31F9D"/>
    <w:rsid w:val="4DC66910"/>
    <w:rsid w:val="4DC82688"/>
    <w:rsid w:val="4DCD7C9F"/>
    <w:rsid w:val="4DCE1C69"/>
    <w:rsid w:val="4DCE2B1A"/>
    <w:rsid w:val="4DCF687D"/>
    <w:rsid w:val="4DD70B1D"/>
    <w:rsid w:val="4DD85AB8"/>
    <w:rsid w:val="4DD8667B"/>
    <w:rsid w:val="4DD94895"/>
    <w:rsid w:val="4DDA06F9"/>
    <w:rsid w:val="4DDB20CA"/>
    <w:rsid w:val="4DDE1EAC"/>
    <w:rsid w:val="4DE17BEE"/>
    <w:rsid w:val="4DE21C50"/>
    <w:rsid w:val="4DEB281B"/>
    <w:rsid w:val="4DEB45C9"/>
    <w:rsid w:val="4DEC4FB0"/>
    <w:rsid w:val="4DED6593"/>
    <w:rsid w:val="4DEF6FAE"/>
    <w:rsid w:val="4DFF6CE0"/>
    <w:rsid w:val="4E0062C6"/>
    <w:rsid w:val="4E037B64"/>
    <w:rsid w:val="4E070B9A"/>
    <w:rsid w:val="4E075D8A"/>
    <w:rsid w:val="4E08517B"/>
    <w:rsid w:val="4E0A0EF3"/>
    <w:rsid w:val="4E0B07C7"/>
    <w:rsid w:val="4E0B6A19"/>
    <w:rsid w:val="4E0F6509"/>
    <w:rsid w:val="4E125FF9"/>
    <w:rsid w:val="4E143B1F"/>
    <w:rsid w:val="4E1C29D4"/>
    <w:rsid w:val="4E1C6E78"/>
    <w:rsid w:val="4E1E674C"/>
    <w:rsid w:val="4E232905"/>
    <w:rsid w:val="4E235B10"/>
    <w:rsid w:val="4E257ADB"/>
    <w:rsid w:val="4E263853"/>
    <w:rsid w:val="4E265601"/>
    <w:rsid w:val="4E2B4904"/>
    <w:rsid w:val="4E2F00CD"/>
    <w:rsid w:val="4E30022D"/>
    <w:rsid w:val="4E361CE8"/>
    <w:rsid w:val="4E393586"/>
    <w:rsid w:val="4E3B72FE"/>
    <w:rsid w:val="4E3C3076"/>
    <w:rsid w:val="4E3E386B"/>
    <w:rsid w:val="4E41243B"/>
    <w:rsid w:val="4E43575C"/>
    <w:rsid w:val="4E4A7541"/>
    <w:rsid w:val="4E4B537E"/>
    <w:rsid w:val="4E4D0DDF"/>
    <w:rsid w:val="4E4E3531"/>
    <w:rsid w:val="4E4F21B5"/>
    <w:rsid w:val="4E5008D0"/>
    <w:rsid w:val="4E516B22"/>
    <w:rsid w:val="4E5466E1"/>
    <w:rsid w:val="4E557B71"/>
    <w:rsid w:val="4E586D7B"/>
    <w:rsid w:val="4E5B17E2"/>
    <w:rsid w:val="4E5C64FB"/>
    <w:rsid w:val="4E612B82"/>
    <w:rsid w:val="4E630603"/>
    <w:rsid w:val="4E65437B"/>
    <w:rsid w:val="4E656129"/>
    <w:rsid w:val="4E6C0560"/>
    <w:rsid w:val="4E6C395B"/>
    <w:rsid w:val="4E6C5709"/>
    <w:rsid w:val="4E704ACE"/>
    <w:rsid w:val="4E7445BE"/>
    <w:rsid w:val="4E790595"/>
    <w:rsid w:val="4E796078"/>
    <w:rsid w:val="4E797E26"/>
    <w:rsid w:val="4E8011B5"/>
    <w:rsid w:val="4E850579"/>
    <w:rsid w:val="4E862CA3"/>
    <w:rsid w:val="4E8649E8"/>
    <w:rsid w:val="4E87155B"/>
    <w:rsid w:val="4E87437C"/>
    <w:rsid w:val="4E8A5B90"/>
    <w:rsid w:val="4E8C2811"/>
    <w:rsid w:val="4E922C96"/>
    <w:rsid w:val="4E992277"/>
    <w:rsid w:val="4E9B7D9D"/>
    <w:rsid w:val="4E9D60A3"/>
    <w:rsid w:val="4EA12ED9"/>
    <w:rsid w:val="4EA35EC7"/>
    <w:rsid w:val="4EA43198"/>
    <w:rsid w:val="4EA56E6D"/>
    <w:rsid w:val="4EAA6232"/>
    <w:rsid w:val="4EAC3D58"/>
    <w:rsid w:val="4EB64BD7"/>
    <w:rsid w:val="4EB90223"/>
    <w:rsid w:val="4EBC506D"/>
    <w:rsid w:val="4EBD5A47"/>
    <w:rsid w:val="4EC512BE"/>
    <w:rsid w:val="4EC54E1A"/>
    <w:rsid w:val="4EC72940"/>
    <w:rsid w:val="4EC76DE4"/>
    <w:rsid w:val="4EC8490A"/>
    <w:rsid w:val="4EC927B3"/>
    <w:rsid w:val="4ECA2430"/>
    <w:rsid w:val="4ECA68D4"/>
    <w:rsid w:val="4ECE6CED"/>
    <w:rsid w:val="4ED355A0"/>
    <w:rsid w:val="4ED3756D"/>
    <w:rsid w:val="4ED432AF"/>
    <w:rsid w:val="4ED4505D"/>
    <w:rsid w:val="4ED569E4"/>
    <w:rsid w:val="4ED60DD5"/>
    <w:rsid w:val="4ED92673"/>
    <w:rsid w:val="4EDD03B5"/>
    <w:rsid w:val="4EDD2163"/>
    <w:rsid w:val="4EDF257D"/>
    <w:rsid w:val="4EE15D33"/>
    <w:rsid w:val="4EE17099"/>
    <w:rsid w:val="4EE51018"/>
    <w:rsid w:val="4EE527CC"/>
    <w:rsid w:val="4EE85483"/>
    <w:rsid w:val="4EEE25C2"/>
    <w:rsid w:val="4EF474AD"/>
    <w:rsid w:val="4EFB504C"/>
    <w:rsid w:val="4EFB5199"/>
    <w:rsid w:val="4EFB6A8D"/>
    <w:rsid w:val="4EFD2805"/>
    <w:rsid w:val="4EFD45B3"/>
    <w:rsid w:val="4F0022F6"/>
    <w:rsid w:val="4F02503B"/>
    <w:rsid w:val="4F053468"/>
    <w:rsid w:val="4F0973FC"/>
    <w:rsid w:val="4F0B3174"/>
    <w:rsid w:val="4F0C0C9A"/>
    <w:rsid w:val="4F0D4088"/>
    <w:rsid w:val="4F0E4A13"/>
    <w:rsid w:val="4F1638C7"/>
    <w:rsid w:val="4F181241"/>
    <w:rsid w:val="4F186803"/>
    <w:rsid w:val="4F1B0EDE"/>
    <w:rsid w:val="4F20745B"/>
    <w:rsid w:val="4F245363"/>
    <w:rsid w:val="4F277882"/>
    <w:rsid w:val="4F2908FF"/>
    <w:rsid w:val="4F310701"/>
    <w:rsid w:val="4F334479"/>
    <w:rsid w:val="4F361873"/>
    <w:rsid w:val="4F3855EC"/>
    <w:rsid w:val="4F3B1580"/>
    <w:rsid w:val="4F3D70A6"/>
    <w:rsid w:val="4F4641AC"/>
    <w:rsid w:val="4F473A81"/>
    <w:rsid w:val="4F495A4B"/>
    <w:rsid w:val="4F4A531F"/>
    <w:rsid w:val="4F4C1097"/>
    <w:rsid w:val="4F50502B"/>
    <w:rsid w:val="4F5477B1"/>
    <w:rsid w:val="4F561F16"/>
    <w:rsid w:val="4F566538"/>
    <w:rsid w:val="4F587A3C"/>
    <w:rsid w:val="4F5A30F9"/>
    <w:rsid w:val="4F5A7C58"/>
    <w:rsid w:val="4F5F0DCA"/>
    <w:rsid w:val="4F6005A7"/>
    <w:rsid w:val="4F636270"/>
    <w:rsid w:val="4F6B59C1"/>
    <w:rsid w:val="4F730D1A"/>
    <w:rsid w:val="4F7328A8"/>
    <w:rsid w:val="4F732AC8"/>
    <w:rsid w:val="4F770156"/>
    <w:rsid w:val="4F7C0B50"/>
    <w:rsid w:val="4F7C5E20"/>
    <w:rsid w:val="4F7D2F66"/>
    <w:rsid w:val="4F884993"/>
    <w:rsid w:val="4F885589"/>
    <w:rsid w:val="4F8B1BBF"/>
    <w:rsid w:val="4F8E237C"/>
    <w:rsid w:val="4F8E6A6F"/>
    <w:rsid w:val="4F9273F2"/>
    <w:rsid w:val="4F9A0054"/>
    <w:rsid w:val="4F9A44F8"/>
    <w:rsid w:val="4F9B0E06"/>
    <w:rsid w:val="4F9B1E14"/>
    <w:rsid w:val="4FA40ED3"/>
    <w:rsid w:val="4FA54744"/>
    <w:rsid w:val="4FAC7D88"/>
    <w:rsid w:val="4FAD422B"/>
    <w:rsid w:val="4FB235F0"/>
    <w:rsid w:val="4FB31A07"/>
    <w:rsid w:val="4FB44097"/>
    <w:rsid w:val="4FB65142"/>
    <w:rsid w:val="4FB76E58"/>
    <w:rsid w:val="4FBD3D43"/>
    <w:rsid w:val="4FC13833"/>
    <w:rsid w:val="4FC155E1"/>
    <w:rsid w:val="4FC43323"/>
    <w:rsid w:val="4FC62A8C"/>
    <w:rsid w:val="4FC869BA"/>
    <w:rsid w:val="4FD80B7D"/>
    <w:rsid w:val="4FD96283"/>
    <w:rsid w:val="4FDE2637"/>
    <w:rsid w:val="4FE20F0D"/>
    <w:rsid w:val="4FE237A9"/>
    <w:rsid w:val="4FE45773"/>
    <w:rsid w:val="4FE47521"/>
    <w:rsid w:val="4FE87012"/>
    <w:rsid w:val="4FEB4D54"/>
    <w:rsid w:val="4FED182E"/>
    <w:rsid w:val="4FED4628"/>
    <w:rsid w:val="4FF21C3E"/>
    <w:rsid w:val="4FF37764"/>
    <w:rsid w:val="4FF82FCD"/>
    <w:rsid w:val="4FF91D1B"/>
    <w:rsid w:val="4FFA5313"/>
    <w:rsid w:val="4FFA6D45"/>
    <w:rsid w:val="500100D3"/>
    <w:rsid w:val="50025BF9"/>
    <w:rsid w:val="5007672C"/>
    <w:rsid w:val="500A6321"/>
    <w:rsid w:val="500D0826"/>
    <w:rsid w:val="500E27F0"/>
    <w:rsid w:val="50100316"/>
    <w:rsid w:val="501047BA"/>
    <w:rsid w:val="501B6F55"/>
    <w:rsid w:val="501E5995"/>
    <w:rsid w:val="501F49FD"/>
    <w:rsid w:val="50210776"/>
    <w:rsid w:val="502301D1"/>
    <w:rsid w:val="50261A03"/>
    <w:rsid w:val="502643B9"/>
    <w:rsid w:val="502826FD"/>
    <w:rsid w:val="502D0EC8"/>
    <w:rsid w:val="502D2C76"/>
    <w:rsid w:val="502E69EF"/>
    <w:rsid w:val="50306C0B"/>
    <w:rsid w:val="503234D1"/>
    <w:rsid w:val="503A5393"/>
    <w:rsid w:val="503B1837"/>
    <w:rsid w:val="503F66A1"/>
    <w:rsid w:val="50412BC6"/>
    <w:rsid w:val="5044408F"/>
    <w:rsid w:val="50454464"/>
    <w:rsid w:val="504637E5"/>
    <w:rsid w:val="50463D38"/>
    <w:rsid w:val="50483F54"/>
    <w:rsid w:val="504908E4"/>
    <w:rsid w:val="50492324"/>
    <w:rsid w:val="504A4F1C"/>
    <w:rsid w:val="504B57F2"/>
    <w:rsid w:val="504D156B"/>
    <w:rsid w:val="504D3DB0"/>
    <w:rsid w:val="50503AAD"/>
    <w:rsid w:val="50504C4B"/>
    <w:rsid w:val="50546455"/>
    <w:rsid w:val="50593A6B"/>
    <w:rsid w:val="505C7A00"/>
    <w:rsid w:val="505F4DFA"/>
    <w:rsid w:val="506403BE"/>
    <w:rsid w:val="50650662"/>
    <w:rsid w:val="50680152"/>
    <w:rsid w:val="506A3ECB"/>
    <w:rsid w:val="506B379F"/>
    <w:rsid w:val="506B7C43"/>
    <w:rsid w:val="506D39BB"/>
    <w:rsid w:val="506F7733"/>
    <w:rsid w:val="50707B8E"/>
    <w:rsid w:val="50720FD1"/>
    <w:rsid w:val="50727505"/>
    <w:rsid w:val="507408A5"/>
    <w:rsid w:val="5074270E"/>
    <w:rsid w:val="50770396"/>
    <w:rsid w:val="50783C60"/>
    <w:rsid w:val="507904F4"/>
    <w:rsid w:val="50792360"/>
    <w:rsid w:val="507A013B"/>
    <w:rsid w:val="50813689"/>
    <w:rsid w:val="50867BFF"/>
    <w:rsid w:val="508B5BEF"/>
    <w:rsid w:val="50903205"/>
    <w:rsid w:val="509623AA"/>
    <w:rsid w:val="50992BE5"/>
    <w:rsid w:val="509C6E7C"/>
    <w:rsid w:val="509C7DFC"/>
    <w:rsid w:val="509D6FF7"/>
    <w:rsid w:val="509E57AB"/>
    <w:rsid w:val="50A0169A"/>
    <w:rsid w:val="50A04E0F"/>
    <w:rsid w:val="50A15412"/>
    <w:rsid w:val="50A97291"/>
    <w:rsid w:val="50AA42C7"/>
    <w:rsid w:val="50AB7F7F"/>
    <w:rsid w:val="50AC6DB0"/>
    <w:rsid w:val="50B43398"/>
    <w:rsid w:val="50B52C6C"/>
    <w:rsid w:val="50B909AE"/>
    <w:rsid w:val="50C15A67"/>
    <w:rsid w:val="50CA6717"/>
    <w:rsid w:val="50D17AA6"/>
    <w:rsid w:val="50D22EE7"/>
    <w:rsid w:val="50D457E8"/>
    <w:rsid w:val="50D96C79"/>
    <w:rsid w:val="50DD32E6"/>
    <w:rsid w:val="50E05F3B"/>
    <w:rsid w:val="50E72A30"/>
    <w:rsid w:val="50E7551B"/>
    <w:rsid w:val="50EA4404"/>
    <w:rsid w:val="50ED0658"/>
    <w:rsid w:val="50F11EF6"/>
    <w:rsid w:val="50F6750C"/>
    <w:rsid w:val="50F73284"/>
    <w:rsid w:val="50FE4613"/>
    <w:rsid w:val="51010D79"/>
    <w:rsid w:val="510C31D4"/>
    <w:rsid w:val="51165E00"/>
    <w:rsid w:val="51176F9E"/>
    <w:rsid w:val="511778D1"/>
    <w:rsid w:val="511D0F3D"/>
    <w:rsid w:val="511D2CEB"/>
    <w:rsid w:val="511E6A63"/>
    <w:rsid w:val="51202BC1"/>
    <w:rsid w:val="51220612"/>
    <w:rsid w:val="51226553"/>
    <w:rsid w:val="512322CB"/>
    <w:rsid w:val="51281690"/>
    <w:rsid w:val="512F645E"/>
    <w:rsid w:val="51306CEF"/>
    <w:rsid w:val="5131339E"/>
    <w:rsid w:val="513168B9"/>
    <w:rsid w:val="51324FD6"/>
    <w:rsid w:val="513358DF"/>
    <w:rsid w:val="51340035"/>
    <w:rsid w:val="51383FC9"/>
    <w:rsid w:val="513A0C0E"/>
    <w:rsid w:val="513A6B13"/>
    <w:rsid w:val="513C3318"/>
    <w:rsid w:val="513D513B"/>
    <w:rsid w:val="513E0EB3"/>
    <w:rsid w:val="51404C2B"/>
    <w:rsid w:val="51422751"/>
    <w:rsid w:val="514D0982"/>
    <w:rsid w:val="514F4E6E"/>
    <w:rsid w:val="5151508A"/>
    <w:rsid w:val="5153495F"/>
    <w:rsid w:val="515626A1"/>
    <w:rsid w:val="51576E82"/>
    <w:rsid w:val="515801C7"/>
    <w:rsid w:val="51591E29"/>
    <w:rsid w:val="515D57DD"/>
    <w:rsid w:val="5160707C"/>
    <w:rsid w:val="51612C25"/>
    <w:rsid w:val="5162104E"/>
    <w:rsid w:val="51631640"/>
    <w:rsid w:val="51694182"/>
    <w:rsid w:val="51702517"/>
    <w:rsid w:val="51711289"/>
    <w:rsid w:val="51786173"/>
    <w:rsid w:val="517A638F"/>
    <w:rsid w:val="517B3EB5"/>
    <w:rsid w:val="517D7C2E"/>
    <w:rsid w:val="51810ACE"/>
    <w:rsid w:val="518134B2"/>
    <w:rsid w:val="518502DF"/>
    <w:rsid w:val="51882792"/>
    <w:rsid w:val="518A5306"/>
    <w:rsid w:val="518C1C1F"/>
    <w:rsid w:val="51932FAD"/>
    <w:rsid w:val="51944027"/>
    <w:rsid w:val="519531C9"/>
    <w:rsid w:val="51960CEF"/>
    <w:rsid w:val="519B00B4"/>
    <w:rsid w:val="51A33E68"/>
    <w:rsid w:val="51A4340C"/>
    <w:rsid w:val="51A831A6"/>
    <w:rsid w:val="51A90A23"/>
    <w:rsid w:val="51AA02F7"/>
    <w:rsid w:val="51AA639C"/>
    <w:rsid w:val="51AC0513"/>
    <w:rsid w:val="51AE0F7B"/>
    <w:rsid w:val="51B7361B"/>
    <w:rsid w:val="51BA5593"/>
    <w:rsid w:val="51BF0246"/>
    <w:rsid w:val="51C21AE4"/>
    <w:rsid w:val="51C70EA9"/>
    <w:rsid w:val="51CB6BEB"/>
    <w:rsid w:val="51CC64BF"/>
    <w:rsid w:val="51CF3A55"/>
    <w:rsid w:val="51D04201"/>
    <w:rsid w:val="51D159D6"/>
    <w:rsid w:val="51D27F79"/>
    <w:rsid w:val="51D3240E"/>
    <w:rsid w:val="51DC0D2B"/>
    <w:rsid w:val="51DD06CC"/>
    <w:rsid w:val="51DD247A"/>
    <w:rsid w:val="51E33C89"/>
    <w:rsid w:val="51E3650C"/>
    <w:rsid w:val="51E41A5B"/>
    <w:rsid w:val="51E65239"/>
    <w:rsid w:val="51EC0F1C"/>
    <w:rsid w:val="51EE0B2B"/>
    <w:rsid w:val="51EE28D9"/>
    <w:rsid w:val="51F1661C"/>
    <w:rsid w:val="51F36B6D"/>
    <w:rsid w:val="51F6353C"/>
    <w:rsid w:val="51F83758"/>
    <w:rsid w:val="51FF6894"/>
    <w:rsid w:val="5201085F"/>
    <w:rsid w:val="52021F07"/>
    <w:rsid w:val="5204431E"/>
    <w:rsid w:val="52045C59"/>
    <w:rsid w:val="520B348B"/>
    <w:rsid w:val="52122037"/>
    <w:rsid w:val="52122C37"/>
    <w:rsid w:val="521515B8"/>
    <w:rsid w:val="5215365D"/>
    <w:rsid w:val="521E2410"/>
    <w:rsid w:val="52217969"/>
    <w:rsid w:val="52224331"/>
    <w:rsid w:val="522400A9"/>
    <w:rsid w:val="52244433"/>
    <w:rsid w:val="52285DEB"/>
    <w:rsid w:val="52287B99"/>
    <w:rsid w:val="522D3402"/>
    <w:rsid w:val="522E717A"/>
    <w:rsid w:val="52320A18"/>
    <w:rsid w:val="52326C6A"/>
    <w:rsid w:val="523522B6"/>
    <w:rsid w:val="5237602E"/>
    <w:rsid w:val="52391DA6"/>
    <w:rsid w:val="523A167B"/>
    <w:rsid w:val="523D116B"/>
    <w:rsid w:val="523E560F"/>
    <w:rsid w:val="524244DF"/>
    <w:rsid w:val="5244074B"/>
    <w:rsid w:val="52462715"/>
    <w:rsid w:val="5247554A"/>
    <w:rsid w:val="52481FEA"/>
    <w:rsid w:val="52483D98"/>
    <w:rsid w:val="524B3888"/>
    <w:rsid w:val="524D13AE"/>
    <w:rsid w:val="524E2FBC"/>
    <w:rsid w:val="524E5126"/>
    <w:rsid w:val="52525626"/>
    <w:rsid w:val="52547E99"/>
    <w:rsid w:val="52554706"/>
    <w:rsid w:val="525700B0"/>
    <w:rsid w:val="52574ECB"/>
    <w:rsid w:val="525941F7"/>
    <w:rsid w:val="525B6CEF"/>
    <w:rsid w:val="525E297F"/>
    <w:rsid w:val="525E35BB"/>
    <w:rsid w:val="52636E23"/>
    <w:rsid w:val="52691F60"/>
    <w:rsid w:val="526E0676"/>
    <w:rsid w:val="526F0D33"/>
    <w:rsid w:val="52701540"/>
    <w:rsid w:val="52720E14"/>
    <w:rsid w:val="527252B8"/>
    <w:rsid w:val="52750905"/>
    <w:rsid w:val="52796647"/>
    <w:rsid w:val="527A33E5"/>
    <w:rsid w:val="5281374D"/>
    <w:rsid w:val="52850AA4"/>
    <w:rsid w:val="528A0854"/>
    <w:rsid w:val="528A593B"/>
    <w:rsid w:val="528C45CC"/>
    <w:rsid w:val="528D5C4E"/>
    <w:rsid w:val="528E597D"/>
    <w:rsid w:val="528F1410"/>
    <w:rsid w:val="52915273"/>
    <w:rsid w:val="52961E90"/>
    <w:rsid w:val="529671F9"/>
    <w:rsid w:val="52A26354"/>
    <w:rsid w:val="52A336C4"/>
    <w:rsid w:val="52A64F62"/>
    <w:rsid w:val="52AA4A52"/>
    <w:rsid w:val="52AD4542"/>
    <w:rsid w:val="52AF2069"/>
    <w:rsid w:val="52B458D1"/>
    <w:rsid w:val="52B96A43"/>
    <w:rsid w:val="52BE405A"/>
    <w:rsid w:val="52BE768D"/>
    <w:rsid w:val="52C5188C"/>
    <w:rsid w:val="52C553E8"/>
    <w:rsid w:val="52C8137C"/>
    <w:rsid w:val="52CD3B29"/>
    <w:rsid w:val="52D23FA9"/>
    <w:rsid w:val="52D25D57"/>
    <w:rsid w:val="52D73AAB"/>
    <w:rsid w:val="52D941BD"/>
    <w:rsid w:val="52D968AB"/>
    <w:rsid w:val="52DD7B03"/>
    <w:rsid w:val="52E53CDC"/>
    <w:rsid w:val="52E57C07"/>
    <w:rsid w:val="52E8648C"/>
    <w:rsid w:val="52EA30A1"/>
    <w:rsid w:val="52EC1CE1"/>
    <w:rsid w:val="52EC33C3"/>
    <w:rsid w:val="52ED354F"/>
    <w:rsid w:val="52F04D01"/>
    <w:rsid w:val="52F1442F"/>
    <w:rsid w:val="52F67C97"/>
    <w:rsid w:val="52F91536"/>
    <w:rsid w:val="52FB52AE"/>
    <w:rsid w:val="530028C4"/>
    <w:rsid w:val="53004672"/>
    <w:rsid w:val="53034396"/>
    <w:rsid w:val="530C74BB"/>
    <w:rsid w:val="530D4FE1"/>
    <w:rsid w:val="530E3233"/>
    <w:rsid w:val="530F0D59"/>
    <w:rsid w:val="530F6FAB"/>
    <w:rsid w:val="5310069C"/>
    <w:rsid w:val="531243A6"/>
    <w:rsid w:val="531358A6"/>
    <w:rsid w:val="53195734"/>
    <w:rsid w:val="531D273D"/>
    <w:rsid w:val="531E0F9C"/>
    <w:rsid w:val="531E7B67"/>
    <w:rsid w:val="53226CDE"/>
    <w:rsid w:val="532B7609"/>
    <w:rsid w:val="5330338D"/>
    <w:rsid w:val="53312A7E"/>
    <w:rsid w:val="53397B84"/>
    <w:rsid w:val="533D58C6"/>
    <w:rsid w:val="533D68E5"/>
    <w:rsid w:val="534276A9"/>
    <w:rsid w:val="534A3FB3"/>
    <w:rsid w:val="534C3D5B"/>
    <w:rsid w:val="534F1156"/>
    <w:rsid w:val="53563F10"/>
    <w:rsid w:val="53591FD4"/>
    <w:rsid w:val="535B7AFB"/>
    <w:rsid w:val="535D1AC5"/>
    <w:rsid w:val="535D2428"/>
    <w:rsid w:val="535E4EAC"/>
    <w:rsid w:val="535E75EB"/>
    <w:rsid w:val="5362104B"/>
    <w:rsid w:val="53654E1D"/>
    <w:rsid w:val="53666D3F"/>
    <w:rsid w:val="53682217"/>
    <w:rsid w:val="536B2E30"/>
    <w:rsid w:val="536E5A80"/>
    <w:rsid w:val="53715570"/>
    <w:rsid w:val="537863BA"/>
    <w:rsid w:val="53803A05"/>
    <w:rsid w:val="53853AFB"/>
    <w:rsid w:val="538D7C23"/>
    <w:rsid w:val="538E7ED0"/>
    <w:rsid w:val="538F1360"/>
    <w:rsid w:val="538F56F6"/>
    <w:rsid w:val="53936B24"/>
    <w:rsid w:val="5394125E"/>
    <w:rsid w:val="539579A4"/>
    <w:rsid w:val="539C642B"/>
    <w:rsid w:val="539F032F"/>
    <w:rsid w:val="53A039CC"/>
    <w:rsid w:val="53A1505A"/>
    <w:rsid w:val="53A169D4"/>
    <w:rsid w:val="53A21BCD"/>
    <w:rsid w:val="53A45945"/>
    <w:rsid w:val="53A5521A"/>
    <w:rsid w:val="53A82E27"/>
    <w:rsid w:val="53A94D0A"/>
    <w:rsid w:val="53A94E1F"/>
    <w:rsid w:val="53A96AB8"/>
    <w:rsid w:val="53AA4158"/>
    <w:rsid w:val="53AD1BF2"/>
    <w:rsid w:val="53B35B89"/>
    <w:rsid w:val="53B52E53"/>
    <w:rsid w:val="53B73033"/>
    <w:rsid w:val="53B84F4D"/>
    <w:rsid w:val="53B86CFB"/>
    <w:rsid w:val="53B8749A"/>
    <w:rsid w:val="53B92A73"/>
    <w:rsid w:val="53BD2563"/>
    <w:rsid w:val="53BD6A07"/>
    <w:rsid w:val="53BF452D"/>
    <w:rsid w:val="53C20A91"/>
    <w:rsid w:val="53C25DCC"/>
    <w:rsid w:val="53C31961"/>
    <w:rsid w:val="53C32D17"/>
    <w:rsid w:val="53C41B44"/>
    <w:rsid w:val="53C64D9B"/>
    <w:rsid w:val="53D0673A"/>
    <w:rsid w:val="53D14261"/>
    <w:rsid w:val="53D1600F"/>
    <w:rsid w:val="53DC5FCE"/>
    <w:rsid w:val="53E05348"/>
    <w:rsid w:val="53E43F94"/>
    <w:rsid w:val="53E915AA"/>
    <w:rsid w:val="53E92248"/>
    <w:rsid w:val="53EB266A"/>
    <w:rsid w:val="53EB5322"/>
    <w:rsid w:val="53F109E6"/>
    <w:rsid w:val="53F306B5"/>
    <w:rsid w:val="53F32429"/>
    <w:rsid w:val="53FF49A6"/>
    <w:rsid w:val="5400590F"/>
    <w:rsid w:val="540168F4"/>
    <w:rsid w:val="54041F40"/>
    <w:rsid w:val="540463E4"/>
    <w:rsid w:val="54063E08"/>
    <w:rsid w:val="54065CB8"/>
    <w:rsid w:val="54091C4C"/>
    <w:rsid w:val="541A5C08"/>
    <w:rsid w:val="5428092D"/>
    <w:rsid w:val="542A5BF1"/>
    <w:rsid w:val="542B3971"/>
    <w:rsid w:val="542D593B"/>
    <w:rsid w:val="542D76E9"/>
    <w:rsid w:val="542E520F"/>
    <w:rsid w:val="543162F7"/>
    <w:rsid w:val="54330A77"/>
    <w:rsid w:val="543437E8"/>
    <w:rsid w:val="5435659E"/>
    <w:rsid w:val="54377B7E"/>
    <w:rsid w:val="5438706C"/>
    <w:rsid w:val="543A1709"/>
    <w:rsid w:val="543C5B7E"/>
    <w:rsid w:val="543D17CB"/>
    <w:rsid w:val="543F566E"/>
    <w:rsid w:val="54483C93"/>
    <w:rsid w:val="544A2F0F"/>
    <w:rsid w:val="544B7B6F"/>
    <w:rsid w:val="544D7D8B"/>
    <w:rsid w:val="54520EFE"/>
    <w:rsid w:val="54534C76"/>
    <w:rsid w:val="54564027"/>
    <w:rsid w:val="5458228C"/>
    <w:rsid w:val="54613836"/>
    <w:rsid w:val="54617393"/>
    <w:rsid w:val="54624EB9"/>
    <w:rsid w:val="54660E4D"/>
    <w:rsid w:val="546B0211"/>
    <w:rsid w:val="546B4BDF"/>
    <w:rsid w:val="546B6463"/>
    <w:rsid w:val="546E7D01"/>
    <w:rsid w:val="54752E3E"/>
    <w:rsid w:val="54770964"/>
    <w:rsid w:val="54774E08"/>
    <w:rsid w:val="54776BB6"/>
    <w:rsid w:val="547846DC"/>
    <w:rsid w:val="5479292E"/>
    <w:rsid w:val="547A0454"/>
    <w:rsid w:val="547A48F8"/>
    <w:rsid w:val="547F7119"/>
    <w:rsid w:val="54857525"/>
    <w:rsid w:val="5488491F"/>
    <w:rsid w:val="548B440F"/>
    <w:rsid w:val="548E5CAE"/>
    <w:rsid w:val="548F594D"/>
    <w:rsid w:val="54936E88"/>
    <w:rsid w:val="549459BA"/>
    <w:rsid w:val="54971006"/>
    <w:rsid w:val="54990ADB"/>
    <w:rsid w:val="549A28A4"/>
    <w:rsid w:val="549F0B68"/>
    <w:rsid w:val="54A31D35"/>
    <w:rsid w:val="54A43723"/>
    <w:rsid w:val="54A51975"/>
    <w:rsid w:val="54A6749B"/>
    <w:rsid w:val="54A84FC1"/>
    <w:rsid w:val="54A85393"/>
    <w:rsid w:val="54AB6860"/>
    <w:rsid w:val="54B03EEA"/>
    <w:rsid w:val="54B25E40"/>
    <w:rsid w:val="54B27BEE"/>
    <w:rsid w:val="54B60678"/>
    <w:rsid w:val="54BD77A2"/>
    <w:rsid w:val="54C33BA9"/>
    <w:rsid w:val="54C37597"/>
    <w:rsid w:val="54C60539"/>
    <w:rsid w:val="54C70191"/>
    <w:rsid w:val="54CA13DC"/>
    <w:rsid w:val="54CD2165"/>
    <w:rsid w:val="54CE5923"/>
    <w:rsid w:val="54CE6966"/>
    <w:rsid w:val="54D172DA"/>
    <w:rsid w:val="54D20290"/>
    <w:rsid w:val="54D23DEC"/>
    <w:rsid w:val="54D264E2"/>
    <w:rsid w:val="54D538DD"/>
    <w:rsid w:val="54D90E4D"/>
    <w:rsid w:val="54DC2EBD"/>
    <w:rsid w:val="54E0475B"/>
    <w:rsid w:val="54E12281"/>
    <w:rsid w:val="54E16725"/>
    <w:rsid w:val="54E63D3C"/>
    <w:rsid w:val="54E87AB4"/>
    <w:rsid w:val="54EA55DA"/>
    <w:rsid w:val="54EB1352"/>
    <w:rsid w:val="54EB72AE"/>
    <w:rsid w:val="54EE1700"/>
    <w:rsid w:val="54F71AA5"/>
    <w:rsid w:val="54FB5FE3"/>
    <w:rsid w:val="550269E3"/>
    <w:rsid w:val="55085A60"/>
    <w:rsid w:val="550A7A2A"/>
    <w:rsid w:val="550C37A2"/>
    <w:rsid w:val="550D751A"/>
    <w:rsid w:val="55116D87"/>
    <w:rsid w:val="55191A1B"/>
    <w:rsid w:val="551D59AF"/>
    <w:rsid w:val="551E34D6"/>
    <w:rsid w:val="551E7032"/>
    <w:rsid w:val="5526285F"/>
    <w:rsid w:val="552A3C28"/>
    <w:rsid w:val="552D3719"/>
    <w:rsid w:val="55320D2F"/>
    <w:rsid w:val="55384597"/>
    <w:rsid w:val="55393E6B"/>
    <w:rsid w:val="553D4F3A"/>
    <w:rsid w:val="553D6B7E"/>
    <w:rsid w:val="5540169E"/>
    <w:rsid w:val="5540344C"/>
    <w:rsid w:val="554143B5"/>
    <w:rsid w:val="55424033"/>
    <w:rsid w:val="55432F3C"/>
    <w:rsid w:val="55466DB5"/>
    <w:rsid w:val="554967A4"/>
    <w:rsid w:val="554B0437"/>
    <w:rsid w:val="554B0F1D"/>
    <w:rsid w:val="554E3DBB"/>
    <w:rsid w:val="554E7A8C"/>
    <w:rsid w:val="554F5B03"/>
    <w:rsid w:val="5552317F"/>
    <w:rsid w:val="555313D1"/>
    <w:rsid w:val="5553570E"/>
    <w:rsid w:val="55562C6F"/>
    <w:rsid w:val="555869E7"/>
    <w:rsid w:val="55620AD4"/>
    <w:rsid w:val="55652944"/>
    <w:rsid w:val="55652EB2"/>
    <w:rsid w:val="5566599F"/>
    <w:rsid w:val="556829A3"/>
    <w:rsid w:val="55682BE8"/>
    <w:rsid w:val="557032EB"/>
    <w:rsid w:val="5579070C"/>
    <w:rsid w:val="557B26D6"/>
    <w:rsid w:val="557C1FAA"/>
    <w:rsid w:val="557F21C6"/>
    <w:rsid w:val="55801A9A"/>
    <w:rsid w:val="55826964"/>
    <w:rsid w:val="558275C0"/>
    <w:rsid w:val="558477DD"/>
    <w:rsid w:val="558570B1"/>
    <w:rsid w:val="5587107B"/>
    <w:rsid w:val="558772CD"/>
    <w:rsid w:val="558A46C7"/>
    <w:rsid w:val="558C48E3"/>
    <w:rsid w:val="558D41B7"/>
    <w:rsid w:val="558E065B"/>
    <w:rsid w:val="558F6A10"/>
    <w:rsid w:val="55910141"/>
    <w:rsid w:val="559106BB"/>
    <w:rsid w:val="55914F40"/>
    <w:rsid w:val="5592453F"/>
    <w:rsid w:val="55935C72"/>
    <w:rsid w:val="55980A4A"/>
    <w:rsid w:val="559B174B"/>
    <w:rsid w:val="559B4B26"/>
    <w:rsid w:val="559F31E2"/>
    <w:rsid w:val="55A03EEB"/>
    <w:rsid w:val="55A27C63"/>
    <w:rsid w:val="55A33019"/>
    <w:rsid w:val="55A41C2D"/>
    <w:rsid w:val="55A439DB"/>
    <w:rsid w:val="55A734CB"/>
    <w:rsid w:val="55A9466F"/>
    <w:rsid w:val="55AC6D33"/>
    <w:rsid w:val="55AE6607"/>
    <w:rsid w:val="55B160F8"/>
    <w:rsid w:val="55B17EA6"/>
    <w:rsid w:val="55B654BC"/>
    <w:rsid w:val="55B856D8"/>
    <w:rsid w:val="55C207CD"/>
    <w:rsid w:val="55C7591B"/>
    <w:rsid w:val="55C94D0E"/>
    <w:rsid w:val="55CD539B"/>
    <w:rsid w:val="55CE0CF4"/>
    <w:rsid w:val="55D02A22"/>
    <w:rsid w:val="55D41DE6"/>
    <w:rsid w:val="55D6790C"/>
    <w:rsid w:val="55D818D6"/>
    <w:rsid w:val="55DB3175"/>
    <w:rsid w:val="55DD6EED"/>
    <w:rsid w:val="55DF2C65"/>
    <w:rsid w:val="55E6461A"/>
    <w:rsid w:val="55EA33B8"/>
    <w:rsid w:val="55F06C20"/>
    <w:rsid w:val="55F304BE"/>
    <w:rsid w:val="55F40804"/>
    <w:rsid w:val="55F54236"/>
    <w:rsid w:val="55F66200"/>
    <w:rsid w:val="55F81F79"/>
    <w:rsid w:val="55FA184D"/>
    <w:rsid w:val="55FC1EE9"/>
    <w:rsid w:val="55FD30EB"/>
    <w:rsid w:val="55FD758F"/>
    <w:rsid w:val="55FF3307"/>
    <w:rsid w:val="56020701"/>
    <w:rsid w:val="560426CB"/>
    <w:rsid w:val="560501F2"/>
    <w:rsid w:val="560A5808"/>
    <w:rsid w:val="56130B60"/>
    <w:rsid w:val="56131A9E"/>
    <w:rsid w:val="56156687"/>
    <w:rsid w:val="561623FF"/>
    <w:rsid w:val="561641AD"/>
    <w:rsid w:val="561A1EEF"/>
    <w:rsid w:val="561D378D"/>
    <w:rsid w:val="5621502B"/>
    <w:rsid w:val="56237FD6"/>
    <w:rsid w:val="562468CA"/>
    <w:rsid w:val="562A14DA"/>
    <w:rsid w:val="562B40FC"/>
    <w:rsid w:val="562B4DF0"/>
    <w:rsid w:val="562D0004"/>
    <w:rsid w:val="562E14F6"/>
    <w:rsid w:val="562E599A"/>
    <w:rsid w:val="562F67CA"/>
    <w:rsid w:val="563053E6"/>
    <w:rsid w:val="56332FB1"/>
    <w:rsid w:val="563365AA"/>
    <w:rsid w:val="56356D29"/>
    <w:rsid w:val="563740DE"/>
    <w:rsid w:val="563A7E9B"/>
    <w:rsid w:val="563C00B7"/>
    <w:rsid w:val="563D3E2F"/>
    <w:rsid w:val="564156CE"/>
    <w:rsid w:val="564B02FA"/>
    <w:rsid w:val="564B654C"/>
    <w:rsid w:val="564C327E"/>
    <w:rsid w:val="564C5E20"/>
    <w:rsid w:val="564E7DEA"/>
    <w:rsid w:val="56505911"/>
    <w:rsid w:val="56592F93"/>
    <w:rsid w:val="565A678F"/>
    <w:rsid w:val="565E627F"/>
    <w:rsid w:val="566118CC"/>
    <w:rsid w:val="56633896"/>
    <w:rsid w:val="56665134"/>
    <w:rsid w:val="56666EE2"/>
    <w:rsid w:val="56674A08"/>
    <w:rsid w:val="566D0271"/>
    <w:rsid w:val="566D3E5D"/>
    <w:rsid w:val="566D52ED"/>
    <w:rsid w:val="56717635"/>
    <w:rsid w:val="56772E9D"/>
    <w:rsid w:val="567B188F"/>
    <w:rsid w:val="567F61F6"/>
    <w:rsid w:val="567F7FA4"/>
    <w:rsid w:val="56813D1C"/>
    <w:rsid w:val="56847368"/>
    <w:rsid w:val="56867733"/>
    <w:rsid w:val="568832FC"/>
    <w:rsid w:val="568850AA"/>
    <w:rsid w:val="5691462E"/>
    <w:rsid w:val="56925F29"/>
    <w:rsid w:val="56927CD7"/>
    <w:rsid w:val="56941CA1"/>
    <w:rsid w:val="5697709C"/>
    <w:rsid w:val="569C0B56"/>
    <w:rsid w:val="569F23F4"/>
    <w:rsid w:val="56A31EE4"/>
    <w:rsid w:val="56A63783"/>
    <w:rsid w:val="56A93273"/>
    <w:rsid w:val="56A96DCF"/>
    <w:rsid w:val="56AE4F0A"/>
    <w:rsid w:val="56B0015D"/>
    <w:rsid w:val="56B13CD2"/>
    <w:rsid w:val="56B14607"/>
    <w:rsid w:val="56B22A9C"/>
    <w:rsid w:val="56B91708"/>
    <w:rsid w:val="56BE6D1E"/>
    <w:rsid w:val="56C1236A"/>
    <w:rsid w:val="56C6512B"/>
    <w:rsid w:val="56C67981"/>
    <w:rsid w:val="56C90818"/>
    <w:rsid w:val="56C9121F"/>
    <w:rsid w:val="56CA56C3"/>
    <w:rsid w:val="56CB143B"/>
    <w:rsid w:val="56CE62D0"/>
    <w:rsid w:val="56D025AE"/>
    <w:rsid w:val="56D54257"/>
    <w:rsid w:val="56D976B4"/>
    <w:rsid w:val="56D97F48"/>
    <w:rsid w:val="56DF0A43"/>
    <w:rsid w:val="56E66275"/>
    <w:rsid w:val="56E91DA0"/>
    <w:rsid w:val="56ED7603"/>
    <w:rsid w:val="56EE5B8F"/>
    <w:rsid w:val="56EF512A"/>
    <w:rsid w:val="56EF6ED8"/>
    <w:rsid w:val="56F42740"/>
    <w:rsid w:val="56F50266"/>
    <w:rsid w:val="56F6463A"/>
    <w:rsid w:val="56FA587C"/>
    <w:rsid w:val="56FE35BF"/>
    <w:rsid w:val="56FE63C1"/>
    <w:rsid w:val="56FF14FB"/>
    <w:rsid w:val="56FF545E"/>
    <w:rsid w:val="57007337"/>
    <w:rsid w:val="570B1AB1"/>
    <w:rsid w:val="570D3802"/>
    <w:rsid w:val="57106E4E"/>
    <w:rsid w:val="57122BC6"/>
    <w:rsid w:val="57154464"/>
    <w:rsid w:val="571701DC"/>
    <w:rsid w:val="5717642E"/>
    <w:rsid w:val="57196706"/>
    <w:rsid w:val="571B7CCD"/>
    <w:rsid w:val="571F5004"/>
    <w:rsid w:val="571F6335"/>
    <w:rsid w:val="5721105B"/>
    <w:rsid w:val="57212E09"/>
    <w:rsid w:val="57236B81"/>
    <w:rsid w:val="572648C3"/>
    <w:rsid w:val="57281234"/>
    <w:rsid w:val="572A655F"/>
    <w:rsid w:val="572C2786"/>
    <w:rsid w:val="572F19CA"/>
    <w:rsid w:val="573378CD"/>
    <w:rsid w:val="57340D8E"/>
    <w:rsid w:val="57364B06"/>
    <w:rsid w:val="5737087F"/>
    <w:rsid w:val="573963A5"/>
    <w:rsid w:val="573B1A0A"/>
    <w:rsid w:val="573C5E95"/>
    <w:rsid w:val="573E602B"/>
    <w:rsid w:val="573E7E5F"/>
    <w:rsid w:val="573F15EA"/>
    <w:rsid w:val="57405985"/>
    <w:rsid w:val="57430FD1"/>
    <w:rsid w:val="57435475"/>
    <w:rsid w:val="57456BD3"/>
    <w:rsid w:val="57476652"/>
    <w:rsid w:val="57476D14"/>
    <w:rsid w:val="574C432A"/>
    <w:rsid w:val="574D135A"/>
    <w:rsid w:val="574F7976"/>
    <w:rsid w:val="57501B81"/>
    <w:rsid w:val="57503774"/>
    <w:rsid w:val="575136EE"/>
    <w:rsid w:val="57532F8E"/>
    <w:rsid w:val="5758643F"/>
    <w:rsid w:val="575B27BF"/>
    <w:rsid w:val="575B456D"/>
    <w:rsid w:val="575B774B"/>
    <w:rsid w:val="575D644F"/>
    <w:rsid w:val="575D6537"/>
    <w:rsid w:val="575E6A88"/>
    <w:rsid w:val="57601B83"/>
    <w:rsid w:val="57672F12"/>
    <w:rsid w:val="57686183"/>
    <w:rsid w:val="576C64D8"/>
    <w:rsid w:val="576D42A0"/>
    <w:rsid w:val="576F0018"/>
    <w:rsid w:val="576F1DC6"/>
    <w:rsid w:val="57713D91"/>
    <w:rsid w:val="57715B3F"/>
    <w:rsid w:val="5774562F"/>
    <w:rsid w:val="577604EB"/>
    <w:rsid w:val="57762B00"/>
    <w:rsid w:val="57766F6F"/>
    <w:rsid w:val="57770C7B"/>
    <w:rsid w:val="57776ECD"/>
    <w:rsid w:val="577B4C0F"/>
    <w:rsid w:val="577C44E3"/>
    <w:rsid w:val="57805D82"/>
    <w:rsid w:val="57833AC4"/>
    <w:rsid w:val="57882E88"/>
    <w:rsid w:val="578A2E8A"/>
    <w:rsid w:val="578C0BCA"/>
    <w:rsid w:val="578C4726"/>
    <w:rsid w:val="578F4217"/>
    <w:rsid w:val="57904B13"/>
    <w:rsid w:val="579415CF"/>
    <w:rsid w:val="57996E43"/>
    <w:rsid w:val="579D05A5"/>
    <w:rsid w:val="579E08FE"/>
    <w:rsid w:val="579E26AC"/>
    <w:rsid w:val="57A001D2"/>
    <w:rsid w:val="57A06424"/>
    <w:rsid w:val="57A202BD"/>
    <w:rsid w:val="57A203EE"/>
    <w:rsid w:val="57A47D24"/>
    <w:rsid w:val="57AB72DA"/>
    <w:rsid w:val="57AE6D93"/>
    <w:rsid w:val="57B3416D"/>
    <w:rsid w:val="57B72A76"/>
    <w:rsid w:val="57B82B9B"/>
    <w:rsid w:val="57BB7557"/>
    <w:rsid w:val="57BE194A"/>
    <w:rsid w:val="57C02622"/>
    <w:rsid w:val="57C049B1"/>
    <w:rsid w:val="57C10AC3"/>
    <w:rsid w:val="57C374D7"/>
    <w:rsid w:val="57C739B1"/>
    <w:rsid w:val="57C96694"/>
    <w:rsid w:val="57CF6D04"/>
    <w:rsid w:val="57D61E46"/>
    <w:rsid w:val="57D86F9C"/>
    <w:rsid w:val="57D91936"/>
    <w:rsid w:val="57DA3E17"/>
    <w:rsid w:val="57DD31D4"/>
    <w:rsid w:val="57DE2F63"/>
    <w:rsid w:val="57E207EA"/>
    <w:rsid w:val="57E75E01"/>
    <w:rsid w:val="57E90877"/>
    <w:rsid w:val="57EC3417"/>
    <w:rsid w:val="57F56CC7"/>
    <w:rsid w:val="57F66044"/>
    <w:rsid w:val="57F8064E"/>
    <w:rsid w:val="57FB7462"/>
    <w:rsid w:val="57FE314A"/>
    <w:rsid w:val="58003366"/>
    <w:rsid w:val="58027680"/>
    <w:rsid w:val="58042493"/>
    <w:rsid w:val="58070251"/>
    <w:rsid w:val="580764A3"/>
    <w:rsid w:val="58084289"/>
    <w:rsid w:val="58095919"/>
    <w:rsid w:val="580C47FE"/>
    <w:rsid w:val="580F2368"/>
    <w:rsid w:val="581110D0"/>
    <w:rsid w:val="58112E7E"/>
    <w:rsid w:val="5814471C"/>
    <w:rsid w:val="581B1F4E"/>
    <w:rsid w:val="581E66C8"/>
    <w:rsid w:val="58215A55"/>
    <w:rsid w:val="582232DD"/>
    <w:rsid w:val="58247055"/>
    <w:rsid w:val="58256929"/>
    <w:rsid w:val="58273B30"/>
    <w:rsid w:val="5827444F"/>
    <w:rsid w:val="582901C7"/>
    <w:rsid w:val="582B03E3"/>
    <w:rsid w:val="582B2191"/>
    <w:rsid w:val="582B57B9"/>
    <w:rsid w:val="582E65EE"/>
    <w:rsid w:val="582E7AAF"/>
    <w:rsid w:val="583077A8"/>
    <w:rsid w:val="58315248"/>
    <w:rsid w:val="583628E4"/>
    <w:rsid w:val="58387090"/>
    <w:rsid w:val="583A1661"/>
    <w:rsid w:val="583A23D4"/>
    <w:rsid w:val="583F3276"/>
    <w:rsid w:val="584204B6"/>
    <w:rsid w:val="58421289"/>
    <w:rsid w:val="584274DB"/>
    <w:rsid w:val="5846521D"/>
    <w:rsid w:val="58496ABB"/>
    <w:rsid w:val="584A6390"/>
    <w:rsid w:val="584D27AD"/>
    <w:rsid w:val="584E7C2E"/>
    <w:rsid w:val="58507E4A"/>
    <w:rsid w:val="5851771E"/>
    <w:rsid w:val="5853793A"/>
    <w:rsid w:val="58555460"/>
    <w:rsid w:val="585B059D"/>
    <w:rsid w:val="585D2567"/>
    <w:rsid w:val="585E533B"/>
    <w:rsid w:val="58607961"/>
    <w:rsid w:val="58613A3F"/>
    <w:rsid w:val="58636A40"/>
    <w:rsid w:val="586C27AA"/>
    <w:rsid w:val="586D5636"/>
    <w:rsid w:val="58737694"/>
    <w:rsid w:val="5875340D"/>
    <w:rsid w:val="587753D7"/>
    <w:rsid w:val="5878114F"/>
    <w:rsid w:val="587A6C75"/>
    <w:rsid w:val="587C29ED"/>
    <w:rsid w:val="587F0709"/>
    <w:rsid w:val="588418A2"/>
    <w:rsid w:val="58847AF3"/>
    <w:rsid w:val="58871392"/>
    <w:rsid w:val="58882378"/>
    <w:rsid w:val="588B70D4"/>
    <w:rsid w:val="58913FBE"/>
    <w:rsid w:val="58967306"/>
    <w:rsid w:val="589870FB"/>
    <w:rsid w:val="589C1963"/>
    <w:rsid w:val="589E6E07"/>
    <w:rsid w:val="58A3441E"/>
    <w:rsid w:val="58A610F9"/>
    <w:rsid w:val="58A837E2"/>
    <w:rsid w:val="58AB5080"/>
    <w:rsid w:val="58AE691E"/>
    <w:rsid w:val="58B2640F"/>
    <w:rsid w:val="58B538BA"/>
    <w:rsid w:val="58B73A25"/>
    <w:rsid w:val="58BC54DF"/>
    <w:rsid w:val="58BE32CF"/>
    <w:rsid w:val="58BF6D7E"/>
    <w:rsid w:val="58C61EBA"/>
    <w:rsid w:val="58CD2411"/>
    <w:rsid w:val="58CE0D6F"/>
    <w:rsid w:val="58D04AE7"/>
    <w:rsid w:val="58D26AB1"/>
    <w:rsid w:val="58D345D7"/>
    <w:rsid w:val="58D42829"/>
    <w:rsid w:val="58D74519"/>
    <w:rsid w:val="58DA7713"/>
    <w:rsid w:val="58E14F46"/>
    <w:rsid w:val="58E90251"/>
    <w:rsid w:val="58EE31BF"/>
    <w:rsid w:val="58F307D5"/>
    <w:rsid w:val="58F46A27"/>
    <w:rsid w:val="58F509F1"/>
    <w:rsid w:val="58FB5034"/>
    <w:rsid w:val="58FC58DC"/>
    <w:rsid w:val="58FE1654"/>
    <w:rsid w:val="59013D9D"/>
    <w:rsid w:val="590316FF"/>
    <w:rsid w:val="59063B02"/>
    <w:rsid w:val="59077622"/>
    <w:rsid w:val="59080725"/>
    <w:rsid w:val="590A49E9"/>
    <w:rsid w:val="590B0730"/>
    <w:rsid w:val="590B3D71"/>
    <w:rsid w:val="590D7AE9"/>
    <w:rsid w:val="590F3E15"/>
    <w:rsid w:val="591250FF"/>
    <w:rsid w:val="59136180"/>
    <w:rsid w:val="5915699E"/>
    <w:rsid w:val="591623EB"/>
    <w:rsid w:val="59162E41"/>
    <w:rsid w:val="591946E0"/>
    <w:rsid w:val="591B0458"/>
    <w:rsid w:val="591C2557"/>
    <w:rsid w:val="591C7D2C"/>
    <w:rsid w:val="591F6730"/>
    <w:rsid w:val="59205A6E"/>
    <w:rsid w:val="592D1F39"/>
    <w:rsid w:val="59301A29"/>
    <w:rsid w:val="593212FE"/>
    <w:rsid w:val="59341B67"/>
    <w:rsid w:val="59350DEE"/>
    <w:rsid w:val="59372DB8"/>
    <w:rsid w:val="593C6736"/>
    <w:rsid w:val="593E7CA2"/>
    <w:rsid w:val="593F3A1A"/>
    <w:rsid w:val="59411DC7"/>
    <w:rsid w:val="59465FF6"/>
    <w:rsid w:val="594A4899"/>
    <w:rsid w:val="594F0101"/>
    <w:rsid w:val="594F3C5E"/>
    <w:rsid w:val="594F6875"/>
    <w:rsid w:val="59513E7A"/>
    <w:rsid w:val="5952374E"/>
    <w:rsid w:val="59527570"/>
    <w:rsid w:val="59527BF2"/>
    <w:rsid w:val="59531008"/>
    <w:rsid w:val="59544FF5"/>
    <w:rsid w:val="59597927"/>
    <w:rsid w:val="595B6AA6"/>
    <w:rsid w:val="59605937"/>
    <w:rsid w:val="59653481"/>
    <w:rsid w:val="596C4358"/>
    <w:rsid w:val="596D0588"/>
    <w:rsid w:val="596D2336"/>
    <w:rsid w:val="596D67DA"/>
    <w:rsid w:val="597263D6"/>
    <w:rsid w:val="59754081"/>
    <w:rsid w:val="59771AA2"/>
    <w:rsid w:val="59796F2C"/>
    <w:rsid w:val="597E2795"/>
    <w:rsid w:val="59822285"/>
    <w:rsid w:val="598237B0"/>
    <w:rsid w:val="5988716F"/>
    <w:rsid w:val="598970AA"/>
    <w:rsid w:val="598B7AD8"/>
    <w:rsid w:val="598F04FE"/>
    <w:rsid w:val="5991071A"/>
    <w:rsid w:val="59914276"/>
    <w:rsid w:val="59934492"/>
    <w:rsid w:val="59941FB8"/>
    <w:rsid w:val="5996337C"/>
    <w:rsid w:val="59973856"/>
    <w:rsid w:val="599B3347"/>
    <w:rsid w:val="599C2C1B"/>
    <w:rsid w:val="599C4367"/>
    <w:rsid w:val="59A0095D"/>
    <w:rsid w:val="59A33FA9"/>
    <w:rsid w:val="59A541C5"/>
    <w:rsid w:val="59A7084E"/>
    <w:rsid w:val="59A87812"/>
    <w:rsid w:val="59A97480"/>
    <w:rsid w:val="59AA5338"/>
    <w:rsid w:val="59AF294E"/>
    <w:rsid w:val="59AF442D"/>
    <w:rsid w:val="59AF6DF2"/>
    <w:rsid w:val="59B04427"/>
    <w:rsid w:val="59B2243E"/>
    <w:rsid w:val="59B47F65"/>
    <w:rsid w:val="59B526F2"/>
    <w:rsid w:val="59B63CDD"/>
    <w:rsid w:val="59B85CA7"/>
    <w:rsid w:val="59BA3716"/>
    <w:rsid w:val="59BC7D8F"/>
    <w:rsid w:val="59BE5287"/>
    <w:rsid w:val="59BE7035"/>
    <w:rsid w:val="59C04B5B"/>
    <w:rsid w:val="59C12681"/>
    <w:rsid w:val="59C26B25"/>
    <w:rsid w:val="59C3464B"/>
    <w:rsid w:val="59C55177"/>
    <w:rsid w:val="59C81C62"/>
    <w:rsid w:val="59C82CB8"/>
    <w:rsid w:val="59C97EB4"/>
    <w:rsid w:val="59D03A04"/>
    <w:rsid w:val="59D12BC9"/>
    <w:rsid w:val="59D2488F"/>
    <w:rsid w:val="59D57095"/>
    <w:rsid w:val="59DD6583"/>
    <w:rsid w:val="59E0058C"/>
    <w:rsid w:val="59E051FD"/>
    <w:rsid w:val="59E3084A"/>
    <w:rsid w:val="59E51BA8"/>
    <w:rsid w:val="59E720E8"/>
    <w:rsid w:val="59EA607C"/>
    <w:rsid w:val="59EC4266"/>
    <w:rsid w:val="59F6007B"/>
    <w:rsid w:val="59F667CF"/>
    <w:rsid w:val="59F73AC1"/>
    <w:rsid w:val="59F8263F"/>
    <w:rsid w:val="5A054C64"/>
    <w:rsid w:val="5A094754"/>
    <w:rsid w:val="5A0E3B19"/>
    <w:rsid w:val="5A113609"/>
    <w:rsid w:val="5A117165"/>
    <w:rsid w:val="5A134FC8"/>
    <w:rsid w:val="5A146C55"/>
    <w:rsid w:val="5A1976E0"/>
    <w:rsid w:val="5A1B4488"/>
    <w:rsid w:val="5A1D5B0A"/>
    <w:rsid w:val="5A2275C4"/>
    <w:rsid w:val="5A277C43"/>
    <w:rsid w:val="5A285D45"/>
    <w:rsid w:val="5A294C0A"/>
    <w:rsid w:val="5A296BA4"/>
    <w:rsid w:val="5A2A6479"/>
    <w:rsid w:val="5A2E1F00"/>
    <w:rsid w:val="5A3115B5"/>
    <w:rsid w:val="5A312D8C"/>
    <w:rsid w:val="5A366BCB"/>
    <w:rsid w:val="5A380B96"/>
    <w:rsid w:val="5A3A490E"/>
    <w:rsid w:val="5A3B68D8"/>
    <w:rsid w:val="5A3C20EF"/>
    <w:rsid w:val="5A3C747D"/>
    <w:rsid w:val="5A407A4A"/>
    <w:rsid w:val="5A413125"/>
    <w:rsid w:val="5A4455DB"/>
    <w:rsid w:val="5A47702B"/>
    <w:rsid w:val="5A481189"/>
    <w:rsid w:val="5A490FF5"/>
    <w:rsid w:val="5A4958D6"/>
    <w:rsid w:val="5A4A4609"/>
    <w:rsid w:val="5A504131"/>
    <w:rsid w:val="5A50597F"/>
    <w:rsid w:val="5A533C21"/>
    <w:rsid w:val="5A551748"/>
    <w:rsid w:val="5A555C7D"/>
    <w:rsid w:val="5A5B4884"/>
    <w:rsid w:val="5A5D23AA"/>
    <w:rsid w:val="5A6019BB"/>
    <w:rsid w:val="5A6776CD"/>
    <w:rsid w:val="5A724623"/>
    <w:rsid w:val="5A7410C5"/>
    <w:rsid w:val="5A74177B"/>
    <w:rsid w:val="5A7539D2"/>
    <w:rsid w:val="5A753B98"/>
    <w:rsid w:val="5A767645"/>
    <w:rsid w:val="5A7C4F26"/>
    <w:rsid w:val="5A805270"/>
    <w:rsid w:val="5A84202D"/>
    <w:rsid w:val="5A846C42"/>
    <w:rsid w:val="5A851901"/>
    <w:rsid w:val="5A887DA1"/>
    <w:rsid w:val="5A89083A"/>
    <w:rsid w:val="5A8C2C8F"/>
    <w:rsid w:val="5A9009D2"/>
    <w:rsid w:val="5AA1498D"/>
    <w:rsid w:val="5AA24261"/>
    <w:rsid w:val="5AA30DE7"/>
    <w:rsid w:val="5AA47FD9"/>
    <w:rsid w:val="5AA7249C"/>
    <w:rsid w:val="5AA903B9"/>
    <w:rsid w:val="5AA955EF"/>
    <w:rsid w:val="5AB02E22"/>
    <w:rsid w:val="5AB26B9A"/>
    <w:rsid w:val="5AB50438"/>
    <w:rsid w:val="5ABA77FD"/>
    <w:rsid w:val="5ABC3575"/>
    <w:rsid w:val="5ABE2233"/>
    <w:rsid w:val="5ABF12B7"/>
    <w:rsid w:val="5AC02939"/>
    <w:rsid w:val="5AC061CA"/>
    <w:rsid w:val="5AC13523"/>
    <w:rsid w:val="5AC643F3"/>
    <w:rsid w:val="5AC81FAD"/>
    <w:rsid w:val="5AC86513"/>
    <w:rsid w:val="5AC95C92"/>
    <w:rsid w:val="5ACD7DA0"/>
    <w:rsid w:val="5ACE14FA"/>
    <w:rsid w:val="5AD20FEA"/>
    <w:rsid w:val="5AD21A31"/>
    <w:rsid w:val="5AD76600"/>
    <w:rsid w:val="5ADE798F"/>
    <w:rsid w:val="5AE26D53"/>
    <w:rsid w:val="5AE55CE6"/>
    <w:rsid w:val="5AE605F2"/>
    <w:rsid w:val="5AE96334"/>
    <w:rsid w:val="5AEC2C48"/>
    <w:rsid w:val="5AF56A87"/>
    <w:rsid w:val="5AF70A51"/>
    <w:rsid w:val="5AF947C9"/>
    <w:rsid w:val="5AFC6067"/>
    <w:rsid w:val="5AFC7E15"/>
    <w:rsid w:val="5AFE3B8D"/>
    <w:rsid w:val="5AFF7905"/>
    <w:rsid w:val="5B01542B"/>
    <w:rsid w:val="5B0703F5"/>
    <w:rsid w:val="5B0E7493"/>
    <w:rsid w:val="5B18349B"/>
    <w:rsid w:val="5B184523"/>
    <w:rsid w:val="5B1909C7"/>
    <w:rsid w:val="5B1A473F"/>
    <w:rsid w:val="5B1C4013"/>
    <w:rsid w:val="5B1E7D8B"/>
    <w:rsid w:val="5B1F079D"/>
    <w:rsid w:val="5B1F58B2"/>
    <w:rsid w:val="5B260F80"/>
    <w:rsid w:val="5B276D18"/>
    <w:rsid w:val="5B297096"/>
    <w:rsid w:val="5B2D4374"/>
    <w:rsid w:val="5B307ABF"/>
    <w:rsid w:val="5B3255E5"/>
    <w:rsid w:val="5B33135D"/>
    <w:rsid w:val="5B363143"/>
    <w:rsid w:val="5B3B1403"/>
    <w:rsid w:val="5B3D25E5"/>
    <w:rsid w:val="5B4524B8"/>
    <w:rsid w:val="5B4761F6"/>
    <w:rsid w:val="5B4D5DFB"/>
    <w:rsid w:val="5B5163B3"/>
    <w:rsid w:val="5B5437AD"/>
    <w:rsid w:val="5B57329D"/>
    <w:rsid w:val="5B5A4B3C"/>
    <w:rsid w:val="5B5C08B4"/>
    <w:rsid w:val="5B5C4D58"/>
    <w:rsid w:val="5B6065F6"/>
    <w:rsid w:val="5B6078C7"/>
    <w:rsid w:val="5B6139D7"/>
    <w:rsid w:val="5B61411C"/>
    <w:rsid w:val="5B637E94"/>
    <w:rsid w:val="5B647768"/>
    <w:rsid w:val="5B661732"/>
    <w:rsid w:val="5B6854AA"/>
    <w:rsid w:val="5B694D7F"/>
    <w:rsid w:val="5B6F6839"/>
    <w:rsid w:val="5B7200D7"/>
    <w:rsid w:val="5B735536"/>
    <w:rsid w:val="5B765E19"/>
    <w:rsid w:val="5B7C2C24"/>
    <w:rsid w:val="5B7C4516"/>
    <w:rsid w:val="5B7E082A"/>
    <w:rsid w:val="5B804F69"/>
    <w:rsid w:val="5B885B4D"/>
    <w:rsid w:val="5B8D2D21"/>
    <w:rsid w:val="5B8D4069"/>
    <w:rsid w:val="5B8E7B0D"/>
    <w:rsid w:val="5B9135EA"/>
    <w:rsid w:val="5B9444F1"/>
    <w:rsid w:val="5B9608D0"/>
    <w:rsid w:val="5B962018"/>
    <w:rsid w:val="5B9938B6"/>
    <w:rsid w:val="5B9960CD"/>
    <w:rsid w:val="5B9B5880"/>
    <w:rsid w:val="5B9D7062"/>
    <w:rsid w:val="5B9E0ECC"/>
    <w:rsid w:val="5BA65FD3"/>
    <w:rsid w:val="5BAC15F8"/>
    <w:rsid w:val="5BAC2986"/>
    <w:rsid w:val="5BB02677"/>
    <w:rsid w:val="5BB02907"/>
    <w:rsid w:val="5BB57FC4"/>
    <w:rsid w:val="5BB97AB4"/>
    <w:rsid w:val="5BBE1529"/>
    <w:rsid w:val="5BC97600"/>
    <w:rsid w:val="5BCA176A"/>
    <w:rsid w:val="5BCA1CC1"/>
    <w:rsid w:val="5BCA607F"/>
    <w:rsid w:val="5BCA7FDA"/>
    <w:rsid w:val="5BD42B40"/>
    <w:rsid w:val="5BD82630"/>
    <w:rsid w:val="5BD90156"/>
    <w:rsid w:val="5BD91B0B"/>
    <w:rsid w:val="5BD91F04"/>
    <w:rsid w:val="5BDC0494"/>
    <w:rsid w:val="5BDF5D95"/>
    <w:rsid w:val="5BE00642"/>
    <w:rsid w:val="5BE74621"/>
    <w:rsid w:val="5BE82147"/>
    <w:rsid w:val="5BED775E"/>
    <w:rsid w:val="5BF136F2"/>
    <w:rsid w:val="5BF31960"/>
    <w:rsid w:val="5BF64864"/>
    <w:rsid w:val="5BF82228"/>
    <w:rsid w:val="5BF8281F"/>
    <w:rsid w:val="5BFE196B"/>
    <w:rsid w:val="5C013209"/>
    <w:rsid w:val="5C053504"/>
    <w:rsid w:val="5C076A71"/>
    <w:rsid w:val="5C0827EA"/>
    <w:rsid w:val="5C0E3BCB"/>
    <w:rsid w:val="5C0F5926"/>
    <w:rsid w:val="5C121CA4"/>
    <w:rsid w:val="5C1271C4"/>
    <w:rsid w:val="5C190553"/>
    <w:rsid w:val="5C1B076F"/>
    <w:rsid w:val="5C1B7D36"/>
    <w:rsid w:val="5C2238AB"/>
    <w:rsid w:val="5C225659"/>
    <w:rsid w:val="5C237623"/>
    <w:rsid w:val="5C2440E9"/>
    <w:rsid w:val="5C25514A"/>
    <w:rsid w:val="5C272C70"/>
    <w:rsid w:val="5C2B0664"/>
    <w:rsid w:val="5C2E290C"/>
    <w:rsid w:val="5C2F421A"/>
    <w:rsid w:val="5C34538D"/>
    <w:rsid w:val="5C384E7D"/>
    <w:rsid w:val="5C3933B5"/>
    <w:rsid w:val="5C3E7FB9"/>
    <w:rsid w:val="5C432D7B"/>
    <w:rsid w:val="5C487AAD"/>
    <w:rsid w:val="5C4A069B"/>
    <w:rsid w:val="5C4E28BC"/>
    <w:rsid w:val="5C5305C6"/>
    <w:rsid w:val="5C537F09"/>
    <w:rsid w:val="5C541F4D"/>
    <w:rsid w:val="5C58551F"/>
    <w:rsid w:val="5C5B6DBD"/>
    <w:rsid w:val="5C5C1087"/>
    <w:rsid w:val="5C62639E"/>
    <w:rsid w:val="5C65155C"/>
    <w:rsid w:val="5C663787"/>
    <w:rsid w:val="5C6C4B26"/>
    <w:rsid w:val="5C6D4F4E"/>
    <w:rsid w:val="5C6E6AF1"/>
    <w:rsid w:val="5C6E7D9F"/>
    <w:rsid w:val="5C732359"/>
    <w:rsid w:val="5C757E7F"/>
    <w:rsid w:val="5C765E1A"/>
    <w:rsid w:val="5C7922E1"/>
    <w:rsid w:val="5C7B2FBB"/>
    <w:rsid w:val="5C7D31D8"/>
    <w:rsid w:val="5C7E4CC3"/>
    <w:rsid w:val="5C8509BC"/>
    <w:rsid w:val="5C86208C"/>
    <w:rsid w:val="5C9127DF"/>
    <w:rsid w:val="5C930305"/>
    <w:rsid w:val="5C9E33F5"/>
    <w:rsid w:val="5C9F4EFC"/>
    <w:rsid w:val="5CA035BD"/>
    <w:rsid w:val="5CA16EC6"/>
    <w:rsid w:val="5CA24B2E"/>
    <w:rsid w:val="5CA42512"/>
    <w:rsid w:val="5CA64CDB"/>
    <w:rsid w:val="5CA93FCD"/>
    <w:rsid w:val="5CB35043"/>
    <w:rsid w:val="5CB84210"/>
    <w:rsid w:val="5CB87D6C"/>
    <w:rsid w:val="5CBA3AE4"/>
    <w:rsid w:val="5CBC0E24"/>
    <w:rsid w:val="5CBC3D00"/>
    <w:rsid w:val="5CBC5AAE"/>
    <w:rsid w:val="5CBF10FA"/>
    <w:rsid w:val="5CC05F06"/>
    <w:rsid w:val="5CC26E3C"/>
    <w:rsid w:val="5CC606DB"/>
    <w:rsid w:val="5CC932A2"/>
    <w:rsid w:val="5CCC3817"/>
    <w:rsid w:val="5CCD7CBB"/>
    <w:rsid w:val="5CD04077"/>
    <w:rsid w:val="5CD1707F"/>
    <w:rsid w:val="5CD32DF8"/>
    <w:rsid w:val="5CD56B70"/>
    <w:rsid w:val="5CD86660"/>
    <w:rsid w:val="5CDA4186"/>
    <w:rsid w:val="5CDB3A5A"/>
    <w:rsid w:val="5CDC2524"/>
    <w:rsid w:val="5CDC7EFE"/>
    <w:rsid w:val="5CDF79EE"/>
    <w:rsid w:val="5CE172C2"/>
    <w:rsid w:val="5CE60D7D"/>
    <w:rsid w:val="5CE9261B"/>
    <w:rsid w:val="5CEB3BAF"/>
    <w:rsid w:val="5CEC5C67"/>
    <w:rsid w:val="5CEE378D"/>
    <w:rsid w:val="5CF50FC0"/>
    <w:rsid w:val="5CF76AE6"/>
    <w:rsid w:val="5CFA0384"/>
    <w:rsid w:val="5CFB5EAA"/>
    <w:rsid w:val="5CFD1C22"/>
    <w:rsid w:val="5CFE3AF6"/>
    <w:rsid w:val="5D0631CD"/>
    <w:rsid w:val="5D064F7B"/>
    <w:rsid w:val="5D082FB3"/>
    <w:rsid w:val="5D123920"/>
    <w:rsid w:val="5D1256CE"/>
    <w:rsid w:val="5D1461BC"/>
    <w:rsid w:val="5D1551BE"/>
    <w:rsid w:val="5D170F36"/>
    <w:rsid w:val="5D172CE4"/>
    <w:rsid w:val="5D1B2582"/>
    <w:rsid w:val="5D1D22C5"/>
    <w:rsid w:val="5D1D3926"/>
    <w:rsid w:val="5D1D77F0"/>
    <w:rsid w:val="5D1F7DEB"/>
    <w:rsid w:val="5D2650B4"/>
    <w:rsid w:val="5D292A17"/>
    <w:rsid w:val="5D296EBB"/>
    <w:rsid w:val="5D2D075A"/>
    <w:rsid w:val="5D2E44D2"/>
    <w:rsid w:val="5D2E6280"/>
    <w:rsid w:val="5D30766A"/>
    <w:rsid w:val="5D311666"/>
    <w:rsid w:val="5D35760E"/>
    <w:rsid w:val="5D395350"/>
    <w:rsid w:val="5D3C099D"/>
    <w:rsid w:val="5D3F223B"/>
    <w:rsid w:val="5D443CF5"/>
    <w:rsid w:val="5D4635C9"/>
    <w:rsid w:val="5D494E68"/>
    <w:rsid w:val="5D5A52C7"/>
    <w:rsid w:val="5D600B2F"/>
    <w:rsid w:val="5D616655"/>
    <w:rsid w:val="5D650029"/>
    <w:rsid w:val="5D657C27"/>
    <w:rsid w:val="5D6D6DA8"/>
    <w:rsid w:val="5D722610"/>
    <w:rsid w:val="5D7235D2"/>
    <w:rsid w:val="5D730D16"/>
    <w:rsid w:val="5D78422A"/>
    <w:rsid w:val="5D7C523D"/>
    <w:rsid w:val="5D7E0FB5"/>
    <w:rsid w:val="5D7F0CC9"/>
    <w:rsid w:val="5D814602"/>
    <w:rsid w:val="5D821189"/>
    <w:rsid w:val="5D8365CC"/>
    <w:rsid w:val="5D8440F2"/>
    <w:rsid w:val="5D847B0A"/>
    <w:rsid w:val="5D8660BC"/>
    <w:rsid w:val="5D8B1499"/>
    <w:rsid w:val="5D94616F"/>
    <w:rsid w:val="5D950500"/>
    <w:rsid w:val="5D955EEB"/>
    <w:rsid w:val="5D96240B"/>
    <w:rsid w:val="5D99194B"/>
    <w:rsid w:val="5D9A3915"/>
    <w:rsid w:val="5D9A7B05"/>
    <w:rsid w:val="5DAA3B58"/>
    <w:rsid w:val="5DB171DF"/>
    <w:rsid w:val="5DB26EB1"/>
    <w:rsid w:val="5DB34D76"/>
    <w:rsid w:val="5DB577BD"/>
    <w:rsid w:val="5DB6074F"/>
    <w:rsid w:val="5DB669A1"/>
    <w:rsid w:val="5DB74439"/>
    <w:rsid w:val="5DB93D9B"/>
    <w:rsid w:val="5DBB599C"/>
    <w:rsid w:val="5DBC6D53"/>
    <w:rsid w:val="5DBE7604"/>
    <w:rsid w:val="5DC10142"/>
    <w:rsid w:val="5DC21912"/>
    <w:rsid w:val="5DC866D4"/>
    <w:rsid w:val="5DCA41FA"/>
    <w:rsid w:val="5DCF10B7"/>
    <w:rsid w:val="5DD1456E"/>
    <w:rsid w:val="5DD21301"/>
    <w:rsid w:val="5DD45079"/>
    <w:rsid w:val="5DD47F03"/>
    <w:rsid w:val="5DD60B23"/>
    <w:rsid w:val="5DDB1F64"/>
    <w:rsid w:val="5DE057CC"/>
    <w:rsid w:val="5DE0757A"/>
    <w:rsid w:val="5DE132F2"/>
    <w:rsid w:val="5DE3706A"/>
    <w:rsid w:val="5DEB63BE"/>
    <w:rsid w:val="5DEC4171"/>
    <w:rsid w:val="5DF23751"/>
    <w:rsid w:val="5DF245C1"/>
    <w:rsid w:val="5DF254FF"/>
    <w:rsid w:val="5DF41277"/>
    <w:rsid w:val="5DF64FF0"/>
    <w:rsid w:val="5DF87A0F"/>
    <w:rsid w:val="5DFF2729"/>
    <w:rsid w:val="5E007C1C"/>
    <w:rsid w:val="5E023994"/>
    <w:rsid w:val="5E044CCE"/>
    <w:rsid w:val="5E052FC6"/>
    <w:rsid w:val="5E07481C"/>
    <w:rsid w:val="5E0F35C8"/>
    <w:rsid w:val="5E122843"/>
    <w:rsid w:val="5E165F27"/>
    <w:rsid w:val="5E176D14"/>
    <w:rsid w:val="5E18501A"/>
    <w:rsid w:val="5E190CDE"/>
    <w:rsid w:val="5E196F30"/>
    <w:rsid w:val="5E1978DE"/>
    <w:rsid w:val="5E2D6537"/>
    <w:rsid w:val="5E2D74A8"/>
    <w:rsid w:val="5E337FF2"/>
    <w:rsid w:val="5E341674"/>
    <w:rsid w:val="5E355B65"/>
    <w:rsid w:val="5E366B9F"/>
    <w:rsid w:val="5E371164"/>
    <w:rsid w:val="5E3E59B5"/>
    <w:rsid w:val="5E40626B"/>
    <w:rsid w:val="5E483371"/>
    <w:rsid w:val="5E4C10B3"/>
    <w:rsid w:val="5E512226"/>
    <w:rsid w:val="5E541D16"/>
    <w:rsid w:val="5E547F68"/>
    <w:rsid w:val="5E563CE0"/>
    <w:rsid w:val="5E5B30A5"/>
    <w:rsid w:val="5E653F23"/>
    <w:rsid w:val="5E695530"/>
    <w:rsid w:val="5E6A5A7A"/>
    <w:rsid w:val="5E6D4B86"/>
    <w:rsid w:val="5E710B1A"/>
    <w:rsid w:val="5E734892"/>
    <w:rsid w:val="5E745F14"/>
    <w:rsid w:val="5E781EA8"/>
    <w:rsid w:val="5E783C56"/>
    <w:rsid w:val="5E796A43"/>
    <w:rsid w:val="5E7A1EB6"/>
    <w:rsid w:val="5E7A3283"/>
    <w:rsid w:val="5E7D126D"/>
    <w:rsid w:val="5E7E2FB5"/>
    <w:rsid w:val="5E800D5D"/>
    <w:rsid w:val="5E806C53"/>
    <w:rsid w:val="5E8167DF"/>
    <w:rsid w:val="5E892B2C"/>
    <w:rsid w:val="5E8A398A"/>
    <w:rsid w:val="5E8B1BDC"/>
    <w:rsid w:val="5E8E347A"/>
    <w:rsid w:val="5E913942"/>
    <w:rsid w:val="5E916AC6"/>
    <w:rsid w:val="5E960581"/>
    <w:rsid w:val="5E9842F9"/>
    <w:rsid w:val="5EA06D09"/>
    <w:rsid w:val="5EA20CD3"/>
    <w:rsid w:val="5EA507C4"/>
    <w:rsid w:val="5EA66A16"/>
    <w:rsid w:val="5EA92062"/>
    <w:rsid w:val="5EA92521"/>
    <w:rsid w:val="5EA93E10"/>
    <w:rsid w:val="5EAA35A6"/>
    <w:rsid w:val="5EAB5E7A"/>
    <w:rsid w:val="5EAC56AE"/>
    <w:rsid w:val="5EC073AC"/>
    <w:rsid w:val="5EC92704"/>
    <w:rsid w:val="5ECF37B3"/>
    <w:rsid w:val="5ED05841"/>
    <w:rsid w:val="5ED115B9"/>
    <w:rsid w:val="5ED6097D"/>
    <w:rsid w:val="5ED846F5"/>
    <w:rsid w:val="5EDB5F93"/>
    <w:rsid w:val="5EDC303D"/>
    <w:rsid w:val="5EDF5A84"/>
    <w:rsid w:val="5EE035AA"/>
    <w:rsid w:val="5EE4753E"/>
    <w:rsid w:val="5EE66E12"/>
    <w:rsid w:val="5EE72B8A"/>
    <w:rsid w:val="5EE82168"/>
    <w:rsid w:val="5EEE5CC7"/>
    <w:rsid w:val="5EF3152F"/>
    <w:rsid w:val="5EF77271"/>
    <w:rsid w:val="5EF84D97"/>
    <w:rsid w:val="5EFC6636"/>
    <w:rsid w:val="5EFF7ED4"/>
    <w:rsid w:val="5F0059FA"/>
    <w:rsid w:val="5F013C4C"/>
    <w:rsid w:val="5F053010"/>
    <w:rsid w:val="5F061E42"/>
    <w:rsid w:val="5F092B01"/>
    <w:rsid w:val="5F093472"/>
    <w:rsid w:val="5F0C439F"/>
    <w:rsid w:val="5F0E7E34"/>
    <w:rsid w:val="5F1033DB"/>
    <w:rsid w:val="5F105C3D"/>
    <w:rsid w:val="5F131BD1"/>
    <w:rsid w:val="5F13397F"/>
    <w:rsid w:val="5F1514A5"/>
    <w:rsid w:val="5F1576F7"/>
    <w:rsid w:val="5F166FCB"/>
    <w:rsid w:val="5F183B67"/>
    <w:rsid w:val="5F1A2B43"/>
    <w:rsid w:val="5F1B3461"/>
    <w:rsid w:val="5F1D035A"/>
    <w:rsid w:val="5F1F2324"/>
    <w:rsid w:val="5F21088D"/>
    <w:rsid w:val="5F245B8C"/>
    <w:rsid w:val="5F27742B"/>
    <w:rsid w:val="5F2C67EF"/>
    <w:rsid w:val="5F2E2567"/>
    <w:rsid w:val="5F2F29E7"/>
    <w:rsid w:val="5F304531"/>
    <w:rsid w:val="5F315C21"/>
    <w:rsid w:val="5F337B7D"/>
    <w:rsid w:val="5F3B570F"/>
    <w:rsid w:val="5F405364"/>
    <w:rsid w:val="5F4728EB"/>
    <w:rsid w:val="5F4A7642"/>
    <w:rsid w:val="5F4C0C3F"/>
    <w:rsid w:val="5F4D6E91"/>
    <w:rsid w:val="5F5226F9"/>
    <w:rsid w:val="5F5521EA"/>
    <w:rsid w:val="5F577D10"/>
    <w:rsid w:val="5F59283E"/>
    <w:rsid w:val="5F5A335C"/>
    <w:rsid w:val="5F5F0972"/>
    <w:rsid w:val="5F5F4E16"/>
    <w:rsid w:val="5F630463"/>
    <w:rsid w:val="5F675A73"/>
    <w:rsid w:val="5F6B6A07"/>
    <w:rsid w:val="5F6D12E1"/>
    <w:rsid w:val="5F700DD2"/>
    <w:rsid w:val="5F75455E"/>
    <w:rsid w:val="5F761608"/>
    <w:rsid w:val="5F772160"/>
    <w:rsid w:val="5F797C86"/>
    <w:rsid w:val="5F7D704B"/>
    <w:rsid w:val="5F7E0DDA"/>
    <w:rsid w:val="5F7E34EF"/>
    <w:rsid w:val="5F8623A3"/>
    <w:rsid w:val="5F864151"/>
    <w:rsid w:val="5F872886"/>
    <w:rsid w:val="5F876EAC"/>
    <w:rsid w:val="5F8A1207"/>
    <w:rsid w:val="5F8D4DCC"/>
    <w:rsid w:val="5F8E1258"/>
    <w:rsid w:val="5F8F74AA"/>
    <w:rsid w:val="5F97635E"/>
    <w:rsid w:val="5F9C3975"/>
    <w:rsid w:val="5F9D4AAC"/>
    <w:rsid w:val="5FA171DD"/>
    <w:rsid w:val="5FA34D03"/>
    <w:rsid w:val="5FA42829"/>
    <w:rsid w:val="5FA8056B"/>
    <w:rsid w:val="5FAA6092"/>
    <w:rsid w:val="5FAD000C"/>
    <w:rsid w:val="5FB31BE9"/>
    <w:rsid w:val="5FB36ECE"/>
    <w:rsid w:val="5FB707AE"/>
    <w:rsid w:val="5FB837BB"/>
    <w:rsid w:val="5FB95710"/>
    <w:rsid w:val="5FBA204D"/>
    <w:rsid w:val="5FBC5DC5"/>
    <w:rsid w:val="5FBD3482"/>
    <w:rsid w:val="5FBE38EB"/>
    <w:rsid w:val="5FBF1411"/>
    <w:rsid w:val="5FC773F1"/>
    <w:rsid w:val="5FCB6008"/>
    <w:rsid w:val="5FCD1D80"/>
    <w:rsid w:val="5FD24E2C"/>
    <w:rsid w:val="5FD27396"/>
    <w:rsid w:val="5FD44EBD"/>
    <w:rsid w:val="5FDA449D"/>
    <w:rsid w:val="5FE315A4"/>
    <w:rsid w:val="5FE61094"/>
    <w:rsid w:val="5FED41D0"/>
    <w:rsid w:val="5FED5F7E"/>
    <w:rsid w:val="5FEF619A"/>
    <w:rsid w:val="5FF11F12"/>
    <w:rsid w:val="5FF27A39"/>
    <w:rsid w:val="5FF53085"/>
    <w:rsid w:val="5FF732A1"/>
    <w:rsid w:val="5FF7504F"/>
    <w:rsid w:val="60002155"/>
    <w:rsid w:val="60025ECE"/>
    <w:rsid w:val="600339F4"/>
    <w:rsid w:val="60065292"/>
    <w:rsid w:val="60065E0F"/>
    <w:rsid w:val="600F2399"/>
    <w:rsid w:val="60114363"/>
    <w:rsid w:val="60125EE4"/>
    <w:rsid w:val="60145C01"/>
    <w:rsid w:val="60157FFC"/>
    <w:rsid w:val="6017749F"/>
    <w:rsid w:val="60187342"/>
    <w:rsid w:val="601A63AB"/>
    <w:rsid w:val="601B4F8E"/>
    <w:rsid w:val="601E25DC"/>
    <w:rsid w:val="60255718"/>
    <w:rsid w:val="602A71D2"/>
    <w:rsid w:val="60310561"/>
    <w:rsid w:val="603121A8"/>
    <w:rsid w:val="603242D9"/>
    <w:rsid w:val="60327E35"/>
    <w:rsid w:val="6039546A"/>
    <w:rsid w:val="603A33F3"/>
    <w:rsid w:val="604007A4"/>
    <w:rsid w:val="60402552"/>
    <w:rsid w:val="604162CA"/>
    <w:rsid w:val="6042276E"/>
    <w:rsid w:val="60432479"/>
    <w:rsid w:val="60477D84"/>
    <w:rsid w:val="604F6C39"/>
    <w:rsid w:val="60522285"/>
    <w:rsid w:val="60545FFD"/>
    <w:rsid w:val="60593614"/>
    <w:rsid w:val="605B55DE"/>
    <w:rsid w:val="605C4EB2"/>
    <w:rsid w:val="60681AA9"/>
    <w:rsid w:val="606A5821"/>
    <w:rsid w:val="606A5D6B"/>
    <w:rsid w:val="606E3563"/>
    <w:rsid w:val="60732927"/>
    <w:rsid w:val="607355F5"/>
    <w:rsid w:val="607565D9"/>
    <w:rsid w:val="60786190"/>
    <w:rsid w:val="607B17DC"/>
    <w:rsid w:val="607D004F"/>
    <w:rsid w:val="607E307A"/>
    <w:rsid w:val="60822B6A"/>
    <w:rsid w:val="608508AD"/>
    <w:rsid w:val="608C39E9"/>
    <w:rsid w:val="608F34D9"/>
    <w:rsid w:val="60912DAE"/>
    <w:rsid w:val="60917251"/>
    <w:rsid w:val="60934D78"/>
    <w:rsid w:val="6098413C"/>
    <w:rsid w:val="609B00D0"/>
    <w:rsid w:val="609D069B"/>
    <w:rsid w:val="609D11F2"/>
    <w:rsid w:val="609D79A4"/>
    <w:rsid w:val="609E371C"/>
    <w:rsid w:val="60A07495"/>
    <w:rsid w:val="60A46F85"/>
    <w:rsid w:val="60A56859"/>
    <w:rsid w:val="60A76A75"/>
    <w:rsid w:val="60A800F7"/>
    <w:rsid w:val="60AC1FF9"/>
    <w:rsid w:val="60AC5E39"/>
    <w:rsid w:val="60AE14F9"/>
    <w:rsid w:val="60AE3960"/>
    <w:rsid w:val="60B13610"/>
    <w:rsid w:val="60B53DBD"/>
    <w:rsid w:val="60B66CA1"/>
    <w:rsid w:val="60B66CB8"/>
    <w:rsid w:val="60C34F31"/>
    <w:rsid w:val="60C51973"/>
    <w:rsid w:val="60CF36F6"/>
    <w:rsid w:val="60D13AF2"/>
    <w:rsid w:val="60D55390"/>
    <w:rsid w:val="60D809DC"/>
    <w:rsid w:val="60DC3DB6"/>
    <w:rsid w:val="60DC7B7A"/>
    <w:rsid w:val="60E37E0A"/>
    <w:rsid w:val="60E6759D"/>
    <w:rsid w:val="60E76E71"/>
    <w:rsid w:val="60E81DBB"/>
    <w:rsid w:val="60E9572D"/>
    <w:rsid w:val="60EC4488"/>
    <w:rsid w:val="60EE1FAE"/>
    <w:rsid w:val="60EF48AF"/>
    <w:rsid w:val="60F241DA"/>
    <w:rsid w:val="60F34B93"/>
    <w:rsid w:val="60F9034D"/>
    <w:rsid w:val="60F90953"/>
    <w:rsid w:val="60FD6695"/>
    <w:rsid w:val="60FF41BB"/>
    <w:rsid w:val="61016185"/>
    <w:rsid w:val="61045C75"/>
    <w:rsid w:val="610619ED"/>
    <w:rsid w:val="61073070"/>
    <w:rsid w:val="610A2B60"/>
    <w:rsid w:val="610C0686"/>
    <w:rsid w:val="610C4B2A"/>
    <w:rsid w:val="610C6FCC"/>
    <w:rsid w:val="610D1BF1"/>
    <w:rsid w:val="610E08A2"/>
    <w:rsid w:val="610F7301"/>
    <w:rsid w:val="61120392"/>
    <w:rsid w:val="61135EB8"/>
    <w:rsid w:val="61137C66"/>
    <w:rsid w:val="61165902"/>
    <w:rsid w:val="611759A9"/>
    <w:rsid w:val="611834CF"/>
    <w:rsid w:val="611C21BA"/>
    <w:rsid w:val="612754C0"/>
    <w:rsid w:val="6129748A"/>
    <w:rsid w:val="612C0393"/>
    <w:rsid w:val="613227E3"/>
    <w:rsid w:val="61355E2F"/>
    <w:rsid w:val="61363955"/>
    <w:rsid w:val="61375C84"/>
    <w:rsid w:val="613D2F35"/>
    <w:rsid w:val="613F0A5C"/>
    <w:rsid w:val="61412B5A"/>
    <w:rsid w:val="614A7659"/>
    <w:rsid w:val="614C2DB9"/>
    <w:rsid w:val="614D13CA"/>
    <w:rsid w:val="614E6EF1"/>
    <w:rsid w:val="61500EBB"/>
    <w:rsid w:val="61504A17"/>
    <w:rsid w:val="615053A3"/>
    <w:rsid w:val="6151078F"/>
    <w:rsid w:val="6151253D"/>
    <w:rsid w:val="6152204F"/>
    <w:rsid w:val="615446EC"/>
    <w:rsid w:val="615838CB"/>
    <w:rsid w:val="61595DDF"/>
    <w:rsid w:val="615A3AE7"/>
    <w:rsid w:val="615C785F"/>
    <w:rsid w:val="615D7134"/>
    <w:rsid w:val="615F10FE"/>
    <w:rsid w:val="61602923"/>
    <w:rsid w:val="61614E76"/>
    <w:rsid w:val="61616C24"/>
    <w:rsid w:val="6162299C"/>
    <w:rsid w:val="61691F7C"/>
    <w:rsid w:val="61700C15"/>
    <w:rsid w:val="6170768E"/>
    <w:rsid w:val="61707F91"/>
    <w:rsid w:val="617701F5"/>
    <w:rsid w:val="61783F6D"/>
    <w:rsid w:val="6178408E"/>
    <w:rsid w:val="61785D1C"/>
    <w:rsid w:val="617A7CE6"/>
    <w:rsid w:val="617B7A74"/>
    <w:rsid w:val="617D3332"/>
    <w:rsid w:val="617E77D6"/>
    <w:rsid w:val="61830921"/>
    <w:rsid w:val="61834DEC"/>
    <w:rsid w:val="61881DC6"/>
    <w:rsid w:val="618C17C7"/>
    <w:rsid w:val="6190770A"/>
    <w:rsid w:val="61917F48"/>
    <w:rsid w:val="61943BF5"/>
    <w:rsid w:val="619F14FA"/>
    <w:rsid w:val="619F73C4"/>
    <w:rsid w:val="61A15272"/>
    <w:rsid w:val="61A62889"/>
    <w:rsid w:val="61AE30F8"/>
    <w:rsid w:val="61AE5BE1"/>
    <w:rsid w:val="61B56F70"/>
    <w:rsid w:val="61B8631B"/>
    <w:rsid w:val="61BA7637"/>
    <w:rsid w:val="61BE4076"/>
    <w:rsid w:val="61BF1B9C"/>
    <w:rsid w:val="61BF394A"/>
    <w:rsid w:val="61C1296A"/>
    <w:rsid w:val="61C13B66"/>
    <w:rsid w:val="61C243C9"/>
    <w:rsid w:val="61C80A51"/>
    <w:rsid w:val="61CB46C0"/>
    <w:rsid w:val="61CB62CF"/>
    <w:rsid w:val="61D373F6"/>
    <w:rsid w:val="61D70C94"/>
    <w:rsid w:val="61D76EE6"/>
    <w:rsid w:val="61D86D49"/>
    <w:rsid w:val="61DA26C4"/>
    <w:rsid w:val="61DA69D6"/>
    <w:rsid w:val="61DC44FC"/>
    <w:rsid w:val="61E03976"/>
    <w:rsid w:val="61E31298"/>
    <w:rsid w:val="61E32DD8"/>
    <w:rsid w:val="61E57855"/>
    <w:rsid w:val="61EB0BE3"/>
    <w:rsid w:val="61EB473F"/>
    <w:rsid w:val="61EF4230"/>
    <w:rsid w:val="61F07FA8"/>
    <w:rsid w:val="61F21F72"/>
    <w:rsid w:val="61F950AE"/>
    <w:rsid w:val="61FF118B"/>
    <w:rsid w:val="62020581"/>
    <w:rsid w:val="62031A89"/>
    <w:rsid w:val="62033E14"/>
    <w:rsid w:val="620A72BB"/>
    <w:rsid w:val="620F48D2"/>
    <w:rsid w:val="62141AA7"/>
    <w:rsid w:val="621E68C3"/>
    <w:rsid w:val="62255EA3"/>
    <w:rsid w:val="622A34BA"/>
    <w:rsid w:val="622A5268"/>
    <w:rsid w:val="622B7232"/>
    <w:rsid w:val="622D2FAA"/>
    <w:rsid w:val="62314848"/>
    <w:rsid w:val="623205C0"/>
    <w:rsid w:val="6232236E"/>
    <w:rsid w:val="62326AFE"/>
    <w:rsid w:val="62364782"/>
    <w:rsid w:val="62375AF0"/>
    <w:rsid w:val="62397551"/>
    <w:rsid w:val="62397BA1"/>
    <w:rsid w:val="623A66C4"/>
    <w:rsid w:val="623C4F9B"/>
    <w:rsid w:val="623E47E2"/>
    <w:rsid w:val="623E6F65"/>
    <w:rsid w:val="62426A55"/>
    <w:rsid w:val="624327CD"/>
    <w:rsid w:val="6247406C"/>
    <w:rsid w:val="62483940"/>
    <w:rsid w:val="624A3B5C"/>
    <w:rsid w:val="62516C98"/>
    <w:rsid w:val="62540537"/>
    <w:rsid w:val="625422E5"/>
    <w:rsid w:val="62562501"/>
    <w:rsid w:val="625B18C5"/>
    <w:rsid w:val="625B3673"/>
    <w:rsid w:val="625E6872"/>
    <w:rsid w:val="62620EA5"/>
    <w:rsid w:val="62623765"/>
    <w:rsid w:val="6263077A"/>
    <w:rsid w:val="62636AC5"/>
    <w:rsid w:val="626562A0"/>
    <w:rsid w:val="62665185"/>
    <w:rsid w:val="6267026A"/>
    <w:rsid w:val="626B762E"/>
    <w:rsid w:val="626B7BBE"/>
    <w:rsid w:val="626F5370"/>
    <w:rsid w:val="626F778E"/>
    <w:rsid w:val="627051C5"/>
    <w:rsid w:val="62713A30"/>
    <w:rsid w:val="62740BD9"/>
    <w:rsid w:val="62783599"/>
    <w:rsid w:val="62791D4B"/>
    <w:rsid w:val="627B3D15"/>
    <w:rsid w:val="627E3805"/>
    <w:rsid w:val="627E47EA"/>
    <w:rsid w:val="62807141"/>
    <w:rsid w:val="62830E1C"/>
    <w:rsid w:val="6286301C"/>
    <w:rsid w:val="62864468"/>
    <w:rsid w:val="628A21AA"/>
    <w:rsid w:val="628A3F58"/>
    <w:rsid w:val="628B71A8"/>
    <w:rsid w:val="628C7CD0"/>
    <w:rsid w:val="628D57F7"/>
    <w:rsid w:val="628E1B2F"/>
    <w:rsid w:val="628F42BC"/>
    <w:rsid w:val="62946B85"/>
    <w:rsid w:val="62946DCA"/>
    <w:rsid w:val="62950184"/>
    <w:rsid w:val="62975F54"/>
    <w:rsid w:val="6299063F"/>
    <w:rsid w:val="629B43B7"/>
    <w:rsid w:val="629F3071"/>
    <w:rsid w:val="62A27CA7"/>
    <w:rsid w:val="62A414BE"/>
    <w:rsid w:val="62A63DB0"/>
    <w:rsid w:val="62A768B8"/>
    <w:rsid w:val="62AA0157"/>
    <w:rsid w:val="62AA45FB"/>
    <w:rsid w:val="62AA63A9"/>
    <w:rsid w:val="62AC2121"/>
    <w:rsid w:val="62AE40EB"/>
    <w:rsid w:val="62AE5E99"/>
    <w:rsid w:val="62B0142F"/>
    <w:rsid w:val="62B2525D"/>
    <w:rsid w:val="62B47227"/>
    <w:rsid w:val="62B86D17"/>
    <w:rsid w:val="62BD2580"/>
    <w:rsid w:val="62BF7FA3"/>
    <w:rsid w:val="62C0797A"/>
    <w:rsid w:val="62C82EE3"/>
    <w:rsid w:val="62CA6A4B"/>
    <w:rsid w:val="62CC4571"/>
    <w:rsid w:val="62D376AD"/>
    <w:rsid w:val="62D82F16"/>
    <w:rsid w:val="62D94DD2"/>
    <w:rsid w:val="62D96C8E"/>
    <w:rsid w:val="62DE6052"/>
    <w:rsid w:val="62E0001C"/>
    <w:rsid w:val="62E23D94"/>
    <w:rsid w:val="62E418BB"/>
    <w:rsid w:val="62E42611"/>
    <w:rsid w:val="62E553F8"/>
    <w:rsid w:val="62E775FD"/>
    <w:rsid w:val="62EA49F7"/>
    <w:rsid w:val="62EC4C13"/>
    <w:rsid w:val="62ED51EE"/>
    <w:rsid w:val="62EE2739"/>
    <w:rsid w:val="62EF200D"/>
    <w:rsid w:val="62EF64B1"/>
    <w:rsid w:val="62F0280B"/>
    <w:rsid w:val="62F31AFE"/>
    <w:rsid w:val="62F5014F"/>
    <w:rsid w:val="62F703F9"/>
    <w:rsid w:val="62FD297C"/>
    <w:rsid w:val="62FD48F9"/>
    <w:rsid w:val="62FF26D9"/>
    <w:rsid w:val="63027F93"/>
    <w:rsid w:val="63035AB9"/>
    <w:rsid w:val="6308735D"/>
    <w:rsid w:val="630A6E47"/>
    <w:rsid w:val="630B4F5E"/>
    <w:rsid w:val="630D38A0"/>
    <w:rsid w:val="630E2DDB"/>
    <w:rsid w:val="630E4B89"/>
    <w:rsid w:val="631303F2"/>
    <w:rsid w:val="631F28F3"/>
    <w:rsid w:val="63212B0F"/>
    <w:rsid w:val="63224191"/>
    <w:rsid w:val="63225184"/>
    <w:rsid w:val="63235063"/>
    <w:rsid w:val="63286F28"/>
    <w:rsid w:val="632A1297"/>
    <w:rsid w:val="632B573B"/>
    <w:rsid w:val="632B64E7"/>
    <w:rsid w:val="632D2B56"/>
    <w:rsid w:val="63332842"/>
    <w:rsid w:val="63360D48"/>
    <w:rsid w:val="633914DA"/>
    <w:rsid w:val="633B16F7"/>
    <w:rsid w:val="633D0FCB"/>
    <w:rsid w:val="633D18C0"/>
    <w:rsid w:val="633D2BD8"/>
    <w:rsid w:val="633F11E7"/>
    <w:rsid w:val="63416D0D"/>
    <w:rsid w:val="6343533F"/>
    <w:rsid w:val="63436152"/>
    <w:rsid w:val="63442359"/>
    <w:rsid w:val="634632A4"/>
    <w:rsid w:val="63493E13"/>
    <w:rsid w:val="634C7460"/>
    <w:rsid w:val="635228F6"/>
    <w:rsid w:val="63554566"/>
    <w:rsid w:val="63556314"/>
    <w:rsid w:val="63575504"/>
    <w:rsid w:val="635A1B7D"/>
    <w:rsid w:val="635D341B"/>
    <w:rsid w:val="6361115D"/>
    <w:rsid w:val="63624ED5"/>
    <w:rsid w:val="63650337"/>
    <w:rsid w:val="63660521"/>
    <w:rsid w:val="636649C5"/>
    <w:rsid w:val="6367429A"/>
    <w:rsid w:val="63697919"/>
    <w:rsid w:val="636C365E"/>
    <w:rsid w:val="637013A0"/>
    <w:rsid w:val="63711839"/>
    <w:rsid w:val="63716EC6"/>
    <w:rsid w:val="63743B6A"/>
    <w:rsid w:val="637569B7"/>
    <w:rsid w:val="637644DD"/>
    <w:rsid w:val="637C31BE"/>
    <w:rsid w:val="637C5D8F"/>
    <w:rsid w:val="637D721E"/>
    <w:rsid w:val="637F3391"/>
    <w:rsid w:val="637F590A"/>
    <w:rsid w:val="637F7835"/>
    <w:rsid w:val="63811F35"/>
    <w:rsid w:val="63881DBD"/>
    <w:rsid w:val="63883103"/>
    <w:rsid w:val="63892CD6"/>
    <w:rsid w:val="638B442C"/>
    <w:rsid w:val="638C2474"/>
    <w:rsid w:val="638D4E7E"/>
    <w:rsid w:val="638F1633"/>
    <w:rsid w:val="63952BB5"/>
    <w:rsid w:val="639808F7"/>
    <w:rsid w:val="63981333"/>
    <w:rsid w:val="639F57E1"/>
    <w:rsid w:val="63A96660"/>
    <w:rsid w:val="63AB4186"/>
    <w:rsid w:val="63B05C41"/>
    <w:rsid w:val="63B76FCF"/>
    <w:rsid w:val="63B948A0"/>
    <w:rsid w:val="63BA086D"/>
    <w:rsid w:val="63BA6ABF"/>
    <w:rsid w:val="63C11BFC"/>
    <w:rsid w:val="63C244C2"/>
    <w:rsid w:val="63C4349A"/>
    <w:rsid w:val="63C60FC0"/>
    <w:rsid w:val="63C86A2B"/>
    <w:rsid w:val="63CB3C77"/>
    <w:rsid w:val="63D01E3F"/>
    <w:rsid w:val="63D40BE9"/>
    <w:rsid w:val="63D7141F"/>
    <w:rsid w:val="63DA0F0F"/>
    <w:rsid w:val="63DD455C"/>
    <w:rsid w:val="63DE27AE"/>
    <w:rsid w:val="63DF2082"/>
    <w:rsid w:val="63DF6526"/>
    <w:rsid w:val="63E0211F"/>
    <w:rsid w:val="63E04830"/>
    <w:rsid w:val="63E1404C"/>
    <w:rsid w:val="63E37DC4"/>
    <w:rsid w:val="63E678B4"/>
    <w:rsid w:val="63E74FEE"/>
    <w:rsid w:val="63EB4ECB"/>
    <w:rsid w:val="63EC4EF3"/>
    <w:rsid w:val="63ED29F1"/>
    <w:rsid w:val="63F00DC7"/>
    <w:rsid w:val="63F0428F"/>
    <w:rsid w:val="63F0603D"/>
    <w:rsid w:val="63F26259"/>
    <w:rsid w:val="63F64A00"/>
    <w:rsid w:val="63F91D33"/>
    <w:rsid w:val="63FC70D8"/>
    <w:rsid w:val="6405643E"/>
    <w:rsid w:val="64061D04"/>
    <w:rsid w:val="640815D9"/>
    <w:rsid w:val="6408782B"/>
    <w:rsid w:val="640B2E77"/>
    <w:rsid w:val="640F0BB9"/>
    <w:rsid w:val="6410048D"/>
    <w:rsid w:val="64122457"/>
    <w:rsid w:val="64153CF6"/>
    <w:rsid w:val="64183B7B"/>
    <w:rsid w:val="64191957"/>
    <w:rsid w:val="64195594"/>
    <w:rsid w:val="641B57B0"/>
    <w:rsid w:val="641E2BAA"/>
    <w:rsid w:val="641E704E"/>
    <w:rsid w:val="642167B4"/>
    <w:rsid w:val="642A0B61"/>
    <w:rsid w:val="642B3519"/>
    <w:rsid w:val="642D7291"/>
    <w:rsid w:val="642D79A4"/>
    <w:rsid w:val="643024A2"/>
    <w:rsid w:val="64326656"/>
    <w:rsid w:val="64361EE4"/>
    <w:rsid w:val="643945F5"/>
    <w:rsid w:val="643A70CF"/>
    <w:rsid w:val="643C25D6"/>
    <w:rsid w:val="643E0E5C"/>
    <w:rsid w:val="643E4FFA"/>
    <w:rsid w:val="643E5117"/>
    <w:rsid w:val="64426DE8"/>
    <w:rsid w:val="64432611"/>
    <w:rsid w:val="6445282D"/>
    <w:rsid w:val="64485E79"/>
    <w:rsid w:val="644904C4"/>
    <w:rsid w:val="644B034C"/>
    <w:rsid w:val="644E3D19"/>
    <w:rsid w:val="644F0FB6"/>
    <w:rsid w:val="64524F4A"/>
    <w:rsid w:val="64534785"/>
    <w:rsid w:val="64552344"/>
    <w:rsid w:val="645667E8"/>
    <w:rsid w:val="64570C2A"/>
    <w:rsid w:val="645760BC"/>
    <w:rsid w:val="645B3DFE"/>
    <w:rsid w:val="645C7B76"/>
    <w:rsid w:val="645E38EF"/>
    <w:rsid w:val="64601415"/>
    <w:rsid w:val="64642182"/>
    <w:rsid w:val="64655FDA"/>
    <w:rsid w:val="64656A2B"/>
    <w:rsid w:val="64676364"/>
    <w:rsid w:val="646802C9"/>
    <w:rsid w:val="646A2293"/>
    <w:rsid w:val="646A4358"/>
    <w:rsid w:val="646E3CD1"/>
    <w:rsid w:val="647640BA"/>
    <w:rsid w:val="647C3D75"/>
    <w:rsid w:val="6486074F"/>
    <w:rsid w:val="64872E45"/>
    <w:rsid w:val="6487551C"/>
    <w:rsid w:val="648917D7"/>
    <w:rsid w:val="648A46E4"/>
    <w:rsid w:val="648A7941"/>
    <w:rsid w:val="648B3FB8"/>
    <w:rsid w:val="64923598"/>
    <w:rsid w:val="649308CA"/>
    <w:rsid w:val="64930CCF"/>
    <w:rsid w:val="649317EA"/>
    <w:rsid w:val="64970BAF"/>
    <w:rsid w:val="6497295D"/>
    <w:rsid w:val="64992B79"/>
    <w:rsid w:val="649E3CEB"/>
    <w:rsid w:val="64A1360B"/>
    <w:rsid w:val="64A37553"/>
    <w:rsid w:val="64A5151D"/>
    <w:rsid w:val="64A62BA0"/>
    <w:rsid w:val="64AA29DA"/>
    <w:rsid w:val="64AC465A"/>
    <w:rsid w:val="64B55F14"/>
    <w:rsid w:val="64BE438D"/>
    <w:rsid w:val="64BE613B"/>
    <w:rsid w:val="64C01EB3"/>
    <w:rsid w:val="64C30C0B"/>
    <w:rsid w:val="64C45AF8"/>
    <w:rsid w:val="64C64FF0"/>
    <w:rsid w:val="64CB5679"/>
    <w:rsid w:val="64CC2606"/>
    <w:rsid w:val="64CE332C"/>
    <w:rsid w:val="64CF659A"/>
    <w:rsid w:val="64D211B2"/>
    <w:rsid w:val="64D63485"/>
    <w:rsid w:val="64D74D16"/>
    <w:rsid w:val="64DB6CED"/>
    <w:rsid w:val="64DF43D9"/>
    <w:rsid w:val="64DF4A2F"/>
    <w:rsid w:val="64E41150"/>
    <w:rsid w:val="64E52D76"/>
    <w:rsid w:val="64E57B6C"/>
    <w:rsid w:val="64E75692"/>
    <w:rsid w:val="64E917B9"/>
    <w:rsid w:val="64EA33D4"/>
    <w:rsid w:val="64EC08CE"/>
    <w:rsid w:val="64EC2CA8"/>
    <w:rsid w:val="64EC4A56"/>
    <w:rsid w:val="64EE1A97"/>
    <w:rsid w:val="64F16511"/>
    <w:rsid w:val="64F67FA2"/>
    <w:rsid w:val="64F733FB"/>
    <w:rsid w:val="64FB2EEB"/>
    <w:rsid w:val="64FB738F"/>
    <w:rsid w:val="64FF0C2E"/>
    <w:rsid w:val="650113FE"/>
    <w:rsid w:val="6502071E"/>
    <w:rsid w:val="650B6F5C"/>
    <w:rsid w:val="65110961"/>
    <w:rsid w:val="65130235"/>
    <w:rsid w:val="65136487"/>
    <w:rsid w:val="651569E0"/>
    <w:rsid w:val="65167D25"/>
    <w:rsid w:val="65181CEF"/>
    <w:rsid w:val="651A5A67"/>
    <w:rsid w:val="651C3873"/>
    <w:rsid w:val="651D5558"/>
    <w:rsid w:val="65202952"/>
    <w:rsid w:val="65207558"/>
    <w:rsid w:val="65230BB9"/>
    <w:rsid w:val="652341F0"/>
    <w:rsid w:val="652404E2"/>
    <w:rsid w:val="65240694"/>
    <w:rsid w:val="6525705F"/>
    <w:rsid w:val="652B54CB"/>
    <w:rsid w:val="652C16E9"/>
    <w:rsid w:val="652C7549"/>
    <w:rsid w:val="652E1513"/>
    <w:rsid w:val="653463FD"/>
    <w:rsid w:val="65357ADB"/>
    <w:rsid w:val="65362175"/>
    <w:rsid w:val="65373578"/>
    <w:rsid w:val="653A02CF"/>
    <w:rsid w:val="653F54CE"/>
    <w:rsid w:val="65404DA2"/>
    <w:rsid w:val="65433F44"/>
    <w:rsid w:val="654523B9"/>
    <w:rsid w:val="654E74BF"/>
    <w:rsid w:val="655069AC"/>
    <w:rsid w:val="65544838"/>
    <w:rsid w:val="655467D1"/>
    <w:rsid w:val="655557C2"/>
    <w:rsid w:val="6560179B"/>
    <w:rsid w:val="65624D19"/>
    <w:rsid w:val="656D4024"/>
    <w:rsid w:val="65705687"/>
    <w:rsid w:val="65711400"/>
    <w:rsid w:val="65711DFC"/>
    <w:rsid w:val="65716E00"/>
    <w:rsid w:val="65747D87"/>
    <w:rsid w:val="657809E0"/>
    <w:rsid w:val="6579663B"/>
    <w:rsid w:val="657D7DA4"/>
    <w:rsid w:val="657E64D4"/>
    <w:rsid w:val="657F1404"/>
    <w:rsid w:val="657F3B1C"/>
    <w:rsid w:val="657F5BAA"/>
    <w:rsid w:val="658253BB"/>
    <w:rsid w:val="65856C59"/>
    <w:rsid w:val="65864EAB"/>
    <w:rsid w:val="65896749"/>
    <w:rsid w:val="658B0713"/>
    <w:rsid w:val="658C6239"/>
    <w:rsid w:val="658E3D60"/>
    <w:rsid w:val="65905D2A"/>
    <w:rsid w:val="65913850"/>
    <w:rsid w:val="65960165"/>
    <w:rsid w:val="659865EF"/>
    <w:rsid w:val="659A0956"/>
    <w:rsid w:val="65A11CE5"/>
    <w:rsid w:val="65A13A93"/>
    <w:rsid w:val="65A417D5"/>
    <w:rsid w:val="65AA392C"/>
    <w:rsid w:val="65AC068A"/>
    <w:rsid w:val="65B337C6"/>
    <w:rsid w:val="65B4371E"/>
    <w:rsid w:val="65B512EC"/>
    <w:rsid w:val="65C07C91"/>
    <w:rsid w:val="65C43C25"/>
    <w:rsid w:val="65C459D3"/>
    <w:rsid w:val="65C6174B"/>
    <w:rsid w:val="65C71020"/>
    <w:rsid w:val="65C94D98"/>
    <w:rsid w:val="65CC6636"/>
    <w:rsid w:val="65CE6852"/>
    <w:rsid w:val="65D025CA"/>
    <w:rsid w:val="65D16249"/>
    <w:rsid w:val="65DC2D1D"/>
    <w:rsid w:val="65E107A1"/>
    <w:rsid w:val="65E120E1"/>
    <w:rsid w:val="65E41BD1"/>
    <w:rsid w:val="65EE0CA2"/>
    <w:rsid w:val="65EE3EAC"/>
    <w:rsid w:val="65F004D2"/>
    <w:rsid w:val="65F067C8"/>
    <w:rsid w:val="65F31E15"/>
    <w:rsid w:val="65F362B8"/>
    <w:rsid w:val="65F52031"/>
    <w:rsid w:val="65F53DDF"/>
    <w:rsid w:val="65F71905"/>
    <w:rsid w:val="65F938CF"/>
    <w:rsid w:val="65FA31A3"/>
    <w:rsid w:val="65FE1159"/>
    <w:rsid w:val="66011168"/>
    <w:rsid w:val="66017C1F"/>
    <w:rsid w:val="6603474E"/>
    <w:rsid w:val="66063C4D"/>
    <w:rsid w:val="660A6DCA"/>
    <w:rsid w:val="660B1854"/>
    <w:rsid w:val="660E4EA0"/>
    <w:rsid w:val="6611613F"/>
    <w:rsid w:val="66122D27"/>
    <w:rsid w:val="6612673F"/>
    <w:rsid w:val="66171FA7"/>
    <w:rsid w:val="661C3F42"/>
    <w:rsid w:val="661F2C0A"/>
    <w:rsid w:val="662045C9"/>
    <w:rsid w:val="6623094C"/>
    <w:rsid w:val="66236B9E"/>
    <w:rsid w:val="66280D11"/>
    <w:rsid w:val="66293A88"/>
    <w:rsid w:val="662A1D70"/>
    <w:rsid w:val="662D5327"/>
    <w:rsid w:val="66342B59"/>
    <w:rsid w:val="6636344C"/>
    <w:rsid w:val="6639277A"/>
    <w:rsid w:val="663D12E2"/>
    <w:rsid w:val="663E0BF4"/>
    <w:rsid w:val="663E5786"/>
    <w:rsid w:val="663F0955"/>
    <w:rsid w:val="66410DD2"/>
    <w:rsid w:val="66415276"/>
    <w:rsid w:val="66434B4A"/>
    <w:rsid w:val="66434BE7"/>
    <w:rsid w:val="664408C2"/>
    <w:rsid w:val="66476DEF"/>
    <w:rsid w:val="664B7EA3"/>
    <w:rsid w:val="664D3C1B"/>
    <w:rsid w:val="664D4B6E"/>
    <w:rsid w:val="664D7777"/>
    <w:rsid w:val="6655487D"/>
    <w:rsid w:val="665705F5"/>
    <w:rsid w:val="6659611C"/>
    <w:rsid w:val="665D3590"/>
    <w:rsid w:val="665E3732"/>
    <w:rsid w:val="665E7BD6"/>
    <w:rsid w:val="665F7EA6"/>
    <w:rsid w:val="666176C6"/>
    <w:rsid w:val="66664CDC"/>
    <w:rsid w:val="667967BE"/>
    <w:rsid w:val="667B2536"/>
    <w:rsid w:val="6683763C"/>
    <w:rsid w:val="668524C1"/>
    <w:rsid w:val="668533B4"/>
    <w:rsid w:val="66854445"/>
    <w:rsid w:val="66862C89"/>
    <w:rsid w:val="668B7751"/>
    <w:rsid w:val="668D04BB"/>
    <w:rsid w:val="668D2269"/>
    <w:rsid w:val="668D7512"/>
    <w:rsid w:val="668F6144"/>
    <w:rsid w:val="66911D59"/>
    <w:rsid w:val="66976C44"/>
    <w:rsid w:val="669B6734"/>
    <w:rsid w:val="669C10FA"/>
    <w:rsid w:val="669E4476"/>
    <w:rsid w:val="66A3383B"/>
    <w:rsid w:val="66A51361"/>
    <w:rsid w:val="66A6332B"/>
    <w:rsid w:val="66A870A3"/>
    <w:rsid w:val="66AB0941"/>
    <w:rsid w:val="66B141AA"/>
    <w:rsid w:val="66B15F58"/>
    <w:rsid w:val="66B772E6"/>
    <w:rsid w:val="66BB7D21"/>
    <w:rsid w:val="66BC66AA"/>
    <w:rsid w:val="66C33EDD"/>
    <w:rsid w:val="66C55758"/>
    <w:rsid w:val="66C56213"/>
    <w:rsid w:val="66C57C55"/>
    <w:rsid w:val="66C814F3"/>
    <w:rsid w:val="66CC0FE3"/>
    <w:rsid w:val="66CF4630"/>
    <w:rsid w:val="66D63C10"/>
    <w:rsid w:val="66D659BE"/>
    <w:rsid w:val="66D6776C"/>
    <w:rsid w:val="66D81D68"/>
    <w:rsid w:val="66DD63E5"/>
    <w:rsid w:val="66E71979"/>
    <w:rsid w:val="66EC6F90"/>
    <w:rsid w:val="66ED0F5A"/>
    <w:rsid w:val="66EF4CD2"/>
    <w:rsid w:val="66F422E8"/>
    <w:rsid w:val="66F4477F"/>
    <w:rsid w:val="66F45E44"/>
    <w:rsid w:val="66F75934"/>
    <w:rsid w:val="66FB71D3"/>
    <w:rsid w:val="66FB7A23"/>
    <w:rsid w:val="66FD73EF"/>
    <w:rsid w:val="66FE6CC3"/>
    <w:rsid w:val="67000C8D"/>
    <w:rsid w:val="67087B42"/>
    <w:rsid w:val="670D6401"/>
    <w:rsid w:val="67112E9A"/>
    <w:rsid w:val="67171B92"/>
    <w:rsid w:val="6718068C"/>
    <w:rsid w:val="671A2875"/>
    <w:rsid w:val="67211A19"/>
    <w:rsid w:val="67220C03"/>
    <w:rsid w:val="67295A58"/>
    <w:rsid w:val="672C6851"/>
    <w:rsid w:val="672D4457"/>
    <w:rsid w:val="672E0BBA"/>
    <w:rsid w:val="672F0E4B"/>
    <w:rsid w:val="672F1572"/>
    <w:rsid w:val="673426E5"/>
    <w:rsid w:val="67362901"/>
    <w:rsid w:val="67380715"/>
    <w:rsid w:val="673E3563"/>
    <w:rsid w:val="673F2C7A"/>
    <w:rsid w:val="674072DB"/>
    <w:rsid w:val="674A094A"/>
    <w:rsid w:val="674C5C80"/>
    <w:rsid w:val="674E1E9C"/>
    <w:rsid w:val="674E7C4A"/>
    <w:rsid w:val="6751773B"/>
    <w:rsid w:val="67530DBD"/>
    <w:rsid w:val="67540894"/>
    <w:rsid w:val="675B5EC3"/>
    <w:rsid w:val="675D6544"/>
    <w:rsid w:val="675D7E8D"/>
    <w:rsid w:val="676254A4"/>
    <w:rsid w:val="6765041B"/>
    <w:rsid w:val="67672ABA"/>
    <w:rsid w:val="676E3E49"/>
    <w:rsid w:val="676F196F"/>
    <w:rsid w:val="67713939"/>
    <w:rsid w:val="67746F85"/>
    <w:rsid w:val="67786A75"/>
    <w:rsid w:val="677B6565"/>
    <w:rsid w:val="677F6056"/>
    <w:rsid w:val="6780592A"/>
    <w:rsid w:val="678216A2"/>
    <w:rsid w:val="678278F4"/>
    <w:rsid w:val="67841F6B"/>
    <w:rsid w:val="6784366C"/>
    <w:rsid w:val="67883798"/>
    <w:rsid w:val="678B49FB"/>
    <w:rsid w:val="678E0047"/>
    <w:rsid w:val="678E6299"/>
    <w:rsid w:val="67900263"/>
    <w:rsid w:val="679338AF"/>
    <w:rsid w:val="67966EFB"/>
    <w:rsid w:val="67982C74"/>
    <w:rsid w:val="679B1BC9"/>
    <w:rsid w:val="679F04A6"/>
    <w:rsid w:val="67A05409"/>
    <w:rsid w:val="67A07D7A"/>
    <w:rsid w:val="67A20640"/>
    <w:rsid w:val="67A23AF2"/>
    <w:rsid w:val="67A26575"/>
    <w:rsid w:val="67B13D35"/>
    <w:rsid w:val="67B33F51"/>
    <w:rsid w:val="67B35CFF"/>
    <w:rsid w:val="67B37AAD"/>
    <w:rsid w:val="67B50D99"/>
    <w:rsid w:val="67B83316"/>
    <w:rsid w:val="67C209B2"/>
    <w:rsid w:val="67C63C85"/>
    <w:rsid w:val="67CA7EC8"/>
    <w:rsid w:val="67CF2049"/>
    <w:rsid w:val="67CF5D1C"/>
    <w:rsid w:val="67D11A4E"/>
    <w:rsid w:val="67D411EB"/>
    <w:rsid w:val="67DD4B2A"/>
    <w:rsid w:val="67E301C9"/>
    <w:rsid w:val="67E81E4D"/>
    <w:rsid w:val="67E97973"/>
    <w:rsid w:val="67EB7247"/>
    <w:rsid w:val="67EC1211"/>
    <w:rsid w:val="67F2442C"/>
    <w:rsid w:val="67F51E74"/>
    <w:rsid w:val="67FA7F10"/>
    <w:rsid w:val="67FB3202"/>
    <w:rsid w:val="67FC76A6"/>
    <w:rsid w:val="6804655B"/>
    <w:rsid w:val="680622D3"/>
    <w:rsid w:val="68071BA7"/>
    <w:rsid w:val="680B5B3B"/>
    <w:rsid w:val="680B6231"/>
    <w:rsid w:val="68106CAE"/>
    <w:rsid w:val="68123978"/>
    <w:rsid w:val="68164A44"/>
    <w:rsid w:val="68183DB4"/>
    <w:rsid w:val="68191A91"/>
    <w:rsid w:val="681A7329"/>
    <w:rsid w:val="681A7B2C"/>
    <w:rsid w:val="681B464D"/>
    <w:rsid w:val="681C5653"/>
    <w:rsid w:val="681F5143"/>
    <w:rsid w:val="681F6961"/>
    <w:rsid w:val="682054F9"/>
    <w:rsid w:val="68212C69"/>
    <w:rsid w:val="68224C33"/>
    <w:rsid w:val="68297D70"/>
    <w:rsid w:val="682B7F8C"/>
    <w:rsid w:val="6833299C"/>
    <w:rsid w:val="68373ED2"/>
    <w:rsid w:val="683A01CF"/>
    <w:rsid w:val="683A1F7D"/>
    <w:rsid w:val="683D4915"/>
    <w:rsid w:val="683D57FD"/>
    <w:rsid w:val="684150B9"/>
    <w:rsid w:val="68490412"/>
    <w:rsid w:val="684C04B5"/>
    <w:rsid w:val="68541CB5"/>
    <w:rsid w:val="68570D81"/>
    <w:rsid w:val="685968A7"/>
    <w:rsid w:val="685A5DC1"/>
    <w:rsid w:val="685C0145"/>
    <w:rsid w:val="68610A2F"/>
    <w:rsid w:val="686A1C23"/>
    <w:rsid w:val="68721717"/>
    <w:rsid w:val="687234C5"/>
    <w:rsid w:val="687B0C38"/>
    <w:rsid w:val="687D7E1B"/>
    <w:rsid w:val="687F3E33"/>
    <w:rsid w:val="68805514"/>
    <w:rsid w:val="688171D5"/>
    <w:rsid w:val="68833924"/>
    <w:rsid w:val="688A2F04"/>
    <w:rsid w:val="688B0A2A"/>
    <w:rsid w:val="688B44B8"/>
    <w:rsid w:val="68914293"/>
    <w:rsid w:val="68953657"/>
    <w:rsid w:val="68955405"/>
    <w:rsid w:val="68994EF5"/>
    <w:rsid w:val="689B6EBF"/>
    <w:rsid w:val="689E250C"/>
    <w:rsid w:val="689F6284"/>
    <w:rsid w:val="68A13DAA"/>
    <w:rsid w:val="68A33FC6"/>
    <w:rsid w:val="68A36A6C"/>
    <w:rsid w:val="68A613C0"/>
    <w:rsid w:val="68A67612"/>
    <w:rsid w:val="68A839E0"/>
    <w:rsid w:val="68A84B24"/>
    <w:rsid w:val="68AA0EB0"/>
    <w:rsid w:val="68AA7FC8"/>
    <w:rsid w:val="68AD09A1"/>
    <w:rsid w:val="68AE0E91"/>
    <w:rsid w:val="68B03FED"/>
    <w:rsid w:val="68B2355C"/>
    <w:rsid w:val="68B30AF3"/>
    <w:rsid w:val="68B34305"/>
    <w:rsid w:val="68BE495C"/>
    <w:rsid w:val="68C006D4"/>
    <w:rsid w:val="68C1444C"/>
    <w:rsid w:val="68C242CA"/>
    <w:rsid w:val="68C31F72"/>
    <w:rsid w:val="68C55CEA"/>
    <w:rsid w:val="68C63810"/>
    <w:rsid w:val="68C857DA"/>
    <w:rsid w:val="68CA50AF"/>
    <w:rsid w:val="68CD1043"/>
    <w:rsid w:val="68CF175C"/>
    <w:rsid w:val="68D43ED1"/>
    <w:rsid w:val="68D979E8"/>
    <w:rsid w:val="68DB72BC"/>
    <w:rsid w:val="68DC4DE2"/>
    <w:rsid w:val="68E31C7D"/>
    <w:rsid w:val="68E343C2"/>
    <w:rsid w:val="68E36170"/>
    <w:rsid w:val="68E5022E"/>
    <w:rsid w:val="68E57D0D"/>
    <w:rsid w:val="68E64E12"/>
    <w:rsid w:val="68EC771B"/>
    <w:rsid w:val="68EF0FB9"/>
    <w:rsid w:val="68F00A95"/>
    <w:rsid w:val="68F14D31"/>
    <w:rsid w:val="68F55EA4"/>
    <w:rsid w:val="68FB5BB0"/>
    <w:rsid w:val="68FB795E"/>
    <w:rsid w:val="68FE744E"/>
    <w:rsid w:val="6905258B"/>
    <w:rsid w:val="6908207B"/>
    <w:rsid w:val="690D040B"/>
    <w:rsid w:val="690E58E3"/>
    <w:rsid w:val="690F51B7"/>
    <w:rsid w:val="69180510"/>
    <w:rsid w:val="69196036"/>
    <w:rsid w:val="69230C63"/>
    <w:rsid w:val="69236EB5"/>
    <w:rsid w:val="692F717A"/>
    <w:rsid w:val="69310AF9"/>
    <w:rsid w:val="69392205"/>
    <w:rsid w:val="693D7F76"/>
    <w:rsid w:val="694110E9"/>
    <w:rsid w:val="69490210"/>
    <w:rsid w:val="694B0821"/>
    <w:rsid w:val="694C1F68"/>
    <w:rsid w:val="694E2071"/>
    <w:rsid w:val="694F1A58"/>
    <w:rsid w:val="694F3806"/>
    <w:rsid w:val="69535A05"/>
    <w:rsid w:val="69562DE6"/>
    <w:rsid w:val="695847ED"/>
    <w:rsid w:val="69586B5E"/>
    <w:rsid w:val="695B21AB"/>
    <w:rsid w:val="695E1C9B"/>
    <w:rsid w:val="695E7EED"/>
    <w:rsid w:val="69603C65"/>
    <w:rsid w:val="69603DA2"/>
    <w:rsid w:val="696279DD"/>
    <w:rsid w:val="69684A2F"/>
    <w:rsid w:val="69692B1A"/>
    <w:rsid w:val="696A6892"/>
    <w:rsid w:val="696A6E60"/>
    <w:rsid w:val="696B34DB"/>
    <w:rsid w:val="697119CE"/>
    <w:rsid w:val="69715E72"/>
    <w:rsid w:val="697414BE"/>
    <w:rsid w:val="697A3B33"/>
    <w:rsid w:val="697B35E3"/>
    <w:rsid w:val="697F5FDF"/>
    <w:rsid w:val="69851833"/>
    <w:rsid w:val="69852275"/>
    <w:rsid w:val="698931BC"/>
    <w:rsid w:val="698A0CE2"/>
    <w:rsid w:val="698A5256"/>
    <w:rsid w:val="698C6808"/>
    <w:rsid w:val="698E2580"/>
    <w:rsid w:val="699E2456"/>
    <w:rsid w:val="69A078C8"/>
    <w:rsid w:val="69A2602B"/>
    <w:rsid w:val="69AE2C22"/>
    <w:rsid w:val="69B0699A"/>
    <w:rsid w:val="69B144C0"/>
    <w:rsid w:val="69B53FB1"/>
    <w:rsid w:val="69B55D5F"/>
    <w:rsid w:val="69BA15C7"/>
    <w:rsid w:val="69BA59A8"/>
    <w:rsid w:val="69BE2739"/>
    <w:rsid w:val="69C441F4"/>
    <w:rsid w:val="69C46CC3"/>
    <w:rsid w:val="69C67F6C"/>
    <w:rsid w:val="69C9180A"/>
    <w:rsid w:val="69CA3FC5"/>
    <w:rsid w:val="69CC12FA"/>
    <w:rsid w:val="69D0459A"/>
    <w:rsid w:val="69D16911"/>
    <w:rsid w:val="69D72179"/>
    <w:rsid w:val="69DB153D"/>
    <w:rsid w:val="69DD7064"/>
    <w:rsid w:val="69DF4B8A"/>
    <w:rsid w:val="69E228CC"/>
    <w:rsid w:val="69E91EAC"/>
    <w:rsid w:val="69ED735F"/>
    <w:rsid w:val="69EE07EF"/>
    <w:rsid w:val="69F22593"/>
    <w:rsid w:val="69F30635"/>
    <w:rsid w:val="69F36887"/>
    <w:rsid w:val="69F61ED3"/>
    <w:rsid w:val="69FC345A"/>
    <w:rsid w:val="69FF522C"/>
    <w:rsid w:val="6A06480C"/>
    <w:rsid w:val="6A083F67"/>
    <w:rsid w:val="6A0942FC"/>
    <w:rsid w:val="6A0B3BD1"/>
    <w:rsid w:val="6A0B4E3E"/>
    <w:rsid w:val="6A0C7949"/>
    <w:rsid w:val="6A0D5B9B"/>
    <w:rsid w:val="6A164324"/>
    <w:rsid w:val="6A1707C7"/>
    <w:rsid w:val="6A197154"/>
    <w:rsid w:val="6A1C4030"/>
    <w:rsid w:val="6A22716C"/>
    <w:rsid w:val="6A2904FB"/>
    <w:rsid w:val="6A294057"/>
    <w:rsid w:val="6A2B4273"/>
    <w:rsid w:val="6A2F590D"/>
    <w:rsid w:val="6A30161E"/>
    <w:rsid w:val="6A3273AF"/>
    <w:rsid w:val="6A330AD1"/>
    <w:rsid w:val="6A344B01"/>
    <w:rsid w:val="6A356EA0"/>
    <w:rsid w:val="6A372C18"/>
    <w:rsid w:val="6A383046"/>
    <w:rsid w:val="6A3A2708"/>
    <w:rsid w:val="6A3C3973"/>
    <w:rsid w:val="6A42336B"/>
    <w:rsid w:val="6A462E5B"/>
    <w:rsid w:val="6A470981"/>
    <w:rsid w:val="6A4B0471"/>
    <w:rsid w:val="6A4B06F6"/>
    <w:rsid w:val="6A4B221F"/>
    <w:rsid w:val="6A4B66C3"/>
    <w:rsid w:val="6A5601F1"/>
    <w:rsid w:val="6A575068"/>
    <w:rsid w:val="6A5A06B4"/>
    <w:rsid w:val="6A5B122C"/>
    <w:rsid w:val="6A5F61F1"/>
    <w:rsid w:val="6A627569"/>
    <w:rsid w:val="6A640209"/>
    <w:rsid w:val="6A647785"/>
    <w:rsid w:val="6A652FD8"/>
    <w:rsid w:val="6A6921D7"/>
    <w:rsid w:val="6A696B49"/>
    <w:rsid w:val="6A6A3122"/>
    <w:rsid w:val="6A731776"/>
    <w:rsid w:val="6A731A96"/>
    <w:rsid w:val="6A771266"/>
    <w:rsid w:val="6A796A9F"/>
    <w:rsid w:val="6A7A2B04"/>
    <w:rsid w:val="6A7E25F5"/>
    <w:rsid w:val="6A815C41"/>
    <w:rsid w:val="6A87412E"/>
    <w:rsid w:val="6A880A51"/>
    <w:rsid w:val="6A8A71EB"/>
    <w:rsid w:val="6A8B2B69"/>
    <w:rsid w:val="6A8B520E"/>
    <w:rsid w:val="6A8C0289"/>
    <w:rsid w:val="6A8E035E"/>
    <w:rsid w:val="6A915674"/>
    <w:rsid w:val="6A9260A0"/>
    <w:rsid w:val="6A9516EC"/>
    <w:rsid w:val="6A9736B6"/>
    <w:rsid w:val="6A995680"/>
    <w:rsid w:val="6A9C6F1F"/>
    <w:rsid w:val="6A9D7623"/>
    <w:rsid w:val="6A9E0AB3"/>
    <w:rsid w:val="6A9F0268"/>
    <w:rsid w:val="6AA03710"/>
    <w:rsid w:val="6AA15FA4"/>
    <w:rsid w:val="6AA302AD"/>
    <w:rsid w:val="6AA67245"/>
    <w:rsid w:val="6AA72412"/>
    <w:rsid w:val="6AA933EA"/>
    <w:rsid w:val="6AAB7162"/>
    <w:rsid w:val="6AAE1252"/>
    <w:rsid w:val="6AB06526"/>
    <w:rsid w:val="6AB37DC4"/>
    <w:rsid w:val="6AB627B0"/>
    <w:rsid w:val="6AB75B07"/>
    <w:rsid w:val="6ABB1172"/>
    <w:rsid w:val="6AC41A32"/>
    <w:rsid w:val="6AC55556"/>
    <w:rsid w:val="6AC65D4A"/>
    <w:rsid w:val="6AC83870"/>
    <w:rsid w:val="6ACA583A"/>
    <w:rsid w:val="6ACF10A2"/>
    <w:rsid w:val="6AD05952"/>
    <w:rsid w:val="6AD12861"/>
    <w:rsid w:val="6AD246EE"/>
    <w:rsid w:val="6AD40467"/>
    <w:rsid w:val="6AD93CCF"/>
    <w:rsid w:val="6AD9565E"/>
    <w:rsid w:val="6ADA2581"/>
    <w:rsid w:val="6ADA35A3"/>
    <w:rsid w:val="6AE14931"/>
    <w:rsid w:val="6AE61F48"/>
    <w:rsid w:val="6AE939C6"/>
    <w:rsid w:val="6AED1528"/>
    <w:rsid w:val="6AF02DC7"/>
    <w:rsid w:val="6AF117EA"/>
    <w:rsid w:val="6AF723A7"/>
    <w:rsid w:val="6AFF300A"/>
    <w:rsid w:val="6B00125C"/>
    <w:rsid w:val="6B052831"/>
    <w:rsid w:val="6B0A20DA"/>
    <w:rsid w:val="6B0B7984"/>
    <w:rsid w:val="6B0C5E52"/>
    <w:rsid w:val="6B0E1E52"/>
    <w:rsid w:val="6B0F3C40"/>
    <w:rsid w:val="6B0F4184"/>
    <w:rsid w:val="6B166CD1"/>
    <w:rsid w:val="6B1747F7"/>
    <w:rsid w:val="6B1B42E7"/>
    <w:rsid w:val="6B1B6FE7"/>
    <w:rsid w:val="6B217424"/>
    <w:rsid w:val="6B272C8C"/>
    <w:rsid w:val="6B286A04"/>
    <w:rsid w:val="6B2A277C"/>
    <w:rsid w:val="6B2D401B"/>
    <w:rsid w:val="6B322639"/>
    <w:rsid w:val="6B3358AF"/>
    <w:rsid w:val="6B347157"/>
    <w:rsid w:val="6B3540CB"/>
    <w:rsid w:val="6B364C7D"/>
    <w:rsid w:val="6B382646"/>
    <w:rsid w:val="6B397FBC"/>
    <w:rsid w:val="6B3B6738"/>
    <w:rsid w:val="6B4355EC"/>
    <w:rsid w:val="6B454B70"/>
    <w:rsid w:val="6B454EC0"/>
    <w:rsid w:val="6B472478"/>
    <w:rsid w:val="6B4C0889"/>
    <w:rsid w:val="6B4C44A1"/>
    <w:rsid w:val="6B4C48E8"/>
    <w:rsid w:val="6B4F21E3"/>
    <w:rsid w:val="6B4F5D3F"/>
    <w:rsid w:val="6B5363CE"/>
    <w:rsid w:val="6B5430AF"/>
    <w:rsid w:val="6B560E7C"/>
    <w:rsid w:val="6B56531F"/>
    <w:rsid w:val="6B581098"/>
    <w:rsid w:val="6B595750"/>
    <w:rsid w:val="6B596BBE"/>
    <w:rsid w:val="6B5E2426"/>
    <w:rsid w:val="6B60619E"/>
    <w:rsid w:val="6B655563"/>
    <w:rsid w:val="6B657311"/>
    <w:rsid w:val="6B67752D"/>
    <w:rsid w:val="6B6C68F1"/>
    <w:rsid w:val="6B6F018F"/>
    <w:rsid w:val="6B7439F8"/>
    <w:rsid w:val="6B76151E"/>
    <w:rsid w:val="6B792DBC"/>
    <w:rsid w:val="6B7B2029"/>
    <w:rsid w:val="6B7B4D86"/>
    <w:rsid w:val="6B7F671C"/>
    <w:rsid w:val="6B824366"/>
    <w:rsid w:val="6B882371"/>
    <w:rsid w:val="6B882FFF"/>
    <w:rsid w:val="6B8D6867"/>
    <w:rsid w:val="6B8E4AB9"/>
    <w:rsid w:val="6B930322"/>
    <w:rsid w:val="6B9320D0"/>
    <w:rsid w:val="6B981494"/>
    <w:rsid w:val="6B985938"/>
    <w:rsid w:val="6B99345E"/>
    <w:rsid w:val="6B99520C"/>
    <w:rsid w:val="6B9B2D32"/>
    <w:rsid w:val="6B9D02DA"/>
    <w:rsid w:val="6B9D6AAA"/>
    <w:rsid w:val="6BA86459"/>
    <w:rsid w:val="6BAA319B"/>
    <w:rsid w:val="6BAC13E3"/>
    <w:rsid w:val="6BAC3191"/>
    <w:rsid w:val="6BAF4A30"/>
    <w:rsid w:val="6BAF4F71"/>
    <w:rsid w:val="6BB362CE"/>
    <w:rsid w:val="6BB43DF4"/>
    <w:rsid w:val="6BB64010"/>
    <w:rsid w:val="6BB838E4"/>
    <w:rsid w:val="6BB9765C"/>
    <w:rsid w:val="6BBA3B00"/>
    <w:rsid w:val="6BBB5E21"/>
    <w:rsid w:val="6BBD0EFB"/>
    <w:rsid w:val="6BC404DB"/>
    <w:rsid w:val="6BC71D79"/>
    <w:rsid w:val="6BC73B27"/>
    <w:rsid w:val="6BCA186A"/>
    <w:rsid w:val="6BCE135A"/>
    <w:rsid w:val="6BCE3108"/>
    <w:rsid w:val="6BCF6E80"/>
    <w:rsid w:val="6BD10B8D"/>
    <w:rsid w:val="6BD12AD1"/>
    <w:rsid w:val="6BD502A9"/>
    <w:rsid w:val="6BD526E8"/>
    <w:rsid w:val="6BE24E05"/>
    <w:rsid w:val="6BE70EF8"/>
    <w:rsid w:val="6BEA5A68"/>
    <w:rsid w:val="6BEB1F0C"/>
    <w:rsid w:val="6BF15048"/>
    <w:rsid w:val="6BF32B6E"/>
    <w:rsid w:val="6BF40694"/>
    <w:rsid w:val="6BF5165A"/>
    <w:rsid w:val="6BF568E6"/>
    <w:rsid w:val="6BF6440D"/>
    <w:rsid w:val="6BF95CAB"/>
    <w:rsid w:val="6BFA3EFD"/>
    <w:rsid w:val="6BFB7C75"/>
    <w:rsid w:val="6BFD1C3F"/>
    <w:rsid w:val="6C005EAC"/>
    <w:rsid w:val="6C044D7B"/>
    <w:rsid w:val="6C0B610A"/>
    <w:rsid w:val="6C0E1756"/>
    <w:rsid w:val="6C0E79A8"/>
    <w:rsid w:val="6C0F54CE"/>
    <w:rsid w:val="6C101972"/>
    <w:rsid w:val="6C136D6D"/>
    <w:rsid w:val="6C150D37"/>
    <w:rsid w:val="6C155E31"/>
    <w:rsid w:val="6C165A05"/>
    <w:rsid w:val="6C1F2D50"/>
    <w:rsid w:val="6C1F3963"/>
    <w:rsid w:val="6C1F6EE3"/>
    <w:rsid w:val="6C214EA2"/>
    <w:rsid w:val="6C21592D"/>
    <w:rsid w:val="6C223454"/>
    <w:rsid w:val="6C276CBC"/>
    <w:rsid w:val="6C296590"/>
    <w:rsid w:val="6C2A323C"/>
    <w:rsid w:val="6C2B2308"/>
    <w:rsid w:val="6C2B3654"/>
    <w:rsid w:val="6C2B67AC"/>
    <w:rsid w:val="6C2C6080"/>
    <w:rsid w:val="6C310227"/>
    <w:rsid w:val="6C33740F"/>
    <w:rsid w:val="6C360CAD"/>
    <w:rsid w:val="6C3867D3"/>
    <w:rsid w:val="6C3D028D"/>
    <w:rsid w:val="6C417D7E"/>
    <w:rsid w:val="6C44161C"/>
    <w:rsid w:val="6C4433CA"/>
    <w:rsid w:val="6C44786E"/>
    <w:rsid w:val="6C47110C"/>
    <w:rsid w:val="6C496C32"/>
    <w:rsid w:val="6C515AE7"/>
    <w:rsid w:val="6C560CAF"/>
    <w:rsid w:val="6C5A7FFE"/>
    <w:rsid w:val="6C5B6D25"/>
    <w:rsid w:val="6C5E0930"/>
    <w:rsid w:val="6C5E2E70"/>
    <w:rsid w:val="6C5F6456"/>
    <w:rsid w:val="6C621AA2"/>
    <w:rsid w:val="6C627CF4"/>
    <w:rsid w:val="6C636C38"/>
    <w:rsid w:val="6C663340"/>
    <w:rsid w:val="6C6677E4"/>
    <w:rsid w:val="6C6770B8"/>
    <w:rsid w:val="6C6929DB"/>
    <w:rsid w:val="6C6E6699"/>
    <w:rsid w:val="6C733CAF"/>
    <w:rsid w:val="6C735A5D"/>
    <w:rsid w:val="6C7A3290"/>
    <w:rsid w:val="6C7C1405"/>
    <w:rsid w:val="6C7F1DEC"/>
    <w:rsid w:val="6C7F4402"/>
    <w:rsid w:val="6C81461E"/>
    <w:rsid w:val="6C835F4E"/>
    <w:rsid w:val="6C841A18"/>
    <w:rsid w:val="6C847C6A"/>
    <w:rsid w:val="6C856852"/>
    <w:rsid w:val="6C8934D3"/>
    <w:rsid w:val="6C8E6D3B"/>
    <w:rsid w:val="6C9102FF"/>
    <w:rsid w:val="6C9205D9"/>
    <w:rsid w:val="6C92218A"/>
    <w:rsid w:val="6C922387"/>
    <w:rsid w:val="6C9500C9"/>
    <w:rsid w:val="6C983716"/>
    <w:rsid w:val="6C9868F0"/>
    <w:rsid w:val="6C991968"/>
    <w:rsid w:val="6C9C3206"/>
    <w:rsid w:val="6C9D3562"/>
    <w:rsid w:val="6C9F2CF6"/>
    <w:rsid w:val="6CA125CA"/>
    <w:rsid w:val="6CA34594"/>
    <w:rsid w:val="6CA4030D"/>
    <w:rsid w:val="6CAB3449"/>
    <w:rsid w:val="6CB06CB1"/>
    <w:rsid w:val="6CBC5656"/>
    <w:rsid w:val="6CC16DF1"/>
    <w:rsid w:val="6CC2270C"/>
    <w:rsid w:val="6CC51EB4"/>
    <w:rsid w:val="6CC664D5"/>
    <w:rsid w:val="6CCC33F6"/>
    <w:rsid w:val="6CD01102"/>
    <w:rsid w:val="6CD04C5E"/>
    <w:rsid w:val="6CD40BF2"/>
    <w:rsid w:val="6CDA5ADC"/>
    <w:rsid w:val="6CDB1509"/>
    <w:rsid w:val="6CDC7AA6"/>
    <w:rsid w:val="6CE150BD"/>
    <w:rsid w:val="6CE32BE3"/>
    <w:rsid w:val="6CE4695B"/>
    <w:rsid w:val="6CE66A13"/>
    <w:rsid w:val="6CE8644B"/>
    <w:rsid w:val="6CEB0E5F"/>
    <w:rsid w:val="6CEB120D"/>
    <w:rsid w:val="6CF52916"/>
    <w:rsid w:val="6CF63A92"/>
    <w:rsid w:val="6CF77777"/>
    <w:rsid w:val="6CFA65F7"/>
    <w:rsid w:val="6CFE7A1D"/>
    <w:rsid w:val="6CFF0B45"/>
    <w:rsid w:val="6D003795"/>
    <w:rsid w:val="6D026DC6"/>
    <w:rsid w:val="6D0512FF"/>
    <w:rsid w:val="6D062D75"/>
    <w:rsid w:val="6D070FDD"/>
    <w:rsid w:val="6D0B038C"/>
    <w:rsid w:val="6D0B4F67"/>
    <w:rsid w:val="6D125276"/>
    <w:rsid w:val="6D154D66"/>
    <w:rsid w:val="6D156B14"/>
    <w:rsid w:val="6D164870"/>
    <w:rsid w:val="6D194857"/>
    <w:rsid w:val="6D1C60F5"/>
    <w:rsid w:val="6D1E1E6D"/>
    <w:rsid w:val="6D237EC3"/>
    <w:rsid w:val="6D267B26"/>
    <w:rsid w:val="6D276D15"/>
    <w:rsid w:val="6D282CEC"/>
    <w:rsid w:val="6D286848"/>
    <w:rsid w:val="6D2A6A64"/>
    <w:rsid w:val="6D2C1208"/>
    <w:rsid w:val="6D321474"/>
    <w:rsid w:val="6D350F65"/>
    <w:rsid w:val="6D374CDD"/>
    <w:rsid w:val="6D394EF9"/>
    <w:rsid w:val="6D3A657B"/>
    <w:rsid w:val="6D3C0545"/>
    <w:rsid w:val="6D3C1731"/>
    <w:rsid w:val="6D3E606B"/>
    <w:rsid w:val="6D435308"/>
    <w:rsid w:val="6D45389E"/>
    <w:rsid w:val="6D4B0788"/>
    <w:rsid w:val="6D4B3F19"/>
    <w:rsid w:val="6D4D2752"/>
    <w:rsid w:val="6D4D6533"/>
    <w:rsid w:val="6D543AE1"/>
    <w:rsid w:val="6D55050F"/>
    <w:rsid w:val="6D5B09CB"/>
    <w:rsid w:val="6D5C4743"/>
    <w:rsid w:val="6D5D0BE7"/>
    <w:rsid w:val="6D605FE2"/>
    <w:rsid w:val="6D617FAC"/>
    <w:rsid w:val="6D673814"/>
    <w:rsid w:val="6D6A6E60"/>
    <w:rsid w:val="6D6D4BA2"/>
    <w:rsid w:val="6D723F67"/>
    <w:rsid w:val="6D741A8D"/>
    <w:rsid w:val="6D7766CE"/>
    <w:rsid w:val="6D7B2E1B"/>
    <w:rsid w:val="6D843973"/>
    <w:rsid w:val="6D864791"/>
    <w:rsid w:val="6D88378A"/>
    <w:rsid w:val="6D8A7502"/>
    <w:rsid w:val="6D8C14BB"/>
    <w:rsid w:val="6D8D2B4F"/>
    <w:rsid w:val="6D901B30"/>
    <w:rsid w:val="6D910891"/>
    <w:rsid w:val="6D91187F"/>
    <w:rsid w:val="6D997745"/>
    <w:rsid w:val="6D9A2D85"/>
    <w:rsid w:val="6D9C0FE4"/>
    <w:rsid w:val="6D9D5488"/>
    <w:rsid w:val="6DAD4F9F"/>
    <w:rsid w:val="6DB157EC"/>
    <w:rsid w:val="6DB34098"/>
    <w:rsid w:val="6DB545B6"/>
    <w:rsid w:val="6DB85E1E"/>
    <w:rsid w:val="6DB93944"/>
    <w:rsid w:val="6DB9682B"/>
    <w:rsid w:val="6DBD1686"/>
    <w:rsid w:val="6DBE0F5A"/>
    <w:rsid w:val="6DC02C1E"/>
    <w:rsid w:val="6DC04CD2"/>
    <w:rsid w:val="6DC17AF6"/>
    <w:rsid w:val="6DC20A4A"/>
    <w:rsid w:val="6DC527AC"/>
    <w:rsid w:val="6DC9627D"/>
    <w:rsid w:val="6DCC7B1B"/>
    <w:rsid w:val="6DD137A9"/>
    <w:rsid w:val="6DD51ED2"/>
    <w:rsid w:val="6DD54C21"/>
    <w:rsid w:val="6DD62748"/>
    <w:rsid w:val="6DD86E68"/>
    <w:rsid w:val="6DD9192B"/>
    <w:rsid w:val="6DDA1931"/>
    <w:rsid w:val="6DDD5884"/>
    <w:rsid w:val="6DDD7632"/>
    <w:rsid w:val="6DDF4286"/>
    <w:rsid w:val="6DE07122"/>
    <w:rsid w:val="6DE210EC"/>
    <w:rsid w:val="6DE33CF7"/>
    <w:rsid w:val="6DE9247B"/>
    <w:rsid w:val="6DE94229"/>
    <w:rsid w:val="6DEE2714"/>
    <w:rsid w:val="6DF130DE"/>
    <w:rsid w:val="6DF17581"/>
    <w:rsid w:val="6DF17859"/>
    <w:rsid w:val="6DF826BE"/>
    <w:rsid w:val="6DF8446C"/>
    <w:rsid w:val="6DF901E4"/>
    <w:rsid w:val="6DF94A8D"/>
    <w:rsid w:val="6DFA4688"/>
    <w:rsid w:val="6DFB1424"/>
    <w:rsid w:val="6DFC5FDF"/>
    <w:rsid w:val="6DFD746F"/>
    <w:rsid w:val="6DFF3A4C"/>
    <w:rsid w:val="6E072901"/>
    <w:rsid w:val="6E0B4EFC"/>
    <w:rsid w:val="6E104395"/>
    <w:rsid w:val="6E105C5A"/>
    <w:rsid w:val="6E11552E"/>
    <w:rsid w:val="6E1B015A"/>
    <w:rsid w:val="6E1B281B"/>
    <w:rsid w:val="6E1D0376"/>
    <w:rsid w:val="6E1E7EE9"/>
    <w:rsid w:val="6E2039C3"/>
    <w:rsid w:val="6E217E67"/>
    <w:rsid w:val="6E22598D"/>
    <w:rsid w:val="6E22773B"/>
    <w:rsid w:val="6E2407C0"/>
    <w:rsid w:val="6E245261"/>
    <w:rsid w:val="6E256852"/>
    <w:rsid w:val="6E26547D"/>
    <w:rsid w:val="6E296D1B"/>
    <w:rsid w:val="6E2B2A93"/>
    <w:rsid w:val="6E2C2368"/>
    <w:rsid w:val="6E2D3620"/>
    <w:rsid w:val="6E3A0F28"/>
    <w:rsid w:val="6E3A4A84"/>
    <w:rsid w:val="6E3E5D92"/>
    <w:rsid w:val="6E430122"/>
    <w:rsid w:val="6E430774"/>
    <w:rsid w:val="6E4375A0"/>
    <w:rsid w:val="6E493F8C"/>
    <w:rsid w:val="6E496F01"/>
    <w:rsid w:val="6E4E0530"/>
    <w:rsid w:val="6E4E22DE"/>
    <w:rsid w:val="6E4E6782"/>
    <w:rsid w:val="6E5024FA"/>
    <w:rsid w:val="6E511DCE"/>
    <w:rsid w:val="6E514CED"/>
    <w:rsid w:val="6E531FEA"/>
    <w:rsid w:val="6E5440E3"/>
    <w:rsid w:val="6E5518BE"/>
    <w:rsid w:val="6E587601"/>
    <w:rsid w:val="6E597DC9"/>
    <w:rsid w:val="6E5D4C17"/>
    <w:rsid w:val="6E5D69C5"/>
    <w:rsid w:val="6E5D6D8A"/>
    <w:rsid w:val="6E623FDB"/>
    <w:rsid w:val="6E625D89"/>
    <w:rsid w:val="6E645FA5"/>
    <w:rsid w:val="6E650E15"/>
    <w:rsid w:val="6E6935BC"/>
    <w:rsid w:val="6E6B2E90"/>
    <w:rsid w:val="6E76798E"/>
    <w:rsid w:val="6E786E93"/>
    <w:rsid w:val="6E79491A"/>
    <w:rsid w:val="6E7A1325"/>
    <w:rsid w:val="6E7B6E4B"/>
    <w:rsid w:val="6E7C32EF"/>
    <w:rsid w:val="6E881C94"/>
    <w:rsid w:val="6E8F15D9"/>
    <w:rsid w:val="6E906D9A"/>
    <w:rsid w:val="6E91666F"/>
    <w:rsid w:val="6E985C4F"/>
    <w:rsid w:val="6E9D5013"/>
    <w:rsid w:val="6EA510B2"/>
    <w:rsid w:val="6EA939B8"/>
    <w:rsid w:val="6EAB7730"/>
    <w:rsid w:val="6EAE7221"/>
    <w:rsid w:val="6EB04D47"/>
    <w:rsid w:val="6EB563D5"/>
    <w:rsid w:val="6EB74327"/>
    <w:rsid w:val="6EBA6F09"/>
    <w:rsid w:val="6EBD7464"/>
    <w:rsid w:val="6EBE3907"/>
    <w:rsid w:val="6EC407F2"/>
    <w:rsid w:val="6EC46A44"/>
    <w:rsid w:val="6EC72090"/>
    <w:rsid w:val="6EC802E2"/>
    <w:rsid w:val="6EC95E08"/>
    <w:rsid w:val="6ECA1007"/>
    <w:rsid w:val="6ECD58F9"/>
    <w:rsid w:val="6ECF6A6C"/>
    <w:rsid w:val="6ED079BA"/>
    <w:rsid w:val="6ED21161"/>
    <w:rsid w:val="6ED47830"/>
    <w:rsid w:val="6EDA0016"/>
    <w:rsid w:val="6EDC0332"/>
    <w:rsid w:val="6EDC5A42"/>
    <w:rsid w:val="6EDD3662"/>
    <w:rsid w:val="6EDE1721"/>
    <w:rsid w:val="6EDF562C"/>
    <w:rsid w:val="6EE3336E"/>
    <w:rsid w:val="6EED1FF5"/>
    <w:rsid w:val="6EED5F9B"/>
    <w:rsid w:val="6EF03395"/>
    <w:rsid w:val="6EF54E4F"/>
    <w:rsid w:val="6EFD5AB2"/>
    <w:rsid w:val="6EFF7A7C"/>
    <w:rsid w:val="6F06705D"/>
    <w:rsid w:val="6F067808"/>
    <w:rsid w:val="6F0D03EB"/>
    <w:rsid w:val="6F1057E5"/>
    <w:rsid w:val="6F126B79"/>
    <w:rsid w:val="6F152DFC"/>
    <w:rsid w:val="6F1928EC"/>
    <w:rsid w:val="6F1C1F3D"/>
    <w:rsid w:val="6F1E7F02"/>
    <w:rsid w:val="6F225983"/>
    <w:rsid w:val="6F2319BD"/>
    <w:rsid w:val="6F235519"/>
    <w:rsid w:val="6F241291"/>
    <w:rsid w:val="6F287F6F"/>
    <w:rsid w:val="6F2D45E9"/>
    <w:rsid w:val="6F345978"/>
    <w:rsid w:val="6F3911E0"/>
    <w:rsid w:val="6F394D3C"/>
    <w:rsid w:val="6F3C7069"/>
    <w:rsid w:val="6F3E0FA3"/>
    <w:rsid w:val="6F3E2352"/>
    <w:rsid w:val="6F3E67F6"/>
    <w:rsid w:val="6F410779"/>
    <w:rsid w:val="6F433E0D"/>
    <w:rsid w:val="6F437969"/>
    <w:rsid w:val="6F451933"/>
    <w:rsid w:val="6F467459"/>
    <w:rsid w:val="6F4A6F49"/>
    <w:rsid w:val="6F4B0F13"/>
    <w:rsid w:val="6F4B4A6F"/>
    <w:rsid w:val="6F4D4C8B"/>
    <w:rsid w:val="6F4F5ED5"/>
    <w:rsid w:val="6F4F7C8F"/>
    <w:rsid w:val="6F571666"/>
    <w:rsid w:val="6F5B1156"/>
    <w:rsid w:val="6F5C0A2B"/>
    <w:rsid w:val="6F5D2C01"/>
    <w:rsid w:val="6F5E1E54"/>
    <w:rsid w:val="6F6049BF"/>
    <w:rsid w:val="6F60676D"/>
    <w:rsid w:val="6F6124E5"/>
    <w:rsid w:val="6F616041"/>
    <w:rsid w:val="6F644787"/>
    <w:rsid w:val="6F655527"/>
    <w:rsid w:val="6F673B85"/>
    <w:rsid w:val="6F6D491A"/>
    <w:rsid w:val="6F72517F"/>
    <w:rsid w:val="6F725BBB"/>
    <w:rsid w:val="6F745D74"/>
    <w:rsid w:val="6F7530AC"/>
    <w:rsid w:val="6F7904EA"/>
    <w:rsid w:val="6F7F743C"/>
    <w:rsid w:val="6F854B87"/>
    <w:rsid w:val="6F885CC3"/>
    <w:rsid w:val="6F8B1310"/>
    <w:rsid w:val="6F8F1B70"/>
    <w:rsid w:val="6F9208F0"/>
    <w:rsid w:val="6F934682"/>
    <w:rsid w:val="6F956912"/>
    <w:rsid w:val="6F9C351D"/>
    <w:rsid w:val="6F9D176F"/>
    <w:rsid w:val="6FA0300D"/>
    <w:rsid w:val="6FA13904"/>
    <w:rsid w:val="6FA279E0"/>
    <w:rsid w:val="6FA36659"/>
    <w:rsid w:val="6FA80114"/>
    <w:rsid w:val="6FAC19B2"/>
    <w:rsid w:val="6FAF4FFE"/>
    <w:rsid w:val="6FB03B79"/>
    <w:rsid w:val="6FB12BB4"/>
    <w:rsid w:val="6FB371D3"/>
    <w:rsid w:val="6FB72105"/>
    <w:rsid w:val="6FB95B4E"/>
    <w:rsid w:val="6FC0720B"/>
    <w:rsid w:val="6FC247B9"/>
    <w:rsid w:val="6FC50CC6"/>
    <w:rsid w:val="6FC767EC"/>
    <w:rsid w:val="6FCB2765"/>
    <w:rsid w:val="6FCC795E"/>
    <w:rsid w:val="6FD11419"/>
    <w:rsid w:val="6FD20CED"/>
    <w:rsid w:val="6FD311BE"/>
    <w:rsid w:val="6FD42CB7"/>
    <w:rsid w:val="6FDB2297"/>
    <w:rsid w:val="6FDD7DBD"/>
    <w:rsid w:val="6FDF69AC"/>
    <w:rsid w:val="6FE27A2C"/>
    <w:rsid w:val="6FE3114C"/>
    <w:rsid w:val="6FE50A20"/>
    <w:rsid w:val="6FE543B9"/>
    <w:rsid w:val="6FE85244"/>
    <w:rsid w:val="6FEA072C"/>
    <w:rsid w:val="6FEA102B"/>
    <w:rsid w:val="6FEA28FC"/>
    <w:rsid w:val="6FED0079"/>
    <w:rsid w:val="6FED5B27"/>
    <w:rsid w:val="6FEE1FCA"/>
    <w:rsid w:val="6FEF2BB1"/>
    <w:rsid w:val="6FF31222"/>
    <w:rsid w:val="6FF375E1"/>
    <w:rsid w:val="6FF84BF7"/>
    <w:rsid w:val="6FF869A5"/>
    <w:rsid w:val="6FFA3B3C"/>
    <w:rsid w:val="6FFC5590"/>
    <w:rsid w:val="6FFD3FBC"/>
    <w:rsid w:val="70003AAC"/>
    <w:rsid w:val="70054690"/>
    <w:rsid w:val="70066957"/>
    <w:rsid w:val="70076BE8"/>
    <w:rsid w:val="700C2451"/>
    <w:rsid w:val="700C27C9"/>
    <w:rsid w:val="701337DF"/>
    <w:rsid w:val="70175A87"/>
    <w:rsid w:val="70186826"/>
    <w:rsid w:val="701D4BDE"/>
    <w:rsid w:val="70205EFC"/>
    <w:rsid w:val="70221C74"/>
    <w:rsid w:val="7023779A"/>
    <w:rsid w:val="702459EC"/>
    <w:rsid w:val="702754DC"/>
    <w:rsid w:val="702C2AF3"/>
    <w:rsid w:val="702E0844"/>
    <w:rsid w:val="702E3539"/>
    <w:rsid w:val="702F4391"/>
    <w:rsid w:val="70301DA3"/>
    <w:rsid w:val="70334C37"/>
    <w:rsid w:val="70343755"/>
    <w:rsid w:val="7036571F"/>
    <w:rsid w:val="703674CE"/>
    <w:rsid w:val="70383246"/>
    <w:rsid w:val="7040034C"/>
    <w:rsid w:val="704020FA"/>
    <w:rsid w:val="70441BEA"/>
    <w:rsid w:val="70473489"/>
    <w:rsid w:val="70497201"/>
    <w:rsid w:val="704A4D27"/>
    <w:rsid w:val="704C0A9F"/>
    <w:rsid w:val="704D7E21"/>
    <w:rsid w:val="704E09C0"/>
    <w:rsid w:val="705160B5"/>
    <w:rsid w:val="70531E2E"/>
    <w:rsid w:val="70545BA6"/>
    <w:rsid w:val="705855A7"/>
    <w:rsid w:val="70585696"/>
    <w:rsid w:val="70593891"/>
    <w:rsid w:val="705D0EFE"/>
    <w:rsid w:val="706202C3"/>
    <w:rsid w:val="70696F3D"/>
    <w:rsid w:val="706A63CD"/>
    <w:rsid w:val="706C2EEF"/>
    <w:rsid w:val="706D1DD0"/>
    <w:rsid w:val="706D7810"/>
    <w:rsid w:val="706E6C67"/>
    <w:rsid w:val="707052E7"/>
    <w:rsid w:val="70710506"/>
    <w:rsid w:val="70716FD7"/>
    <w:rsid w:val="707359D8"/>
    <w:rsid w:val="70746E68"/>
    <w:rsid w:val="7075449A"/>
    <w:rsid w:val="707A560C"/>
    <w:rsid w:val="707B3132"/>
    <w:rsid w:val="707C1064"/>
    <w:rsid w:val="707D334E"/>
    <w:rsid w:val="70820965"/>
    <w:rsid w:val="70840239"/>
    <w:rsid w:val="70856B87"/>
    <w:rsid w:val="708E25E0"/>
    <w:rsid w:val="708E2E66"/>
    <w:rsid w:val="708E730A"/>
    <w:rsid w:val="708F219B"/>
    <w:rsid w:val="708F6BDE"/>
    <w:rsid w:val="70935816"/>
    <w:rsid w:val="70960BA9"/>
    <w:rsid w:val="70986DE0"/>
    <w:rsid w:val="709A133F"/>
    <w:rsid w:val="709A3F00"/>
    <w:rsid w:val="709A5CAE"/>
    <w:rsid w:val="709B2013"/>
    <w:rsid w:val="709B291A"/>
    <w:rsid w:val="70A1528F"/>
    <w:rsid w:val="70AB4A96"/>
    <w:rsid w:val="70AC7790"/>
    <w:rsid w:val="70AE3B56"/>
    <w:rsid w:val="70B30B1E"/>
    <w:rsid w:val="70B34FC2"/>
    <w:rsid w:val="70B36D70"/>
    <w:rsid w:val="70B623BC"/>
    <w:rsid w:val="70B701E7"/>
    <w:rsid w:val="70B76860"/>
    <w:rsid w:val="70BD7386"/>
    <w:rsid w:val="70BD7BEF"/>
    <w:rsid w:val="70C42D2B"/>
    <w:rsid w:val="70C8281B"/>
    <w:rsid w:val="70CC398E"/>
    <w:rsid w:val="70D171F6"/>
    <w:rsid w:val="70D32F6E"/>
    <w:rsid w:val="70D34D1C"/>
    <w:rsid w:val="70D527EE"/>
    <w:rsid w:val="70D94A29"/>
    <w:rsid w:val="70DF5DB7"/>
    <w:rsid w:val="70E1568B"/>
    <w:rsid w:val="70E231B1"/>
    <w:rsid w:val="70E7115A"/>
    <w:rsid w:val="70EB650A"/>
    <w:rsid w:val="70EE100C"/>
    <w:rsid w:val="70EE5FFA"/>
    <w:rsid w:val="70F27898"/>
    <w:rsid w:val="70F30660"/>
    <w:rsid w:val="70F80C27"/>
    <w:rsid w:val="70F829D5"/>
    <w:rsid w:val="70F84783"/>
    <w:rsid w:val="70FA7115"/>
    <w:rsid w:val="7104581E"/>
    <w:rsid w:val="710851C5"/>
    <w:rsid w:val="71092E34"/>
    <w:rsid w:val="710A276A"/>
    <w:rsid w:val="710A55F5"/>
    <w:rsid w:val="710D720A"/>
    <w:rsid w:val="7113780F"/>
    <w:rsid w:val="71186BD3"/>
    <w:rsid w:val="71285068"/>
    <w:rsid w:val="712B33A4"/>
    <w:rsid w:val="712D491D"/>
    <w:rsid w:val="71311217"/>
    <w:rsid w:val="713559D7"/>
    <w:rsid w:val="713567A7"/>
    <w:rsid w:val="7137174F"/>
    <w:rsid w:val="713779A1"/>
    <w:rsid w:val="713954C7"/>
    <w:rsid w:val="713E2ADE"/>
    <w:rsid w:val="713F0604"/>
    <w:rsid w:val="714025F2"/>
    <w:rsid w:val="71410FFA"/>
    <w:rsid w:val="71436346"/>
    <w:rsid w:val="71494FDF"/>
    <w:rsid w:val="71500A63"/>
    <w:rsid w:val="715045BF"/>
    <w:rsid w:val="71530876"/>
    <w:rsid w:val="71535E5D"/>
    <w:rsid w:val="71537D77"/>
    <w:rsid w:val="71541EF8"/>
    <w:rsid w:val="715916C6"/>
    <w:rsid w:val="715A543E"/>
    <w:rsid w:val="715B3690"/>
    <w:rsid w:val="715B5300"/>
    <w:rsid w:val="715D3781"/>
    <w:rsid w:val="715F4BD7"/>
    <w:rsid w:val="716370C7"/>
    <w:rsid w:val="71692DEE"/>
    <w:rsid w:val="71695F16"/>
    <w:rsid w:val="716A5681"/>
    <w:rsid w:val="716A6CEF"/>
    <w:rsid w:val="716B13F9"/>
    <w:rsid w:val="716C66CF"/>
    <w:rsid w:val="71702252"/>
    <w:rsid w:val="71722787"/>
    <w:rsid w:val="717958C4"/>
    <w:rsid w:val="717C41F3"/>
    <w:rsid w:val="717E2EDA"/>
    <w:rsid w:val="718575C1"/>
    <w:rsid w:val="718C1A9B"/>
    <w:rsid w:val="718D136F"/>
    <w:rsid w:val="718E4C5A"/>
    <w:rsid w:val="71902C0D"/>
    <w:rsid w:val="71922E29"/>
    <w:rsid w:val="719454B4"/>
    <w:rsid w:val="71946BA2"/>
    <w:rsid w:val="71950224"/>
    <w:rsid w:val="719A3A8C"/>
    <w:rsid w:val="719B7F30"/>
    <w:rsid w:val="719C15B2"/>
    <w:rsid w:val="719E17CE"/>
    <w:rsid w:val="719E474F"/>
    <w:rsid w:val="719E532A"/>
    <w:rsid w:val="71A06D61"/>
    <w:rsid w:val="71A4680E"/>
    <w:rsid w:val="71A67840"/>
    <w:rsid w:val="71A861A9"/>
    <w:rsid w:val="71AB48B1"/>
    <w:rsid w:val="71B11484"/>
    <w:rsid w:val="71B132B0"/>
    <w:rsid w:val="71B20DD6"/>
    <w:rsid w:val="71B52674"/>
    <w:rsid w:val="71BB5EDC"/>
    <w:rsid w:val="71BD7E79"/>
    <w:rsid w:val="71C14B7C"/>
    <w:rsid w:val="71C254BD"/>
    <w:rsid w:val="71C57D04"/>
    <w:rsid w:val="71C6373E"/>
    <w:rsid w:val="71CC00E9"/>
    <w:rsid w:val="71CD28E5"/>
    <w:rsid w:val="71CD79BE"/>
    <w:rsid w:val="71D27F8A"/>
    <w:rsid w:val="71D46F9E"/>
    <w:rsid w:val="71DF0378"/>
    <w:rsid w:val="71E06A73"/>
    <w:rsid w:val="71E74F23"/>
    <w:rsid w:val="71ED21B3"/>
    <w:rsid w:val="71EF202A"/>
    <w:rsid w:val="71F744C6"/>
    <w:rsid w:val="71F907B3"/>
    <w:rsid w:val="71F960CF"/>
    <w:rsid w:val="71FD64F5"/>
    <w:rsid w:val="720158B9"/>
    <w:rsid w:val="72035AD5"/>
    <w:rsid w:val="72037681"/>
    <w:rsid w:val="7204559A"/>
    <w:rsid w:val="7208370E"/>
    <w:rsid w:val="72084E9A"/>
    <w:rsid w:val="72090091"/>
    <w:rsid w:val="720B7CDC"/>
    <w:rsid w:val="720C2BDC"/>
    <w:rsid w:val="720F7FD6"/>
    <w:rsid w:val="72113D47"/>
    <w:rsid w:val="72135089"/>
    <w:rsid w:val="7214383E"/>
    <w:rsid w:val="72144E11"/>
    <w:rsid w:val="721455EC"/>
    <w:rsid w:val="72165809"/>
    <w:rsid w:val="721675B7"/>
    <w:rsid w:val="72203F91"/>
    <w:rsid w:val="72206F55"/>
    <w:rsid w:val="72226347"/>
    <w:rsid w:val="72232B8E"/>
    <w:rsid w:val="72255A4C"/>
    <w:rsid w:val="722731C5"/>
    <w:rsid w:val="72281680"/>
    <w:rsid w:val="722D66AE"/>
    <w:rsid w:val="7231619E"/>
    <w:rsid w:val="723549BE"/>
    <w:rsid w:val="723B0DCB"/>
    <w:rsid w:val="723D2D95"/>
    <w:rsid w:val="723D4B43"/>
    <w:rsid w:val="723E2669"/>
    <w:rsid w:val="7243340D"/>
    <w:rsid w:val="72435ED2"/>
    <w:rsid w:val="72457E9C"/>
    <w:rsid w:val="72464F43"/>
    <w:rsid w:val="724759C2"/>
    <w:rsid w:val="7249040E"/>
    <w:rsid w:val="7249798C"/>
    <w:rsid w:val="724A3704"/>
    <w:rsid w:val="724C2FD8"/>
    <w:rsid w:val="724C4D86"/>
    <w:rsid w:val="724D0645"/>
    <w:rsid w:val="724D0AFE"/>
    <w:rsid w:val="724F7474"/>
    <w:rsid w:val="72516841"/>
    <w:rsid w:val="72563E57"/>
    <w:rsid w:val="725A3947"/>
    <w:rsid w:val="725B76BF"/>
    <w:rsid w:val="725E2D0C"/>
    <w:rsid w:val="725F12F5"/>
    <w:rsid w:val="726059C5"/>
    <w:rsid w:val="72620A4E"/>
    <w:rsid w:val="72655E48"/>
    <w:rsid w:val="72677E12"/>
    <w:rsid w:val="726B1116"/>
    <w:rsid w:val="726F4F19"/>
    <w:rsid w:val="726F6CC7"/>
    <w:rsid w:val="7271666B"/>
    <w:rsid w:val="72750781"/>
    <w:rsid w:val="7275721E"/>
    <w:rsid w:val="72760055"/>
    <w:rsid w:val="727A5D97"/>
    <w:rsid w:val="72842772"/>
    <w:rsid w:val="728564EA"/>
    <w:rsid w:val="72862DE7"/>
    <w:rsid w:val="728C7879"/>
    <w:rsid w:val="728E091D"/>
    <w:rsid w:val="728F1117"/>
    <w:rsid w:val="72914E8F"/>
    <w:rsid w:val="729329B5"/>
    <w:rsid w:val="72952BD1"/>
    <w:rsid w:val="7295497F"/>
    <w:rsid w:val="7297664B"/>
    <w:rsid w:val="729F0A0A"/>
    <w:rsid w:val="72A050D2"/>
    <w:rsid w:val="72A17E94"/>
    <w:rsid w:val="72A42EE3"/>
    <w:rsid w:val="72A526E9"/>
    <w:rsid w:val="72A746B3"/>
    <w:rsid w:val="72A9042B"/>
    <w:rsid w:val="72A9418F"/>
    <w:rsid w:val="72A9667D"/>
    <w:rsid w:val="72AB5F51"/>
    <w:rsid w:val="72B172DF"/>
    <w:rsid w:val="72B868C0"/>
    <w:rsid w:val="72B90194"/>
    <w:rsid w:val="72BB0EC2"/>
    <w:rsid w:val="72BF41FF"/>
    <w:rsid w:val="72C131B2"/>
    <w:rsid w:val="72C214EC"/>
    <w:rsid w:val="72C332A1"/>
    <w:rsid w:val="72C41448"/>
    <w:rsid w:val="72C76912"/>
    <w:rsid w:val="72C94629"/>
    <w:rsid w:val="72CC32D7"/>
    <w:rsid w:val="72CD414D"/>
    <w:rsid w:val="72D52FCE"/>
    <w:rsid w:val="72D57472"/>
    <w:rsid w:val="72D82ABE"/>
    <w:rsid w:val="72DA3A73"/>
    <w:rsid w:val="72DA6836"/>
    <w:rsid w:val="72DF3FAB"/>
    <w:rsid w:val="72DF5BFA"/>
    <w:rsid w:val="72E651DB"/>
    <w:rsid w:val="72E74AAF"/>
    <w:rsid w:val="72E96A79"/>
    <w:rsid w:val="72EC6569"/>
    <w:rsid w:val="72F31907"/>
    <w:rsid w:val="72F53670"/>
    <w:rsid w:val="72F71196"/>
    <w:rsid w:val="72F773E8"/>
    <w:rsid w:val="72F96DCD"/>
    <w:rsid w:val="72FA74C9"/>
    <w:rsid w:val="72FB055A"/>
    <w:rsid w:val="72FC49FE"/>
    <w:rsid w:val="72FC60A4"/>
    <w:rsid w:val="72FD42D3"/>
    <w:rsid w:val="730247A7"/>
    <w:rsid w:val="73027B3B"/>
    <w:rsid w:val="7306263C"/>
    <w:rsid w:val="730833A3"/>
    <w:rsid w:val="730A5070"/>
    <w:rsid w:val="731735E6"/>
    <w:rsid w:val="731A30D6"/>
    <w:rsid w:val="731C0BFD"/>
    <w:rsid w:val="731F5D5E"/>
    <w:rsid w:val="73221F8B"/>
    <w:rsid w:val="7327064F"/>
    <w:rsid w:val="732E03B5"/>
    <w:rsid w:val="732E6B82"/>
    <w:rsid w:val="73311AF4"/>
    <w:rsid w:val="733207B2"/>
    <w:rsid w:val="733221CE"/>
    <w:rsid w:val="733817AF"/>
    <w:rsid w:val="73397A01"/>
    <w:rsid w:val="733A72D5"/>
    <w:rsid w:val="733C304D"/>
    <w:rsid w:val="733C4DFB"/>
    <w:rsid w:val="733F2B3D"/>
    <w:rsid w:val="734048F7"/>
    <w:rsid w:val="73426189"/>
    <w:rsid w:val="7344489A"/>
    <w:rsid w:val="7349576A"/>
    <w:rsid w:val="734A7BDE"/>
    <w:rsid w:val="734D46FF"/>
    <w:rsid w:val="734E2D80"/>
    <w:rsid w:val="734E4B2E"/>
    <w:rsid w:val="73522870"/>
    <w:rsid w:val="73530396"/>
    <w:rsid w:val="735465E8"/>
    <w:rsid w:val="735635E4"/>
    <w:rsid w:val="73591E51"/>
    <w:rsid w:val="7359395E"/>
    <w:rsid w:val="735E1215"/>
    <w:rsid w:val="735E1E53"/>
    <w:rsid w:val="73621E2E"/>
    <w:rsid w:val="736305DA"/>
    <w:rsid w:val="73644352"/>
    <w:rsid w:val="736F5257"/>
    <w:rsid w:val="73797DFD"/>
    <w:rsid w:val="737E150A"/>
    <w:rsid w:val="737F73DD"/>
    <w:rsid w:val="7383282E"/>
    <w:rsid w:val="73852C46"/>
    <w:rsid w:val="7386076C"/>
    <w:rsid w:val="738F520D"/>
    <w:rsid w:val="738F5872"/>
    <w:rsid w:val="7395275D"/>
    <w:rsid w:val="7398711B"/>
    <w:rsid w:val="739C3AEB"/>
    <w:rsid w:val="739C6BE4"/>
    <w:rsid w:val="739F58FB"/>
    <w:rsid w:val="73A115C0"/>
    <w:rsid w:val="73A56E44"/>
    <w:rsid w:val="73A66718"/>
    <w:rsid w:val="73A756ED"/>
    <w:rsid w:val="73A82490"/>
    <w:rsid w:val="73AB1F81"/>
    <w:rsid w:val="73B13A3B"/>
    <w:rsid w:val="73B452D9"/>
    <w:rsid w:val="73B726D3"/>
    <w:rsid w:val="73B90AB8"/>
    <w:rsid w:val="73B928EF"/>
    <w:rsid w:val="73BF31E9"/>
    <w:rsid w:val="73C05A2C"/>
    <w:rsid w:val="73C13552"/>
    <w:rsid w:val="73C3376E"/>
    <w:rsid w:val="73C87D5A"/>
    <w:rsid w:val="73CA68AB"/>
    <w:rsid w:val="73CC2623"/>
    <w:rsid w:val="73D028F7"/>
    <w:rsid w:val="73D239B1"/>
    <w:rsid w:val="73D43285"/>
    <w:rsid w:val="73D72D76"/>
    <w:rsid w:val="73DB3B7B"/>
    <w:rsid w:val="73DC213A"/>
    <w:rsid w:val="73E32748"/>
    <w:rsid w:val="73E55492"/>
    <w:rsid w:val="73EA3012"/>
    <w:rsid w:val="73ED07EB"/>
    <w:rsid w:val="73EF6311"/>
    <w:rsid w:val="73F12089"/>
    <w:rsid w:val="73F27BAF"/>
    <w:rsid w:val="73F61F09"/>
    <w:rsid w:val="73F749B8"/>
    <w:rsid w:val="73F85DBE"/>
    <w:rsid w:val="73F97190"/>
    <w:rsid w:val="74014590"/>
    <w:rsid w:val="74017DF2"/>
    <w:rsid w:val="74031DBD"/>
    <w:rsid w:val="74082FD3"/>
    <w:rsid w:val="740C48D9"/>
    <w:rsid w:val="74116287"/>
    <w:rsid w:val="74122000"/>
    <w:rsid w:val="741A3431"/>
    <w:rsid w:val="741B5358"/>
    <w:rsid w:val="741E793C"/>
    <w:rsid w:val="7420296E"/>
    <w:rsid w:val="74213FF1"/>
    <w:rsid w:val="742400E9"/>
    <w:rsid w:val="74270EB4"/>
    <w:rsid w:val="742835D1"/>
    <w:rsid w:val="742A10F7"/>
    <w:rsid w:val="742E4F45"/>
    <w:rsid w:val="742F18D2"/>
    <w:rsid w:val="74324450"/>
    <w:rsid w:val="743326A2"/>
    <w:rsid w:val="743331FD"/>
    <w:rsid w:val="74335F8F"/>
    <w:rsid w:val="7434641A"/>
    <w:rsid w:val="74381A66"/>
    <w:rsid w:val="7439758C"/>
    <w:rsid w:val="743C0E2B"/>
    <w:rsid w:val="743D707D"/>
    <w:rsid w:val="74404DBF"/>
    <w:rsid w:val="74410A17"/>
    <w:rsid w:val="744523D5"/>
    <w:rsid w:val="74457850"/>
    <w:rsid w:val="74487DCD"/>
    <w:rsid w:val="744C72C0"/>
    <w:rsid w:val="74542534"/>
    <w:rsid w:val="7456013E"/>
    <w:rsid w:val="74566390"/>
    <w:rsid w:val="74575C64"/>
    <w:rsid w:val="74581754"/>
    <w:rsid w:val="745C6B24"/>
    <w:rsid w:val="745E6FF3"/>
    <w:rsid w:val="74600FBD"/>
    <w:rsid w:val="74607B7D"/>
    <w:rsid w:val="74631ADE"/>
    <w:rsid w:val="74640AAD"/>
    <w:rsid w:val="746565D3"/>
    <w:rsid w:val="74675EA7"/>
    <w:rsid w:val="746A5998"/>
    <w:rsid w:val="746D092B"/>
    <w:rsid w:val="746D7236"/>
    <w:rsid w:val="74723222"/>
    <w:rsid w:val="74734539"/>
    <w:rsid w:val="74746816"/>
    <w:rsid w:val="7476301D"/>
    <w:rsid w:val="74784559"/>
    <w:rsid w:val="74793E2D"/>
    <w:rsid w:val="747C2324"/>
    <w:rsid w:val="74806E03"/>
    <w:rsid w:val="74821A87"/>
    <w:rsid w:val="748527D2"/>
    <w:rsid w:val="748C1DB2"/>
    <w:rsid w:val="748C590E"/>
    <w:rsid w:val="748D49CD"/>
    <w:rsid w:val="7494275B"/>
    <w:rsid w:val="74980757"/>
    <w:rsid w:val="74987F0D"/>
    <w:rsid w:val="7499002B"/>
    <w:rsid w:val="749B1FF5"/>
    <w:rsid w:val="749B5C86"/>
    <w:rsid w:val="749D6880"/>
    <w:rsid w:val="749D7B1B"/>
    <w:rsid w:val="749E5EC1"/>
    <w:rsid w:val="749F7D37"/>
    <w:rsid w:val="74A138CF"/>
    <w:rsid w:val="74A41C2E"/>
    <w:rsid w:val="74A50BEC"/>
    <w:rsid w:val="74A52E74"/>
    <w:rsid w:val="74AB2123"/>
    <w:rsid w:val="74AC35B3"/>
    <w:rsid w:val="74AC4202"/>
    <w:rsid w:val="74AE3AD6"/>
    <w:rsid w:val="74AE4B4E"/>
    <w:rsid w:val="74B135C7"/>
    <w:rsid w:val="74B314A3"/>
    <w:rsid w:val="74B64406"/>
    <w:rsid w:val="74B94727"/>
    <w:rsid w:val="74BA31C7"/>
    <w:rsid w:val="74BB4445"/>
    <w:rsid w:val="74C351B8"/>
    <w:rsid w:val="74C4779E"/>
    <w:rsid w:val="74C7103C"/>
    <w:rsid w:val="74CB28DA"/>
    <w:rsid w:val="74CC2B9D"/>
    <w:rsid w:val="74D07EF1"/>
    <w:rsid w:val="74D15A17"/>
    <w:rsid w:val="74D472B5"/>
    <w:rsid w:val="74D72C6A"/>
    <w:rsid w:val="74D97E42"/>
    <w:rsid w:val="74DD6779"/>
    <w:rsid w:val="74DE3871"/>
    <w:rsid w:val="74DE444F"/>
    <w:rsid w:val="74DF1EE2"/>
    <w:rsid w:val="74E042F3"/>
    <w:rsid w:val="74E05C5A"/>
    <w:rsid w:val="74E221F2"/>
    <w:rsid w:val="74E24DC3"/>
    <w:rsid w:val="74E25E76"/>
    <w:rsid w:val="74E92D60"/>
    <w:rsid w:val="74E97204"/>
    <w:rsid w:val="74EC45FF"/>
    <w:rsid w:val="74F33BDF"/>
    <w:rsid w:val="74F87447"/>
    <w:rsid w:val="74FC2045"/>
    <w:rsid w:val="74FD4A5E"/>
    <w:rsid w:val="74FF2584"/>
    <w:rsid w:val="7501454E"/>
    <w:rsid w:val="75071439"/>
    <w:rsid w:val="750D03A6"/>
    <w:rsid w:val="750D643F"/>
    <w:rsid w:val="75120509"/>
    <w:rsid w:val="75184E92"/>
    <w:rsid w:val="751A5610"/>
    <w:rsid w:val="751F6782"/>
    <w:rsid w:val="7521074C"/>
    <w:rsid w:val="752161F5"/>
    <w:rsid w:val="75241FEA"/>
    <w:rsid w:val="75273889"/>
    <w:rsid w:val="752975C2"/>
    <w:rsid w:val="752B3379"/>
    <w:rsid w:val="752B5127"/>
    <w:rsid w:val="752C70F1"/>
    <w:rsid w:val="752D7D55"/>
    <w:rsid w:val="752F1C88"/>
    <w:rsid w:val="7530273D"/>
    <w:rsid w:val="7532211D"/>
    <w:rsid w:val="75357D54"/>
    <w:rsid w:val="75394CD8"/>
    <w:rsid w:val="753F0BD2"/>
    <w:rsid w:val="753F6E24"/>
    <w:rsid w:val="75412B9C"/>
    <w:rsid w:val="75466405"/>
    <w:rsid w:val="754937FF"/>
    <w:rsid w:val="754D1541"/>
    <w:rsid w:val="754D7793"/>
    <w:rsid w:val="754E52B9"/>
    <w:rsid w:val="755C3532"/>
    <w:rsid w:val="75617FF5"/>
    <w:rsid w:val="75662603"/>
    <w:rsid w:val="75695C4F"/>
    <w:rsid w:val="756B19C7"/>
    <w:rsid w:val="756E14B8"/>
    <w:rsid w:val="75703448"/>
    <w:rsid w:val="75703482"/>
    <w:rsid w:val="75733D9B"/>
    <w:rsid w:val="75734D20"/>
    <w:rsid w:val="757765BE"/>
    <w:rsid w:val="75792336"/>
    <w:rsid w:val="757B16F4"/>
    <w:rsid w:val="757C3BD5"/>
    <w:rsid w:val="757C7B01"/>
    <w:rsid w:val="7581743D"/>
    <w:rsid w:val="75826D11"/>
    <w:rsid w:val="758D193E"/>
    <w:rsid w:val="758D75E2"/>
    <w:rsid w:val="758E56B6"/>
    <w:rsid w:val="758F1B5A"/>
    <w:rsid w:val="7591430D"/>
    <w:rsid w:val="75950E36"/>
    <w:rsid w:val="75970A0E"/>
    <w:rsid w:val="75986327"/>
    <w:rsid w:val="75986535"/>
    <w:rsid w:val="759A04FF"/>
    <w:rsid w:val="759C4277"/>
    <w:rsid w:val="759C7DD3"/>
    <w:rsid w:val="759F4EC0"/>
    <w:rsid w:val="75A35605"/>
    <w:rsid w:val="75A90742"/>
    <w:rsid w:val="75AA17D7"/>
    <w:rsid w:val="75AD1FE0"/>
    <w:rsid w:val="75AD3D8E"/>
    <w:rsid w:val="75B44541"/>
    <w:rsid w:val="75BC0475"/>
    <w:rsid w:val="75BE0ADD"/>
    <w:rsid w:val="75BF1D13"/>
    <w:rsid w:val="75C17839"/>
    <w:rsid w:val="75C31803"/>
    <w:rsid w:val="75C67E24"/>
    <w:rsid w:val="75C74A70"/>
    <w:rsid w:val="75CA04F1"/>
    <w:rsid w:val="75D25EEA"/>
    <w:rsid w:val="75D27948"/>
    <w:rsid w:val="75D43A11"/>
    <w:rsid w:val="75D4756D"/>
    <w:rsid w:val="75D67789"/>
    <w:rsid w:val="75D83BE9"/>
    <w:rsid w:val="75D91F21"/>
    <w:rsid w:val="75E8126A"/>
    <w:rsid w:val="75E83B07"/>
    <w:rsid w:val="75E92E7A"/>
    <w:rsid w:val="75EF0F06"/>
    <w:rsid w:val="75F06371"/>
    <w:rsid w:val="75F23E97"/>
    <w:rsid w:val="75F61BD9"/>
    <w:rsid w:val="75FA1B5D"/>
    <w:rsid w:val="75FE45EA"/>
    <w:rsid w:val="760342F6"/>
    <w:rsid w:val="760D47C2"/>
    <w:rsid w:val="7610431D"/>
    <w:rsid w:val="7613626B"/>
    <w:rsid w:val="76157B85"/>
    <w:rsid w:val="761734C3"/>
    <w:rsid w:val="761A7D40"/>
    <w:rsid w:val="761C7166"/>
    <w:rsid w:val="7620086F"/>
    <w:rsid w:val="76206C56"/>
    <w:rsid w:val="762229CE"/>
    <w:rsid w:val="762F4F34"/>
    <w:rsid w:val="76312C11"/>
    <w:rsid w:val="76341118"/>
    <w:rsid w:val="76361FD5"/>
    <w:rsid w:val="76362DEA"/>
    <w:rsid w:val="76366479"/>
    <w:rsid w:val="763A6170"/>
    <w:rsid w:val="763B3A90"/>
    <w:rsid w:val="763F1FF4"/>
    <w:rsid w:val="76432944"/>
    <w:rsid w:val="76465F91"/>
    <w:rsid w:val="76472434"/>
    <w:rsid w:val="764D19B8"/>
    <w:rsid w:val="7651022E"/>
    <w:rsid w:val="765D4A31"/>
    <w:rsid w:val="765E152C"/>
    <w:rsid w:val="765E777E"/>
    <w:rsid w:val="766270D3"/>
    <w:rsid w:val="7662726E"/>
    <w:rsid w:val="766823AB"/>
    <w:rsid w:val="766905FD"/>
    <w:rsid w:val="766E5C13"/>
    <w:rsid w:val="767057F7"/>
    <w:rsid w:val="76736211"/>
    <w:rsid w:val="767945B8"/>
    <w:rsid w:val="767A350B"/>
    <w:rsid w:val="767B0330"/>
    <w:rsid w:val="767E008B"/>
    <w:rsid w:val="767E397C"/>
    <w:rsid w:val="7680271B"/>
    <w:rsid w:val="76805946"/>
    <w:rsid w:val="76830F93"/>
    <w:rsid w:val="768371E5"/>
    <w:rsid w:val="76880357"/>
    <w:rsid w:val="7688510D"/>
    <w:rsid w:val="768C7E47"/>
    <w:rsid w:val="76927701"/>
    <w:rsid w:val="769413F2"/>
    <w:rsid w:val="76944F4E"/>
    <w:rsid w:val="76950F22"/>
    <w:rsid w:val="76956082"/>
    <w:rsid w:val="76982666"/>
    <w:rsid w:val="769A6A08"/>
    <w:rsid w:val="769B008A"/>
    <w:rsid w:val="769B452E"/>
    <w:rsid w:val="769D3E02"/>
    <w:rsid w:val="769F401E"/>
    <w:rsid w:val="76A038F3"/>
    <w:rsid w:val="76A258BD"/>
    <w:rsid w:val="76A333E3"/>
    <w:rsid w:val="76A553AD"/>
    <w:rsid w:val="76AA4771"/>
    <w:rsid w:val="76AB19E8"/>
    <w:rsid w:val="76AE24B4"/>
    <w:rsid w:val="76BD44A5"/>
    <w:rsid w:val="76BF7180"/>
    <w:rsid w:val="76C27D0D"/>
    <w:rsid w:val="76C515AB"/>
    <w:rsid w:val="76C70E7F"/>
    <w:rsid w:val="76C75323"/>
    <w:rsid w:val="76CE1958"/>
    <w:rsid w:val="76CE1B2D"/>
    <w:rsid w:val="76D717A6"/>
    <w:rsid w:val="76DB2B7D"/>
    <w:rsid w:val="76DE441B"/>
    <w:rsid w:val="76DE4877"/>
    <w:rsid w:val="76E025B6"/>
    <w:rsid w:val="76E6765B"/>
    <w:rsid w:val="76E9529A"/>
    <w:rsid w:val="76E97048"/>
    <w:rsid w:val="76EA1012"/>
    <w:rsid w:val="76EA2DC0"/>
    <w:rsid w:val="76ED1FB3"/>
    <w:rsid w:val="76F404D5"/>
    <w:rsid w:val="76F61765"/>
    <w:rsid w:val="76F62D49"/>
    <w:rsid w:val="76F65C09"/>
    <w:rsid w:val="76FD2AF3"/>
    <w:rsid w:val="770562E1"/>
    <w:rsid w:val="770E0AD4"/>
    <w:rsid w:val="77101B8D"/>
    <w:rsid w:val="77111884"/>
    <w:rsid w:val="77112A42"/>
    <w:rsid w:val="771542E1"/>
    <w:rsid w:val="771D36E6"/>
    <w:rsid w:val="771D4F43"/>
    <w:rsid w:val="771F319A"/>
    <w:rsid w:val="77265B4F"/>
    <w:rsid w:val="77274B25"/>
    <w:rsid w:val="77291B3A"/>
    <w:rsid w:val="77297EB7"/>
    <w:rsid w:val="772C5186"/>
    <w:rsid w:val="772D6C40"/>
    <w:rsid w:val="772E7150"/>
    <w:rsid w:val="77316C41"/>
    <w:rsid w:val="7735567E"/>
    <w:rsid w:val="77387FCF"/>
    <w:rsid w:val="773A3D47"/>
    <w:rsid w:val="773C186D"/>
    <w:rsid w:val="773D3837"/>
    <w:rsid w:val="77426B90"/>
    <w:rsid w:val="77476464"/>
    <w:rsid w:val="77493F8A"/>
    <w:rsid w:val="774B7D02"/>
    <w:rsid w:val="775947BB"/>
    <w:rsid w:val="77597468"/>
    <w:rsid w:val="775F555C"/>
    <w:rsid w:val="77613082"/>
    <w:rsid w:val="7762586D"/>
    <w:rsid w:val="7763329E"/>
    <w:rsid w:val="776B3F01"/>
    <w:rsid w:val="776E1C43"/>
    <w:rsid w:val="77707E71"/>
    <w:rsid w:val="77735147"/>
    <w:rsid w:val="77762421"/>
    <w:rsid w:val="77796881"/>
    <w:rsid w:val="777B66C5"/>
    <w:rsid w:val="77811976"/>
    <w:rsid w:val="77846CDF"/>
    <w:rsid w:val="77846D70"/>
    <w:rsid w:val="778C5F09"/>
    <w:rsid w:val="779276DF"/>
    <w:rsid w:val="77976AA4"/>
    <w:rsid w:val="779C40BA"/>
    <w:rsid w:val="779E0807"/>
    <w:rsid w:val="77A15B74"/>
    <w:rsid w:val="77AB254F"/>
    <w:rsid w:val="77AD4519"/>
    <w:rsid w:val="77AF64E3"/>
    <w:rsid w:val="77B5517C"/>
    <w:rsid w:val="77B6195A"/>
    <w:rsid w:val="77B72606"/>
    <w:rsid w:val="77B83A96"/>
    <w:rsid w:val="77BA09E4"/>
    <w:rsid w:val="77BA0F87"/>
    <w:rsid w:val="77BC650A"/>
    <w:rsid w:val="77C32BA6"/>
    <w:rsid w:val="77C41863"/>
    <w:rsid w:val="77C74756"/>
    <w:rsid w:val="77CD4BBB"/>
    <w:rsid w:val="77CE4652"/>
    <w:rsid w:val="77D136FF"/>
    <w:rsid w:val="77D777E8"/>
    <w:rsid w:val="77D93560"/>
    <w:rsid w:val="77D94BF9"/>
    <w:rsid w:val="77DD12B0"/>
    <w:rsid w:val="77DE2925"/>
    <w:rsid w:val="77E421DC"/>
    <w:rsid w:val="77E43CB3"/>
    <w:rsid w:val="77E76882"/>
    <w:rsid w:val="77E77FA4"/>
    <w:rsid w:val="77EA751B"/>
    <w:rsid w:val="77F17064"/>
    <w:rsid w:val="77FB0E29"/>
    <w:rsid w:val="77FE6B23"/>
    <w:rsid w:val="77FF666B"/>
    <w:rsid w:val="780103C1"/>
    <w:rsid w:val="78016613"/>
    <w:rsid w:val="780600CD"/>
    <w:rsid w:val="7808397C"/>
    <w:rsid w:val="780B1240"/>
    <w:rsid w:val="780D4FB8"/>
    <w:rsid w:val="780F09F4"/>
    <w:rsid w:val="78104469"/>
    <w:rsid w:val="781225CE"/>
    <w:rsid w:val="78146346"/>
    <w:rsid w:val="78174088"/>
    <w:rsid w:val="78186399"/>
    <w:rsid w:val="781A1483"/>
    <w:rsid w:val="78252301"/>
    <w:rsid w:val="782B18E2"/>
    <w:rsid w:val="7831514A"/>
    <w:rsid w:val="78324A1E"/>
    <w:rsid w:val="78395DAD"/>
    <w:rsid w:val="783A7A6C"/>
    <w:rsid w:val="783C1535"/>
    <w:rsid w:val="783C764B"/>
    <w:rsid w:val="783E7541"/>
    <w:rsid w:val="78405348"/>
    <w:rsid w:val="78434743"/>
    <w:rsid w:val="78454752"/>
    <w:rsid w:val="78476AB5"/>
    <w:rsid w:val="784A0690"/>
    <w:rsid w:val="784F02E1"/>
    <w:rsid w:val="784F737E"/>
    <w:rsid w:val="7851759A"/>
    <w:rsid w:val="785229A8"/>
    <w:rsid w:val="785250C1"/>
    <w:rsid w:val="78564BB1"/>
    <w:rsid w:val="785901FD"/>
    <w:rsid w:val="7859644F"/>
    <w:rsid w:val="785B21C7"/>
    <w:rsid w:val="785F0F7A"/>
    <w:rsid w:val="786170B2"/>
    <w:rsid w:val="786A41B8"/>
    <w:rsid w:val="786B1CDE"/>
    <w:rsid w:val="786C6182"/>
    <w:rsid w:val="786C7F30"/>
    <w:rsid w:val="7870237F"/>
    <w:rsid w:val="78760DAF"/>
    <w:rsid w:val="787646DC"/>
    <w:rsid w:val="78793171"/>
    <w:rsid w:val="787943FB"/>
    <w:rsid w:val="787B4617"/>
    <w:rsid w:val="787D20B0"/>
    <w:rsid w:val="787E5EB6"/>
    <w:rsid w:val="787F02DF"/>
    <w:rsid w:val="788039DC"/>
    <w:rsid w:val="78810287"/>
    <w:rsid w:val="78811502"/>
    <w:rsid w:val="78824593"/>
    <w:rsid w:val="78827754"/>
    <w:rsid w:val="7892370F"/>
    <w:rsid w:val="78964FAD"/>
    <w:rsid w:val="789C4F47"/>
    <w:rsid w:val="78A11715"/>
    <w:rsid w:val="78A3591C"/>
    <w:rsid w:val="78A37DFC"/>
    <w:rsid w:val="78A90480"/>
    <w:rsid w:val="78AC0BE6"/>
    <w:rsid w:val="78AC2A23"/>
    <w:rsid w:val="78B1554E"/>
    <w:rsid w:val="78B43685"/>
    <w:rsid w:val="78BB3E42"/>
    <w:rsid w:val="78BB4A14"/>
    <w:rsid w:val="78BD078C"/>
    <w:rsid w:val="78C23FF4"/>
    <w:rsid w:val="78C31B1A"/>
    <w:rsid w:val="78C7785D"/>
    <w:rsid w:val="78CC351E"/>
    <w:rsid w:val="78CC6C21"/>
    <w:rsid w:val="78CE0BEB"/>
    <w:rsid w:val="78D35BBD"/>
    <w:rsid w:val="78D36201"/>
    <w:rsid w:val="78D37FAF"/>
    <w:rsid w:val="78D646F6"/>
    <w:rsid w:val="78D9133E"/>
    <w:rsid w:val="78DA7590"/>
    <w:rsid w:val="78DB58DC"/>
    <w:rsid w:val="78DD498A"/>
    <w:rsid w:val="78DF4BA6"/>
    <w:rsid w:val="78E20A03"/>
    <w:rsid w:val="78E22B8B"/>
    <w:rsid w:val="78E30EC4"/>
    <w:rsid w:val="78E55F35"/>
    <w:rsid w:val="78E8315E"/>
    <w:rsid w:val="78EC2E1F"/>
    <w:rsid w:val="78F02F79"/>
    <w:rsid w:val="78F10436"/>
    <w:rsid w:val="78F11DE6"/>
    <w:rsid w:val="78F26670"/>
    <w:rsid w:val="78F817C4"/>
    <w:rsid w:val="78F9201C"/>
    <w:rsid w:val="78FA19E0"/>
    <w:rsid w:val="78FD0B56"/>
    <w:rsid w:val="78FF0DA4"/>
    <w:rsid w:val="79002D6F"/>
    <w:rsid w:val="7904104F"/>
    <w:rsid w:val="790463BB"/>
    <w:rsid w:val="790836D0"/>
    <w:rsid w:val="790939D1"/>
    <w:rsid w:val="790C526F"/>
    <w:rsid w:val="790D1571"/>
    <w:rsid w:val="790F182A"/>
    <w:rsid w:val="79122B54"/>
    <w:rsid w:val="791650FE"/>
    <w:rsid w:val="79175833"/>
    <w:rsid w:val="79181E66"/>
    <w:rsid w:val="791D747D"/>
    <w:rsid w:val="79206F6D"/>
    <w:rsid w:val="7924080B"/>
    <w:rsid w:val="79244A8E"/>
    <w:rsid w:val="79246A5D"/>
    <w:rsid w:val="79297BCF"/>
    <w:rsid w:val="792A1B99"/>
    <w:rsid w:val="792A243A"/>
    <w:rsid w:val="792B2493"/>
    <w:rsid w:val="792C3B64"/>
    <w:rsid w:val="792C4CC9"/>
    <w:rsid w:val="792F0F5E"/>
    <w:rsid w:val="79312F28"/>
    <w:rsid w:val="79330A4E"/>
    <w:rsid w:val="79346574"/>
    <w:rsid w:val="79352A18"/>
    <w:rsid w:val="7936053E"/>
    <w:rsid w:val="79365798"/>
    <w:rsid w:val="793A1DDD"/>
    <w:rsid w:val="793B7903"/>
    <w:rsid w:val="7940316B"/>
    <w:rsid w:val="79404F19"/>
    <w:rsid w:val="794063F1"/>
    <w:rsid w:val="794252D9"/>
    <w:rsid w:val="79442C5B"/>
    <w:rsid w:val="79450781"/>
    <w:rsid w:val="79490AB5"/>
    <w:rsid w:val="794C38BE"/>
    <w:rsid w:val="79507900"/>
    <w:rsid w:val="795310AA"/>
    <w:rsid w:val="79571D0E"/>
    <w:rsid w:val="79586707"/>
    <w:rsid w:val="79594081"/>
    <w:rsid w:val="795E1D44"/>
    <w:rsid w:val="796055BB"/>
    <w:rsid w:val="79667075"/>
    <w:rsid w:val="79674B9C"/>
    <w:rsid w:val="796926C2"/>
    <w:rsid w:val="796D289A"/>
    <w:rsid w:val="796E46DA"/>
    <w:rsid w:val="79717E77"/>
    <w:rsid w:val="79752E15"/>
    <w:rsid w:val="79761652"/>
    <w:rsid w:val="79780B57"/>
    <w:rsid w:val="797950B4"/>
    <w:rsid w:val="797B41A3"/>
    <w:rsid w:val="797C0647"/>
    <w:rsid w:val="797D43BF"/>
    <w:rsid w:val="797E7C8C"/>
    <w:rsid w:val="797F0137"/>
    <w:rsid w:val="798020FD"/>
    <w:rsid w:val="79811327"/>
    <w:rsid w:val="798219D5"/>
    <w:rsid w:val="79856DD0"/>
    <w:rsid w:val="79865022"/>
    <w:rsid w:val="79894B12"/>
    <w:rsid w:val="798B6ADC"/>
    <w:rsid w:val="798C5D24"/>
    <w:rsid w:val="798D4602"/>
    <w:rsid w:val="798E037A"/>
    <w:rsid w:val="798E2128"/>
    <w:rsid w:val="798E279D"/>
    <w:rsid w:val="798E3ED6"/>
    <w:rsid w:val="799055DF"/>
    <w:rsid w:val="79905EA0"/>
    <w:rsid w:val="79935991"/>
    <w:rsid w:val="79951709"/>
    <w:rsid w:val="79952B92"/>
    <w:rsid w:val="79974728"/>
    <w:rsid w:val="79983E20"/>
    <w:rsid w:val="79986B03"/>
    <w:rsid w:val="799D05BD"/>
    <w:rsid w:val="799D236B"/>
    <w:rsid w:val="79A11E5C"/>
    <w:rsid w:val="79A71C89"/>
    <w:rsid w:val="79AC0800"/>
    <w:rsid w:val="79AE0B68"/>
    <w:rsid w:val="79B3393D"/>
    <w:rsid w:val="79B43D9D"/>
    <w:rsid w:val="79B61ECB"/>
    <w:rsid w:val="79B74AA6"/>
    <w:rsid w:val="79B778D1"/>
    <w:rsid w:val="79B86634"/>
    <w:rsid w:val="79BA2F1D"/>
    <w:rsid w:val="79BF22E2"/>
    <w:rsid w:val="79C03F87"/>
    <w:rsid w:val="79C124FE"/>
    <w:rsid w:val="79CD0EA3"/>
    <w:rsid w:val="79D42231"/>
    <w:rsid w:val="79D45972"/>
    <w:rsid w:val="79D744BA"/>
    <w:rsid w:val="79D815F5"/>
    <w:rsid w:val="79DB76E8"/>
    <w:rsid w:val="79DC10E6"/>
    <w:rsid w:val="79E104AA"/>
    <w:rsid w:val="79E157E7"/>
    <w:rsid w:val="79E70CF9"/>
    <w:rsid w:val="79E93803"/>
    <w:rsid w:val="79EA65F3"/>
    <w:rsid w:val="79EB224B"/>
    <w:rsid w:val="79ED50A1"/>
    <w:rsid w:val="79EF706B"/>
    <w:rsid w:val="79F04553"/>
    <w:rsid w:val="79F0693F"/>
    <w:rsid w:val="79F150AA"/>
    <w:rsid w:val="79F20909"/>
    <w:rsid w:val="79F44681"/>
    <w:rsid w:val="79F521A7"/>
    <w:rsid w:val="79F62EF9"/>
    <w:rsid w:val="79FB1D40"/>
    <w:rsid w:val="79FC7092"/>
    <w:rsid w:val="7A013C8D"/>
    <w:rsid w:val="7A066163"/>
    <w:rsid w:val="7A0B19CB"/>
    <w:rsid w:val="7A0D129F"/>
    <w:rsid w:val="7A137FC7"/>
    <w:rsid w:val="7A1E16FE"/>
    <w:rsid w:val="7A1F0FD2"/>
    <w:rsid w:val="7A214D4A"/>
    <w:rsid w:val="7A22231A"/>
    <w:rsid w:val="7A24780B"/>
    <w:rsid w:val="7A274CFC"/>
    <w:rsid w:val="7A293BFF"/>
    <w:rsid w:val="7A2A3180"/>
    <w:rsid w:val="7A2B3E1B"/>
    <w:rsid w:val="7A2B5BC9"/>
    <w:rsid w:val="7A316DFD"/>
    <w:rsid w:val="7A326F58"/>
    <w:rsid w:val="7A344A7E"/>
    <w:rsid w:val="7A356A48"/>
    <w:rsid w:val="7A364017"/>
    <w:rsid w:val="7A392094"/>
    <w:rsid w:val="7A3A5E0C"/>
    <w:rsid w:val="7A3B22B0"/>
    <w:rsid w:val="7A401675"/>
    <w:rsid w:val="7A444E4A"/>
    <w:rsid w:val="7A48677B"/>
    <w:rsid w:val="7A4B626B"/>
    <w:rsid w:val="7A4C55E3"/>
    <w:rsid w:val="7A504D36"/>
    <w:rsid w:val="7A5073DE"/>
    <w:rsid w:val="7A523156"/>
    <w:rsid w:val="7A5427A8"/>
    <w:rsid w:val="7A592736"/>
    <w:rsid w:val="7A5A200A"/>
    <w:rsid w:val="7A5C5D83"/>
    <w:rsid w:val="7A5E1AFB"/>
    <w:rsid w:val="7A665F33"/>
    <w:rsid w:val="7A6660F8"/>
    <w:rsid w:val="7A666C01"/>
    <w:rsid w:val="7A6B1967"/>
    <w:rsid w:val="7A6D48C0"/>
    <w:rsid w:val="7A6F3D08"/>
    <w:rsid w:val="7A70182E"/>
    <w:rsid w:val="7A715CD2"/>
    <w:rsid w:val="7A7C3632"/>
    <w:rsid w:val="7A7C6425"/>
    <w:rsid w:val="7A7E03EF"/>
    <w:rsid w:val="7A7F18A6"/>
    <w:rsid w:val="7A8265E1"/>
    <w:rsid w:val="7A8377B3"/>
    <w:rsid w:val="7A8772A3"/>
    <w:rsid w:val="7A8A6D94"/>
    <w:rsid w:val="7A8B5A6A"/>
    <w:rsid w:val="7A8C2A1A"/>
    <w:rsid w:val="7A8C2B0C"/>
    <w:rsid w:val="7A8F43AA"/>
    <w:rsid w:val="7A903C7E"/>
    <w:rsid w:val="7A94376E"/>
    <w:rsid w:val="7A965738"/>
    <w:rsid w:val="7A996FD7"/>
    <w:rsid w:val="7A9B4AFD"/>
    <w:rsid w:val="7A9C0EEA"/>
    <w:rsid w:val="7A9C2623"/>
    <w:rsid w:val="7AA15E8B"/>
    <w:rsid w:val="7AA339B1"/>
    <w:rsid w:val="7AA53BCD"/>
    <w:rsid w:val="7AAA2F92"/>
    <w:rsid w:val="7AAC6D0A"/>
    <w:rsid w:val="7AAF05A8"/>
    <w:rsid w:val="7AB01E15"/>
    <w:rsid w:val="7AB07CD4"/>
    <w:rsid w:val="7AB21E46"/>
    <w:rsid w:val="7AB37F0E"/>
    <w:rsid w:val="7AB45BBF"/>
    <w:rsid w:val="7AB636E5"/>
    <w:rsid w:val="7AB67B89"/>
    <w:rsid w:val="7AB756AF"/>
    <w:rsid w:val="7AB84E03"/>
    <w:rsid w:val="7AB94F83"/>
    <w:rsid w:val="7ABB519F"/>
    <w:rsid w:val="7AC027B5"/>
    <w:rsid w:val="7AC322A6"/>
    <w:rsid w:val="7AC57DCC"/>
    <w:rsid w:val="7ACD6C80"/>
    <w:rsid w:val="7ACE4ED2"/>
    <w:rsid w:val="7ACF47A6"/>
    <w:rsid w:val="7ACF5D34"/>
    <w:rsid w:val="7AD04DF9"/>
    <w:rsid w:val="7AD47448"/>
    <w:rsid w:val="7ADF6323"/>
    <w:rsid w:val="7AE2097E"/>
    <w:rsid w:val="7AE475C4"/>
    <w:rsid w:val="7AE63625"/>
    <w:rsid w:val="7AE9497B"/>
    <w:rsid w:val="7AED10D1"/>
    <w:rsid w:val="7AEF309B"/>
    <w:rsid w:val="7AF10BC1"/>
    <w:rsid w:val="7AF631D6"/>
    <w:rsid w:val="7AF75AAB"/>
    <w:rsid w:val="7AF842F9"/>
    <w:rsid w:val="7AFA2D33"/>
    <w:rsid w:val="7B0F7299"/>
    <w:rsid w:val="7B1112A8"/>
    <w:rsid w:val="7B1448AF"/>
    <w:rsid w:val="7B14665D"/>
    <w:rsid w:val="7B191EC6"/>
    <w:rsid w:val="7B193C74"/>
    <w:rsid w:val="7B1D5512"/>
    <w:rsid w:val="7B252618"/>
    <w:rsid w:val="7B2745E3"/>
    <w:rsid w:val="7B2C3224"/>
    <w:rsid w:val="7B362A78"/>
    <w:rsid w:val="7B3650A3"/>
    <w:rsid w:val="7B3B410F"/>
    <w:rsid w:val="7B3F066D"/>
    <w:rsid w:val="7B42766E"/>
    <w:rsid w:val="7B43689E"/>
    <w:rsid w:val="7B4738E3"/>
    <w:rsid w:val="7B486307"/>
    <w:rsid w:val="7B4A02D1"/>
    <w:rsid w:val="7B4A207F"/>
    <w:rsid w:val="7B4D01D8"/>
    <w:rsid w:val="7B4E1B6F"/>
    <w:rsid w:val="7B4E6013"/>
    <w:rsid w:val="7B4F7695"/>
    <w:rsid w:val="7B512CCA"/>
    <w:rsid w:val="7B51340D"/>
    <w:rsid w:val="7B537186"/>
    <w:rsid w:val="7B561A28"/>
    <w:rsid w:val="7B5770BD"/>
    <w:rsid w:val="7B58479C"/>
    <w:rsid w:val="7B5E1E17"/>
    <w:rsid w:val="7B5E43AD"/>
    <w:rsid w:val="7B66335D"/>
    <w:rsid w:val="7B670E83"/>
    <w:rsid w:val="7B686D42"/>
    <w:rsid w:val="7B6969A9"/>
    <w:rsid w:val="7B6A54D9"/>
    <w:rsid w:val="7B727A53"/>
    <w:rsid w:val="7B7470FC"/>
    <w:rsid w:val="7B7974B6"/>
    <w:rsid w:val="7B7A0FC8"/>
    <w:rsid w:val="7B7D06A6"/>
    <w:rsid w:val="7B7F61CD"/>
    <w:rsid w:val="7B825CBD"/>
    <w:rsid w:val="7B841746"/>
    <w:rsid w:val="7B886713"/>
    <w:rsid w:val="7B8B207E"/>
    <w:rsid w:val="7B8B4B71"/>
    <w:rsid w:val="7B8D7AD7"/>
    <w:rsid w:val="7B925FE7"/>
    <w:rsid w:val="7B966861"/>
    <w:rsid w:val="7B971768"/>
    <w:rsid w:val="7B98103C"/>
    <w:rsid w:val="7B9A3A6E"/>
    <w:rsid w:val="7B9A4DB4"/>
    <w:rsid w:val="7B9C6D7F"/>
    <w:rsid w:val="7B9D6653"/>
    <w:rsid w:val="7B9F061D"/>
    <w:rsid w:val="7B9F5824"/>
    <w:rsid w:val="7BA14395"/>
    <w:rsid w:val="7BA2010D"/>
    <w:rsid w:val="7BA53E28"/>
    <w:rsid w:val="7BA63759"/>
    <w:rsid w:val="7BA94FF8"/>
    <w:rsid w:val="7BAC542E"/>
    <w:rsid w:val="7BAD0F8C"/>
    <w:rsid w:val="7BB35E76"/>
    <w:rsid w:val="7BB57CD1"/>
    <w:rsid w:val="7BB75966"/>
    <w:rsid w:val="7BBC1AD5"/>
    <w:rsid w:val="7BBF2A6D"/>
    <w:rsid w:val="7BC25D04"/>
    <w:rsid w:val="7BC938EC"/>
    <w:rsid w:val="7BC97D95"/>
    <w:rsid w:val="7BCD6162"/>
    <w:rsid w:val="7BD302C6"/>
    <w:rsid w:val="7BD3786A"/>
    <w:rsid w:val="7BD61B65"/>
    <w:rsid w:val="7BD76009"/>
    <w:rsid w:val="7BD858DD"/>
    <w:rsid w:val="7BD965DC"/>
    <w:rsid w:val="7BDC717B"/>
    <w:rsid w:val="7BE55C9F"/>
    <w:rsid w:val="7BE6624C"/>
    <w:rsid w:val="7BE92C4E"/>
    <w:rsid w:val="7BEB3862"/>
    <w:rsid w:val="7BEE3352"/>
    <w:rsid w:val="7BEE6EAE"/>
    <w:rsid w:val="7BFA3C79"/>
    <w:rsid w:val="7BFC15CB"/>
    <w:rsid w:val="7C0045FA"/>
    <w:rsid w:val="7C06069C"/>
    <w:rsid w:val="7C075F3B"/>
    <w:rsid w:val="7C084414"/>
    <w:rsid w:val="7C093CE8"/>
    <w:rsid w:val="7C1032C9"/>
    <w:rsid w:val="7C1508DF"/>
    <w:rsid w:val="7C174418"/>
    <w:rsid w:val="7C176405"/>
    <w:rsid w:val="7C1B0ED7"/>
    <w:rsid w:val="7C217284"/>
    <w:rsid w:val="7C246915"/>
    <w:rsid w:val="7C262AEC"/>
    <w:rsid w:val="7C321AEA"/>
    <w:rsid w:val="7C3242A6"/>
    <w:rsid w:val="7C330D65"/>
    <w:rsid w:val="7C336FB7"/>
    <w:rsid w:val="7C362E56"/>
    <w:rsid w:val="7C376AA7"/>
    <w:rsid w:val="7C3C40BE"/>
    <w:rsid w:val="7C3E526E"/>
    <w:rsid w:val="7C3E6D39"/>
    <w:rsid w:val="7C3F3BAE"/>
    <w:rsid w:val="7C4411C4"/>
    <w:rsid w:val="7C464F3C"/>
    <w:rsid w:val="7C491437"/>
    <w:rsid w:val="7C4C69A8"/>
    <w:rsid w:val="7C4F3DF1"/>
    <w:rsid w:val="7C5076B5"/>
    <w:rsid w:val="7C55517F"/>
    <w:rsid w:val="7C605FFE"/>
    <w:rsid w:val="7C611D76"/>
    <w:rsid w:val="7C622F4D"/>
    <w:rsid w:val="7C633D33"/>
    <w:rsid w:val="7C63789C"/>
    <w:rsid w:val="7C644183"/>
    <w:rsid w:val="7C653614"/>
    <w:rsid w:val="7C656D9B"/>
    <w:rsid w:val="7C6F6241"/>
    <w:rsid w:val="7C725D31"/>
    <w:rsid w:val="7C730E76"/>
    <w:rsid w:val="7C743857"/>
    <w:rsid w:val="7C76154A"/>
    <w:rsid w:val="7C7B7C1A"/>
    <w:rsid w:val="7C7C270C"/>
    <w:rsid w:val="7C7C44BA"/>
    <w:rsid w:val="7C7F3FAA"/>
    <w:rsid w:val="7C815F74"/>
    <w:rsid w:val="7C876A78"/>
    <w:rsid w:val="7C896BD7"/>
    <w:rsid w:val="7C8D3F98"/>
    <w:rsid w:val="7C923CDE"/>
    <w:rsid w:val="7C943EFA"/>
    <w:rsid w:val="7C950E2A"/>
    <w:rsid w:val="7C952014"/>
    <w:rsid w:val="7C95557C"/>
    <w:rsid w:val="7C9663A3"/>
    <w:rsid w:val="7C98391B"/>
    <w:rsid w:val="7C9C6796"/>
    <w:rsid w:val="7CA07B72"/>
    <w:rsid w:val="7CA30566"/>
    <w:rsid w:val="7CA57EB5"/>
    <w:rsid w:val="7CA67789"/>
    <w:rsid w:val="7CA83501"/>
    <w:rsid w:val="7CB023B6"/>
    <w:rsid w:val="7CB1685A"/>
    <w:rsid w:val="7CB50DE1"/>
    <w:rsid w:val="7CB63E70"/>
    <w:rsid w:val="7CB65C1E"/>
    <w:rsid w:val="7CB9570E"/>
    <w:rsid w:val="7CBC0D5A"/>
    <w:rsid w:val="7CC12815"/>
    <w:rsid w:val="7CC145C3"/>
    <w:rsid w:val="7CC16371"/>
    <w:rsid w:val="7CC74D90"/>
    <w:rsid w:val="7CC83BA3"/>
    <w:rsid w:val="7CCA3477"/>
    <w:rsid w:val="7CCB74A0"/>
    <w:rsid w:val="7CCF0A8E"/>
    <w:rsid w:val="7CCF4C6B"/>
    <w:rsid w:val="7CD10CAA"/>
    <w:rsid w:val="7CD16601"/>
    <w:rsid w:val="7CD2057E"/>
    <w:rsid w:val="7CD460A4"/>
    <w:rsid w:val="7CDA315F"/>
    <w:rsid w:val="7CDB37F5"/>
    <w:rsid w:val="7CDE5175"/>
    <w:rsid w:val="7CE107C1"/>
    <w:rsid w:val="7CE26411"/>
    <w:rsid w:val="7CE502B1"/>
    <w:rsid w:val="7CE56503"/>
    <w:rsid w:val="7CE65DD7"/>
    <w:rsid w:val="7CE7227B"/>
    <w:rsid w:val="7CEA2CFB"/>
    <w:rsid w:val="7CEC1640"/>
    <w:rsid w:val="7CED360A"/>
    <w:rsid w:val="7CF229CE"/>
    <w:rsid w:val="7CF25884"/>
    <w:rsid w:val="7CF36423"/>
    <w:rsid w:val="7CF404F4"/>
    <w:rsid w:val="7CF624BE"/>
    <w:rsid w:val="7CF93D5D"/>
    <w:rsid w:val="7CFB1883"/>
    <w:rsid w:val="7CFD1A9F"/>
    <w:rsid w:val="7CFD215E"/>
    <w:rsid w:val="7CFE75C5"/>
    <w:rsid w:val="7D0239FF"/>
    <w:rsid w:val="7D034BDB"/>
    <w:rsid w:val="7D0428EB"/>
    <w:rsid w:val="7D0467C0"/>
    <w:rsid w:val="7D080444"/>
    <w:rsid w:val="7D0A41BC"/>
    <w:rsid w:val="7D0D15B6"/>
    <w:rsid w:val="7D0E1EA7"/>
    <w:rsid w:val="7D0E2B49"/>
    <w:rsid w:val="7D115EA6"/>
    <w:rsid w:val="7D130900"/>
    <w:rsid w:val="7D142945"/>
    <w:rsid w:val="7D1961AD"/>
    <w:rsid w:val="7D1E37C3"/>
    <w:rsid w:val="7D221505"/>
    <w:rsid w:val="7D225061"/>
    <w:rsid w:val="7D23702C"/>
    <w:rsid w:val="7D242BDB"/>
    <w:rsid w:val="7D266C3C"/>
    <w:rsid w:val="7D2708CA"/>
    <w:rsid w:val="7D284642"/>
    <w:rsid w:val="7D2B623C"/>
    <w:rsid w:val="7D2D1C58"/>
    <w:rsid w:val="7D3134F6"/>
    <w:rsid w:val="7D33726F"/>
    <w:rsid w:val="7D344D95"/>
    <w:rsid w:val="7D37575A"/>
    <w:rsid w:val="7D380D29"/>
    <w:rsid w:val="7D384885"/>
    <w:rsid w:val="7D3F0F24"/>
    <w:rsid w:val="7D4274B2"/>
    <w:rsid w:val="7D44147C"/>
    <w:rsid w:val="7D495EEB"/>
    <w:rsid w:val="7D4A0A5C"/>
    <w:rsid w:val="7D4E22FA"/>
    <w:rsid w:val="7D513B99"/>
    <w:rsid w:val="7D52346D"/>
    <w:rsid w:val="7D580A83"/>
    <w:rsid w:val="7D5B4A17"/>
    <w:rsid w:val="7D5B67C5"/>
    <w:rsid w:val="7D5E40CD"/>
    <w:rsid w:val="7D605B8A"/>
    <w:rsid w:val="7D63567A"/>
    <w:rsid w:val="7D6438CC"/>
    <w:rsid w:val="7D6531A0"/>
    <w:rsid w:val="7D693BED"/>
    <w:rsid w:val="7D694C7C"/>
    <w:rsid w:val="7D6C2781"/>
    <w:rsid w:val="7D6F2271"/>
    <w:rsid w:val="7D6F6EF5"/>
    <w:rsid w:val="7D705BFF"/>
    <w:rsid w:val="7D711B45"/>
    <w:rsid w:val="7D755AD9"/>
    <w:rsid w:val="7D7635FF"/>
    <w:rsid w:val="7D7A1991"/>
    <w:rsid w:val="7D7D04EA"/>
    <w:rsid w:val="7D80622C"/>
    <w:rsid w:val="7D824B7F"/>
    <w:rsid w:val="7D8636B9"/>
    <w:rsid w:val="7D873368"/>
    <w:rsid w:val="7D8950E1"/>
    <w:rsid w:val="7D8F0799"/>
    <w:rsid w:val="7D944F65"/>
    <w:rsid w:val="7D9558DE"/>
    <w:rsid w:val="7D957F29"/>
    <w:rsid w:val="7D965A4F"/>
    <w:rsid w:val="7D983576"/>
    <w:rsid w:val="7D9B1B39"/>
    <w:rsid w:val="7D9D293A"/>
    <w:rsid w:val="7D9D6DDE"/>
    <w:rsid w:val="7DA0067C"/>
    <w:rsid w:val="7DA41F1A"/>
    <w:rsid w:val="7DA44071"/>
    <w:rsid w:val="7DA57A41"/>
    <w:rsid w:val="7DA61F6B"/>
    <w:rsid w:val="7DA95783"/>
    <w:rsid w:val="7DB06B11"/>
    <w:rsid w:val="7DB3215D"/>
    <w:rsid w:val="7DB639FC"/>
    <w:rsid w:val="7DB92447"/>
    <w:rsid w:val="7DBF0B02"/>
    <w:rsid w:val="7DC10D1E"/>
    <w:rsid w:val="7DC474A6"/>
    <w:rsid w:val="7DC51888"/>
    <w:rsid w:val="7DC600E3"/>
    <w:rsid w:val="7DC66335"/>
    <w:rsid w:val="7DC92BE0"/>
    <w:rsid w:val="7DCC76C3"/>
    <w:rsid w:val="7DCE51E9"/>
    <w:rsid w:val="7DD30A52"/>
    <w:rsid w:val="7DD37B87"/>
    <w:rsid w:val="7DD44EEC"/>
    <w:rsid w:val="7DD722F0"/>
    <w:rsid w:val="7DD81BC4"/>
    <w:rsid w:val="7DD86068"/>
    <w:rsid w:val="7DDA1DE0"/>
    <w:rsid w:val="7DDC2D72"/>
    <w:rsid w:val="7DDD71DA"/>
    <w:rsid w:val="7DDE34B5"/>
    <w:rsid w:val="7DDF2F52"/>
    <w:rsid w:val="7DE16466"/>
    <w:rsid w:val="7DE60785"/>
    <w:rsid w:val="7DE67D76"/>
    <w:rsid w:val="7DEB7B49"/>
    <w:rsid w:val="7DF12C86"/>
    <w:rsid w:val="7DF34C50"/>
    <w:rsid w:val="7DFA5FDE"/>
    <w:rsid w:val="7E052BDE"/>
    <w:rsid w:val="7E0724A9"/>
    <w:rsid w:val="7E096221"/>
    <w:rsid w:val="7E097B4D"/>
    <w:rsid w:val="7E0B440B"/>
    <w:rsid w:val="7E1075B0"/>
    <w:rsid w:val="7E132BFC"/>
    <w:rsid w:val="7E1370A0"/>
    <w:rsid w:val="7E1532BF"/>
    <w:rsid w:val="7E183771"/>
    <w:rsid w:val="7E192908"/>
    <w:rsid w:val="7E1B52D0"/>
    <w:rsid w:val="7E1B5633"/>
    <w:rsid w:val="7E1D624C"/>
    <w:rsid w:val="7E2117BD"/>
    <w:rsid w:val="7E235535"/>
    <w:rsid w:val="7E24305B"/>
    <w:rsid w:val="7E246BF6"/>
    <w:rsid w:val="7E290672"/>
    <w:rsid w:val="7E2E5C88"/>
    <w:rsid w:val="7E325778"/>
    <w:rsid w:val="7E327526"/>
    <w:rsid w:val="7E374B3D"/>
    <w:rsid w:val="7E3C65F7"/>
    <w:rsid w:val="7E3C666E"/>
    <w:rsid w:val="7E3E37D9"/>
    <w:rsid w:val="7E3E411D"/>
    <w:rsid w:val="7E4215D3"/>
    <w:rsid w:val="7E4436FD"/>
    <w:rsid w:val="7E461224"/>
    <w:rsid w:val="7E4C610E"/>
    <w:rsid w:val="7E4D6024"/>
    <w:rsid w:val="7E4E04C2"/>
    <w:rsid w:val="7E4E1E86"/>
    <w:rsid w:val="7E50377C"/>
    <w:rsid w:val="7E5637D7"/>
    <w:rsid w:val="7E573431"/>
    <w:rsid w:val="7E58122B"/>
    <w:rsid w:val="7E5C45A3"/>
    <w:rsid w:val="7E5E1C1A"/>
    <w:rsid w:val="7E5F4093"/>
    <w:rsid w:val="7E5F7640"/>
    <w:rsid w:val="7E6727AA"/>
    <w:rsid w:val="7E6873EC"/>
    <w:rsid w:val="7E6A112B"/>
    <w:rsid w:val="7E6D1E3F"/>
    <w:rsid w:val="7E6D67B0"/>
    <w:rsid w:val="7E74056B"/>
    <w:rsid w:val="7E751B09"/>
    <w:rsid w:val="7E762DB4"/>
    <w:rsid w:val="7E7713DD"/>
    <w:rsid w:val="7E7A0ECD"/>
    <w:rsid w:val="7E7B3C1E"/>
    <w:rsid w:val="7E7C69F3"/>
    <w:rsid w:val="7E7E276B"/>
    <w:rsid w:val="7E8104AE"/>
    <w:rsid w:val="7E81225C"/>
    <w:rsid w:val="7E830842"/>
    <w:rsid w:val="7E834226"/>
    <w:rsid w:val="7E851D4C"/>
    <w:rsid w:val="7E857F9E"/>
    <w:rsid w:val="7E8769F7"/>
    <w:rsid w:val="7E8B30DA"/>
    <w:rsid w:val="7E8D6E52"/>
    <w:rsid w:val="7E9401E1"/>
    <w:rsid w:val="7E9417C7"/>
    <w:rsid w:val="7E983A4D"/>
    <w:rsid w:val="7E9F0934"/>
    <w:rsid w:val="7EA30424"/>
    <w:rsid w:val="7EA33FDE"/>
    <w:rsid w:val="7EA40AE0"/>
    <w:rsid w:val="7EA47CF8"/>
    <w:rsid w:val="7EAB552B"/>
    <w:rsid w:val="7EAD3051"/>
    <w:rsid w:val="7EB264E4"/>
    <w:rsid w:val="7EB51F05"/>
    <w:rsid w:val="7EB56F67"/>
    <w:rsid w:val="7EB77A2B"/>
    <w:rsid w:val="7EB837A6"/>
    <w:rsid w:val="7EBB6578"/>
    <w:rsid w:val="7EBE7F49"/>
    <w:rsid w:val="7EC00FD6"/>
    <w:rsid w:val="7EC21002"/>
    <w:rsid w:val="7EC42148"/>
    <w:rsid w:val="7EC65EC0"/>
    <w:rsid w:val="7EC860DC"/>
    <w:rsid w:val="7ECB797B"/>
    <w:rsid w:val="7ECD36F3"/>
    <w:rsid w:val="7ECD724F"/>
    <w:rsid w:val="7ED455CC"/>
    <w:rsid w:val="7ED607F9"/>
    <w:rsid w:val="7ED71E7C"/>
    <w:rsid w:val="7ED92098"/>
    <w:rsid w:val="7EDE145C"/>
    <w:rsid w:val="7EDE40B7"/>
    <w:rsid w:val="7EE40DA4"/>
    <w:rsid w:val="7EE527EB"/>
    <w:rsid w:val="7EEA6053"/>
    <w:rsid w:val="7EED5B43"/>
    <w:rsid w:val="7EF13B6B"/>
    <w:rsid w:val="7EF42A2E"/>
    <w:rsid w:val="7EF70770"/>
    <w:rsid w:val="7EF7251E"/>
    <w:rsid w:val="7EF742CC"/>
    <w:rsid w:val="7F010848"/>
    <w:rsid w:val="7F0709B3"/>
    <w:rsid w:val="7F08472B"/>
    <w:rsid w:val="7F0A6D29"/>
    <w:rsid w:val="7F0B7D77"/>
    <w:rsid w:val="7F0C5FC9"/>
    <w:rsid w:val="7F0D7F93"/>
    <w:rsid w:val="7F10538E"/>
    <w:rsid w:val="7F1629A4"/>
    <w:rsid w:val="7F1950C0"/>
    <w:rsid w:val="7F1B1B92"/>
    <w:rsid w:val="7F1B7FBA"/>
    <w:rsid w:val="7F1D2468"/>
    <w:rsid w:val="7F243B3B"/>
    <w:rsid w:val="7F250E39"/>
    <w:rsid w:val="7F255072"/>
    <w:rsid w:val="7F264BB1"/>
    <w:rsid w:val="7F2D7CEE"/>
    <w:rsid w:val="7F2F7F0A"/>
    <w:rsid w:val="7F3124A9"/>
    <w:rsid w:val="7F315A30"/>
    <w:rsid w:val="7F361298"/>
    <w:rsid w:val="7F364DF4"/>
    <w:rsid w:val="7F3E639F"/>
    <w:rsid w:val="7F405C73"/>
    <w:rsid w:val="7F4219EB"/>
    <w:rsid w:val="7F435763"/>
    <w:rsid w:val="7F477001"/>
    <w:rsid w:val="7F4C021D"/>
    <w:rsid w:val="7F4C0ABC"/>
    <w:rsid w:val="7F4C4618"/>
    <w:rsid w:val="7F565ECA"/>
    <w:rsid w:val="7F597551"/>
    <w:rsid w:val="7F5D4E94"/>
    <w:rsid w:val="7F5E434B"/>
    <w:rsid w:val="7F623E3B"/>
    <w:rsid w:val="7F625BE9"/>
    <w:rsid w:val="7F673200"/>
    <w:rsid w:val="7F6851CA"/>
    <w:rsid w:val="7F6A2CF0"/>
    <w:rsid w:val="7F6C2F0C"/>
    <w:rsid w:val="7F6C6A68"/>
    <w:rsid w:val="7F6C7F6E"/>
    <w:rsid w:val="7F6F6558"/>
    <w:rsid w:val="7F71407E"/>
    <w:rsid w:val="7F73429A"/>
    <w:rsid w:val="7F775DA9"/>
    <w:rsid w:val="7F78540D"/>
    <w:rsid w:val="7F7A0869"/>
    <w:rsid w:val="7F7B314F"/>
    <w:rsid w:val="7F7D0C75"/>
    <w:rsid w:val="7F7D2A23"/>
    <w:rsid w:val="7F7E49ED"/>
    <w:rsid w:val="7F7F7177"/>
    <w:rsid w:val="7F855D7C"/>
    <w:rsid w:val="7F88735E"/>
    <w:rsid w:val="7F8C72AD"/>
    <w:rsid w:val="7F8F09A8"/>
    <w:rsid w:val="7F916650"/>
    <w:rsid w:val="7F9935D5"/>
    <w:rsid w:val="7F9D1317"/>
    <w:rsid w:val="7F9E7405"/>
    <w:rsid w:val="7F9F508F"/>
    <w:rsid w:val="7F9F59E6"/>
    <w:rsid w:val="7FA06711"/>
    <w:rsid w:val="7FA12C09"/>
    <w:rsid w:val="7FA16445"/>
    <w:rsid w:val="7FA206DC"/>
    <w:rsid w:val="7FA2692E"/>
    <w:rsid w:val="7FA321BF"/>
    <w:rsid w:val="7FA44454"/>
    <w:rsid w:val="7FA44DC6"/>
    <w:rsid w:val="7FA53D28"/>
    <w:rsid w:val="7FA91A6A"/>
    <w:rsid w:val="7FA96067"/>
    <w:rsid w:val="7FA97CBC"/>
    <w:rsid w:val="7FAD3CE1"/>
    <w:rsid w:val="7FB64187"/>
    <w:rsid w:val="7FB83A5B"/>
    <w:rsid w:val="7FB87EFF"/>
    <w:rsid w:val="7FBE40A5"/>
    <w:rsid w:val="7FBE43E0"/>
    <w:rsid w:val="7FC00B62"/>
    <w:rsid w:val="7FC37379"/>
    <w:rsid w:val="7FC70142"/>
    <w:rsid w:val="7FC76394"/>
    <w:rsid w:val="7FC95C68"/>
    <w:rsid w:val="7FCB5E84"/>
    <w:rsid w:val="7FCC0579"/>
    <w:rsid w:val="7FCC39AA"/>
    <w:rsid w:val="7FCE0C2C"/>
    <w:rsid w:val="7FCE327F"/>
    <w:rsid w:val="7FD05249"/>
    <w:rsid w:val="7FD14B1D"/>
    <w:rsid w:val="7FD5285F"/>
    <w:rsid w:val="7FD75C1F"/>
    <w:rsid w:val="7FDB04BF"/>
    <w:rsid w:val="7FDC6736"/>
    <w:rsid w:val="7FDF527F"/>
    <w:rsid w:val="7FE17456"/>
    <w:rsid w:val="7FE47E50"/>
    <w:rsid w:val="7FE707E4"/>
    <w:rsid w:val="7FE80BDA"/>
    <w:rsid w:val="7FE9455C"/>
    <w:rsid w:val="7FEA3E31"/>
    <w:rsid w:val="7FEE3921"/>
    <w:rsid w:val="7FF57F11"/>
    <w:rsid w:val="7FF75AFE"/>
    <w:rsid w:val="7FF7723F"/>
    <w:rsid w:val="7FF802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qFormat="1" w:unhideWhenUsed="0" w:uiPriority="39"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141"/>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42"/>
    <w:autoRedefine/>
    <w:qFormat/>
    <w:locked/>
    <w:uiPriority w:val="0"/>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autoRedefine/>
    <w:qFormat/>
    <w:locked/>
    <w:uiPriority w:val="0"/>
    <w:pPr>
      <w:numPr>
        <w:ilvl w:val="2"/>
        <w:numId w:val="1"/>
      </w:numPr>
      <w:spacing w:before="50" w:beforeLines="50"/>
      <w:ind w:left="0" w:firstLine="0"/>
      <w:jc w:val="left"/>
      <w:outlineLvl w:val="2"/>
    </w:pPr>
    <w:rPr>
      <w:b/>
      <w:sz w:val="28"/>
    </w:rPr>
  </w:style>
  <w:style w:type="paragraph" w:styleId="8">
    <w:name w:val="heading 4"/>
    <w:basedOn w:val="1"/>
    <w:next w:val="1"/>
    <w:autoRedefine/>
    <w:qFormat/>
    <w:locked/>
    <w:uiPriority w:val="99"/>
    <w:pPr>
      <w:keepNext/>
      <w:keepLines/>
      <w:numPr>
        <w:ilvl w:val="3"/>
        <w:numId w:val="1"/>
      </w:numPr>
      <w:ind w:left="0" w:firstLine="0"/>
      <w:jc w:val="left"/>
      <w:outlineLvl w:val="3"/>
    </w:pPr>
    <w:rPr>
      <w:b/>
      <w:bCs/>
      <w:szCs w:val="28"/>
    </w:rPr>
  </w:style>
  <w:style w:type="character" w:default="1" w:styleId="39">
    <w:name w:val="Default Paragraph Font"/>
    <w:autoRedefine/>
    <w:semiHidden/>
    <w:unhideWhenUsed/>
    <w:qFormat/>
    <w:uiPriority w:val="1"/>
  </w:style>
  <w:style w:type="table" w:default="1" w:styleId="37">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2"/>
    <w:basedOn w:val="3"/>
    <w:next w:val="1"/>
    <w:autoRedefine/>
    <w:qFormat/>
    <w:uiPriority w:val="0"/>
    <w:pPr>
      <w:ind w:firstLine="420" w:firstLineChars="200"/>
    </w:pPr>
    <w:rPr>
      <w:szCs w:val="22"/>
    </w:rPr>
  </w:style>
  <w:style w:type="paragraph" w:styleId="3">
    <w:name w:val="Body Text Indent"/>
    <w:basedOn w:val="1"/>
    <w:next w:val="4"/>
    <w:link w:val="56"/>
    <w:autoRedefine/>
    <w:semiHidden/>
    <w:qFormat/>
    <w:uiPriority w:val="0"/>
    <w:pPr>
      <w:spacing w:after="120"/>
      <w:ind w:left="420" w:leftChars="200"/>
    </w:pPr>
  </w:style>
  <w:style w:type="paragraph" w:customStyle="1" w:styleId="4">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9">
    <w:name w:val="Normal Indent"/>
    <w:basedOn w:val="1"/>
    <w:next w:val="2"/>
    <w:autoRedefine/>
    <w:qFormat/>
    <w:uiPriority w:val="0"/>
    <w:pPr>
      <w:spacing w:line="460" w:lineRule="atLeast"/>
      <w:ind w:firstLine="420"/>
    </w:pPr>
    <w:rPr>
      <w:szCs w:val="20"/>
    </w:rPr>
  </w:style>
  <w:style w:type="paragraph" w:styleId="10">
    <w:name w:val="caption"/>
    <w:basedOn w:val="1"/>
    <w:next w:val="1"/>
    <w:autoRedefine/>
    <w:qFormat/>
    <w:locked/>
    <w:uiPriority w:val="0"/>
    <w:rPr>
      <w:rFonts w:ascii="Arial" w:hAnsi="Arial" w:eastAsia="黑体"/>
      <w:sz w:val="20"/>
      <w:szCs w:val="20"/>
    </w:rPr>
  </w:style>
  <w:style w:type="paragraph" w:styleId="11">
    <w:name w:val="annotation text"/>
    <w:basedOn w:val="1"/>
    <w:link w:val="54"/>
    <w:autoRedefine/>
    <w:semiHidden/>
    <w:qFormat/>
    <w:uiPriority w:val="0"/>
    <w:pPr>
      <w:jc w:val="left"/>
    </w:pPr>
    <w:rPr>
      <w:kern w:val="0"/>
      <w:sz w:val="20"/>
    </w:rPr>
  </w:style>
  <w:style w:type="paragraph" w:styleId="12">
    <w:name w:val="Body Text"/>
    <w:basedOn w:val="1"/>
    <w:next w:val="13"/>
    <w:link w:val="55"/>
    <w:autoRedefine/>
    <w:qFormat/>
    <w:uiPriority w:val="0"/>
    <w:pPr>
      <w:widowControl/>
      <w:snapToGrid w:val="0"/>
      <w:spacing w:before="60" w:after="160" w:line="259" w:lineRule="auto"/>
      <w:ind w:right="113"/>
    </w:pPr>
    <w:rPr>
      <w:kern w:val="0"/>
      <w:sz w:val="18"/>
      <w:szCs w:val="18"/>
    </w:rPr>
  </w:style>
  <w:style w:type="paragraph" w:customStyle="1" w:styleId="13">
    <w:name w:val="Normal (Web)1"/>
    <w:basedOn w:val="1"/>
    <w:next w:val="14"/>
    <w:autoRedefine/>
    <w:qFormat/>
    <w:uiPriority w:val="0"/>
    <w:pPr>
      <w:widowControl/>
    </w:pPr>
    <w:rPr>
      <w:rFonts w:ascii="宋体"/>
      <w:sz w:val="24"/>
      <w:szCs w:val="21"/>
    </w:rPr>
  </w:style>
  <w:style w:type="paragraph" w:customStyle="1" w:styleId="14">
    <w:name w:val="Date1"/>
    <w:basedOn w:val="1"/>
    <w:next w:val="1"/>
    <w:autoRedefine/>
    <w:qFormat/>
    <w:uiPriority w:val="0"/>
    <w:pPr>
      <w:ind w:left="2500" w:leftChars="2500"/>
    </w:pPr>
  </w:style>
  <w:style w:type="paragraph" w:styleId="15">
    <w:name w:val="Block Text"/>
    <w:basedOn w:val="1"/>
    <w:next w:val="1"/>
    <w:autoRedefine/>
    <w:qFormat/>
    <w:uiPriority w:val="0"/>
    <w:pPr>
      <w:spacing w:line="240" w:lineRule="auto"/>
      <w:ind w:left="113" w:right="113" w:firstLine="3584"/>
      <w:jc w:val="center"/>
    </w:pPr>
  </w:style>
  <w:style w:type="paragraph" w:styleId="16">
    <w:name w:val="Plain Text"/>
    <w:basedOn w:val="1"/>
    <w:autoRedefine/>
    <w:qFormat/>
    <w:uiPriority w:val="0"/>
    <w:rPr>
      <w:rFonts w:ascii="宋体" w:hAnsi="Courier New" w:cs="Courier New"/>
      <w:szCs w:val="21"/>
    </w:rPr>
  </w:style>
  <w:style w:type="paragraph" w:styleId="17">
    <w:name w:val="Date"/>
    <w:basedOn w:val="1"/>
    <w:next w:val="1"/>
    <w:link w:val="57"/>
    <w:autoRedefine/>
    <w:qFormat/>
    <w:uiPriority w:val="0"/>
    <w:pPr>
      <w:ind w:left="100" w:leftChars="2500"/>
    </w:pPr>
    <w:rPr>
      <w:kern w:val="0"/>
      <w:sz w:val="20"/>
    </w:rPr>
  </w:style>
  <w:style w:type="paragraph" w:styleId="18">
    <w:name w:val="Body Text Indent 2"/>
    <w:basedOn w:val="1"/>
    <w:next w:val="1"/>
    <w:autoRedefine/>
    <w:qFormat/>
    <w:uiPriority w:val="0"/>
    <w:pPr>
      <w:spacing w:after="120" w:line="480" w:lineRule="auto"/>
      <w:ind w:left="420" w:leftChars="200"/>
    </w:pPr>
  </w:style>
  <w:style w:type="paragraph" w:styleId="19">
    <w:name w:val="Balloon Text"/>
    <w:basedOn w:val="1"/>
    <w:next w:val="15"/>
    <w:link w:val="58"/>
    <w:autoRedefine/>
    <w:semiHidden/>
    <w:qFormat/>
    <w:uiPriority w:val="0"/>
    <w:rPr>
      <w:sz w:val="18"/>
      <w:szCs w:val="18"/>
    </w:rPr>
  </w:style>
  <w:style w:type="paragraph" w:styleId="20">
    <w:name w:val="footer"/>
    <w:basedOn w:val="1"/>
    <w:link w:val="59"/>
    <w:autoRedefine/>
    <w:qFormat/>
    <w:uiPriority w:val="0"/>
    <w:pPr>
      <w:tabs>
        <w:tab w:val="center" w:pos="4153"/>
        <w:tab w:val="right" w:pos="8306"/>
      </w:tabs>
      <w:snapToGrid w:val="0"/>
      <w:jc w:val="left"/>
    </w:pPr>
    <w:rPr>
      <w:sz w:val="18"/>
      <w:szCs w:val="18"/>
    </w:rPr>
  </w:style>
  <w:style w:type="paragraph" w:styleId="21">
    <w:name w:val="header"/>
    <w:basedOn w:val="1"/>
    <w:next w:val="22"/>
    <w:link w:val="60"/>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2">
    <w:name w:val="样式5"/>
    <w:basedOn w:val="1"/>
    <w:autoRedefine/>
    <w:qFormat/>
    <w:uiPriority w:val="0"/>
    <w:pPr>
      <w:spacing w:line="380" w:lineRule="exact"/>
      <w:ind w:firstLine="566" w:firstLineChars="202"/>
    </w:pPr>
    <w:rPr>
      <w:rFonts w:eastAsia="华文行楷"/>
    </w:rPr>
  </w:style>
  <w:style w:type="paragraph" w:styleId="23">
    <w:name w:val="toc 1"/>
    <w:basedOn w:val="1"/>
    <w:next w:val="1"/>
    <w:autoRedefine/>
    <w:qFormat/>
    <w:locked/>
    <w:uiPriority w:val="0"/>
    <w:pPr>
      <w:spacing w:line="360" w:lineRule="auto"/>
    </w:pPr>
    <w:rPr>
      <w:b/>
      <w:sz w:val="24"/>
    </w:rPr>
  </w:style>
  <w:style w:type="paragraph" w:styleId="24">
    <w:name w:val="List"/>
    <w:basedOn w:val="1"/>
    <w:autoRedefine/>
    <w:qFormat/>
    <w:uiPriority w:val="0"/>
    <w:pPr>
      <w:ind w:left="200" w:hanging="200" w:hangingChars="200"/>
    </w:pPr>
  </w:style>
  <w:style w:type="paragraph" w:styleId="25">
    <w:name w:val="toc 6"/>
    <w:basedOn w:val="1"/>
    <w:next w:val="1"/>
    <w:autoRedefine/>
    <w:qFormat/>
    <w:locked/>
    <w:uiPriority w:val="0"/>
    <w:pPr>
      <w:ind w:left="2100" w:leftChars="1000"/>
    </w:pPr>
  </w:style>
  <w:style w:type="paragraph" w:styleId="26">
    <w:name w:val="Body Text Indent 3"/>
    <w:basedOn w:val="1"/>
    <w:autoRedefine/>
    <w:qFormat/>
    <w:uiPriority w:val="0"/>
    <w:pPr>
      <w:spacing w:after="120"/>
      <w:ind w:left="420" w:leftChars="200"/>
    </w:pPr>
    <w:rPr>
      <w:sz w:val="16"/>
      <w:szCs w:val="16"/>
    </w:rPr>
  </w:style>
  <w:style w:type="paragraph" w:styleId="27">
    <w:name w:val="table of figures"/>
    <w:basedOn w:val="1"/>
    <w:next w:val="1"/>
    <w:autoRedefine/>
    <w:qFormat/>
    <w:uiPriority w:val="0"/>
    <w:pPr>
      <w:autoSpaceDE w:val="0"/>
      <w:autoSpaceDN w:val="0"/>
      <w:spacing w:line="360" w:lineRule="auto"/>
      <w:ind w:left="200" w:leftChars="200" w:hanging="200" w:hangingChars="200"/>
    </w:pPr>
    <w:rPr>
      <w:sz w:val="28"/>
      <w:szCs w:val="20"/>
    </w:rPr>
  </w:style>
  <w:style w:type="paragraph" w:styleId="28">
    <w:name w:val="toc 2"/>
    <w:basedOn w:val="1"/>
    <w:next w:val="1"/>
    <w:autoRedefine/>
    <w:unhideWhenUsed/>
    <w:qFormat/>
    <w:locked/>
    <w:uiPriority w:val="39"/>
    <w:pPr>
      <w:ind w:left="420" w:leftChars="200"/>
    </w:pPr>
    <w:rPr>
      <w:rFonts w:ascii="Calibri" w:hAnsi="Calibri"/>
    </w:rPr>
  </w:style>
  <w:style w:type="paragraph" w:styleId="29">
    <w:name w:val="toc 9"/>
    <w:basedOn w:val="1"/>
    <w:next w:val="1"/>
    <w:autoRedefine/>
    <w:qFormat/>
    <w:locked/>
    <w:uiPriority w:val="39"/>
    <w:pPr>
      <w:ind w:left="1680"/>
    </w:pPr>
    <w:rPr>
      <w:sz w:val="18"/>
    </w:rPr>
  </w:style>
  <w:style w:type="paragraph" w:styleId="30">
    <w:name w:val="Body Text 2"/>
    <w:basedOn w:val="1"/>
    <w:autoRedefine/>
    <w:unhideWhenUsed/>
    <w:qFormat/>
    <w:uiPriority w:val="0"/>
    <w:rPr>
      <w:sz w:val="24"/>
    </w:rPr>
  </w:style>
  <w:style w:type="paragraph" w:styleId="31">
    <w:name w:val="Message Header"/>
    <w:basedOn w:val="1"/>
    <w:autoRedefine/>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32">
    <w:name w:val="Normal (Web)"/>
    <w:basedOn w:val="1"/>
    <w:link w:val="61"/>
    <w:autoRedefine/>
    <w:qFormat/>
    <w:uiPriority w:val="0"/>
    <w:pPr>
      <w:widowControl/>
      <w:spacing w:before="100" w:beforeAutospacing="1" w:after="100" w:afterAutospacing="1"/>
      <w:jc w:val="left"/>
    </w:pPr>
    <w:rPr>
      <w:rFonts w:ascii="宋体" w:hAnsi="宋体"/>
      <w:kern w:val="0"/>
      <w:sz w:val="24"/>
    </w:rPr>
  </w:style>
  <w:style w:type="paragraph" w:styleId="33">
    <w:name w:val="Title"/>
    <w:basedOn w:val="1"/>
    <w:next w:val="1"/>
    <w:autoRedefine/>
    <w:qFormat/>
    <w:locked/>
    <w:uiPriority w:val="0"/>
    <w:pPr>
      <w:adjustRightInd w:val="0"/>
      <w:snapToGrid w:val="0"/>
      <w:spacing w:line="480" w:lineRule="exact"/>
      <w:ind w:firstLine="560" w:firstLineChars="200"/>
    </w:pPr>
    <w:rPr>
      <w:rFonts w:ascii="仿宋_GB2312" w:eastAsia="仿宋_GB2312"/>
      <w:color w:val="000000"/>
      <w:sz w:val="28"/>
      <w:szCs w:val="28"/>
    </w:rPr>
  </w:style>
  <w:style w:type="paragraph" w:styleId="34">
    <w:name w:val="annotation subject"/>
    <w:basedOn w:val="11"/>
    <w:next w:val="11"/>
    <w:link w:val="62"/>
    <w:autoRedefine/>
    <w:semiHidden/>
    <w:qFormat/>
    <w:uiPriority w:val="0"/>
    <w:rPr>
      <w:b/>
      <w:bCs/>
    </w:rPr>
  </w:style>
  <w:style w:type="paragraph" w:styleId="35">
    <w:name w:val="Body Text First Indent"/>
    <w:basedOn w:val="1"/>
    <w:next w:val="36"/>
    <w:autoRedefine/>
    <w:qFormat/>
    <w:uiPriority w:val="0"/>
    <w:pPr>
      <w:ind w:firstLine="420" w:firstLineChars="100"/>
    </w:pPr>
  </w:style>
  <w:style w:type="paragraph" w:customStyle="1" w:styleId="36">
    <w:name w:val="样式 正文首行缩进 + 首行缩进:  2 字符1"/>
    <w:basedOn w:val="35"/>
    <w:next w:val="23"/>
    <w:autoRedefine/>
    <w:qFormat/>
    <w:uiPriority w:val="0"/>
    <w:pPr>
      <w:spacing w:line="360" w:lineRule="auto"/>
      <w:ind w:firstLine="480" w:firstLineChars="200"/>
    </w:pPr>
    <w:rPr>
      <w:sz w:val="24"/>
    </w:rPr>
  </w:style>
  <w:style w:type="table" w:styleId="38">
    <w:name w:val="Table Grid"/>
    <w:basedOn w:val="3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autoRedefine/>
    <w:qFormat/>
    <w:locked/>
    <w:uiPriority w:val="0"/>
    <w:rPr>
      <w:b/>
    </w:rPr>
  </w:style>
  <w:style w:type="character" w:styleId="41">
    <w:name w:val="page number"/>
    <w:basedOn w:val="39"/>
    <w:autoRedefine/>
    <w:qFormat/>
    <w:uiPriority w:val="0"/>
    <w:rPr>
      <w:rFonts w:hint="default" w:ascii="Times New Roman" w:hAnsi="Times New Roman" w:cs="Times New Roman"/>
    </w:rPr>
  </w:style>
  <w:style w:type="character" w:styleId="42">
    <w:name w:val="FollowedHyperlink"/>
    <w:basedOn w:val="39"/>
    <w:autoRedefine/>
    <w:qFormat/>
    <w:uiPriority w:val="0"/>
    <w:rPr>
      <w:color w:val="185ECF"/>
      <w:u w:val="none"/>
    </w:rPr>
  </w:style>
  <w:style w:type="character" w:styleId="43">
    <w:name w:val="Emphasis"/>
    <w:autoRedefine/>
    <w:qFormat/>
    <w:locked/>
    <w:uiPriority w:val="0"/>
    <w:rPr>
      <w:i/>
    </w:rPr>
  </w:style>
  <w:style w:type="character" w:styleId="44">
    <w:name w:val="Hyperlink"/>
    <w:autoRedefine/>
    <w:qFormat/>
    <w:uiPriority w:val="0"/>
    <w:rPr>
      <w:color w:val="0000FF"/>
      <w:u w:val="single"/>
    </w:rPr>
  </w:style>
  <w:style w:type="character" w:styleId="45">
    <w:name w:val="annotation reference"/>
    <w:basedOn w:val="39"/>
    <w:autoRedefine/>
    <w:semiHidden/>
    <w:qFormat/>
    <w:uiPriority w:val="0"/>
    <w:rPr>
      <w:sz w:val="21"/>
    </w:rPr>
  </w:style>
  <w:style w:type="paragraph" w:customStyle="1" w:styleId="46">
    <w:name w:val="样式 正文文本缩进 + 行距: 1.5 倍行距"/>
    <w:basedOn w:val="1"/>
    <w:qFormat/>
    <w:uiPriority w:val="0"/>
    <w:pPr>
      <w:spacing w:after="120" w:line="360" w:lineRule="auto"/>
      <w:ind w:left="90" w:leftChars="32" w:firstLine="560" w:firstLineChars="200"/>
    </w:pPr>
    <w:rPr>
      <w:rFonts w:cs="宋体"/>
      <w:sz w:val="24"/>
    </w:rPr>
  </w:style>
  <w:style w:type="paragraph" w:customStyle="1" w:styleId="47">
    <w:name w:val="BodyText1I"/>
    <w:basedOn w:val="48"/>
    <w:qFormat/>
    <w:uiPriority w:val="0"/>
    <w:pPr>
      <w:ind w:firstLine="420" w:firstLineChars="100"/>
    </w:pPr>
  </w:style>
  <w:style w:type="paragraph" w:customStyle="1" w:styleId="48">
    <w:name w:val="BodyText"/>
    <w:basedOn w:val="1"/>
    <w:autoRedefine/>
    <w:qFormat/>
    <w:uiPriority w:val="0"/>
    <w:pPr>
      <w:textAlignment w:val="baseline"/>
    </w:pPr>
    <w:rPr>
      <w:rFonts w:ascii="宋体" w:hAnsi="宋体"/>
      <w:szCs w:val="21"/>
    </w:rPr>
  </w:style>
  <w:style w:type="paragraph" w:customStyle="1" w:styleId="49">
    <w:name w:val="xl27"/>
    <w:basedOn w:val="1"/>
    <w:autoRedefine/>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50">
    <w:name w:val="_Style 4"/>
    <w:autoRedefine/>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51">
    <w:name w:val="内容"/>
    <w:basedOn w:val="1"/>
    <w:autoRedefine/>
    <w:qFormat/>
    <w:uiPriority w:val="0"/>
    <w:pPr>
      <w:spacing w:beforeLines="50" w:afterLines="50"/>
      <w:ind w:firstLine="200" w:firstLineChars="200"/>
    </w:pPr>
    <w:rPr>
      <w:color w:val="000000"/>
      <w:sz w:val="24"/>
    </w:rPr>
  </w:style>
  <w:style w:type="paragraph" w:customStyle="1" w:styleId="52">
    <w:name w:val="Default"/>
    <w:basedOn w:val="53"/>
    <w:next w:val="1"/>
    <w:autoRedefine/>
    <w:qFormat/>
    <w:uiPriority w:val="0"/>
    <w:pPr>
      <w:widowControl w:val="0"/>
      <w:autoSpaceDE w:val="0"/>
      <w:autoSpaceDN w:val="0"/>
    </w:pPr>
    <w:rPr>
      <w:color w:val="000000"/>
    </w:rPr>
  </w:style>
  <w:style w:type="paragraph" w:customStyle="1" w:styleId="53">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54">
    <w:name w:val="批注文字 字符"/>
    <w:link w:val="11"/>
    <w:autoRedefine/>
    <w:qFormat/>
    <w:locked/>
    <w:uiPriority w:val="0"/>
    <w:rPr>
      <w:rFonts w:ascii="Times New Roman" w:hAnsi="Times New Roman" w:eastAsia="宋体"/>
      <w:sz w:val="24"/>
    </w:rPr>
  </w:style>
  <w:style w:type="character" w:customStyle="1" w:styleId="55">
    <w:name w:val="正文文本 字符"/>
    <w:link w:val="12"/>
    <w:autoRedefine/>
    <w:qFormat/>
    <w:locked/>
    <w:uiPriority w:val="0"/>
    <w:rPr>
      <w:sz w:val="18"/>
    </w:rPr>
  </w:style>
  <w:style w:type="character" w:customStyle="1" w:styleId="56">
    <w:name w:val="正文文本缩进 字符"/>
    <w:link w:val="3"/>
    <w:autoRedefine/>
    <w:semiHidden/>
    <w:qFormat/>
    <w:locked/>
    <w:uiPriority w:val="0"/>
    <w:rPr>
      <w:rFonts w:ascii="Times New Roman" w:hAnsi="Times New Roman" w:eastAsia="宋体" w:cs="Times New Roman"/>
      <w:sz w:val="24"/>
      <w:szCs w:val="24"/>
    </w:rPr>
  </w:style>
  <w:style w:type="character" w:customStyle="1" w:styleId="57">
    <w:name w:val="日期 字符1"/>
    <w:link w:val="17"/>
    <w:autoRedefine/>
    <w:qFormat/>
    <w:locked/>
    <w:uiPriority w:val="0"/>
    <w:rPr>
      <w:rFonts w:ascii="Times New Roman" w:hAnsi="Times New Roman" w:eastAsia="宋体"/>
      <w:sz w:val="24"/>
    </w:rPr>
  </w:style>
  <w:style w:type="character" w:customStyle="1" w:styleId="58">
    <w:name w:val="批注框文本 字符"/>
    <w:link w:val="19"/>
    <w:autoRedefine/>
    <w:semiHidden/>
    <w:qFormat/>
    <w:locked/>
    <w:uiPriority w:val="0"/>
    <w:rPr>
      <w:rFonts w:ascii="Times New Roman" w:hAnsi="Times New Roman" w:eastAsia="宋体" w:cs="Times New Roman"/>
      <w:sz w:val="18"/>
      <w:szCs w:val="18"/>
    </w:rPr>
  </w:style>
  <w:style w:type="character" w:customStyle="1" w:styleId="59">
    <w:name w:val="页脚 字符"/>
    <w:link w:val="20"/>
    <w:autoRedefine/>
    <w:qFormat/>
    <w:locked/>
    <w:uiPriority w:val="0"/>
    <w:rPr>
      <w:rFonts w:cs="Times New Roman"/>
      <w:sz w:val="18"/>
      <w:szCs w:val="18"/>
    </w:rPr>
  </w:style>
  <w:style w:type="character" w:customStyle="1" w:styleId="60">
    <w:name w:val="页眉 字符1"/>
    <w:link w:val="21"/>
    <w:autoRedefine/>
    <w:qFormat/>
    <w:locked/>
    <w:uiPriority w:val="0"/>
    <w:rPr>
      <w:rFonts w:cs="Times New Roman"/>
      <w:sz w:val="18"/>
      <w:szCs w:val="18"/>
    </w:rPr>
  </w:style>
  <w:style w:type="character" w:customStyle="1" w:styleId="61">
    <w:name w:val="普通(网站) 字符"/>
    <w:link w:val="32"/>
    <w:autoRedefine/>
    <w:qFormat/>
    <w:locked/>
    <w:uiPriority w:val="0"/>
    <w:rPr>
      <w:rFonts w:ascii="宋体" w:hAnsi="宋体" w:eastAsia="宋体"/>
      <w:sz w:val="24"/>
    </w:rPr>
  </w:style>
  <w:style w:type="character" w:customStyle="1" w:styleId="62">
    <w:name w:val="批注主题 字符"/>
    <w:link w:val="34"/>
    <w:autoRedefine/>
    <w:semiHidden/>
    <w:qFormat/>
    <w:locked/>
    <w:uiPriority w:val="0"/>
    <w:rPr>
      <w:rFonts w:cs="Times New Roman"/>
      <w:b/>
      <w:bCs/>
      <w:kern w:val="2"/>
      <w:szCs w:val="24"/>
    </w:rPr>
  </w:style>
  <w:style w:type="character" w:customStyle="1" w:styleId="63">
    <w:name w:val="页眉 字符"/>
    <w:autoRedefine/>
    <w:qFormat/>
    <w:uiPriority w:val="0"/>
    <w:rPr>
      <w:rFonts w:hint="default" w:ascii="Calibri" w:hAnsi="Calibri" w:cs="Calibri"/>
    </w:rPr>
  </w:style>
  <w:style w:type="character" w:customStyle="1" w:styleId="64">
    <w:name w:val="普通(网站) Char"/>
    <w:autoRedefine/>
    <w:qFormat/>
    <w:locked/>
    <w:uiPriority w:val="0"/>
    <w:rPr>
      <w:rFonts w:ascii="宋体" w:hAnsi="宋体" w:eastAsia="宋体"/>
      <w:sz w:val="24"/>
    </w:rPr>
  </w:style>
  <w:style w:type="character" w:customStyle="1" w:styleId="65">
    <w:name w:val="日期 字符"/>
    <w:autoRedefine/>
    <w:semiHidden/>
    <w:qFormat/>
    <w:uiPriority w:val="0"/>
    <w:rPr>
      <w:rFonts w:ascii="Times New Roman" w:hAnsi="Times New Roman" w:eastAsia="宋体" w:cs="Times New Roman"/>
      <w:sz w:val="24"/>
      <w:szCs w:val="24"/>
    </w:rPr>
  </w:style>
  <w:style w:type="character" w:customStyle="1" w:styleId="66">
    <w:name w:val="批注文字 字符1"/>
    <w:autoRedefine/>
    <w:semiHidden/>
    <w:qFormat/>
    <w:uiPriority w:val="0"/>
    <w:rPr>
      <w:rFonts w:ascii="Times New Roman" w:hAnsi="Times New Roman" w:eastAsia="宋体" w:cs="Times New Roman"/>
      <w:sz w:val="24"/>
      <w:szCs w:val="24"/>
    </w:rPr>
  </w:style>
  <w:style w:type="character" w:customStyle="1" w:styleId="67">
    <w:name w:val="正文文本 字符1"/>
    <w:autoRedefine/>
    <w:semiHidden/>
    <w:qFormat/>
    <w:uiPriority w:val="0"/>
    <w:rPr>
      <w:rFonts w:ascii="Times New Roman" w:hAnsi="Times New Roman" w:eastAsia="宋体" w:cs="Times New Roman"/>
      <w:sz w:val="24"/>
      <w:szCs w:val="24"/>
    </w:rPr>
  </w:style>
  <w:style w:type="character" w:customStyle="1" w:styleId="68">
    <w:name w:val="表格 Char"/>
    <w:link w:val="69"/>
    <w:autoRedefine/>
    <w:qFormat/>
    <w:locked/>
    <w:uiPriority w:val="0"/>
    <w:rPr>
      <w:rFonts w:ascii="宋体"/>
      <w:sz w:val="21"/>
    </w:rPr>
  </w:style>
  <w:style w:type="paragraph" w:customStyle="1" w:styleId="69">
    <w:name w:val="表格"/>
    <w:basedOn w:val="9"/>
    <w:next w:val="1"/>
    <w:link w:val="68"/>
    <w:autoRedefine/>
    <w:qFormat/>
    <w:uiPriority w:val="0"/>
    <w:pPr>
      <w:adjustRightInd w:val="0"/>
      <w:snapToGrid w:val="0"/>
      <w:spacing w:beforeLines="10" w:afterLines="10" w:line="259" w:lineRule="auto"/>
      <w:jc w:val="center"/>
    </w:pPr>
    <w:rPr>
      <w:rFonts w:ascii="宋体"/>
      <w:kern w:val="0"/>
      <w:sz w:val="20"/>
      <w:szCs w:val="21"/>
    </w:rPr>
  </w:style>
  <w:style w:type="character" w:customStyle="1" w:styleId="70">
    <w:name w:val="apple-converted-space"/>
    <w:autoRedefine/>
    <w:qFormat/>
    <w:uiPriority w:val="0"/>
    <w:rPr>
      <w:rFonts w:hint="default" w:ascii="Times New Roman" w:hAnsi="Times New Roman" w:cs="Times New Roman"/>
    </w:rPr>
  </w:style>
  <w:style w:type="paragraph" w:customStyle="1" w:styleId="71">
    <w:name w:val="样式 标题 1 + 首行缩进:  2 字符"/>
    <w:basedOn w:val="5"/>
    <w:autoRedefine/>
    <w:qFormat/>
    <w:uiPriority w:val="0"/>
    <w:pPr>
      <w:spacing w:before="0" w:after="0" w:line="720" w:lineRule="auto"/>
      <w:ind w:firstLine="200" w:firstLineChars="200"/>
      <w:jc w:val="center"/>
    </w:pPr>
    <w:rPr>
      <w:rFonts w:ascii="黑体" w:cs="宋体"/>
      <w:kern w:val="2"/>
      <w:sz w:val="36"/>
      <w:szCs w:val="20"/>
    </w:rPr>
  </w:style>
  <w:style w:type="paragraph" w:customStyle="1" w:styleId="72">
    <w:name w:val="报告表正文"/>
    <w:basedOn w:val="1"/>
    <w:autoRedefine/>
    <w:qFormat/>
    <w:uiPriority w:val="0"/>
    <w:pPr>
      <w:adjustRightInd w:val="0"/>
      <w:spacing w:line="312" w:lineRule="auto"/>
      <w:ind w:left="113" w:right="113" w:firstLine="482"/>
      <w:jc w:val="left"/>
      <w:textAlignment w:val="baseline"/>
    </w:pPr>
    <w:rPr>
      <w:kern w:val="0"/>
      <w:sz w:val="24"/>
    </w:rPr>
  </w:style>
  <w:style w:type="paragraph" w:customStyle="1" w:styleId="73">
    <w:name w:val="表格标题"/>
    <w:basedOn w:val="74"/>
    <w:next w:val="1"/>
    <w:autoRedefine/>
    <w:qFormat/>
    <w:uiPriority w:val="0"/>
    <w:pPr>
      <w:tabs>
        <w:tab w:val="left" w:pos="5400"/>
      </w:tabs>
      <w:spacing w:before="156" w:beforeLines="50" w:after="156" w:afterLines="50" w:line="400" w:lineRule="exact"/>
      <w:jc w:val="center"/>
    </w:pPr>
    <w:rPr>
      <w:rFonts w:ascii="黑体" w:hAnsi="宋体" w:eastAsia="黑体"/>
      <w:color w:val="000000"/>
      <w:spacing w:val="4"/>
      <w:sz w:val="24"/>
    </w:rPr>
  </w:style>
  <w:style w:type="paragraph" w:customStyle="1" w:styleId="74">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75">
    <w:name w:val="【表头】"/>
    <w:basedOn w:val="76"/>
    <w:autoRedefine/>
    <w:qFormat/>
    <w:uiPriority w:val="0"/>
    <w:pPr>
      <w:spacing w:line="460" w:lineRule="exact"/>
      <w:jc w:val="center"/>
    </w:pPr>
    <w:rPr>
      <w:rFonts w:eastAsia="黑体"/>
      <w:sz w:val="24"/>
    </w:rPr>
  </w:style>
  <w:style w:type="paragraph" w:customStyle="1" w:styleId="76">
    <w:name w:val="0"/>
    <w:basedOn w:val="1"/>
    <w:autoRedefine/>
    <w:qFormat/>
    <w:uiPriority w:val="99"/>
    <w:pPr>
      <w:widowControl/>
      <w:snapToGrid w:val="0"/>
      <w:jc w:val="left"/>
    </w:pPr>
    <w:rPr>
      <w:rFonts w:ascii="宋体"/>
      <w:kern w:val="0"/>
      <w:sz w:val="20"/>
      <w:szCs w:val="20"/>
    </w:rPr>
  </w:style>
  <w:style w:type="paragraph" w:customStyle="1" w:styleId="77">
    <w:name w:val="【正文】"/>
    <w:basedOn w:val="1"/>
    <w:next w:val="1"/>
    <w:autoRedefine/>
    <w:qFormat/>
    <w:uiPriority w:val="0"/>
    <w:pPr>
      <w:spacing w:line="440" w:lineRule="exact"/>
      <w:ind w:firstLine="544"/>
    </w:pPr>
    <w:rPr>
      <w:rFonts w:cs="宋体"/>
      <w:szCs w:val="20"/>
    </w:rPr>
  </w:style>
  <w:style w:type="paragraph" w:customStyle="1" w:styleId="78">
    <w:name w:val="正文00"/>
    <w:basedOn w:val="1"/>
    <w:autoRedefine/>
    <w:qFormat/>
    <w:uiPriority w:val="0"/>
    <w:pPr>
      <w:widowControl/>
      <w:spacing w:line="425" w:lineRule="atLeast"/>
      <w:ind w:left="107" w:leftChars="51" w:right="124" w:rightChars="59" w:firstLine="480"/>
      <w:textAlignment w:val="baseline"/>
    </w:pPr>
    <w:rPr>
      <w:rFonts w:ascii="Calibri"/>
      <w:sz w:val="28"/>
    </w:rPr>
  </w:style>
  <w:style w:type="paragraph" w:customStyle="1" w:styleId="79">
    <w:name w:val="表头"/>
    <w:basedOn w:val="28"/>
    <w:next w:val="16"/>
    <w:autoRedefine/>
    <w:qFormat/>
    <w:uiPriority w:val="0"/>
    <w:rPr>
      <w:rFonts w:eastAsia="黑体"/>
    </w:rPr>
  </w:style>
  <w:style w:type="paragraph" w:customStyle="1" w:styleId="80">
    <w:name w:val="样式4"/>
    <w:basedOn w:val="12"/>
    <w:autoRedefine/>
    <w:qFormat/>
    <w:uiPriority w:val="0"/>
    <w:pPr>
      <w:adjustRightInd w:val="0"/>
      <w:jc w:val="center"/>
    </w:pPr>
    <w:rPr>
      <w:sz w:val="24"/>
    </w:rPr>
  </w:style>
  <w:style w:type="paragraph" w:customStyle="1" w:styleId="81">
    <w:name w:val="Table Paragraph"/>
    <w:basedOn w:val="1"/>
    <w:autoRedefine/>
    <w:unhideWhenUsed/>
    <w:qFormat/>
    <w:uiPriority w:val="1"/>
    <w:rPr>
      <w:sz w:val="24"/>
    </w:rPr>
  </w:style>
  <w:style w:type="paragraph" w:customStyle="1" w:styleId="82">
    <w:name w:val="煤炭资源普查报告格式"/>
    <w:basedOn w:val="1"/>
    <w:autoRedefine/>
    <w:qFormat/>
    <w:uiPriority w:val="0"/>
    <w:pPr>
      <w:spacing w:line="500" w:lineRule="exact"/>
    </w:pPr>
  </w:style>
  <w:style w:type="paragraph" w:customStyle="1" w:styleId="83">
    <w:name w:val="表头文字"/>
    <w:basedOn w:val="1"/>
    <w:autoRedefine/>
    <w:qFormat/>
    <w:uiPriority w:val="0"/>
    <w:pPr>
      <w:adjustRightInd w:val="0"/>
      <w:jc w:val="center"/>
    </w:pPr>
    <w:rPr>
      <w:sz w:val="28"/>
      <w:szCs w:val="20"/>
    </w:rPr>
  </w:style>
  <w:style w:type="paragraph" w:customStyle="1" w:styleId="84">
    <w:name w:val="标题4"/>
    <w:basedOn w:val="78"/>
    <w:autoRedefine/>
    <w:qFormat/>
    <w:uiPriority w:val="0"/>
    <w:pPr>
      <w:ind w:left="51" w:right="59" w:firstLine="100" w:firstLineChars="100"/>
    </w:pPr>
    <w:rPr>
      <w:b/>
    </w:rPr>
  </w:style>
  <w:style w:type="paragraph" w:customStyle="1" w:styleId="85">
    <w:name w:val="正文----------------"/>
    <w:basedOn w:val="1"/>
    <w:autoRedefine/>
    <w:qFormat/>
    <w:uiPriority w:val="0"/>
    <w:pPr>
      <w:spacing w:line="440" w:lineRule="exact"/>
      <w:ind w:firstLine="544" w:firstLineChars="200"/>
    </w:pPr>
    <w:rPr>
      <w:rFonts w:ascii="Calibri" w:cs="宋体"/>
      <w:spacing w:val="16"/>
      <w:szCs w:val="20"/>
    </w:rPr>
  </w:style>
  <w:style w:type="paragraph" w:customStyle="1" w:styleId="86">
    <w:name w:val="表文"/>
    <w:basedOn w:val="1"/>
    <w:autoRedefine/>
    <w:qFormat/>
    <w:uiPriority w:val="0"/>
    <w:pPr>
      <w:tabs>
        <w:tab w:val="left" w:pos="6480"/>
      </w:tabs>
      <w:spacing w:line="360" w:lineRule="exact"/>
    </w:pPr>
    <w:rPr>
      <w:rFonts w:ascii="宋体" w:hAnsi="宋体"/>
      <w:sz w:val="24"/>
    </w:rPr>
  </w:style>
  <w:style w:type="paragraph" w:customStyle="1" w:styleId="87">
    <w:name w:val="表格文字"/>
    <w:basedOn w:val="1"/>
    <w:link w:val="154"/>
    <w:autoRedefine/>
    <w:qFormat/>
    <w:uiPriority w:val="0"/>
    <w:pPr>
      <w:jc w:val="center"/>
    </w:pPr>
    <w:rPr>
      <w:rFonts w:ascii="new times roma" w:hAnsi="new times roma"/>
    </w:rPr>
  </w:style>
  <w:style w:type="paragraph" w:styleId="88">
    <w:name w:val="No Spacing"/>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9">
    <w:name w:val="表格内容"/>
    <w:basedOn w:val="90"/>
    <w:autoRedefine/>
    <w:qFormat/>
    <w:uiPriority w:val="0"/>
    <w:pPr>
      <w:spacing w:line="240" w:lineRule="exact"/>
    </w:pPr>
    <w:rPr>
      <w:snapToGrid w:val="0"/>
      <w:color w:val="FF0000"/>
      <w:kern w:val="0"/>
      <w:sz w:val="21"/>
      <w:szCs w:val="21"/>
    </w:rPr>
  </w:style>
  <w:style w:type="paragraph" w:customStyle="1" w:styleId="90">
    <w:name w:val="封皮-证书编号"/>
    <w:basedOn w:val="1"/>
    <w:autoRedefine/>
    <w:qFormat/>
    <w:uiPriority w:val="0"/>
    <w:pPr>
      <w:jc w:val="center"/>
    </w:pPr>
    <w:rPr>
      <w:rFonts w:eastAsia="黑体"/>
      <w:sz w:val="28"/>
    </w:rPr>
  </w:style>
  <w:style w:type="paragraph" w:customStyle="1" w:styleId="91">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92">
    <w:name w:val="表头-------------"/>
    <w:basedOn w:val="1"/>
    <w:autoRedefine/>
    <w:qFormat/>
    <w:uiPriority w:val="0"/>
    <w:pPr>
      <w:spacing w:line="460" w:lineRule="exact"/>
      <w:jc w:val="center"/>
    </w:pPr>
    <w:rPr>
      <w:rFonts w:ascii="Calibri" w:eastAsia="黑体" w:cs="宋体"/>
      <w:szCs w:val="20"/>
    </w:rPr>
  </w:style>
  <w:style w:type="paragraph" w:customStyle="1" w:styleId="93">
    <w:name w:val="正文01"/>
    <w:basedOn w:val="1"/>
    <w:autoRedefine/>
    <w:qFormat/>
    <w:uiPriority w:val="0"/>
    <w:pPr>
      <w:spacing w:before="60" w:line="460" w:lineRule="exact"/>
      <w:ind w:firstLine="200" w:firstLineChars="200"/>
    </w:pPr>
    <w:rPr>
      <w:snapToGrid w:val="0"/>
      <w:kern w:val="0"/>
      <w:sz w:val="24"/>
    </w:rPr>
  </w:style>
  <w:style w:type="paragraph" w:customStyle="1" w:styleId="94">
    <w:name w:val="样式 正文文字-1 + 首行缩进:  2.1 字符1"/>
    <w:basedOn w:val="95"/>
    <w:autoRedefine/>
    <w:qFormat/>
    <w:uiPriority w:val="0"/>
    <w:pPr>
      <w:spacing w:line="440" w:lineRule="exact"/>
      <w:ind w:firstLine="210"/>
    </w:pPr>
    <w:rPr>
      <w:rFonts w:cs="宋体"/>
      <w:szCs w:val="20"/>
    </w:rPr>
  </w:style>
  <w:style w:type="paragraph" w:customStyle="1" w:styleId="95">
    <w:name w:val="正文文字-1 Char"/>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96">
    <w:name w:val="表格正文"/>
    <w:basedOn w:val="1"/>
    <w:next w:val="1"/>
    <w:autoRedefine/>
    <w:qFormat/>
    <w:uiPriority w:val="0"/>
    <w:pPr>
      <w:spacing w:line="360" w:lineRule="exact"/>
      <w:ind w:firstLine="640" w:firstLineChars="200"/>
      <w:jc w:val="center"/>
    </w:pPr>
    <w:rPr>
      <w:sz w:val="28"/>
      <w:szCs w:val="28"/>
    </w:rPr>
  </w:style>
  <w:style w:type="paragraph" w:customStyle="1" w:styleId="97">
    <w:name w:val="Table caption|1"/>
    <w:basedOn w:val="1"/>
    <w:autoRedefine/>
    <w:qFormat/>
    <w:uiPriority w:val="0"/>
    <w:rPr>
      <w:rFonts w:ascii="宋体" w:hAnsi="宋体" w:cs="宋体"/>
      <w:sz w:val="13"/>
      <w:szCs w:val="13"/>
      <w:lang w:val="zh-TW" w:eastAsia="zh-TW" w:bidi="zh-TW"/>
    </w:rPr>
  </w:style>
  <w:style w:type="paragraph" w:customStyle="1" w:styleId="98">
    <w:name w:val="正文样式1"/>
    <w:basedOn w:val="1"/>
    <w:autoRedefine/>
    <w:qFormat/>
    <w:uiPriority w:val="0"/>
    <w:pPr>
      <w:adjustRightInd w:val="0"/>
      <w:spacing w:line="288" w:lineRule="auto"/>
      <w:ind w:firstLine="360" w:firstLineChars="150"/>
      <w:textAlignment w:val="baseline"/>
    </w:pPr>
    <w:rPr>
      <w:kern w:val="0"/>
      <w:sz w:val="24"/>
      <w:szCs w:val="20"/>
    </w:rPr>
  </w:style>
  <w:style w:type="paragraph" w:customStyle="1" w:styleId="99">
    <w:name w:val="正文_14"/>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00">
    <w:name w:val="正文_15"/>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101">
    <w:name w:val="List Paragraph"/>
    <w:basedOn w:val="1"/>
    <w:autoRedefine/>
    <w:qFormat/>
    <w:uiPriority w:val="34"/>
    <w:pPr>
      <w:ind w:firstLine="420" w:firstLineChars="200"/>
    </w:pPr>
    <w:rPr>
      <w:szCs w:val="22"/>
    </w:rPr>
  </w:style>
  <w:style w:type="paragraph" w:customStyle="1" w:styleId="102">
    <w:name w:val="表中字"/>
    <w:autoRedefine/>
    <w:qFormat/>
    <w:uiPriority w:val="0"/>
    <w:pPr>
      <w:jc w:val="center"/>
    </w:pPr>
    <w:rPr>
      <w:rFonts w:ascii="Times New Roman" w:hAnsi="Times New Roman" w:eastAsia="宋体" w:cs="Times New Roman"/>
      <w:kern w:val="2"/>
      <w:sz w:val="21"/>
      <w:szCs w:val="22"/>
      <w:lang w:val="zh-CN" w:eastAsia="zh-CN" w:bidi="ar-SA"/>
    </w:rPr>
  </w:style>
  <w:style w:type="paragraph" w:customStyle="1" w:styleId="103">
    <w:name w:val="样式 Times New Roman 五号 居中1"/>
    <w:basedOn w:val="1"/>
    <w:autoRedefine/>
    <w:qFormat/>
    <w:uiPriority w:val="0"/>
    <w:pPr>
      <w:jc w:val="center"/>
    </w:pPr>
    <w:rPr>
      <w:rFonts w:cs="宋体"/>
      <w:szCs w:val="20"/>
    </w:rPr>
  </w:style>
  <w:style w:type="paragraph" w:customStyle="1" w:styleId="104">
    <w:name w:val="_Style 3"/>
    <w:basedOn w:val="1"/>
    <w:autoRedefine/>
    <w:qFormat/>
    <w:uiPriority w:val="34"/>
    <w:pPr>
      <w:ind w:firstLine="420" w:firstLineChars="200"/>
    </w:pPr>
    <w:rPr>
      <w:rFonts w:ascii="Calibri" w:hAnsi="Calibri"/>
      <w:szCs w:val="22"/>
    </w:rPr>
  </w:style>
  <w:style w:type="paragraph" w:customStyle="1" w:styleId="105">
    <w:name w:val="表1"/>
    <w:next w:val="1"/>
    <w:autoRedefine/>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06">
    <w:name w:val="Body text|4"/>
    <w:basedOn w:val="1"/>
    <w:autoRedefine/>
    <w:qFormat/>
    <w:uiPriority w:val="0"/>
    <w:pPr>
      <w:spacing w:line="434" w:lineRule="auto"/>
      <w:ind w:firstLine="500"/>
    </w:pPr>
    <w:rPr>
      <w:color w:val="FF0000"/>
    </w:rPr>
  </w:style>
  <w:style w:type="paragraph" w:customStyle="1" w:styleId="107">
    <w:name w:val="Body text|1"/>
    <w:basedOn w:val="1"/>
    <w:autoRedefine/>
    <w:qFormat/>
    <w:uiPriority w:val="0"/>
    <w:pPr>
      <w:spacing w:line="480" w:lineRule="auto"/>
      <w:ind w:firstLine="400"/>
    </w:pPr>
    <w:rPr>
      <w:rFonts w:ascii="宋体" w:hAnsi="宋体" w:cs="宋体"/>
      <w:sz w:val="22"/>
      <w:szCs w:val="22"/>
      <w:lang w:val="zh-TW" w:eastAsia="zh-TW" w:bidi="zh-TW"/>
    </w:rPr>
  </w:style>
  <w:style w:type="paragraph" w:customStyle="1" w:styleId="108">
    <w:name w:val="Other|1"/>
    <w:basedOn w:val="1"/>
    <w:autoRedefine/>
    <w:qFormat/>
    <w:uiPriority w:val="0"/>
    <w:pPr>
      <w:jc w:val="center"/>
    </w:pPr>
    <w:rPr>
      <w:rFonts w:ascii="宋体" w:hAnsi="宋体" w:cs="宋体"/>
      <w:sz w:val="20"/>
      <w:szCs w:val="20"/>
      <w:lang w:val="zh-TW" w:eastAsia="zh-TW" w:bidi="zh-TW"/>
    </w:rPr>
  </w:style>
  <w:style w:type="paragraph" w:customStyle="1" w:styleId="109">
    <w:name w:val="首行缩进表格正文"/>
    <w:basedOn w:val="1"/>
    <w:autoRedefine/>
    <w:qFormat/>
    <w:uiPriority w:val="0"/>
    <w:pPr>
      <w:spacing w:line="360" w:lineRule="auto"/>
      <w:ind w:firstLine="720" w:firstLineChars="200"/>
      <w:jc w:val="left"/>
    </w:pPr>
  </w:style>
  <w:style w:type="paragraph" w:customStyle="1" w:styleId="110">
    <w:name w:val="C首行缩进正文"/>
    <w:basedOn w:val="77"/>
    <w:autoRedefine/>
    <w:qFormat/>
    <w:uiPriority w:val="0"/>
    <w:pPr>
      <w:spacing w:line="360" w:lineRule="auto"/>
      <w:ind w:firstLine="200"/>
    </w:pPr>
    <w:rPr>
      <w:color w:val="000000"/>
    </w:rPr>
  </w:style>
  <w:style w:type="paragraph" w:customStyle="1" w:styleId="111">
    <w:name w:val="C【表中文字】-"/>
    <w:basedOn w:val="1"/>
    <w:autoRedefine/>
    <w:qFormat/>
    <w:uiPriority w:val="0"/>
    <w:pPr>
      <w:adjustRightInd w:val="0"/>
      <w:snapToGrid w:val="0"/>
      <w:jc w:val="center"/>
    </w:pPr>
    <w:rPr>
      <w:kern w:val="0"/>
      <w:szCs w:val="20"/>
    </w:rPr>
  </w:style>
  <w:style w:type="paragraph" w:customStyle="1" w:styleId="112">
    <w:name w:val="正文_6"/>
    <w:autoRedefine/>
    <w:qFormat/>
    <w:uiPriority w:val="0"/>
    <w:pPr>
      <w:widowControl w:val="0"/>
      <w:jc w:val="both"/>
    </w:pPr>
    <w:rPr>
      <w:rFonts w:ascii="Calibri" w:hAnsi="Calibri" w:eastAsia="宋体" w:cs="Times New Roman"/>
      <w:kern w:val="2"/>
      <w:sz w:val="21"/>
      <w:lang w:val="en-US" w:eastAsia="zh-CN" w:bidi="ar-SA"/>
    </w:rPr>
  </w:style>
  <w:style w:type="paragraph" w:customStyle="1" w:styleId="113">
    <w:name w:val="11111"/>
    <w:basedOn w:val="1"/>
    <w:next w:val="1"/>
    <w:autoRedefine/>
    <w:qFormat/>
    <w:uiPriority w:val="0"/>
    <w:pPr>
      <w:spacing w:line="360" w:lineRule="auto"/>
      <w:ind w:firstLine="200" w:firstLineChars="200"/>
    </w:pPr>
    <w:rPr>
      <w:rFonts w:hAnsi="宋体" w:cs="宋体"/>
    </w:rPr>
  </w:style>
  <w:style w:type="character" w:customStyle="1" w:styleId="114">
    <w:name w:val="chakan"/>
    <w:basedOn w:val="39"/>
    <w:autoRedefine/>
    <w:qFormat/>
    <w:uiPriority w:val="0"/>
    <w:rPr>
      <w:color w:val="0064EA"/>
    </w:rPr>
  </w:style>
  <w:style w:type="character" w:customStyle="1" w:styleId="115">
    <w:name w:val="checkbox2"/>
    <w:basedOn w:val="39"/>
    <w:autoRedefine/>
    <w:qFormat/>
    <w:uiPriority w:val="0"/>
  </w:style>
  <w:style w:type="character" w:customStyle="1" w:styleId="116">
    <w:name w:val="shenbao"/>
    <w:basedOn w:val="39"/>
    <w:autoRedefine/>
    <w:qFormat/>
    <w:uiPriority w:val="0"/>
    <w:rPr>
      <w:color w:val="EF6334"/>
    </w:rPr>
  </w:style>
  <w:style w:type="character" w:customStyle="1" w:styleId="117">
    <w:name w:val="checkbox"/>
    <w:basedOn w:val="39"/>
    <w:autoRedefine/>
    <w:qFormat/>
    <w:uiPriority w:val="0"/>
  </w:style>
  <w:style w:type="paragraph" w:customStyle="1" w:styleId="118">
    <w:name w:val="表中"/>
    <w:basedOn w:val="1"/>
    <w:autoRedefine/>
    <w:qFormat/>
    <w:uiPriority w:val="0"/>
    <w:pPr>
      <w:spacing w:line="240" w:lineRule="exact"/>
    </w:pPr>
    <w:rPr>
      <w:szCs w:val="21"/>
    </w:rPr>
  </w:style>
  <w:style w:type="paragraph" w:customStyle="1" w:styleId="119">
    <w:name w:val="TOC2"/>
    <w:basedOn w:val="1"/>
    <w:next w:val="1"/>
    <w:autoRedefine/>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120">
    <w:name w:val="中文报告书样式"/>
    <w:basedOn w:val="1"/>
    <w:autoRedefine/>
    <w:qFormat/>
    <w:uiPriority w:val="0"/>
    <w:pPr>
      <w:adjustRightInd w:val="0"/>
      <w:spacing w:line="480" w:lineRule="atLeast"/>
      <w:ind w:firstLine="482"/>
      <w:textAlignment w:val="baseline"/>
    </w:pPr>
    <w:rPr>
      <w:kern w:val="24"/>
      <w:szCs w:val="20"/>
    </w:rPr>
  </w:style>
  <w:style w:type="paragraph" w:customStyle="1" w:styleId="121">
    <w:name w:val="UserStyle_0"/>
    <w:basedOn w:val="122"/>
    <w:next w:val="123"/>
    <w:autoRedefine/>
    <w:qFormat/>
    <w:uiPriority w:val="0"/>
    <w:pPr>
      <w:spacing w:line="360" w:lineRule="auto"/>
      <w:ind w:firstLine="480" w:firstLineChars="200"/>
    </w:pPr>
    <w:rPr>
      <w:rFonts w:ascii="Calibri" w:hAnsi="Calibri"/>
      <w:sz w:val="24"/>
      <w:szCs w:val="22"/>
    </w:rPr>
  </w:style>
  <w:style w:type="paragraph" w:customStyle="1" w:styleId="122">
    <w:name w:val="UserStyle_1"/>
    <w:basedOn w:val="1"/>
    <w:next w:val="1"/>
    <w:autoRedefine/>
    <w:qFormat/>
    <w:uiPriority w:val="0"/>
    <w:pPr>
      <w:spacing w:after="120"/>
      <w:textAlignment w:val="baseline"/>
    </w:pPr>
  </w:style>
  <w:style w:type="paragraph" w:customStyle="1" w:styleId="123">
    <w:name w:val="TOC1"/>
    <w:basedOn w:val="1"/>
    <w:next w:val="1"/>
    <w:autoRedefine/>
    <w:qFormat/>
    <w:uiPriority w:val="0"/>
    <w:pPr>
      <w:spacing w:line="360" w:lineRule="auto"/>
      <w:textAlignment w:val="baseline"/>
    </w:pPr>
    <w:rPr>
      <w:rFonts w:ascii="Calibri" w:hAnsi="Calibri"/>
      <w:b/>
      <w:sz w:val="24"/>
      <w:szCs w:val="22"/>
    </w:rPr>
  </w:style>
  <w:style w:type="character" w:customStyle="1" w:styleId="124">
    <w:name w:val="NormalCharacter"/>
    <w:autoRedefine/>
    <w:qFormat/>
    <w:uiPriority w:val="0"/>
    <w:rPr>
      <w:kern w:val="2"/>
      <w:sz w:val="21"/>
      <w:szCs w:val="24"/>
      <w:lang w:val="en-US" w:eastAsia="zh-CN" w:bidi="ar-SA"/>
    </w:rPr>
  </w:style>
  <w:style w:type="paragraph" w:customStyle="1" w:styleId="125">
    <w:name w:val="表头1"/>
    <w:basedOn w:val="126"/>
    <w:next w:val="1"/>
    <w:autoRedefine/>
    <w:qFormat/>
    <w:uiPriority w:val="0"/>
    <w:pPr>
      <w:spacing w:before="120" w:beforeLines="50"/>
    </w:pPr>
  </w:style>
  <w:style w:type="paragraph" w:customStyle="1" w:styleId="126">
    <w:name w:val="文华表标题"/>
    <w:basedOn w:val="127"/>
    <w:autoRedefine/>
    <w:qFormat/>
    <w:uiPriority w:val="0"/>
    <w:pPr>
      <w:spacing w:line="240" w:lineRule="auto"/>
      <w:ind w:firstLine="0"/>
      <w:jc w:val="center"/>
    </w:pPr>
    <w:rPr>
      <w:rFonts w:eastAsia="黑体"/>
    </w:rPr>
  </w:style>
  <w:style w:type="paragraph" w:customStyle="1" w:styleId="127">
    <w:name w:val="文华表正文"/>
    <w:basedOn w:val="72"/>
    <w:autoRedefine/>
    <w:qFormat/>
    <w:uiPriority w:val="0"/>
  </w:style>
  <w:style w:type="paragraph" w:customStyle="1" w:styleId="128">
    <w:name w:val="xl25"/>
    <w:basedOn w:val="1"/>
    <w:autoRedefine/>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29">
    <w:name w:val="xl36"/>
    <w:basedOn w:val="1"/>
    <w:autoRedefine/>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30">
    <w:name w:val="文华表1级标题1"/>
    <w:basedOn w:val="5"/>
    <w:next w:val="131"/>
    <w:autoRedefine/>
    <w:qFormat/>
    <w:uiPriority w:val="0"/>
    <w:pPr>
      <w:keepNext w:val="0"/>
    </w:pPr>
    <w:rPr>
      <w:kern w:val="4"/>
      <w:sz w:val="28"/>
    </w:rPr>
  </w:style>
  <w:style w:type="paragraph" w:customStyle="1" w:styleId="131">
    <w:name w:val="文本正文"/>
    <w:basedOn w:val="1"/>
    <w:autoRedefine/>
    <w:qFormat/>
    <w:uiPriority w:val="0"/>
    <w:pPr>
      <w:spacing w:line="360" w:lineRule="auto"/>
      <w:ind w:firstLine="480" w:firstLineChars="200"/>
    </w:pPr>
    <w:rPr>
      <w:rFonts w:ascii="Calibri" w:hAnsi="Calibri"/>
      <w:sz w:val="24"/>
    </w:rPr>
  </w:style>
  <w:style w:type="paragraph" w:customStyle="1" w:styleId="132">
    <w:name w:val="zxzx书正文"/>
    <w:basedOn w:val="1"/>
    <w:autoRedefine/>
    <w:qFormat/>
    <w:uiPriority w:val="0"/>
    <w:pPr>
      <w:widowControl/>
      <w:spacing w:line="440" w:lineRule="exact"/>
      <w:ind w:firstLine="880" w:firstLineChars="200"/>
      <w:jc w:val="left"/>
    </w:pPr>
    <w:rPr>
      <w:sz w:val="24"/>
    </w:rPr>
  </w:style>
  <w:style w:type="paragraph" w:customStyle="1" w:styleId="133">
    <w:name w:val="正文--环评"/>
    <w:basedOn w:val="1"/>
    <w:autoRedefine/>
    <w:qFormat/>
    <w:uiPriority w:val="0"/>
    <w:pPr>
      <w:spacing w:line="360" w:lineRule="auto"/>
      <w:ind w:firstLine="480" w:firstLineChars="200"/>
    </w:pPr>
    <w:rPr>
      <w:rFonts w:cs="宋体"/>
      <w:color w:val="000000"/>
      <w:spacing w:val="0"/>
      <w:sz w:val="24"/>
    </w:rPr>
  </w:style>
  <w:style w:type="paragraph" w:customStyle="1" w:styleId="134">
    <w:name w:val="表中文字（工大）"/>
    <w:basedOn w:val="1"/>
    <w:autoRedefine/>
    <w:qFormat/>
    <w:uiPriority w:val="0"/>
    <w:pPr>
      <w:spacing w:line="440" w:lineRule="exact"/>
      <w:jc w:val="center"/>
    </w:pPr>
    <w:rPr>
      <w:sz w:val="21"/>
      <w:szCs w:val="20"/>
    </w:rPr>
  </w:style>
  <w:style w:type="character" w:customStyle="1" w:styleId="135">
    <w:name w:val="font11"/>
    <w:basedOn w:val="39"/>
    <w:autoRedefine/>
    <w:qFormat/>
    <w:uiPriority w:val="0"/>
    <w:rPr>
      <w:rFonts w:hint="default" w:ascii="Times New Roman" w:hAnsi="Times New Roman" w:cs="Times New Roman"/>
      <w:color w:val="000000"/>
      <w:sz w:val="18"/>
      <w:szCs w:val="18"/>
      <w:u w:val="none"/>
    </w:rPr>
  </w:style>
  <w:style w:type="character" w:customStyle="1" w:styleId="136">
    <w:name w:val="font21"/>
    <w:basedOn w:val="39"/>
    <w:autoRedefine/>
    <w:qFormat/>
    <w:uiPriority w:val="0"/>
    <w:rPr>
      <w:rFonts w:hint="eastAsia" w:ascii="宋体" w:hAnsi="宋体" w:eastAsia="宋体" w:cs="宋体"/>
      <w:color w:val="000000"/>
      <w:sz w:val="18"/>
      <w:szCs w:val="18"/>
      <w:u w:val="none"/>
    </w:rPr>
  </w:style>
  <w:style w:type="paragraph" w:customStyle="1" w:styleId="137">
    <w:name w:val="文本框样式"/>
    <w:basedOn w:val="1"/>
    <w:autoRedefine/>
    <w:qFormat/>
    <w:uiPriority w:val="0"/>
    <w:pPr>
      <w:spacing w:line="240" w:lineRule="auto"/>
      <w:ind w:firstLine="0" w:firstLineChars="0"/>
      <w:jc w:val="center"/>
    </w:pPr>
    <w:rPr>
      <w:sz w:val="21"/>
    </w:rPr>
  </w:style>
  <w:style w:type="paragraph" w:customStyle="1" w:styleId="138">
    <w:name w:val="表"/>
    <w:autoRedefine/>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39">
    <w:name w:val="cucd-0"/>
    <w:autoRedefine/>
    <w:qFormat/>
    <w:uiPriority w:val="0"/>
    <w:pPr>
      <w:numPr>
        <w:ilvl w:val="0"/>
        <w:numId w:val="2"/>
      </w:numPr>
      <w:tabs>
        <w:tab w:val="left" w:pos="3485"/>
      </w:tabs>
      <w:spacing w:line="360" w:lineRule="auto"/>
    </w:pPr>
    <w:rPr>
      <w:rFonts w:ascii="Times New Roman" w:hAnsi="Times New Roman" w:eastAsia="宋体" w:cs="Times New Roman"/>
      <w:kern w:val="2"/>
      <w:sz w:val="24"/>
      <w:szCs w:val="24"/>
      <w:lang w:val="en-US" w:eastAsia="zh-CN" w:bidi="ar-SA"/>
    </w:rPr>
  </w:style>
  <w:style w:type="paragraph" w:customStyle="1" w:styleId="140">
    <w:name w:val="段落正文"/>
    <w:basedOn w:val="1"/>
    <w:autoRedefine/>
    <w:qFormat/>
    <w:uiPriority w:val="0"/>
    <w:pPr>
      <w:widowControl w:val="0"/>
      <w:spacing w:line="500" w:lineRule="atLeast"/>
    </w:pPr>
    <w:rPr>
      <w:rFonts w:eastAsia="仿宋_GB2312"/>
      <w:szCs w:val="28"/>
    </w:rPr>
  </w:style>
  <w:style w:type="character" w:customStyle="1" w:styleId="141">
    <w:name w:val="标题 1 Char1"/>
    <w:link w:val="5"/>
    <w:autoRedefine/>
    <w:qFormat/>
    <w:uiPriority w:val="0"/>
    <w:rPr>
      <w:rFonts w:eastAsia="黑体"/>
      <w:b/>
      <w:bCs/>
      <w:color w:val="000000"/>
      <w:kern w:val="44"/>
      <w:sz w:val="30"/>
      <w:szCs w:val="30"/>
    </w:rPr>
  </w:style>
  <w:style w:type="character" w:customStyle="1" w:styleId="142">
    <w:name w:val="标题 2 Char"/>
    <w:link w:val="6"/>
    <w:autoRedefine/>
    <w:qFormat/>
    <w:uiPriority w:val="0"/>
    <w:rPr>
      <w:rFonts w:ascii="Arial" w:hAnsi="Arial" w:eastAsia="黑体"/>
      <w:b/>
      <w:bCs/>
      <w:sz w:val="32"/>
      <w:szCs w:val="32"/>
    </w:rPr>
  </w:style>
  <w:style w:type="paragraph" w:customStyle="1" w:styleId="143">
    <w:name w:val="表体"/>
    <w:basedOn w:val="1"/>
    <w:autoRedefine/>
    <w:qFormat/>
    <w:uiPriority w:val="0"/>
    <w:pPr>
      <w:spacing w:line="240" w:lineRule="auto"/>
    </w:pPr>
    <w:rPr>
      <w:sz w:val="21"/>
      <w:szCs w:val="21"/>
    </w:rPr>
  </w:style>
  <w:style w:type="paragraph" w:customStyle="1" w:styleId="144">
    <w:name w:val="Char Char Char Char Char Char Char2"/>
    <w:basedOn w:val="1"/>
    <w:autoRedefine/>
    <w:qFormat/>
    <w:uiPriority w:val="0"/>
    <w:pPr>
      <w:snapToGrid w:val="0"/>
      <w:spacing w:line="360" w:lineRule="auto"/>
      <w:ind w:firstLine="529" w:firstLineChars="200"/>
    </w:pPr>
  </w:style>
  <w:style w:type="paragraph" w:customStyle="1" w:styleId="145">
    <w:name w:val="表格题目"/>
    <w:basedOn w:val="1"/>
    <w:autoRedefine/>
    <w:qFormat/>
    <w:uiPriority w:val="0"/>
    <w:pPr>
      <w:spacing w:line="240" w:lineRule="atLeast"/>
      <w:jc w:val="center"/>
    </w:pPr>
    <w:rPr>
      <w:rFonts w:ascii="黑体" w:hAnsi="宋体" w:eastAsia="黑体"/>
      <w:sz w:val="24"/>
    </w:rPr>
  </w:style>
  <w:style w:type="table" w:customStyle="1" w:styleId="146">
    <w:name w:val="Table Normal"/>
    <w:autoRedefine/>
    <w:semiHidden/>
    <w:unhideWhenUsed/>
    <w:qFormat/>
    <w:uiPriority w:val="0"/>
    <w:tblPr>
      <w:tblCellMar>
        <w:top w:w="0" w:type="dxa"/>
        <w:left w:w="0" w:type="dxa"/>
        <w:bottom w:w="0" w:type="dxa"/>
        <w:right w:w="0" w:type="dxa"/>
      </w:tblCellMar>
    </w:tblPr>
  </w:style>
  <w:style w:type="character" w:customStyle="1" w:styleId="147">
    <w:name w:val="正文（首行缩进两字） Char"/>
    <w:autoRedefine/>
    <w:qFormat/>
    <w:uiPriority w:val="0"/>
    <w:rPr>
      <w:rFonts w:eastAsia="宋体"/>
      <w:kern w:val="2"/>
      <w:sz w:val="24"/>
      <w:lang w:val="en-US" w:eastAsia="zh-CN"/>
    </w:rPr>
  </w:style>
  <w:style w:type="paragraph" w:customStyle="1" w:styleId="148">
    <w:name w:val="表中文字"/>
    <w:basedOn w:val="1"/>
    <w:autoRedefine/>
    <w:qFormat/>
    <w:uiPriority w:val="0"/>
    <w:pPr>
      <w:jc w:val="center"/>
    </w:pPr>
    <w:rPr>
      <w:szCs w:val="20"/>
    </w:rPr>
  </w:style>
  <w:style w:type="paragraph" w:customStyle="1" w:styleId="149">
    <w:name w:val="正文格式"/>
    <w:basedOn w:val="1"/>
    <w:next w:val="1"/>
    <w:autoRedefine/>
    <w:qFormat/>
    <w:uiPriority w:val="0"/>
    <w:pPr>
      <w:spacing w:line="360" w:lineRule="auto"/>
      <w:ind w:firstLine="482"/>
    </w:pPr>
  </w:style>
  <w:style w:type="paragraph" w:customStyle="1" w:styleId="150">
    <w:name w:val="Table Text"/>
    <w:basedOn w:val="1"/>
    <w:autoRedefine/>
    <w:semiHidden/>
    <w:qFormat/>
    <w:uiPriority w:val="0"/>
    <w:rPr>
      <w:rFonts w:ascii="宋体" w:hAnsi="宋体" w:eastAsia="宋体" w:cs="宋体"/>
      <w:sz w:val="24"/>
      <w:szCs w:val="24"/>
      <w:lang w:val="en-US" w:eastAsia="en-US" w:bidi="ar-SA"/>
    </w:rPr>
  </w:style>
  <w:style w:type="paragraph" w:customStyle="1" w:styleId="151">
    <w:name w:val="【表中文字】"/>
    <w:basedOn w:val="152"/>
    <w:autoRedefine/>
    <w:qFormat/>
    <w:uiPriority w:val="0"/>
    <w:pPr>
      <w:jc w:val="center"/>
    </w:pPr>
    <w:rPr>
      <w:kern w:val="0"/>
      <w:szCs w:val="20"/>
    </w:rPr>
  </w:style>
  <w:style w:type="paragraph" w:customStyle="1" w:styleId="152">
    <w:name w:val=".表1-1-1内容"/>
    <w:basedOn w:val="1"/>
    <w:autoRedefine/>
    <w:qFormat/>
    <w:uiPriority w:val="0"/>
    <w:pPr>
      <w:spacing w:line="300" w:lineRule="exact"/>
      <w:jc w:val="center"/>
    </w:pPr>
    <w:rPr>
      <w:kern w:val="0"/>
      <w:szCs w:val="21"/>
    </w:rPr>
  </w:style>
  <w:style w:type="paragraph" w:customStyle="1" w:styleId="153">
    <w:name w:val="a正文"/>
    <w:basedOn w:val="149"/>
    <w:autoRedefine/>
    <w:qFormat/>
    <w:uiPriority w:val="0"/>
    <w:pPr>
      <w:spacing w:line="520" w:lineRule="exact"/>
      <w:ind w:firstLine="200" w:firstLineChars="200"/>
    </w:pPr>
    <w:rPr>
      <w:kern w:val="0"/>
      <w:szCs w:val="21"/>
    </w:rPr>
  </w:style>
  <w:style w:type="character" w:customStyle="1" w:styleId="154">
    <w:name w:val="表格文字 Char"/>
    <w:link w:val="87"/>
    <w:autoRedefine/>
    <w:qFormat/>
    <w:uiPriority w:val="0"/>
    <w:rPr>
      <w:rFonts w:ascii="new times roma" w:hAnsi="new times roma"/>
    </w:rPr>
  </w:style>
  <w:style w:type="paragraph" w:customStyle="1" w:styleId="155">
    <w:name w:val="表表头"/>
    <w:basedOn w:val="1"/>
    <w:autoRedefine/>
    <w:qFormat/>
    <w:uiPriority w:val="0"/>
    <w:pPr>
      <w:jc w:val="center"/>
    </w:pPr>
    <w:rPr>
      <w:rFonts w:ascii="Calibri" w:hAnsi="Calibri" w:eastAsia="黑体"/>
    </w:rPr>
  </w:style>
  <w:style w:type="paragraph" w:customStyle="1" w:styleId="156">
    <w:name w:val="列出段落1"/>
    <w:basedOn w:val="1"/>
    <w:autoRedefine/>
    <w:qFormat/>
    <w:uiPriority w:val="0"/>
    <w:pPr>
      <w:ind w:firstLine="420" w:firstLineChars="200"/>
    </w:pPr>
  </w:style>
  <w:style w:type="paragraph" w:customStyle="1" w:styleId="157">
    <w:name w:val="盂县"/>
    <w:basedOn w:val="1"/>
    <w:autoRedefine/>
    <w:qFormat/>
    <w:uiPriority w:val="0"/>
    <w:pPr>
      <w:adjustRightInd w:val="0"/>
      <w:snapToGrid w:val="0"/>
      <w:spacing w:line="312" w:lineRule="auto"/>
      <w:ind w:firstLine="560" w:firstLineChars="200"/>
    </w:pPr>
    <w:rPr>
      <w:sz w:val="28"/>
    </w:rPr>
  </w:style>
  <w:style w:type="paragraph" w:customStyle="1" w:styleId="158">
    <w:name w:val="首行缩进正文"/>
    <w:basedOn w:val="77"/>
    <w:autoRedefine/>
    <w:qFormat/>
    <w:uiPriority w:val="0"/>
    <w:rPr>
      <w:sz w:val="21"/>
    </w:rPr>
  </w:style>
  <w:style w:type="paragraph" w:customStyle="1" w:styleId="159">
    <w:name w:val="【表中文字】-"/>
    <w:basedOn w:val="1"/>
    <w:autoRedefine/>
    <w:qFormat/>
    <w:uiPriority w:val="0"/>
    <w:pPr>
      <w:adjustRightInd w:val="0"/>
      <w:snapToGrid w:val="0"/>
      <w:jc w:val="center"/>
    </w:pPr>
    <w:rPr>
      <w:kern w:val="0"/>
      <w:sz w:val="18"/>
      <w:szCs w:val="20"/>
    </w:rPr>
  </w:style>
  <w:style w:type="paragraph" w:customStyle="1" w:styleId="160">
    <w:name w:val="样式 正文缩进正文缩进2正文缩进 Char Char正文缩进 Char Char Char Char正文缩进 Char ..."/>
    <w:basedOn w:val="9"/>
    <w:autoRedefine/>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161">
    <w:name w:val="a表格标题"/>
    <w:basedOn w:val="1"/>
    <w:autoRedefine/>
    <w:qFormat/>
    <w:uiPriority w:val="0"/>
    <w:pPr>
      <w:widowControl/>
      <w:spacing w:line="360" w:lineRule="auto"/>
      <w:jc w:val="center"/>
    </w:pPr>
    <w:rPr>
      <w:b/>
      <w:kern w:val="0"/>
      <w:szCs w:val="21"/>
    </w:rPr>
  </w:style>
  <w:style w:type="paragraph" w:customStyle="1" w:styleId="162">
    <w:name w:val="正文缩进1"/>
    <w:basedOn w:val="1"/>
    <w:autoRedefine/>
    <w:qFormat/>
    <w:uiPriority w:val="0"/>
    <w:pPr>
      <w:ind w:firstLine="420"/>
    </w:pPr>
    <w:rPr>
      <w:rFonts w:eastAsia="宋体"/>
      <w:sz w:val="28"/>
    </w:rPr>
  </w:style>
  <w:style w:type="paragraph" w:customStyle="1" w:styleId="163">
    <w:name w:val="正文标题"/>
    <w:basedOn w:val="1"/>
    <w:link w:val="164"/>
    <w:autoRedefine/>
    <w:qFormat/>
    <w:uiPriority w:val="0"/>
    <w:pPr>
      <w:spacing w:before="100" w:beforeLines="100" w:beforeAutospacing="0" w:after="100" w:afterLines="100"/>
      <w:jc w:val="center"/>
    </w:pPr>
    <w:rPr>
      <w:rFonts w:ascii="Times New Roman" w:hAnsi="Times New Roman" w:eastAsia="黑体"/>
      <w:sz w:val="30"/>
    </w:rPr>
  </w:style>
  <w:style w:type="character" w:customStyle="1" w:styleId="164">
    <w:name w:val="正文标题 Char"/>
    <w:link w:val="163"/>
    <w:autoRedefine/>
    <w:qFormat/>
    <w:uiPriority w:val="0"/>
    <w:rPr>
      <w:rFonts w:ascii="Times New Roman" w:hAnsi="Times New Roman" w:eastAsia="黑体"/>
      <w:sz w:val="30"/>
    </w:rPr>
  </w:style>
  <w:style w:type="paragraph" w:customStyle="1" w:styleId="165">
    <w:name w:val=".."/>
    <w:basedOn w:val="1"/>
    <w:next w:val="1"/>
    <w:autoRedefine/>
    <w:qFormat/>
    <w:uiPriority w:val="0"/>
    <w:pPr>
      <w:autoSpaceDE w:val="0"/>
      <w:autoSpaceDN w:val="0"/>
      <w:adjustRightInd w:val="0"/>
      <w:snapToGrid w:val="0"/>
      <w:jc w:val="left"/>
    </w:pPr>
    <w:rPr>
      <w:rFonts w:ascii="DF Kai Shu" w:hAnsi="Times New Roman" w:eastAsia="DF Kai Shu" w:cs="Times New Roman"/>
      <w:kern w:val="0"/>
      <w:sz w:val="24"/>
      <w:szCs w:val="24"/>
    </w:rPr>
  </w:style>
  <w:style w:type="paragraph" w:customStyle="1" w:styleId="166">
    <w:name w:val="低行距图表文字"/>
    <w:basedOn w:val="1"/>
    <w:autoRedefine/>
    <w:qFormat/>
    <w:uiPriority w:val="99"/>
    <w:pPr>
      <w:spacing w:line="240" w:lineRule="exact"/>
      <w:jc w:val="center"/>
    </w:pPr>
    <w:rPr>
      <w:rFonts w:ascii="仿宋_GB2312" w:hAnsi="仿宋_GB2312" w:eastAsia="仿宋_GB2312" w:cs="Times New Roman"/>
      <w:szCs w:val="21"/>
    </w:rPr>
  </w:style>
  <w:style w:type="paragraph" w:customStyle="1" w:styleId="167">
    <w:name w:val="表格内"/>
    <w:basedOn w:val="1"/>
    <w:autoRedefine/>
    <w:qFormat/>
    <w:uiPriority w:val="0"/>
    <w:pPr>
      <w:spacing w:line="360" w:lineRule="exact"/>
      <w:jc w:val="center"/>
    </w:pPr>
    <w:rPr>
      <w:rFonts w:eastAsia="Times New Roman"/>
      <w:sz w:val="21"/>
      <w:szCs w:val="21"/>
    </w:rPr>
  </w:style>
  <w:style w:type="paragraph" w:customStyle="1" w:styleId="168">
    <w:name w:val="二级无标题条"/>
    <w:basedOn w:val="1"/>
    <w:autoRedefine/>
    <w:qFormat/>
    <w:uiPriority w:val="0"/>
    <w:pPr>
      <w:jc w:val="center"/>
    </w:pPr>
    <w:rPr>
      <w:rFonts w:ascii="Times New Roman" w:hAnsi="Times New Roman" w:eastAsia="宋体" w:cs="Times New Roman"/>
      <w:sz w:val="24"/>
      <w:szCs w:val="20"/>
    </w:rPr>
  </w:style>
  <w:style w:type="paragraph" w:customStyle="1" w:styleId="169">
    <w:name w:val="封面项目名称"/>
    <w:basedOn w:val="1"/>
    <w:qFormat/>
    <w:uiPriority w:val="0"/>
    <w:pPr>
      <w:jc w:val="center"/>
    </w:pPr>
    <w:rPr>
      <w:rFonts w:ascii="Times New Roman" w:hAnsi="Times New Roman" w:eastAsia="仿宋_GB2312"/>
      <w:sz w:val="36"/>
    </w:rPr>
  </w:style>
  <w:style w:type="character" w:customStyle="1" w:styleId="170">
    <w:name w:val="font112"/>
    <w:qFormat/>
    <w:uiPriority w:val="0"/>
    <w:rPr>
      <w:rFonts w:hint="default" w:ascii="Times New Roman" w:hAnsi="Times New Roman" w:cs="Times New Roman"/>
      <w:color w:val="000000"/>
      <w:sz w:val="21"/>
      <w:szCs w:val="21"/>
      <w:u w:val="none"/>
      <w:vertAlign w:val="subscript"/>
    </w:rPr>
  </w:style>
  <w:style w:type="character" w:customStyle="1" w:styleId="171">
    <w:name w:val="font61"/>
    <w:basedOn w:val="39"/>
    <w:autoRedefine/>
    <w:qFormat/>
    <w:uiPriority w:val="0"/>
    <w:rPr>
      <w:rFonts w:hint="default" w:ascii="Times New Roman" w:hAnsi="Times New Roman" w:cs="Times New Roman"/>
      <w:color w:val="0000FF"/>
      <w:sz w:val="18"/>
      <w:szCs w:val="18"/>
      <w:u w:val="none"/>
      <w:vertAlign w:val="subscript"/>
    </w:rPr>
  </w:style>
  <w:style w:type="character" w:customStyle="1" w:styleId="172">
    <w:name w:val="font41"/>
    <w:basedOn w:val="39"/>
    <w:autoRedefine/>
    <w:qFormat/>
    <w:uiPriority w:val="0"/>
    <w:rPr>
      <w:rFonts w:hint="eastAsia" w:ascii="宋体" w:hAnsi="宋体" w:eastAsia="宋体" w:cs="宋体"/>
      <w:b/>
      <w:bCs/>
      <w:color w:val="0000FF"/>
      <w:sz w:val="18"/>
      <w:szCs w:val="18"/>
      <w:u w:val="none"/>
    </w:rPr>
  </w:style>
  <w:style w:type="paragraph" w:customStyle="1" w:styleId="173">
    <w:name w:val="..正文"/>
    <w:basedOn w:val="1"/>
    <w:qFormat/>
    <w:uiPriority w:val="0"/>
    <w:pPr>
      <w:spacing w:line="520" w:lineRule="exact"/>
      <w:ind w:firstLine="200" w:firstLineChars="200"/>
    </w:pPr>
    <w:rPr>
      <w:kern w:val="0"/>
      <w:sz w:val="24"/>
    </w:rPr>
  </w:style>
  <w:style w:type="paragraph" w:customStyle="1" w:styleId="174">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8.emf"/><Relationship Id="rId55" Type="http://schemas.openxmlformats.org/officeDocument/2006/relationships/oleObject" Target="embeddings/oleObject1.bin"/><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Yu</Manager>
  <Company>-</Company>
  <Pages>85</Pages>
  <Words>17575</Words>
  <Characters>20188</Characters>
  <Lines>1</Lines>
  <Paragraphs>1</Paragraphs>
  <TotalTime>2</TotalTime>
  <ScaleCrop>false</ScaleCrop>
  <LinksUpToDate>false</LinksUpToDate>
  <CharactersWithSpaces>20354</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Yu</dc:creator>
  <cp:lastModifiedBy>进击的豆子</cp:lastModifiedBy>
  <cp:lastPrinted>2021-09-16T08:57:00Z</cp:lastPrinted>
  <dcterms:modified xsi:type="dcterms:W3CDTF">2025-07-23T07:07:49Z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C3442D82FD944365BA7474141589DBB2_13</vt:lpwstr>
  </property>
  <property fmtid="{D5CDD505-2E9C-101B-9397-08002B2CF9AE}" pid="4" name="KSOTemplateDocerSaveRecord">
    <vt:lpwstr>eyJoZGlkIjoiNDA3ZDEzYTcyZWRiOGYyNzJkZjRjYTAzZDg0ODNmY2UiLCJ1c2VySWQiOiIzNDIxNTk0NDEifQ==</vt:lpwstr>
  </property>
</Properties>
</file>