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jc w:val="center"/>
        <w:textAlignment w:val="auto"/>
        <w:rPr>
          <w:rFonts w:hint="eastAsia"/>
        </w:rPr>
      </w:pPr>
      <w:bookmarkStart w:id="0" w:name="_GoBack"/>
      <w:bookmarkEnd w:id="0"/>
      <w:r>
        <w:rPr>
          <w:rFonts w:hint="eastAsia"/>
        </w:rPr>
        <w:t>鸡西市定点零售药店医疗保障</w:t>
      </w:r>
    </w:p>
    <w:p>
      <w:pPr>
        <w:pStyle w:val="2"/>
        <w:pageBreakBefore w:val="0"/>
        <w:widowControl w:val="0"/>
        <w:kinsoku/>
        <w:wordWrap/>
        <w:overflowPunct/>
        <w:topLinePunct w:val="0"/>
        <w:autoSpaceDE/>
        <w:autoSpaceDN/>
        <w:bidi w:val="0"/>
        <w:adjustRightInd/>
        <w:snapToGrid/>
        <w:jc w:val="center"/>
        <w:textAlignment w:val="auto"/>
      </w:pPr>
      <w:r>
        <w:rPr>
          <w:rFonts w:hint="eastAsia"/>
        </w:rPr>
        <w:t>信用等级评价管理办法（试行）</w:t>
      </w:r>
    </w:p>
    <w:p>
      <w:pPr>
        <w:pStyle w:val="2"/>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44"/>
          <w:szCs w:val="44"/>
          <w:lang w:val="en-US" w:eastAsia="zh-CN"/>
        </w:rPr>
      </w:pPr>
      <w:r>
        <w:rPr>
          <w:rFonts w:hint="eastAsia" w:ascii="楷体" w:hAnsi="楷体" w:eastAsia="楷体" w:cs="楷体"/>
          <w:sz w:val="44"/>
          <w:szCs w:val="44"/>
          <w:lang w:val="en-US" w:eastAsia="zh-CN"/>
        </w:rPr>
        <w:t>征求意见稿</w:t>
      </w:r>
    </w:p>
    <w:p>
      <w:pPr>
        <w:pStyle w:val="2"/>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rPr>
      </w:pPr>
    </w:p>
    <w:p>
      <w:pPr>
        <w:pStyle w:val="2"/>
        <w:pageBreakBefore w:val="0"/>
        <w:widowControl w:val="0"/>
        <w:kinsoku/>
        <w:wordWrap/>
        <w:overflowPunct/>
        <w:topLinePunct w:val="0"/>
        <w:autoSpaceDE/>
        <w:autoSpaceDN/>
        <w:bidi w:val="0"/>
        <w:adjustRightInd/>
        <w:snapToGrid/>
        <w:jc w:val="center"/>
        <w:textAlignment w:val="auto"/>
        <w:rPr>
          <w:rFonts w:hint="eastAsia"/>
        </w:rPr>
      </w:pPr>
      <w:r>
        <w:rPr>
          <w:rFonts w:hint="eastAsia" w:ascii="楷体" w:hAnsi="楷体" w:eastAsia="楷体" w:cs="楷体"/>
          <w:sz w:val="32"/>
          <w:szCs w:val="32"/>
        </w:rPr>
        <w:t>第一章 总则</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shd w:val="clear" w:color="auto" w:fill="FFFFFF"/>
        </w:rPr>
      </w:pPr>
      <w:r>
        <w:rPr>
          <w:rFonts w:hint="eastAsia" w:cs="宋体"/>
          <w:sz w:val="32"/>
          <w:szCs w:val="32"/>
          <w:shd w:val="clear" w:color="auto" w:fill="FFFFFF"/>
        </w:rPr>
        <w:t>第一条 为加强医疗保障基金监管，建立健全定点零售药店基金监管信用体系，强化定点零售药店的自律意识和诚信意识，引导依法诚信从业，根据《中华人民共和国社会保险法》、《国务院办公厅关于加快推进社会信用体系建设构建以信用为基础的新型监管机制的指导意见》、《黑龙江省医疗保障基金监督管理暂行办法》等有关规定，结合本市实际，制定本办法。</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二条 本办法所称医疗保障基金是指职工基本医疗保险、城乡居民基本医疗保险等专项基金。定点零售药店是指与医疗保障经办机构签订医疗保险定点零售药店服务协议（下称定点协议），为医疗保险参保人员提供处方外配和非处方药零售服务的药店。</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shd w:val="clear" w:color="auto" w:fill="FFFFFF"/>
        </w:rPr>
      </w:pPr>
      <w:r>
        <w:rPr>
          <w:rFonts w:hint="eastAsia" w:cs="宋体"/>
          <w:sz w:val="32"/>
          <w:szCs w:val="32"/>
          <w:shd w:val="clear" w:color="auto" w:fill="FFFFFF"/>
        </w:rPr>
        <w:t>第三条 本市行政区域内定点零售药店在医疗保障基金使用过程中的信用管理，适用本办法。</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第四条 医疗保障基金信用管理，应当遵循合法合规、公平公正、审慎认定、客观真实的原则。</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第五条 信用等级评价实行动态管理，根据日常监督、投诉举报等情况进行年度评价，一年一评，接受社会监督。</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第六条 </w:t>
      </w:r>
      <w:r>
        <w:rPr>
          <w:rFonts w:hint="eastAsia" w:cs="宋体"/>
          <w:sz w:val="32"/>
          <w:szCs w:val="32"/>
          <w:u w:val="none"/>
          <w:shd w:val="clear" w:color="auto" w:fill="FFFFFF"/>
        </w:rPr>
        <w:t>市医疗保障行政部门</w:t>
      </w:r>
      <w:r>
        <w:rPr>
          <w:rFonts w:hint="eastAsia" w:cs="宋体"/>
          <w:sz w:val="32"/>
          <w:szCs w:val="32"/>
          <w:shd w:val="clear" w:color="auto" w:fill="FFFFFF"/>
        </w:rPr>
        <w:t>负责统筹</w:t>
      </w:r>
      <w:r>
        <w:rPr>
          <w:rFonts w:hint="eastAsia" w:cs="宋体"/>
          <w:sz w:val="32"/>
          <w:szCs w:val="32"/>
          <w:shd w:val="clear" w:color="auto" w:fill="FFFFFF"/>
          <w:lang w:val="en-US" w:eastAsia="zh-CN"/>
        </w:rPr>
        <w:t>区</w:t>
      </w:r>
      <w:r>
        <w:rPr>
          <w:rFonts w:hint="eastAsia" w:cs="宋体"/>
          <w:sz w:val="32"/>
          <w:szCs w:val="32"/>
          <w:shd w:val="clear" w:color="auto" w:fill="FFFFFF"/>
        </w:rPr>
        <w:t>域内定点零售药店信用等级评价管理工作，制定信用等级评定标准、信用分类监管措施，并对各县（市）医疗保障部门的信用管理工作进行指导和监督，各县（市）医疗保障</w:t>
      </w:r>
      <w:r>
        <w:rPr>
          <w:rFonts w:hint="eastAsia" w:cs="宋体"/>
          <w:sz w:val="32"/>
          <w:szCs w:val="32"/>
          <w:u w:val="none"/>
          <w:shd w:val="clear" w:color="auto" w:fill="FFFFFF"/>
        </w:rPr>
        <w:t>行政部门</w:t>
      </w:r>
      <w:r>
        <w:rPr>
          <w:rFonts w:hint="eastAsia" w:cs="宋体"/>
          <w:sz w:val="32"/>
          <w:szCs w:val="32"/>
          <w:shd w:val="clear" w:color="auto" w:fill="FFFFFF"/>
        </w:rPr>
        <w:t>负责本辖区的信用管理并组织实施。各级医疗保障经办机构</w:t>
      </w:r>
      <w:r>
        <w:rPr>
          <w:rFonts w:hint="eastAsia" w:cs="宋体"/>
          <w:sz w:val="32"/>
          <w:szCs w:val="32"/>
          <w:shd w:val="clear" w:color="auto" w:fill="FFFFFF"/>
          <w:lang w:val="en-US" w:eastAsia="zh-CN"/>
        </w:rPr>
        <w:t>负责</w:t>
      </w:r>
      <w:r>
        <w:rPr>
          <w:rFonts w:hint="eastAsia" w:cs="宋体"/>
          <w:sz w:val="32"/>
          <w:szCs w:val="32"/>
          <w:shd w:val="clear" w:color="auto" w:fill="FFFFFF"/>
        </w:rPr>
        <w:t>做好区域内定点零售药店信用信息采集录入、信用等级评定、信用分类监管及信用档案管理工作，及时收集、录入、上报相关信用信息。</w:t>
      </w:r>
    </w:p>
    <w:p>
      <w:pPr>
        <w:pStyle w:val="2"/>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rPr>
      </w:pPr>
      <w:r>
        <w:rPr>
          <w:rFonts w:hint="eastAsia" w:ascii="楷体" w:hAnsi="楷体" w:eastAsia="楷体" w:cs="楷体"/>
          <w:sz w:val="32"/>
          <w:szCs w:val="32"/>
        </w:rPr>
        <w:t>第二章 信用信息与信用承诺</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第七条 本办法所称定点零售药店信用信息包括基础信息、正面信息、负面信息。</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第八条 定点零售药店基础信息包括：企业名称、地址、法定代表人信息、统一社会信用代码及应当记入信用档案的其他基础信息。</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第九条 定点零售药店正面信息包括：</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（一）各级人民政府及其部门、法律法规授权具有管理公共事务职能的组织授予的表彰、奖励；</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（二）主动举报涉嫌欺诈骗保并经医疗保障行政部门立案调查的；</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5B9BD5" w:themeColor="accent1"/>
          <w:sz w:val="32"/>
          <w:szCs w:val="32"/>
          <w14:textFill>
            <w14:solidFill>
              <w14:schemeClr w14:val="accent1"/>
            </w14:solidFill>
          </w14:textFill>
        </w:rPr>
      </w:pPr>
      <w:r>
        <w:rPr>
          <w:rFonts w:hint="eastAsia" w:cs="宋体"/>
          <w:sz w:val="32"/>
          <w:szCs w:val="32"/>
          <w:shd w:val="clear" w:color="auto" w:fill="FFFFFF"/>
        </w:rPr>
        <w:t>（三）法律、法规和规章规定可以记入信用档案的其他正面信息。</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第十条 定点零售药店负面信息包括：</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（一）违反医疗保障法律法规的行为；</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（二）违反医疗保障定点协议的行为；</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（三）违反信用承诺的行为；</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（四）法律、法规和规章规定可以记入信用档案的其他失信行为。</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第十一条 定点零售药店在签订定点协议管理时以书面形式公开作出承诺，承诺包括以下内容：</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（一）所提供的所有资料或信息均合法、真实、准确和有效，并对所提供资料的真实性负责。</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（二）严格遵守国家法律、法规、规章和政策规定，按照医保的相关要求规范操作、规范管理。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105" w:beforeAutospacing="0" w:afterAutospacing="0" w:line="480" w:lineRule="auto"/>
        <w:ind w:firstLine="420"/>
        <w:textAlignment w:val="auto"/>
        <w:rPr>
          <w:rFonts w:hint="eastAsia" w:cs="宋体"/>
          <w:sz w:val="32"/>
          <w:szCs w:val="32"/>
          <w:shd w:val="clear" w:color="auto" w:fill="FFFFFF"/>
        </w:rPr>
      </w:pPr>
      <w:r>
        <w:rPr>
          <w:rFonts w:hint="eastAsia" w:cs="宋体"/>
          <w:sz w:val="32"/>
          <w:szCs w:val="32"/>
          <w:shd w:val="clear" w:color="auto" w:fill="FFFFFF"/>
        </w:rPr>
        <w:t>（三）被纳入医保定点协议管理后，严格执行协议内容，按照协议约定提供医疗保障服务。</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105" w:beforeAutospacing="0" w:afterAutospacing="0" w:line="480" w:lineRule="auto"/>
        <w:ind w:firstLine="420"/>
        <w:textAlignment w:val="auto"/>
        <w:rPr>
          <w:rFonts w:cs="宋体"/>
          <w:sz w:val="32"/>
          <w:szCs w:val="32"/>
        </w:rPr>
      </w:pPr>
      <w:r>
        <w:rPr>
          <w:rFonts w:hint="eastAsia" w:cs="宋体"/>
          <w:sz w:val="32"/>
          <w:szCs w:val="32"/>
          <w:shd w:val="clear" w:color="auto" w:fill="FFFFFF"/>
        </w:rPr>
        <w:t>（四）同意将信用承诺情况按规定公示，若发生违法违规、违背信用承诺内容等情况后，依法承担相应责任，接受法律法规的惩戒和行业约束。</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5B9BD5" w:themeColor="accent1"/>
          <w:sz w:val="32"/>
          <w:szCs w:val="32"/>
          <w:shd w:val="clear" w:color="auto" w:fill="FFFFFF"/>
          <w14:textFill>
            <w14:solidFill>
              <w14:schemeClr w14:val="accent1"/>
            </w14:solidFill>
          </w14:textFill>
        </w:rPr>
      </w:pPr>
      <w:r>
        <w:rPr>
          <w:rFonts w:hint="eastAsia" w:cs="宋体"/>
          <w:sz w:val="32"/>
          <w:szCs w:val="32"/>
          <w:shd w:val="clear" w:color="auto" w:fill="FFFFFF"/>
        </w:rPr>
        <w:t>第十二条 各县（市）医保经办机构负责定点零售药店在签订定点协议前进行信用承诺，签订信用承诺书并及时在市公共信用信息平台公布。信用承诺书作为承诺对象的信用记录，纳入信用档案进行管理。</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jc w:val="center"/>
        <w:textAlignment w:val="auto"/>
        <w:rPr>
          <w:rFonts w:cs="宋体"/>
          <w:sz w:val="32"/>
          <w:szCs w:val="32"/>
        </w:rPr>
      </w:pPr>
      <w:r>
        <w:rPr>
          <w:rFonts w:hint="eastAsia" w:ascii="楷体" w:hAnsi="楷体" w:eastAsia="楷体" w:cs="楷体"/>
          <w:b/>
          <w:kern w:val="44"/>
          <w:sz w:val="32"/>
          <w:szCs w:val="32"/>
          <w:lang w:val="en-US" w:eastAsia="zh-CN" w:bidi="ar-SA"/>
        </w:rPr>
        <w:t>第三章 信用等级分类及评定</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第十三条 信用等级评价采用百分制，依据得分高低，将定点零售药店信用等级划分为四级：</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（一）A级，分值在90分</w:t>
      </w:r>
      <w:r>
        <w:rPr>
          <w:rFonts w:hint="eastAsia" w:cs="宋体"/>
          <w:sz w:val="32"/>
          <w:szCs w:val="32"/>
          <w:shd w:val="clear" w:color="auto" w:fill="FFFFFF"/>
          <w:lang w:eastAsia="zh-CN"/>
        </w:rPr>
        <w:t>（</w:t>
      </w:r>
      <w:r>
        <w:rPr>
          <w:rFonts w:hint="eastAsia" w:cs="宋体"/>
          <w:sz w:val="32"/>
          <w:szCs w:val="32"/>
          <w:shd w:val="clear" w:color="auto" w:fill="FFFFFF"/>
          <w:lang w:val="en-US" w:eastAsia="zh-CN"/>
        </w:rPr>
        <w:t>含90</w:t>
      </w:r>
      <w:r>
        <w:rPr>
          <w:rFonts w:hint="eastAsia" w:cs="宋体"/>
          <w:sz w:val="32"/>
          <w:szCs w:val="32"/>
          <w:shd w:val="clear" w:color="auto" w:fill="FFFFFF"/>
          <w:lang w:eastAsia="zh-CN"/>
        </w:rPr>
        <w:t>）</w:t>
      </w:r>
      <w:r>
        <w:rPr>
          <w:rFonts w:hint="eastAsia" w:cs="宋体"/>
          <w:sz w:val="32"/>
          <w:szCs w:val="32"/>
          <w:shd w:val="clear" w:color="auto" w:fill="FFFFFF"/>
        </w:rPr>
        <w:t>以上；</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（二）B级，分值在80-89</w:t>
      </w:r>
      <w:r>
        <w:rPr>
          <w:rFonts w:hint="eastAsia" w:cs="宋体"/>
          <w:sz w:val="32"/>
          <w:szCs w:val="32"/>
          <w:shd w:val="clear" w:color="auto" w:fill="FFFFFF"/>
          <w:lang w:eastAsia="zh-CN"/>
        </w:rPr>
        <w:t>（</w:t>
      </w:r>
      <w:r>
        <w:rPr>
          <w:rFonts w:hint="eastAsia" w:cs="宋体"/>
          <w:sz w:val="32"/>
          <w:szCs w:val="32"/>
          <w:shd w:val="clear" w:color="auto" w:fill="FFFFFF"/>
          <w:lang w:val="en-US" w:eastAsia="zh-CN"/>
        </w:rPr>
        <w:t>含80</w:t>
      </w:r>
      <w:r>
        <w:rPr>
          <w:rFonts w:hint="eastAsia" w:cs="宋体"/>
          <w:sz w:val="32"/>
          <w:szCs w:val="32"/>
          <w:shd w:val="clear" w:color="auto" w:fill="FFFFFF"/>
          <w:lang w:eastAsia="zh-CN"/>
        </w:rPr>
        <w:t>）</w:t>
      </w:r>
      <w:r>
        <w:rPr>
          <w:rFonts w:hint="eastAsia" w:cs="宋体"/>
          <w:sz w:val="32"/>
          <w:szCs w:val="32"/>
          <w:shd w:val="clear" w:color="auto" w:fill="FFFFFF"/>
        </w:rPr>
        <w:t>分；</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（三）C级，分值在60-79</w:t>
      </w:r>
      <w:r>
        <w:rPr>
          <w:rFonts w:hint="eastAsia" w:cs="宋体"/>
          <w:sz w:val="32"/>
          <w:szCs w:val="32"/>
          <w:shd w:val="clear" w:color="auto" w:fill="FFFFFF"/>
          <w:lang w:eastAsia="zh-CN"/>
        </w:rPr>
        <w:t>（</w:t>
      </w:r>
      <w:r>
        <w:rPr>
          <w:rFonts w:hint="eastAsia" w:cs="宋体"/>
          <w:sz w:val="32"/>
          <w:szCs w:val="32"/>
          <w:shd w:val="clear" w:color="auto" w:fill="FFFFFF"/>
          <w:lang w:val="en-US" w:eastAsia="zh-CN"/>
        </w:rPr>
        <w:t>含60</w:t>
      </w:r>
      <w:r>
        <w:rPr>
          <w:rFonts w:hint="eastAsia" w:cs="宋体"/>
          <w:sz w:val="32"/>
          <w:szCs w:val="32"/>
          <w:shd w:val="clear" w:color="auto" w:fill="FFFFFF"/>
          <w:lang w:eastAsia="zh-CN"/>
        </w:rPr>
        <w:t>）</w:t>
      </w:r>
      <w:r>
        <w:rPr>
          <w:rFonts w:hint="eastAsia" w:cs="宋体"/>
          <w:sz w:val="32"/>
          <w:szCs w:val="32"/>
          <w:shd w:val="clear" w:color="auto" w:fill="FFFFFF"/>
        </w:rPr>
        <w:t>分；</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（四）D级，分值在59分</w:t>
      </w:r>
      <w:r>
        <w:rPr>
          <w:rFonts w:hint="eastAsia" w:cs="宋体"/>
          <w:sz w:val="32"/>
          <w:szCs w:val="32"/>
          <w:shd w:val="clear" w:color="auto" w:fill="FFFFFF"/>
          <w:lang w:val="en-US" w:eastAsia="zh-CN"/>
        </w:rPr>
        <w:t>及</w:t>
      </w:r>
      <w:r>
        <w:rPr>
          <w:rFonts w:hint="eastAsia" w:cs="宋体"/>
          <w:sz w:val="32"/>
          <w:szCs w:val="32"/>
          <w:shd w:val="clear" w:color="auto" w:fill="FFFFFF"/>
        </w:rPr>
        <w:t>以下。</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第十四条 信用信息分值由基本分、加分和减分构成，基本分默认为70分，减分不设限</w:t>
      </w:r>
      <w:r>
        <w:rPr>
          <w:rFonts w:hint="eastAsia" w:cs="宋体"/>
          <w:sz w:val="32"/>
          <w:szCs w:val="32"/>
          <w:shd w:val="clear" w:color="auto" w:fill="FFFFFF"/>
          <w:lang w:eastAsia="zh-CN"/>
        </w:rPr>
        <w:t>（</w:t>
      </w:r>
      <w:r>
        <w:rPr>
          <w:rFonts w:hint="eastAsia" w:cs="宋体"/>
          <w:sz w:val="32"/>
          <w:szCs w:val="32"/>
          <w:shd w:val="clear" w:color="auto" w:fill="FFFFFF"/>
        </w:rPr>
        <w:t>扣完为止</w:t>
      </w:r>
      <w:r>
        <w:rPr>
          <w:rFonts w:hint="eastAsia" w:cs="宋体"/>
          <w:sz w:val="32"/>
          <w:szCs w:val="32"/>
          <w:shd w:val="clear" w:color="auto" w:fill="FFFFFF"/>
          <w:lang w:eastAsia="zh-CN"/>
        </w:rPr>
        <w:t>）</w:t>
      </w:r>
      <w:r>
        <w:rPr>
          <w:rFonts w:hint="eastAsia" w:cs="宋体"/>
          <w:sz w:val="32"/>
          <w:szCs w:val="32"/>
          <w:shd w:val="clear" w:color="auto" w:fill="FFFFFF"/>
        </w:rPr>
        <w:t>，具体评分标准见附件。</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第十五条 定点零售药店信用等级评定工作每年组织开展一次，以上一个自然年</w:t>
      </w:r>
      <w:r>
        <w:rPr>
          <w:rFonts w:hint="eastAsia" w:cs="宋体"/>
          <w:sz w:val="32"/>
          <w:szCs w:val="32"/>
          <w:shd w:val="clear" w:color="auto" w:fill="FFFFFF"/>
          <w:lang w:val="en-US" w:eastAsia="zh-CN"/>
        </w:rPr>
        <w:t>度</w:t>
      </w:r>
      <w:r>
        <w:rPr>
          <w:rFonts w:hint="eastAsia" w:cs="宋体"/>
          <w:sz w:val="32"/>
          <w:szCs w:val="32"/>
          <w:shd w:val="clear" w:color="auto" w:fill="FFFFFF"/>
        </w:rPr>
        <w:t>为一个信用评定周期。初次运行</w:t>
      </w:r>
      <w:r>
        <w:rPr>
          <w:rFonts w:hint="eastAsia" w:cs="宋体"/>
          <w:sz w:val="32"/>
          <w:szCs w:val="32"/>
          <w:shd w:val="clear" w:color="auto" w:fill="FFFFFF"/>
          <w:lang w:val="en-US" w:eastAsia="zh-CN"/>
        </w:rPr>
        <w:t>时</w:t>
      </w:r>
      <w:r>
        <w:rPr>
          <w:rFonts w:hint="eastAsia" w:cs="宋体"/>
          <w:sz w:val="32"/>
          <w:szCs w:val="32"/>
          <w:shd w:val="clear" w:color="auto" w:fill="FFFFFF"/>
        </w:rPr>
        <w:t>，</w:t>
      </w:r>
      <w:r>
        <w:rPr>
          <w:rFonts w:hint="eastAsia" w:cs="宋体"/>
          <w:sz w:val="32"/>
          <w:szCs w:val="32"/>
          <w:shd w:val="clear" w:color="auto" w:fill="FFFFFF"/>
          <w:lang w:val="en-US" w:eastAsia="zh-CN"/>
        </w:rPr>
        <w:t>依据现有情况对定点零售药店进行初评，并将结果反馈给定点零售药店，</w:t>
      </w:r>
      <w:r>
        <w:rPr>
          <w:rFonts w:hint="eastAsia" w:cs="宋体"/>
          <w:sz w:val="32"/>
          <w:szCs w:val="32"/>
          <w:shd w:val="clear" w:color="auto" w:fill="FFFFFF"/>
        </w:rPr>
        <w:t>半年开始</w:t>
      </w:r>
      <w:r>
        <w:rPr>
          <w:rFonts w:hint="eastAsia" w:cs="宋体"/>
          <w:sz w:val="32"/>
          <w:szCs w:val="32"/>
          <w:shd w:val="clear" w:color="auto" w:fill="FFFFFF"/>
          <w:lang w:val="en-US" w:eastAsia="zh-CN"/>
        </w:rPr>
        <w:t>正式评定</w:t>
      </w:r>
      <w:r>
        <w:rPr>
          <w:rFonts w:hint="eastAsia" w:cs="宋体"/>
          <w:sz w:val="32"/>
          <w:szCs w:val="32"/>
          <w:shd w:val="clear" w:color="auto" w:fill="FFFFFF"/>
        </w:rPr>
        <w:t>，</w:t>
      </w:r>
      <w:r>
        <w:rPr>
          <w:rFonts w:hint="eastAsia" w:cs="宋体"/>
          <w:sz w:val="32"/>
          <w:szCs w:val="32"/>
          <w:shd w:val="clear" w:color="auto" w:fill="FFFFFF"/>
          <w:lang w:val="en-US" w:eastAsia="zh-CN"/>
        </w:rPr>
        <w:t>并将评定</w:t>
      </w:r>
      <w:r>
        <w:rPr>
          <w:rFonts w:hint="eastAsia" w:cs="宋体"/>
          <w:sz w:val="32"/>
          <w:szCs w:val="32"/>
          <w:shd w:val="clear" w:color="auto" w:fill="FFFFFF"/>
        </w:rPr>
        <w:t>结果作为当年度政策执行依据。评定出的信用等级有效期限为1年。在评定周期后纳入定点协议管理的零售药店，该评定周期内不予评定信用等级，在此期间的信用信息计入下一评定周期。</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第十六条 在信用等级评定周期内，受到非医疗保障部门行政处罚</w:t>
      </w:r>
      <w:r>
        <w:rPr>
          <w:rFonts w:hint="eastAsia" w:cs="宋体"/>
          <w:sz w:val="32"/>
          <w:szCs w:val="32"/>
          <w:shd w:val="clear" w:color="auto" w:fill="FFFFFF"/>
          <w:lang w:val="en-US" w:eastAsia="zh-CN"/>
        </w:rPr>
        <w:t>的</w:t>
      </w:r>
      <w:r>
        <w:rPr>
          <w:rFonts w:hint="eastAsia" w:cs="宋体"/>
          <w:sz w:val="32"/>
          <w:szCs w:val="32"/>
          <w:shd w:val="clear" w:color="auto" w:fill="FFFFFF"/>
        </w:rPr>
        <w:t>，年度信用等级不得评为C级以上；受到医疗保障部门行政处罚的定点零售药店，年度信用等级评定为D级。在信用等级评定周期内，发现定点零售药店存在重大违法违规情况，尚未完成实施行政处罚的，或已移送公安部门处理暂未有结果的，应暂缓评定其信用等级。</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sz w:val="32"/>
          <w:szCs w:val="32"/>
        </w:rPr>
      </w:pPr>
      <w:r>
        <w:rPr>
          <w:rFonts w:hint="eastAsia" w:cs="宋体"/>
          <w:sz w:val="32"/>
          <w:szCs w:val="32"/>
          <w:shd w:val="clear" w:color="auto" w:fill="FFFFFF"/>
        </w:rPr>
        <w:t>第十七条 定点零售药店信用等级实行动态管理，在信用等级有效期内，定点零售药店出现违法违规行为的，</w:t>
      </w:r>
      <w:r>
        <w:rPr>
          <w:rFonts w:hint="eastAsia" w:cs="宋体"/>
          <w:sz w:val="32"/>
          <w:szCs w:val="32"/>
          <w:shd w:val="clear" w:color="auto" w:fill="FFFFFF"/>
          <w:lang w:val="en-US" w:eastAsia="zh-CN"/>
        </w:rPr>
        <w:t>依据《鸡西市定点零售药店信用信息评分表》扣除分值并</w:t>
      </w:r>
      <w:r>
        <w:rPr>
          <w:rFonts w:hint="eastAsia" w:cs="宋体"/>
          <w:sz w:val="32"/>
          <w:szCs w:val="32"/>
          <w:shd w:val="clear" w:color="auto" w:fill="FFFFFF"/>
        </w:rPr>
        <w:t>降到相应的信用等级。被降级的定点零售药店，在信用等级有效期内，不得再上调信用等级。信用等级可以越级下降，不经过重新评定，不得上调信用等级。</w:t>
      </w:r>
    </w:p>
    <w:p>
      <w:pPr>
        <w:pStyle w:val="2"/>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rPr>
      </w:pPr>
      <w:r>
        <w:rPr>
          <w:rFonts w:hint="eastAsia" w:ascii="楷体" w:hAnsi="楷体" w:eastAsia="楷体" w:cs="楷体"/>
          <w:sz w:val="32"/>
          <w:szCs w:val="32"/>
        </w:rPr>
        <w:t>第四章 信用评定结果运用</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rPr>
        <w:t>第十八条 信用等级为A级的定点零售药店，在信用等级有效期内，医疗保障部门可以给予以下激励：</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hint="eastAsia" w:eastAsia="宋体" w:cs="宋体"/>
          <w:color w:val="333333"/>
          <w:sz w:val="32"/>
          <w:szCs w:val="32"/>
          <w:shd w:val="clear" w:color="auto" w:fill="FFFFFF"/>
          <w:lang w:eastAsia="zh-CN"/>
        </w:rPr>
      </w:pPr>
      <w:r>
        <w:rPr>
          <w:rFonts w:hint="eastAsia" w:cs="宋体"/>
          <w:color w:val="333333"/>
          <w:sz w:val="32"/>
          <w:szCs w:val="32"/>
          <w:shd w:val="clear" w:color="auto" w:fill="FFFFFF"/>
        </w:rPr>
        <w:t>（一）开通医疗保障慢性病刷卡等业务</w:t>
      </w:r>
      <w:r>
        <w:rPr>
          <w:rFonts w:hint="eastAsia" w:cs="宋体"/>
          <w:color w:val="333333"/>
          <w:sz w:val="32"/>
          <w:szCs w:val="32"/>
          <w:shd w:val="clear" w:color="auto" w:fill="FFFFFF"/>
          <w:lang w:eastAsia="zh-CN"/>
        </w:rPr>
        <w:t>；</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hint="eastAsia" w:cs="宋体"/>
          <w:color w:val="333333"/>
          <w:sz w:val="32"/>
          <w:szCs w:val="32"/>
          <w:shd w:val="clear" w:color="auto" w:fill="FFFFFF"/>
        </w:rPr>
      </w:pPr>
      <w:r>
        <w:rPr>
          <w:rFonts w:hint="eastAsia" w:cs="宋体"/>
          <w:color w:val="333333"/>
          <w:sz w:val="32"/>
          <w:szCs w:val="32"/>
          <w:shd w:val="clear" w:color="auto" w:fill="FFFFFF"/>
        </w:rPr>
        <w:t>（</w:t>
      </w:r>
      <w:r>
        <w:rPr>
          <w:rFonts w:hint="eastAsia" w:cs="宋体"/>
          <w:color w:val="333333"/>
          <w:sz w:val="32"/>
          <w:szCs w:val="32"/>
          <w:shd w:val="clear" w:color="auto" w:fill="FFFFFF"/>
          <w:lang w:val="en-US" w:eastAsia="zh-CN"/>
        </w:rPr>
        <w:t>二</w:t>
      </w:r>
      <w:r>
        <w:rPr>
          <w:rFonts w:hint="eastAsia" w:cs="宋体"/>
          <w:color w:val="333333"/>
          <w:sz w:val="32"/>
          <w:szCs w:val="32"/>
          <w:shd w:val="clear" w:color="auto" w:fill="FFFFFF"/>
        </w:rPr>
        <w:t>）作为医疗保障部门评先评优的重要依据；</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hint="eastAsia" w:cs="宋体"/>
          <w:color w:val="333333"/>
          <w:sz w:val="32"/>
          <w:szCs w:val="32"/>
          <w:shd w:val="clear" w:color="auto" w:fill="FFFFFF"/>
        </w:rPr>
      </w:pPr>
      <w:r>
        <w:rPr>
          <w:rFonts w:hint="eastAsia" w:cs="宋体"/>
          <w:color w:val="333333"/>
          <w:sz w:val="32"/>
          <w:szCs w:val="32"/>
          <w:shd w:val="clear" w:color="auto" w:fill="FFFFFF"/>
        </w:rPr>
        <w:t>（</w:t>
      </w:r>
      <w:r>
        <w:rPr>
          <w:rFonts w:hint="eastAsia" w:cs="宋体"/>
          <w:color w:val="333333"/>
          <w:sz w:val="32"/>
          <w:szCs w:val="32"/>
          <w:shd w:val="clear" w:color="auto" w:fill="FFFFFF"/>
          <w:lang w:val="en-US" w:eastAsia="zh-CN"/>
        </w:rPr>
        <w:t>三</w:t>
      </w:r>
      <w:r>
        <w:rPr>
          <w:rFonts w:hint="eastAsia" w:cs="宋体"/>
          <w:color w:val="333333"/>
          <w:sz w:val="32"/>
          <w:szCs w:val="32"/>
          <w:shd w:val="clear" w:color="auto" w:fill="FFFFFF"/>
        </w:rPr>
        <w:t>）作为医疗保障基金使用范围调整的重要依据；</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lang w:eastAsia="zh-CN"/>
        </w:rPr>
        <w:t>（</w:t>
      </w:r>
      <w:r>
        <w:rPr>
          <w:rFonts w:hint="eastAsia" w:cs="宋体"/>
          <w:color w:val="333333"/>
          <w:sz w:val="32"/>
          <w:szCs w:val="32"/>
          <w:shd w:val="clear" w:color="auto" w:fill="FFFFFF"/>
          <w:lang w:val="en-US" w:eastAsia="zh-CN"/>
        </w:rPr>
        <w:t>四</w:t>
      </w:r>
      <w:r>
        <w:rPr>
          <w:rFonts w:hint="eastAsia" w:cs="宋体"/>
          <w:color w:val="333333"/>
          <w:sz w:val="32"/>
          <w:szCs w:val="32"/>
          <w:shd w:val="clear" w:color="auto" w:fill="FFFFFF"/>
          <w:lang w:eastAsia="zh-CN"/>
        </w:rPr>
        <w:t>）医疗保障部门</w:t>
      </w:r>
      <w:r>
        <w:rPr>
          <w:rFonts w:hint="eastAsia" w:cs="宋体"/>
          <w:color w:val="333333"/>
          <w:sz w:val="32"/>
          <w:szCs w:val="32"/>
          <w:shd w:val="clear" w:color="auto" w:fill="FFFFFF"/>
        </w:rPr>
        <w:t>规定的其他激励措施。</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hint="eastAsia" w:cs="宋体"/>
          <w:sz w:val="32"/>
          <w:szCs w:val="32"/>
          <w:shd w:val="clear" w:color="auto" w:fill="FFFFFF"/>
        </w:rPr>
      </w:pPr>
      <w:r>
        <w:rPr>
          <w:rFonts w:hint="eastAsia" w:cs="宋体"/>
          <w:sz w:val="32"/>
          <w:szCs w:val="32"/>
          <w:shd w:val="clear" w:color="auto" w:fill="FFFFFF"/>
        </w:rPr>
        <w:t>第十九条 信用等级为B级的定点零售药店，在信用等级有效期内，医疗保障部门可以进行以下管理：</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hint="eastAsia" w:cs="宋体"/>
          <w:sz w:val="32"/>
          <w:szCs w:val="32"/>
          <w:shd w:val="clear" w:color="auto" w:fill="FFFFFF"/>
        </w:rPr>
      </w:pPr>
      <w:r>
        <w:rPr>
          <w:rFonts w:hint="eastAsia" w:cs="宋体"/>
          <w:sz w:val="32"/>
          <w:szCs w:val="32"/>
          <w:shd w:val="clear" w:color="auto" w:fill="FFFFFF"/>
        </w:rPr>
        <w:t>（一）开通医疗保障慢性病刷卡等业务</w:t>
      </w:r>
      <w:r>
        <w:rPr>
          <w:rFonts w:hint="eastAsia" w:cs="宋体"/>
          <w:sz w:val="32"/>
          <w:szCs w:val="32"/>
          <w:shd w:val="clear" w:color="auto" w:fill="FFFFFF"/>
          <w:lang w:eastAsia="zh-CN"/>
        </w:rPr>
        <w:t>，</w:t>
      </w:r>
      <w:r>
        <w:rPr>
          <w:rFonts w:hint="eastAsia" w:cs="宋体"/>
          <w:sz w:val="32"/>
          <w:szCs w:val="32"/>
          <w:shd w:val="clear" w:color="auto" w:fill="FFFFFF"/>
          <w:lang w:val="en-US" w:eastAsia="zh-CN"/>
        </w:rPr>
        <w:t>设置医保慢性病刷卡稽核额度，每次达到额度主动接受医保经办部门稽核，稽核无误后继续开展此项业务</w:t>
      </w:r>
      <w:r>
        <w:rPr>
          <w:rFonts w:hint="eastAsia" w:cs="宋体"/>
          <w:sz w:val="32"/>
          <w:szCs w:val="32"/>
          <w:shd w:val="clear" w:color="auto" w:fill="FFFFFF"/>
        </w:rPr>
        <w:t>；</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hint="eastAsia"/>
        </w:rPr>
      </w:pPr>
      <w:r>
        <w:rPr>
          <w:rFonts w:hint="eastAsia" w:cs="宋体"/>
          <w:color w:val="333333"/>
          <w:sz w:val="32"/>
          <w:szCs w:val="32"/>
          <w:shd w:val="clear" w:color="auto" w:fill="FFFFFF"/>
        </w:rPr>
        <w:t>（</w:t>
      </w:r>
      <w:r>
        <w:rPr>
          <w:rFonts w:hint="eastAsia" w:cs="宋体"/>
          <w:color w:val="333333"/>
          <w:sz w:val="32"/>
          <w:szCs w:val="32"/>
          <w:shd w:val="clear" w:color="auto" w:fill="FFFFFF"/>
          <w:lang w:val="en-US" w:eastAsia="zh-CN"/>
        </w:rPr>
        <w:t>二</w:t>
      </w:r>
      <w:r>
        <w:rPr>
          <w:rFonts w:hint="eastAsia" w:cs="宋体"/>
          <w:color w:val="333333"/>
          <w:sz w:val="32"/>
          <w:szCs w:val="32"/>
          <w:shd w:val="clear" w:color="auto" w:fill="FFFFFF"/>
        </w:rPr>
        <w:t>）作为医疗保障基金使用范围调整的重要依据；</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hint="eastAsia" w:cs="宋体"/>
          <w:sz w:val="32"/>
          <w:szCs w:val="32"/>
          <w:shd w:val="clear" w:color="auto" w:fill="FFFFFF"/>
        </w:rPr>
      </w:pPr>
      <w:r>
        <w:rPr>
          <w:rFonts w:hint="eastAsia" w:cs="宋体"/>
          <w:sz w:val="32"/>
          <w:szCs w:val="32"/>
          <w:shd w:val="clear" w:color="auto" w:fill="FFFFFF"/>
        </w:rPr>
        <w:t>（</w:t>
      </w:r>
      <w:r>
        <w:rPr>
          <w:rFonts w:hint="eastAsia" w:cs="宋体"/>
          <w:sz w:val="32"/>
          <w:szCs w:val="32"/>
          <w:shd w:val="clear" w:color="auto" w:fill="FFFFFF"/>
          <w:lang w:val="en-US" w:eastAsia="zh-CN"/>
        </w:rPr>
        <w:t>三</w:t>
      </w:r>
      <w:r>
        <w:rPr>
          <w:rFonts w:hint="eastAsia" w:cs="宋体"/>
          <w:sz w:val="32"/>
          <w:szCs w:val="32"/>
          <w:shd w:val="clear" w:color="auto" w:fill="FFFFFF"/>
        </w:rPr>
        <w:t>）</w:t>
      </w:r>
      <w:r>
        <w:rPr>
          <w:rFonts w:hint="eastAsia" w:cs="宋体"/>
          <w:sz w:val="32"/>
          <w:szCs w:val="32"/>
          <w:shd w:val="clear" w:color="auto" w:fill="FFFFFF"/>
          <w:lang w:eastAsia="zh-CN"/>
        </w:rPr>
        <w:t>医疗保障部门</w:t>
      </w:r>
      <w:r>
        <w:rPr>
          <w:rFonts w:hint="eastAsia" w:cs="宋体"/>
          <w:sz w:val="32"/>
          <w:szCs w:val="32"/>
          <w:shd w:val="clear" w:color="auto" w:fill="FFFFFF"/>
        </w:rPr>
        <w:t>规定的其他激励措施。</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rPr>
        <w:t>第二十条 信用等级为C级、D级的定点零售药店，在信用等级有效期内，医疗保障部门根据失信严重程度，可以给予以下惩戒：</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hint="eastAsia" w:cs="宋体"/>
          <w:color w:val="333333"/>
          <w:sz w:val="32"/>
          <w:szCs w:val="32"/>
          <w:shd w:val="clear" w:color="auto" w:fill="FFFFFF"/>
        </w:rPr>
      </w:pPr>
      <w:r>
        <w:rPr>
          <w:rFonts w:hint="eastAsia" w:cs="宋体"/>
          <w:color w:val="333333"/>
          <w:sz w:val="32"/>
          <w:szCs w:val="32"/>
          <w:shd w:val="clear" w:color="auto" w:fill="FFFFFF"/>
        </w:rPr>
        <w:t>（一）列入年度重点监管对象；</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rPr>
        <w:t>（二）不得参评鸡西市医疗保险定点先进单位；</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rPr>
        <w:t>（三）适当提高日常监管频次；</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rPr>
        <w:t>（四）除个人账户外，不得</w:t>
      </w:r>
      <w:r>
        <w:rPr>
          <w:rFonts w:hint="eastAsia" w:cs="宋体"/>
          <w:color w:val="333333"/>
          <w:sz w:val="32"/>
          <w:szCs w:val="32"/>
          <w:shd w:val="clear" w:color="auto" w:fill="FFFFFF"/>
          <w:lang w:val="en-US" w:eastAsia="zh-CN"/>
        </w:rPr>
        <w:t>开展</w:t>
      </w:r>
      <w:r>
        <w:rPr>
          <w:rFonts w:hint="eastAsia" w:cs="宋体"/>
          <w:color w:val="333333"/>
          <w:sz w:val="32"/>
          <w:szCs w:val="32"/>
          <w:shd w:val="clear" w:color="auto" w:fill="FFFFFF"/>
        </w:rPr>
        <w:t>其他类别</w:t>
      </w:r>
      <w:r>
        <w:rPr>
          <w:rFonts w:hint="eastAsia" w:cs="宋体"/>
          <w:color w:val="333333"/>
          <w:sz w:val="32"/>
          <w:szCs w:val="32"/>
          <w:shd w:val="clear" w:color="auto" w:fill="FFFFFF"/>
          <w:lang w:val="en-US" w:eastAsia="zh-CN"/>
        </w:rPr>
        <w:t>使用</w:t>
      </w:r>
      <w:r>
        <w:rPr>
          <w:rFonts w:hint="eastAsia" w:cs="宋体"/>
          <w:color w:val="333333"/>
          <w:sz w:val="32"/>
          <w:szCs w:val="32"/>
          <w:shd w:val="clear" w:color="auto" w:fill="FFFFFF"/>
        </w:rPr>
        <w:t>医保基金</w:t>
      </w:r>
      <w:r>
        <w:rPr>
          <w:rFonts w:hint="eastAsia" w:cs="宋体"/>
          <w:color w:val="333333"/>
          <w:sz w:val="32"/>
          <w:szCs w:val="32"/>
          <w:shd w:val="clear" w:color="auto" w:fill="FFFFFF"/>
          <w:lang w:val="en-US" w:eastAsia="zh-CN"/>
        </w:rPr>
        <w:t>的服务</w:t>
      </w:r>
      <w:r>
        <w:rPr>
          <w:rFonts w:hint="eastAsia" w:cs="宋体"/>
          <w:color w:val="333333"/>
          <w:sz w:val="32"/>
          <w:szCs w:val="32"/>
          <w:shd w:val="clear" w:color="auto" w:fill="FFFFFF"/>
        </w:rPr>
        <w:t>；</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rPr>
        <w:t>（五）连续两年被评为</w:t>
      </w:r>
      <w:r>
        <w:rPr>
          <w:rFonts w:hint="eastAsia" w:cs="宋体"/>
          <w:color w:val="333333"/>
          <w:sz w:val="32"/>
          <w:szCs w:val="32"/>
          <w:shd w:val="clear" w:color="auto" w:fill="FFFFFF"/>
          <w:lang w:val="en-US" w:eastAsia="zh-CN"/>
        </w:rPr>
        <w:t>D级</w:t>
      </w:r>
      <w:r>
        <w:rPr>
          <w:rFonts w:hint="eastAsia" w:cs="宋体"/>
          <w:color w:val="333333"/>
          <w:sz w:val="32"/>
          <w:szCs w:val="32"/>
          <w:shd w:val="clear" w:color="auto" w:fill="FFFFFF"/>
        </w:rPr>
        <w:t>的，解除定点资格；</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rPr>
        <w:t>（六）</w:t>
      </w:r>
      <w:r>
        <w:rPr>
          <w:rFonts w:hint="eastAsia" w:cs="宋体"/>
          <w:color w:val="333333"/>
          <w:sz w:val="32"/>
          <w:szCs w:val="32"/>
          <w:shd w:val="clear" w:color="auto" w:fill="FFFFFF"/>
          <w:lang w:eastAsia="zh-CN"/>
        </w:rPr>
        <w:t>医疗保障部门</w:t>
      </w:r>
      <w:r>
        <w:rPr>
          <w:rFonts w:hint="eastAsia" w:cs="宋体"/>
          <w:color w:val="333333"/>
          <w:sz w:val="32"/>
          <w:szCs w:val="32"/>
          <w:shd w:val="clear" w:color="auto" w:fill="FFFFFF"/>
        </w:rPr>
        <w:t>规定的其他惩戒措施。</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rPr>
        <w:t>第二十一条 医疗保障部门对定点零售药店按照其信用等级分类实施以下监管措施：</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u w:val="none"/>
        </w:rPr>
      </w:pPr>
      <w:r>
        <w:rPr>
          <w:rFonts w:hint="eastAsia" w:cs="宋体"/>
          <w:color w:val="333333"/>
          <w:sz w:val="32"/>
          <w:szCs w:val="32"/>
          <w:shd w:val="clear" w:color="auto" w:fill="FFFFFF"/>
        </w:rPr>
        <w:t>（一）一类监管：对</w:t>
      </w:r>
      <w:r>
        <w:rPr>
          <w:rFonts w:hint="eastAsia" w:cs="宋体"/>
          <w:color w:val="333333"/>
          <w:sz w:val="32"/>
          <w:szCs w:val="32"/>
          <w:u w:val="none"/>
          <w:shd w:val="clear" w:color="auto" w:fill="FFFFFF"/>
        </w:rPr>
        <w:t>信用等级为A的，除专项整治、飞行检查、投诉举报或上级督办外，适当降低监督检查频次。</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u w:val="none"/>
        </w:rPr>
      </w:pPr>
      <w:r>
        <w:rPr>
          <w:rFonts w:hint="eastAsia" w:cs="宋体"/>
          <w:color w:val="333333"/>
          <w:sz w:val="32"/>
          <w:szCs w:val="32"/>
          <w:u w:val="none"/>
          <w:shd w:val="clear" w:color="auto" w:fill="FFFFFF"/>
        </w:rPr>
        <w:t>（二）二类监管：对信用等级为B的，适当降低监督检查频次，重点检查存在问题的整改情况。</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u w:val="none"/>
        </w:rPr>
      </w:pPr>
      <w:r>
        <w:rPr>
          <w:rFonts w:hint="eastAsia" w:cs="宋体"/>
          <w:color w:val="333333"/>
          <w:sz w:val="32"/>
          <w:szCs w:val="32"/>
          <w:u w:val="none"/>
          <w:shd w:val="clear" w:color="auto" w:fill="FFFFFF"/>
        </w:rPr>
        <w:t>（三）三类监管：对信用等级为C的，将其列为重点监管对象，重点检查违法违规行为的整改情况。</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u w:val="none"/>
          <w:shd w:val="clear" w:color="auto" w:fill="FFFFFF"/>
        </w:rPr>
        <w:t>（四）四类监管：对信用等级为D的，将</w:t>
      </w:r>
      <w:r>
        <w:rPr>
          <w:rFonts w:hint="eastAsia" w:cs="宋体"/>
          <w:color w:val="333333"/>
          <w:sz w:val="32"/>
          <w:szCs w:val="32"/>
          <w:shd w:val="clear" w:color="auto" w:fill="FFFFFF"/>
        </w:rPr>
        <w:t>其列为重点监管对象，</w:t>
      </w:r>
      <w:r>
        <w:rPr>
          <w:rFonts w:hint="eastAsia" w:cs="宋体"/>
          <w:color w:val="333333"/>
          <w:sz w:val="32"/>
          <w:szCs w:val="32"/>
          <w:shd w:val="clear" w:color="auto" w:fill="FFFFFF"/>
          <w:lang w:val="en-US" w:eastAsia="zh-CN"/>
        </w:rPr>
        <w:t>增加</w:t>
      </w:r>
      <w:r>
        <w:rPr>
          <w:rFonts w:hint="eastAsia" w:cs="宋体"/>
          <w:color w:val="333333"/>
          <w:sz w:val="32"/>
          <w:szCs w:val="32"/>
          <w:shd w:val="clear" w:color="auto" w:fill="FFFFFF"/>
        </w:rPr>
        <w:t>日常监督检查</w:t>
      </w:r>
      <w:r>
        <w:rPr>
          <w:rFonts w:hint="eastAsia" w:cs="宋体"/>
          <w:color w:val="333333"/>
          <w:sz w:val="32"/>
          <w:szCs w:val="32"/>
          <w:shd w:val="clear" w:color="auto" w:fill="FFFFFF"/>
          <w:lang w:val="en-US" w:eastAsia="zh-CN"/>
        </w:rPr>
        <w:t>频次</w:t>
      </w:r>
      <w:r>
        <w:rPr>
          <w:rFonts w:hint="eastAsia" w:cs="宋体"/>
          <w:color w:val="333333"/>
          <w:sz w:val="32"/>
          <w:szCs w:val="32"/>
          <w:shd w:val="clear" w:color="auto" w:fill="FFFFFF"/>
        </w:rPr>
        <w:t>，重点检查严重违法违规行为的整改情况，针对被行政处罚的，重点检查其整改情况是否到位。</w:t>
      </w:r>
    </w:p>
    <w:p>
      <w:pPr>
        <w:pStyle w:val="2"/>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rPr>
      </w:pPr>
      <w:r>
        <w:rPr>
          <w:rFonts w:hint="eastAsia" w:ascii="楷体" w:hAnsi="楷体" w:eastAsia="楷体" w:cs="楷体"/>
          <w:sz w:val="32"/>
          <w:szCs w:val="32"/>
        </w:rPr>
        <w:t>第五章 信息披露及档案管理</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rPr>
        <w:t>第二十二条 市医疗保</w:t>
      </w:r>
      <w:r>
        <w:rPr>
          <w:rFonts w:hint="eastAsia" w:cs="宋体"/>
          <w:color w:val="333333"/>
          <w:sz w:val="32"/>
          <w:szCs w:val="32"/>
          <w:u w:val="none"/>
          <w:shd w:val="clear" w:color="auto" w:fill="FFFFFF"/>
        </w:rPr>
        <w:t>障行政</w:t>
      </w:r>
      <w:r>
        <w:rPr>
          <w:rFonts w:hint="eastAsia" w:cs="宋体"/>
          <w:color w:val="333333"/>
          <w:sz w:val="32"/>
          <w:szCs w:val="32"/>
          <w:shd w:val="clear" w:color="auto" w:fill="FFFFFF"/>
        </w:rPr>
        <w:t>部门负责全市定点零售药店信用等级及信用信息的发布；各县（市）医疗保障</w:t>
      </w:r>
      <w:r>
        <w:rPr>
          <w:rFonts w:hint="eastAsia" w:cs="宋体"/>
          <w:color w:val="333333"/>
          <w:sz w:val="32"/>
          <w:szCs w:val="32"/>
          <w:u w:val="none"/>
          <w:shd w:val="clear" w:color="auto" w:fill="FFFFFF"/>
        </w:rPr>
        <w:t>行政</w:t>
      </w:r>
      <w:r>
        <w:rPr>
          <w:rFonts w:hint="eastAsia" w:cs="宋体"/>
          <w:color w:val="333333"/>
          <w:sz w:val="32"/>
          <w:szCs w:val="32"/>
          <w:shd w:val="clear" w:color="auto" w:fill="FFFFFF"/>
        </w:rPr>
        <w:t>部门根据医保统筹区的划分，负责区域内定点零售药店信用等级及信用信息的发布。</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hint="eastAsia" w:cs="宋体"/>
          <w:color w:val="333333"/>
          <w:sz w:val="32"/>
          <w:szCs w:val="32"/>
          <w:shd w:val="clear" w:color="auto" w:fill="FFFFFF"/>
        </w:rPr>
      </w:pPr>
      <w:r>
        <w:rPr>
          <w:rFonts w:hint="eastAsia" w:cs="宋体"/>
          <w:color w:val="333333"/>
          <w:sz w:val="32"/>
          <w:szCs w:val="32"/>
          <w:shd w:val="clear" w:color="auto" w:fill="FFFFFF"/>
        </w:rPr>
        <w:t>第二十三条 年度信用等级评定结束后，评定部门将拟确定的年度信用等级、陈述申辩途径等在网上公示，公示时间为7个工作日。被评定单位对评定结果有异议的，可在规定期限内提出陈述和申辩意见，并出示和提供佐证信息</w:t>
      </w:r>
      <w:r>
        <w:rPr>
          <w:rFonts w:hint="eastAsia" w:cs="宋体"/>
          <w:color w:val="333333"/>
          <w:sz w:val="32"/>
          <w:szCs w:val="32"/>
          <w:shd w:val="clear" w:color="auto" w:fill="FFFFFF"/>
          <w:lang w:eastAsia="zh-CN"/>
        </w:rPr>
        <w:t>、</w:t>
      </w:r>
      <w:r>
        <w:rPr>
          <w:rFonts w:hint="eastAsia" w:cs="宋体"/>
          <w:color w:val="333333"/>
          <w:sz w:val="32"/>
          <w:szCs w:val="32"/>
          <w:shd w:val="clear" w:color="auto" w:fill="FFFFFF"/>
          <w:lang w:val="en-US" w:eastAsia="zh-CN"/>
        </w:rPr>
        <w:t>材料</w:t>
      </w:r>
      <w:r>
        <w:rPr>
          <w:rFonts w:hint="eastAsia" w:cs="宋体"/>
          <w:color w:val="333333"/>
          <w:sz w:val="32"/>
          <w:szCs w:val="32"/>
          <w:shd w:val="clear" w:color="auto" w:fill="FFFFFF"/>
        </w:rPr>
        <w:t>。各级医疗保障行政部门应组织医保经办机构在10个工作日</w:t>
      </w:r>
      <w:r>
        <w:rPr>
          <w:rFonts w:hint="eastAsia" w:cs="宋体"/>
          <w:color w:val="333333"/>
          <w:sz w:val="32"/>
          <w:szCs w:val="32"/>
          <w:shd w:val="clear" w:color="auto" w:fill="FFFFFF"/>
          <w:lang w:val="en-US" w:eastAsia="zh-CN"/>
        </w:rPr>
        <w:t>内</w:t>
      </w:r>
      <w:r>
        <w:rPr>
          <w:rFonts w:hint="eastAsia" w:cs="宋体"/>
          <w:color w:val="333333"/>
          <w:sz w:val="32"/>
          <w:szCs w:val="32"/>
          <w:shd w:val="clear" w:color="auto" w:fill="FFFFFF"/>
        </w:rPr>
        <w:t>进行采证审核，并告知被评定单位。</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640" w:firstLineChars="200"/>
        <w:textAlignment w:val="auto"/>
        <w:rPr>
          <w:rFonts w:cs="宋体"/>
          <w:color w:val="333333"/>
          <w:sz w:val="32"/>
          <w:szCs w:val="32"/>
          <w:shd w:val="clear" w:color="auto" w:fill="FFFFFF"/>
        </w:rPr>
      </w:pPr>
      <w:r>
        <w:rPr>
          <w:rFonts w:hint="eastAsia" w:cs="宋体"/>
          <w:color w:val="333333"/>
          <w:sz w:val="32"/>
          <w:szCs w:val="32"/>
          <w:shd w:val="clear" w:color="auto" w:fill="FFFFFF"/>
        </w:rPr>
        <w:t>第二十四条 信用等级评定结果经公示、核实后，由各级医疗保障行政部门公共信用信息共享平台进行公示。各医疗保障行政部门可通过官方网站、政务网站或者报刊、广播、电视、网络等便于公众知晓的方式公开定点零售药店信用等级信息，同时在被评定单位经营场所公布年度信用等级，并将产生的信用等级信息进行归档备案。</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rPr>
        <w:t>第二十五条 各级医保经办机构要严格规范信用档案管理工作，及时归档，归口管理，专人负责，确保信用信息真实完整、应用正确。任何单位、个人非依规定权限、程序不得擅自修改、增删、泄露信用档案信息，确保信用档案安全。</w:t>
      </w:r>
    </w:p>
    <w:p>
      <w:pPr>
        <w:pStyle w:val="2"/>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rPr>
      </w:pPr>
      <w:r>
        <w:rPr>
          <w:rFonts w:hint="eastAsia" w:ascii="楷体" w:hAnsi="楷体" w:eastAsia="楷体" w:cs="楷体"/>
          <w:sz w:val="32"/>
          <w:szCs w:val="32"/>
        </w:rPr>
        <w:t>第六章附则</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rPr>
        <w:t>第二十六条</w:t>
      </w:r>
      <w:r>
        <w:rPr>
          <w:rFonts w:hint="eastAsia" w:cs="宋体"/>
          <w:color w:val="333333"/>
          <w:sz w:val="32"/>
          <w:szCs w:val="32"/>
          <w:shd w:val="clear" w:color="auto" w:fill="FFFFFF"/>
          <w:lang w:val="en-US" w:eastAsia="zh-CN"/>
        </w:rPr>
        <w:t xml:space="preserve"> </w:t>
      </w:r>
      <w:r>
        <w:rPr>
          <w:rFonts w:hint="eastAsia" w:cs="宋体"/>
          <w:color w:val="333333"/>
          <w:sz w:val="32"/>
          <w:szCs w:val="32"/>
          <w:shd w:val="clear" w:color="auto" w:fill="FFFFFF"/>
        </w:rPr>
        <w:t>本办法中的“以上”、“以下”，均包括本数。</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rPr>
        <w:t>第二十七条</w:t>
      </w:r>
      <w:r>
        <w:rPr>
          <w:rFonts w:hint="eastAsia" w:cs="宋体"/>
          <w:color w:val="333333"/>
          <w:sz w:val="32"/>
          <w:szCs w:val="32"/>
          <w:shd w:val="clear" w:color="auto" w:fill="FFFFFF"/>
          <w:lang w:val="en-US" w:eastAsia="zh-CN"/>
        </w:rPr>
        <w:t xml:space="preserve"> </w:t>
      </w:r>
      <w:r>
        <w:rPr>
          <w:rFonts w:hint="eastAsia" w:cs="宋体"/>
          <w:color w:val="333333"/>
          <w:sz w:val="32"/>
          <w:szCs w:val="32"/>
          <w:shd w:val="clear" w:color="auto" w:fill="FFFFFF"/>
        </w:rPr>
        <w:t>本办法规定与上级规定不符的，依照上级相关规定执行。</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cs="宋体"/>
          <w:color w:val="333333"/>
          <w:sz w:val="32"/>
          <w:szCs w:val="32"/>
        </w:rPr>
      </w:pPr>
      <w:r>
        <w:rPr>
          <w:rFonts w:hint="eastAsia" w:cs="宋体"/>
          <w:color w:val="333333"/>
          <w:sz w:val="32"/>
          <w:szCs w:val="32"/>
          <w:shd w:val="clear" w:color="auto" w:fill="FFFFFF"/>
        </w:rPr>
        <w:t>第二十八条</w:t>
      </w:r>
      <w:r>
        <w:rPr>
          <w:rFonts w:hint="eastAsia" w:cs="宋体"/>
          <w:color w:val="333333"/>
          <w:sz w:val="32"/>
          <w:szCs w:val="32"/>
          <w:shd w:val="clear" w:color="auto" w:fill="FFFFFF"/>
          <w:lang w:val="en-US" w:eastAsia="zh-CN"/>
        </w:rPr>
        <w:t xml:space="preserve"> </w:t>
      </w:r>
      <w:r>
        <w:rPr>
          <w:rFonts w:hint="eastAsia" w:cs="宋体"/>
          <w:color w:val="333333"/>
          <w:sz w:val="32"/>
          <w:szCs w:val="32"/>
          <w:shd w:val="clear" w:color="auto" w:fill="FFFFFF"/>
        </w:rPr>
        <w:t>本办法由鸡西市医疗保障局、鸡西市信用办负责解释。</w:t>
      </w:r>
    </w:p>
    <w:p>
      <w:pPr>
        <w:pStyle w:val="5"/>
        <w:pageBreakBefore w:val="0"/>
        <w:widowControl w:val="0"/>
        <w:shd w:val="clear" w:color="auto" w:fill="FFFFFF"/>
        <w:kinsoku/>
        <w:wordWrap/>
        <w:overflowPunct/>
        <w:topLinePunct w:val="0"/>
        <w:autoSpaceDE/>
        <w:autoSpaceDN/>
        <w:bidi w:val="0"/>
        <w:adjustRightInd/>
        <w:snapToGrid/>
        <w:spacing w:before="105" w:beforeAutospacing="0" w:after="105" w:afterAutospacing="0" w:line="480" w:lineRule="auto"/>
        <w:ind w:firstLine="420"/>
        <w:textAlignment w:val="auto"/>
        <w:rPr>
          <w:rFonts w:ascii="宋体" w:hAnsi="宋体" w:eastAsia="宋体" w:cs="宋体"/>
          <w:color w:val="333333"/>
          <w:shd w:val="clear" w:color="auto" w:fill="FFFFFF"/>
        </w:rPr>
        <w:sectPr>
          <w:footerReference r:id="rId3" w:type="default"/>
          <w:pgSz w:w="11906" w:h="16838"/>
          <w:pgMar w:top="1440" w:right="1800" w:bottom="1440" w:left="1800" w:header="851" w:footer="992" w:gutter="0"/>
          <w:cols w:space="425" w:num="1"/>
          <w:docGrid w:type="lines" w:linePitch="312" w:charSpace="0"/>
        </w:sectPr>
      </w:pPr>
      <w:r>
        <w:rPr>
          <w:rFonts w:hint="eastAsia" w:cs="宋体"/>
          <w:color w:val="333333"/>
          <w:sz w:val="32"/>
          <w:szCs w:val="32"/>
          <w:shd w:val="clear" w:color="auto" w:fill="FFFFFF"/>
        </w:rPr>
        <w:t>第二十九条</w:t>
      </w:r>
      <w:r>
        <w:rPr>
          <w:rFonts w:hint="eastAsia" w:cs="宋体"/>
          <w:color w:val="333333"/>
          <w:sz w:val="32"/>
          <w:szCs w:val="32"/>
          <w:shd w:val="clear" w:color="auto" w:fill="FFFFFF"/>
          <w:lang w:val="en-US" w:eastAsia="zh-CN"/>
        </w:rPr>
        <w:t xml:space="preserve"> </w:t>
      </w:r>
      <w:r>
        <w:rPr>
          <w:rFonts w:hint="eastAsia" w:cs="宋体"/>
          <w:color w:val="333333"/>
          <w:sz w:val="32"/>
          <w:szCs w:val="32"/>
          <w:shd w:val="clear" w:color="auto" w:fill="FFFFFF"/>
        </w:rPr>
        <w:t>本办法自2021年1月1日起实施。实施范围为鸡西市本级定点零售药店。根据市级统筹进度，逐步扩展至鸡西市行政区域内所有定点零售药店。</w:t>
      </w:r>
    </w:p>
    <w:p>
      <w:pPr>
        <w:rPr>
          <w:rFonts w:hint="eastAsia" w:eastAsia="宋体"/>
          <w:lang w:eastAsia="zh-CN"/>
        </w:rPr>
      </w:pPr>
      <w:r>
        <w:rPr>
          <w:rFonts w:hint="eastAsia" w:ascii="宋体" w:hAnsi="宋体" w:eastAsia="宋体" w:cs="宋体"/>
          <w:color w:val="333333"/>
          <w:shd w:val="clear" w:color="auto" w:fill="FFFFFF"/>
        </w:rPr>
        <w:t>附件</w:t>
      </w:r>
      <w:r>
        <w:rPr>
          <w:rFonts w:hint="eastAsia" w:ascii="宋体" w:hAnsi="宋体" w:eastAsia="宋体" w:cs="宋体"/>
          <w:color w:val="333333"/>
          <w:shd w:val="clear" w:color="auto" w:fill="FFFFFF"/>
          <w:lang w:val="en-US" w:eastAsia="zh-CN"/>
        </w:rPr>
        <w:t>1</w:t>
      </w:r>
    </w:p>
    <w:p>
      <w:pPr>
        <w:pStyle w:val="2"/>
        <w:jc w:val="center"/>
      </w:pPr>
      <w:r>
        <w:rPr>
          <w:rFonts w:hint="eastAsia"/>
        </w:rPr>
        <w:t>鸡西市定点零售药店信用信息评分表</w:t>
      </w:r>
    </w:p>
    <w:tbl>
      <w:tblPr>
        <w:tblStyle w:val="6"/>
        <w:tblW w:w="1391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20"/>
        <w:gridCol w:w="1176"/>
        <w:gridCol w:w="1842"/>
        <w:gridCol w:w="8979"/>
        <w:gridCol w:w="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24" w:hRule="atLeast"/>
        </w:trPr>
        <w:tc>
          <w:tcPr>
            <w:tcW w:w="0" w:type="auto"/>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32"/>
                <w:szCs w:val="32"/>
              </w:rPr>
            </w:pPr>
            <w:r>
              <w:rPr>
                <w:rFonts w:hint="eastAsia" w:cs="宋体"/>
                <w:b/>
                <w:color w:val="0C0C0C"/>
                <w:sz w:val="32"/>
                <w:szCs w:val="32"/>
              </w:rPr>
              <w:t>一级指标</w:t>
            </w:r>
          </w:p>
        </w:tc>
        <w:tc>
          <w:tcPr>
            <w:tcW w:w="0" w:type="auto"/>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32"/>
                <w:szCs w:val="32"/>
              </w:rPr>
            </w:pPr>
            <w:r>
              <w:rPr>
                <w:rFonts w:hint="eastAsia" w:cs="宋体"/>
                <w:b/>
                <w:color w:val="0C0C0C"/>
                <w:sz w:val="32"/>
                <w:szCs w:val="32"/>
              </w:rPr>
              <w:t>二级指标</w:t>
            </w:r>
          </w:p>
        </w:tc>
        <w:tc>
          <w:tcPr>
            <w:tcW w:w="184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32"/>
                <w:szCs w:val="32"/>
              </w:rPr>
            </w:pPr>
            <w:r>
              <w:rPr>
                <w:rFonts w:hint="eastAsia" w:cs="宋体"/>
                <w:b/>
                <w:color w:val="0C0C0C"/>
                <w:sz w:val="32"/>
                <w:szCs w:val="32"/>
              </w:rPr>
              <w:t>三级指标</w:t>
            </w:r>
          </w:p>
        </w:tc>
        <w:tc>
          <w:tcPr>
            <w:tcW w:w="897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32"/>
                <w:szCs w:val="32"/>
              </w:rPr>
            </w:pPr>
            <w:r>
              <w:rPr>
                <w:rFonts w:hint="eastAsia" w:cs="宋体"/>
                <w:b/>
                <w:color w:val="0C0C0C"/>
                <w:sz w:val="32"/>
                <w:szCs w:val="32"/>
              </w:rPr>
              <w:t>评价标准</w:t>
            </w:r>
          </w:p>
        </w:tc>
        <w:tc>
          <w:tcPr>
            <w:tcW w:w="9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hint="eastAsia" w:ascii="Calibri" w:hAnsi="Calibri" w:eastAsia="宋体" w:cs="Calibri"/>
                <w:sz w:val="32"/>
                <w:szCs w:val="32"/>
                <w:lang w:val="en-US" w:eastAsia="zh-CN"/>
              </w:rPr>
            </w:pPr>
            <w:r>
              <w:rPr>
                <w:rFonts w:hint="eastAsia" w:cs="宋体"/>
                <w:b/>
                <w:color w:val="0C0C0C"/>
                <w:sz w:val="32"/>
                <w:szCs w:val="32"/>
                <w:lang w:val="en-US" w:eastAsia="zh-CN"/>
              </w:rPr>
              <w:t>加减</w:t>
            </w:r>
            <w:r>
              <w:rPr>
                <w:rFonts w:hint="eastAsia" w:cs="宋体"/>
                <w:b/>
                <w:color w:val="0C0C0C"/>
                <w:sz w:val="32"/>
                <w:szCs w:val="32"/>
              </w:rPr>
              <w:t>分</w:t>
            </w:r>
            <w:r>
              <w:rPr>
                <w:rFonts w:hint="eastAsia" w:cs="宋体"/>
                <w:b/>
                <w:color w:val="0C0C0C"/>
                <w:sz w:val="32"/>
                <w:szCs w:val="32"/>
                <w:lang w:val="en-US" w:eastAsia="zh-CN"/>
              </w:rPr>
              <w:t>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资质诚信</w:t>
            </w:r>
          </w:p>
          <w:p>
            <w:pPr>
              <w:pStyle w:val="5"/>
              <w:widowControl/>
              <w:spacing w:beforeAutospacing="0" w:afterAutospacing="0" w:line="240" w:lineRule="atLeast"/>
              <w:jc w:val="center"/>
              <w:rPr>
                <w:rFonts w:ascii="Calibri" w:hAnsi="Calibri" w:cs="Calibri"/>
                <w:sz w:val="24"/>
              </w:rPr>
            </w:pPr>
            <w:r>
              <w:rPr>
                <w:rFonts w:hint="eastAsia" w:cs="宋体"/>
                <w:color w:val="0C0C0C"/>
                <w:sz w:val="24"/>
              </w:rPr>
              <w:t> </w:t>
            </w:r>
          </w:p>
        </w:tc>
        <w:tc>
          <w:tcPr>
            <w:tcW w:w="1176" w:type="dxa"/>
            <w:vMerge w:val="restart"/>
            <w:tcBorders>
              <w:top w:val="nil"/>
              <w:left w:val="nil"/>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hint="eastAsia" w:cs="宋体"/>
                <w:color w:val="0C0C0C"/>
                <w:sz w:val="24"/>
              </w:rPr>
            </w:pPr>
            <w:r>
              <w:rPr>
                <w:rFonts w:hint="eastAsia" w:cs="宋体"/>
                <w:color w:val="0C0C0C"/>
                <w:sz w:val="24"/>
              </w:rPr>
              <w:t>药店</w:t>
            </w:r>
          </w:p>
          <w:p>
            <w:pPr>
              <w:pStyle w:val="5"/>
              <w:widowControl/>
              <w:spacing w:beforeAutospacing="0" w:afterAutospacing="0" w:line="240" w:lineRule="atLeast"/>
              <w:jc w:val="center"/>
              <w:rPr>
                <w:rFonts w:ascii="Calibri" w:hAnsi="Calibri" w:cs="Calibri"/>
                <w:sz w:val="24"/>
              </w:rPr>
            </w:pPr>
            <w:r>
              <w:rPr>
                <w:rFonts w:hint="eastAsia" w:cs="宋体"/>
                <w:color w:val="0C0C0C"/>
                <w:sz w:val="24"/>
              </w:rPr>
              <w:t>资质</w:t>
            </w:r>
          </w:p>
        </w:tc>
        <w:tc>
          <w:tcPr>
            <w:tcW w:w="18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为职工缴纳医疗保险情况</w:t>
            </w:r>
          </w:p>
        </w:tc>
        <w:tc>
          <w:tcPr>
            <w:tcW w:w="89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rPr>
              <w:t>根据企业当年度欠缴对应等级评分，无欠缴不扣分，欠缴2个月以内的扣2分，欠缴2-3个月的扣4分，欠缴3个月以上扣6分。</w:t>
            </w:r>
          </w:p>
        </w:tc>
        <w:tc>
          <w:tcPr>
            <w:tcW w:w="995" w:type="dxa"/>
            <w:tcBorders>
              <w:top w:val="nil"/>
              <w:left w:val="nil"/>
              <w:bottom w:val="single" w:color="auto" w:sz="8"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r>
              <w:rPr>
                <w:rFonts w:hint="eastAsia" w:cs="宋体"/>
                <w:color w:val="0C0C0C"/>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left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hint="eastAsia" w:cs="宋体"/>
                <w:color w:val="0C0C0C"/>
                <w:sz w:val="24"/>
              </w:rPr>
            </w:pPr>
          </w:p>
        </w:tc>
        <w:tc>
          <w:tcPr>
            <w:tcW w:w="1176" w:type="dxa"/>
            <w:vMerge w:val="continue"/>
            <w:tcBorders>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hint="eastAsia" w:cs="宋体"/>
                <w:color w:val="0C0C0C"/>
                <w:sz w:val="24"/>
              </w:rPr>
            </w:pPr>
          </w:p>
        </w:tc>
        <w:tc>
          <w:tcPr>
            <w:tcW w:w="18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hint="eastAsia" w:eastAsia="宋体" w:cs="宋体"/>
                <w:color w:val="0C0C0C"/>
                <w:sz w:val="24"/>
                <w:lang w:val="en-US" w:eastAsia="zh-CN"/>
              </w:rPr>
            </w:pPr>
            <w:r>
              <w:rPr>
                <w:rFonts w:hint="eastAsia" w:cs="宋体"/>
                <w:color w:val="0C0C0C"/>
                <w:sz w:val="24"/>
                <w:lang w:val="en-US" w:eastAsia="zh-CN"/>
              </w:rPr>
              <w:t>资质、信息变更</w:t>
            </w:r>
          </w:p>
        </w:tc>
        <w:tc>
          <w:tcPr>
            <w:tcW w:w="89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hint="default"/>
                <w:lang w:val="en-US" w:eastAsia="zh-CN"/>
              </w:rPr>
            </w:pPr>
            <w:r>
              <w:rPr>
                <w:rFonts w:hint="eastAsia" w:cs="宋体"/>
                <w:color w:val="0C0C0C"/>
                <w:sz w:val="24"/>
                <w:lang w:val="en-US" w:eastAsia="zh-CN"/>
              </w:rPr>
              <w:t>法人、地址、企业名称变更不及时报备，扣5分。银行账号信息变更不及时报备，扣5分。</w:t>
            </w:r>
          </w:p>
        </w:tc>
        <w:tc>
          <w:tcPr>
            <w:tcW w:w="995" w:type="dxa"/>
            <w:tcBorders>
              <w:top w:val="nil"/>
              <w:left w:val="nil"/>
              <w:bottom w:val="single" w:color="auto" w:sz="8"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hint="eastAsia" w:cs="宋体"/>
                <w:color w:val="0C0C0C"/>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0" w:type="auto"/>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hint="eastAsia" w:cs="宋体"/>
                <w:color w:val="0C0C0C"/>
                <w:sz w:val="24"/>
              </w:rPr>
            </w:pPr>
            <w:r>
              <w:rPr>
                <w:rFonts w:hint="eastAsia" w:cs="宋体"/>
                <w:color w:val="0C0C0C"/>
                <w:sz w:val="24"/>
              </w:rPr>
              <w:t>人员</w:t>
            </w:r>
          </w:p>
          <w:p>
            <w:pPr>
              <w:pStyle w:val="5"/>
              <w:widowControl/>
              <w:spacing w:beforeAutospacing="0" w:afterAutospacing="0" w:line="240" w:lineRule="atLeast"/>
              <w:jc w:val="center"/>
              <w:rPr>
                <w:rFonts w:ascii="Calibri" w:hAnsi="Calibri" w:cs="Calibri"/>
                <w:sz w:val="24"/>
              </w:rPr>
            </w:pPr>
            <w:r>
              <w:rPr>
                <w:rFonts w:hint="eastAsia" w:cs="宋体"/>
                <w:color w:val="0C0C0C"/>
                <w:sz w:val="24"/>
              </w:rPr>
              <w:t>资质</w:t>
            </w:r>
          </w:p>
        </w:tc>
        <w:tc>
          <w:tcPr>
            <w:tcW w:w="18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hint="eastAsia" w:cs="宋体"/>
                <w:color w:val="0C0C0C"/>
                <w:sz w:val="24"/>
              </w:rPr>
            </w:pPr>
            <w:r>
              <w:rPr>
                <w:rFonts w:hint="eastAsia" w:cs="宋体"/>
                <w:color w:val="0C0C0C"/>
                <w:sz w:val="24"/>
              </w:rPr>
              <w:t>法定代表人</w:t>
            </w:r>
          </w:p>
          <w:p>
            <w:pPr>
              <w:pStyle w:val="5"/>
              <w:widowControl/>
              <w:spacing w:beforeAutospacing="0" w:afterAutospacing="0" w:line="240" w:lineRule="atLeast"/>
              <w:jc w:val="center"/>
              <w:rPr>
                <w:rFonts w:ascii="Calibri" w:hAnsi="Calibri" w:cs="Calibri"/>
                <w:sz w:val="24"/>
              </w:rPr>
            </w:pPr>
            <w:r>
              <w:rPr>
                <w:rFonts w:hint="eastAsia" w:cs="宋体"/>
                <w:color w:val="0C0C0C"/>
                <w:sz w:val="24"/>
              </w:rPr>
              <w:t>征信记录</w:t>
            </w:r>
          </w:p>
        </w:tc>
        <w:tc>
          <w:tcPr>
            <w:tcW w:w="89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rPr>
              <w:t>近3年内被列入失信黑名单者扣8分，当年被列入失信黑名单或因欺诈骗保被追究刑事责任者，直接列入信用最低等级。</w:t>
            </w:r>
          </w:p>
        </w:tc>
        <w:tc>
          <w:tcPr>
            <w:tcW w:w="995" w:type="dxa"/>
            <w:tcBorders>
              <w:top w:val="nil"/>
              <w:left w:val="nil"/>
              <w:bottom w:val="single" w:color="auto" w:sz="8"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r>
              <w:rPr>
                <w:rFonts w:hint="eastAsia" w:cs="宋体"/>
                <w:color w:val="0C0C0C"/>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18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执业药师个人征信记录</w:t>
            </w:r>
          </w:p>
        </w:tc>
        <w:tc>
          <w:tcPr>
            <w:tcW w:w="89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rPr>
              <w:t>近3年内被列入失信黑名单者扣8分，当年被列入失信黑名单或因欺诈骗保被追究刑事责任者，直接列入信用最低等级。</w:t>
            </w:r>
          </w:p>
        </w:tc>
        <w:tc>
          <w:tcPr>
            <w:tcW w:w="995" w:type="dxa"/>
            <w:tcBorders>
              <w:top w:val="nil"/>
              <w:left w:val="nil"/>
              <w:bottom w:val="single" w:color="auto" w:sz="8"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r>
              <w:rPr>
                <w:rFonts w:hint="eastAsia" w:cs="宋体"/>
                <w:color w:val="0C0C0C"/>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管理诚信</w:t>
            </w:r>
          </w:p>
        </w:tc>
        <w:tc>
          <w:tcPr>
            <w:tcW w:w="0" w:type="auto"/>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hint="eastAsia" w:cs="宋体"/>
                <w:color w:val="0C0C0C"/>
                <w:sz w:val="24"/>
                <w:lang w:val="en-US" w:eastAsia="zh-CN"/>
              </w:rPr>
            </w:pPr>
          </w:p>
          <w:p>
            <w:pPr>
              <w:pStyle w:val="5"/>
              <w:widowControl/>
              <w:spacing w:beforeAutospacing="0" w:afterAutospacing="0" w:line="240" w:lineRule="atLeast"/>
              <w:jc w:val="center"/>
              <w:rPr>
                <w:rFonts w:hint="eastAsia" w:cs="宋体"/>
                <w:color w:val="0C0C0C"/>
                <w:sz w:val="24"/>
                <w:lang w:val="en-US" w:eastAsia="zh-CN"/>
              </w:rPr>
            </w:pPr>
          </w:p>
          <w:p>
            <w:pPr>
              <w:pStyle w:val="5"/>
              <w:widowControl/>
              <w:spacing w:beforeAutospacing="0" w:afterAutospacing="0" w:line="240" w:lineRule="atLeast"/>
              <w:jc w:val="center"/>
              <w:rPr>
                <w:rFonts w:hint="eastAsia" w:cs="宋体"/>
                <w:color w:val="0C0C0C"/>
                <w:sz w:val="24"/>
                <w:lang w:val="en-US" w:eastAsia="zh-CN"/>
              </w:rPr>
            </w:pPr>
          </w:p>
          <w:p>
            <w:pPr>
              <w:pStyle w:val="5"/>
              <w:widowControl/>
              <w:spacing w:beforeAutospacing="0" w:afterAutospacing="0" w:line="240" w:lineRule="atLeast"/>
              <w:jc w:val="center"/>
              <w:rPr>
                <w:rFonts w:hint="eastAsia" w:cs="宋体"/>
                <w:color w:val="0C0C0C"/>
                <w:sz w:val="24"/>
                <w:lang w:val="en-US" w:eastAsia="zh-CN"/>
              </w:rPr>
            </w:pPr>
          </w:p>
          <w:p>
            <w:pPr>
              <w:pStyle w:val="5"/>
              <w:widowControl/>
              <w:spacing w:beforeAutospacing="0" w:afterAutospacing="0" w:line="240" w:lineRule="atLeast"/>
              <w:jc w:val="center"/>
              <w:rPr>
                <w:rFonts w:hint="eastAsia" w:cs="宋体"/>
                <w:color w:val="0C0C0C"/>
                <w:sz w:val="24"/>
                <w:lang w:val="en-US" w:eastAsia="zh-CN"/>
              </w:rPr>
            </w:pPr>
          </w:p>
          <w:p>
            <w:pPr>
              <w:pStyle w:val="5"/>
              <w:widowControl/>
              <w:spacing w:beforeAutospacing="0" w:afterAutospacing="0" w:line="240" w:lineRule="atLeast"/>
              <w:jc w:val="center"/>
              <w:rPr>
                <w:rFonts w:hint="eastAsia" w:cs="宋体"/>
                <w:color w:val="0C0C0C"/>
                <w:sz w:val="24"/>
                <w:lang w:val="en-US" w:eastAsia="zh-CN"/>
              </w:rPr>
            </w:pPr>
            <w:r>
              <w:rPr>
                <w:rFonts w:hint="eastAsia" w:cs="宋体"/>
                <w:color w:val="0C0C0C"/>
                <w:sz w:val="24"/>
                <w:lang w:val="en-US" w:eastAsia="zh-CN"/>
              </w:rPr>
              <w:t>监管</w:t>
            </w:r>
          </w:p>
          <w:p>
            <w:pPr>
              <w:pStyle w:val="5"/>
              <w:widowControl/>
              <w:spacing w:beforeAutospacing="0" w:afterAutospacing="0" w:line="240" w:lineRule="atLeast"/>
              <w:jc w:val="center"/>
              <w:rPr>
                <w:rFonts w:ascii="Calibri" w:hAnsi="Calibri" w:cs="Calibri"/>
                <w:sz w:val="24"/>
              </w:rPr>
            </w:pPr>
            <w:r>
              <w:rPr>
                <w:rFonts w:hint="eastAsia" w:cs="宋体"/>
                <w:color w:val="0C0C0C"/>
                <w:sz w:val="24"/>
              </w:rPr>
              <w:t>情况</w:t>
            </w:r>
          </w:p>
        </w:tc>
        <w:tc>
          <w:tcPr>
            <w:tcW w:w="18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投诉举报</w:t>
            </w:r>
          </w:p>
        </w:tc>
        <w:tc>
          <w:tcPr>
            <w:tcW w:w="89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rPr>
              <w:t>被投诉或举报，经</w:t>
            </w:r>
            <w:r>
              <w:rPr>
                <w:rFonts w:hint="eastAsia" w:cs="宋体"/>
                <w:color w:val="0C0C0C"/>
                <w:sz w:val="24"/>
                <w:lang w:eastAsia="zh-CN"/>
              </w:rPr>
              <w:t>医疗保障部门</w:t>
            </w:r>
            <w:r>
              <w:rPr>
                <w:rFonts w:hint="eastAsia" w:cs="宋体"/>
                <w:color w:val="0C0C0C"/>
                <w:sz w:val="24"/>
              </w:rPr>
              <w:t>查实确有违规行为，每次扣2分。</w:t>
            </w:r>
          </w:p>
        </w:tc>
        <w:tc>
          <w:tcPr>
            <w:tcW w:w="995" w:type="dxa"/>
            <w:tcBorders>
              <w:top w:val="nil"/>
              <w:left w:val="nil"/>
              <w:bottom w:val="single" w:color="auto" w:sz="8"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r>
              <w:rPr>
                <w:rFonts w:hint="eastAsia" w:cs="宋体"/>
                <w:color w:val="0C0C0C"/>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18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约谈/限期整改</w:t>
            </w:r>
          </w:p>
        </w:tc>
        <w:tc>
          <w:tcPr>
            <w:tcW w:w="89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rPr>
              <w:t>当年因医保违规行为被</w:t>
            </w:r>
            <w:r>
              <w:rPr>
                <w:rFonts w:hint="eastAsia" w:cs="宋体"/>
                <w:color w:val="0C0C0C"/>
                <w:sz w:val="24"/>
                <w:lang w:eastAsia="zh-CN"/>
              </w:rPr>
              <w:t>医疗保障部门</w:t>
            </w:r>
            <w:r>
              <w:rPr>
                <w:rFonts w:hint="eastAsia" w:cs="宋体"/>
                <w:color w:val="0C0C0C"/>
                <w:sz w:val="24"/>
              </w:rPr>
              <w:t>约谈/责令整改，每次扣5分。</w:t>
            </w:r>
          </w:p>
        </w:tc>
        <w:tc>
          <w:tcPr>
            <w:tcW w:w="995" w:type="dxa"/>
            <w:tcBorders>
              <w:top w:val="nil"/>
              <w:left w:val="nil"/>
              <w:bottom w:val="single" w:color="auto" w:sz="8"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r>
              <w:rPr>
                <w:rFonts w:hint="eastAsia" w:cs="宋体"/>
                <w:color w:val="0C0C0C"/>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18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hint="default" w:ascii="Calibri" w:hAnsi="Calibri" w:eastAsia="宋体" w:cs="Calibri"/>
                <w:sz w:val="24"/>
                <w:lang w:val="en-US" w:eastAsia="zh-CN"/>
              </w:rPr>
            </w:pPr>
            <w:r>
              <w:rPr>
                <w:rFonts w:hint="eastAsia" w:cs="宋体"/>
                <w:color w:val="0C0C0C"/>
                <w:sz w:val="24"/>
              </w:rPr>
              <w:t>通报</w:t>
            </w:r>
            <w:r>
              <w:rPr>
                <w:rFonts w:hint="eastAsia" w:cs="宋体"/>
                <w:color w:val="0C0C0C"/>
                <w:sz w:val="24"/>
                <w:lang w:eastAsia="zh-CN"/>
              </w:rPr>
              <w:t>、</w:t>
            </w:r>
            <w:r>
              <w:rPr>
                <w:rFonts w:hint="eastAsia" w:cs="宋体"/>
                <w:color w:val="0C0C0C"/>
                <w:sz w:val="24"/>
                <w:lang w:val="en-US" w:eastAsia="zh-CN"/>
              </w:rPr>
              <w:t>批评</w:t>
            </w:r>
          </w:p>
        </w:tc>
        <w:tc>
          <w:tcPr>
            <w:tcW w:w="89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rPr>
              <w:t>当年被</w:t>
            </w:r>
            <w:r>
              <w:rPr>
                <w:rFonts w:hint="eastAsia" w:cs="宋体"/>
                <w:color w:val="0C0C0C"/>
                <w:sz w:val="24"/>
                <w:lang w:eastAsia="zh-CN"/>
              </w:rPr>
              <w:t>医疗保障部门</w:t>
            </w:r>
            <w:r>
              <w:rPr>
                <w:rFonts w:hint="eastAsia" w:cs="宋体"/>
                <w:color w:val="0C0C0C"/>
                <w:sz w:val="24"/>
              </w:rPr>
              <w:t>通报批评，每次扣8分。</w:t>
            </w:r>
          </w:p>
        </w:tc>
        <w:tc>
          <w:tcPr>
            <w:tcW w:w="995" w:type="dxa"/>
            <w:tcBorders>
              <w:top w:val="nil"/>
              <w:left w:val="nil"/>
              <w:bottom w:val="single" w:color="auto" w:sz="8"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r>
              <w:rPr>
                <w:rFonts w:hint="eastAsia" w:cs="宋体"/>
                <w:color w:val="0C0C0C"/>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0" w:type="auto"/>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18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color w:val="0C0C0C"/>
                <w:sz w:val="24"/>
              </w:rPr>
            </w:pPr>
            <w:r>
              <w:rPr>
                <w:rFonts w:hint="eastAsia" w:cs="宋体"/>
                <w:color w:val="0C0C0C"/>
                <w:sz w:val="24"/>
              </w:rPr>
              <w:t>暂停医保协议</w:t>
            </w:r>
          </w:p>
        </w:tc>
        <w:tc>
          <w:tcPr>
            <w:tcW w:w="89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color w:val="0C0C0C"/>
                <w:sz w:val="24"/>
              </w:rPr>
            </w:pPr>
            <w:r>
              <w:rPr>
                <w:rFonts w:hint="eastAsia" w:cs="宋体"/>
                <w:color w:val="0C0C0C"/>
                <w:sz w:val="24"/>
              </w:rPr>
              <w:t>当年被暂停定点协议的，直接列入信用最低等级。</w:t>
            </w:r>
          </w:p>
        </w:tc>
        <w:tc>
          <w:tcPr>
            <w:tcW w:w="995" w:type="dxa"/>
            <w:tcBorders>
              <w:top w:val="nil"/>
              <w:left w:val="nil"/>
              <w:bottom w:val="single" w:color="auto" w:sz="8"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r>
              <w:rPr>
                <w:rFonts w:hint="eastAsia" w:cs="宋体"/>
                <w:color w:val="0C0C0C"/>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0" w:type="auto"/>
            <w:vMerge w:val="continue"/>
            <w:tcBorders>
              <w:top w:val="nil"/>
              <w:left w:val="nil"/>
              <w:bottom w:val="single" w:color="auto" w:sz="4"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1842" w:type="dxa"/>
            <w:tcBorders>
              <w:top w:val="nil"/>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追回/拒付费用</w:t>
            </w:r>
          </w:p>
        </w:tc>
        <w:tc>
          <w:tcPr>
            <w:tcW w:w="8979" w:type="dxa"/>
            <w:tcBorders>
              <w:top w:val="nil"/>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rPr>
              <w:t>被</w:t>
            </w:r>
            <w:r>
              <w:rPr>
                <w:rFonts w:hint="eastAsia" w:cs="宋体"/>
                <w:color w:val="0C0C0C"/>
                <w:sz w:val="24"/>
                <w:lang w:eastAsia="zh-CN"/>
              </w:rPr>
              <w:t>医疗保障部门</w:t>
            </w:r>
            <w:r>
              <w:rPr>
                <w:rFonts w:hint="eastAsia" w:cs="宋体"/>
                <w:color w:val="0C0C0C"/>
                <w:sz w:val="24"/>
              </w:rPr>
              <w:t>追回、拒付费用500元以内扣1分，500（不含）-1000扣2分，1000元（不含）-1500元扣4分，1500（不含）-2000扣6分，2000以上扣10分。</w:t>
            </w:r>
          </w:p>
        </w:tc>
        <w:tc>
          <w:tcPr>
            <w:tcW w:w="995" w:type="dxa"/>
            <w:tcBorders>
              <w:top w:val="nil"/>
              <w:left w:val="nil"/>
              <w:bottom w:val="single" w:color="auto" w:sz="4"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r>
              <w:rPr>
                <w:rFonts w:hint="eastAsia" w:cs="宋体"/>
                <w:color w:val="0C0C0C"/>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0" w:type="auto"/>
            <w:vMerge w:val="continue"/>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0" w:type="auto"/>
            <w:vMerge w:val="continue"/>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1842"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稽核</w:t>
            </w:r>
            <w:r>
              <w:rPr>
                <w:rFonts w:hint="eastAsia" w:cs="宋体"/>
                <w:color w:val="0C0C0C"/>
                <w:sz w:val="24"/>
                <w:lang w:val="en-US" w:eastAsia="zh-CN"/>
              </w:rPr>
              <w:t>扣</w:t>
            </w:r>
            <w:r>
              <w:rPr>
                <w:rFonts w:hint="eastAsia" w:cs="宋体"/>
                <w:color w:val="0C0C0C"/>
                <w:sz w:val="24"/>
              </w:rPr>
              <w:t>分</w:t>
            </w:r>
          </w:p>
        </w:tc>
        <w:tc>
          <w:tcPr>
            <w:tcW w:w="8979"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rPr>
              <w:t>年度考核评定得分1000分不扣分，950-1000（不含）扣1分，900-950（不含）扣2分，850-900（不含）扣4分，850（不含）-800以下扣6分,800（不含）以下扣10分。</w:t>
            </w:r>
          </w:p>
        </w:tc>
        <w:tc>
          <w:tcPr>
            <w:tcW w:w="995" w:type="dxa"/>
            <w:tcBorders>
              <w:top w:val="single" w:color="auto" w:sz="4" w:space="0"/>
              <w:left w:val="nil"/>
              <w:bottom w:val="single" w:color="auto" w:sz="8"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r>
              <w:rPr>
                <w:rFonts w:hint="eastAsia" w:cs="宋体"/>
                <w:color w:val="0C0C0C"/>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0" w:type="auto"/>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18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行政处罚</w:t>
            </w:r>
          </w:p>
        </w:tc>
        <w:tc>
          <w:tcPr>
            <w:tcW w:w="89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rPr>
              <w:t>当年被</w:t>
            </w:r>
            <w:r>
              <w:rPr>
                <w:rFonts w:hint="eastAsia" w:cs="宋体"/>
                <w:color w:val="0C0C0C"/>
                <w:sz w:val="24"/>
                <w:lang w:eastAsia="zh-CN"/>
              </w:rPr>
              <w:t>医疗保障部门</w:t>
            </w:r>
            <w:r>
              <w:rPr>
                <w:rFonts w:hint="eastAsia" w:cs="宋体"/>
                <w:color w:val="0C0C0C"/>
                <w:sz w:val="24"/>
              </w:rPr>
              <w:t>执行行政处罚者，直接列入信用最低等级；</w:t>
            </w:r>
          </w:p>
          <w:p>
            <w:pPr>
              <w:pStyle w:val="5"/>
              <w:widowControl/>
              <w:spacing w:beforeAutospacing="0" w:afterAutospacing="0" w:line="240" w:lineRule="atLeast"/>
              <w:jc w:val="both"/>
              <w:rPr>
                <w:rFonts w:ascii="Calibri" w:hAnsi="Calibri" w:cs="Calibri"/>
                <w:sz w:val="24"/>
              </w:rPr>
            </w:pPr>
            <w:r>
              <w:rPr>
                <w:rFonts w:hint="eastAsia" w:cs="宋体"/>
                <w:color w:val="0C0C0C"/>
                <w:sz w:val="24"/>
              </w:rPr>
              <w:t>被非</w:t>
            </w:r>
            <w:r>
              <w:rPr>
                <w:rFonts w:hint="eastAsia" w:cs="宋体"/>
                <w:color w:val="0C0C0C"/>
                <w:sz w:val="24"/>
                <w:lang w:eastAsia="zh-CN"/>
              </w:rPr>
              <w:t>医疗保障部门</w:t>
            </w:r>
            <w:r>
              <w:rPr>
                <w:rFonts w:hint="eastAsia" w:cs="宋体"/>
                <w:color w:val="0C0C0C"/>
                <w:sz w:val="24"/>
              </w:rPr>
              <w:t>执行行政处罚</w:t>
            </w:r>
            <w:r>
              <w:rPr>
                <w:rFonts w:hint="eastAsia" w:cs="宋体"/>
                <w:color w:val="0C0C0C"/>
                <w:sz w:val="24"/>
                <w:lang w:eastAsia="zh-CN"/>
              </w:rPr>
              <w:t>、</w:t>
            </w:r>
            <w:r>
              <w:rPr>
                <w:rFonts w:hint="eastAsia" w:cs="宋体"/>
                <w:color w:val="0C0C0C"/>
                <w:sz w:val="24"/>
                <w:lang w:val="en-US" w:eastAsia="zh-CN"/>
              </w:rPr>
              <w:t>警告</w:t>
            </w:r>
            <w:r>
              <w:rPr>
                <w:rFonts w:hint="eastAsia" w:cs="宋体"/>
                <w:color w:val="0C0C0C"/>
                <w:sz w:val="24"/>
              </w:rPr>
              <w:t>者，每次扣20分；</w:t>
            </w:r>
          </w:p>
        </w:tc>
        <w:tc>
          <w:tcPr>
            <w:tcW w:w="995" w:type="dxa"/>
            <w:tcBorders>
              <w:top w:val="nil"/>
              <w:left w:val="nil"/>
              <w:bottom w:val="single" w:color="auto" w:sz="8"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r>
              <w:rPr>
                <w:rFonts w:hint="eastAsia" w:cs="宋体"/>
                <w:color w:val="0C0C0C"/>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20" w:type="dxa"/>
            <w:vMerge w:val="restart"/>
            <w:tcBorders>
              <w:top w:val="nil"/>
              <w:left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加分奖励</w:t>
            </w: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公益导向</w:t>
            </w:r>
          </w:p>
        </w:tc>
        <w:tc>
          <w:tcPr>
            <w:tcW w:w="18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hint="eastAsia" w:cs="宋体"/>
                <w:color w:val="0C0C0C"/>
                <w:sz w:val="24"/>
              </w:rPr>
            </w:pPr>
            <w:r>
              <w:rPr>
                <w:rFonts w:hint="eastAsia" w:cs="宋体"/>
                <w:color w:val="0C0C0C"/>
                <w:sz w:val="24"/>
              </w:rPr>
              <w:t>社会媒体</w:t>
            </w:r>
          </w:p>
          <w:p>
            <w:pPr>
              <w:pStyle w:val="5"/>
              <w:widowControl/>
              <w:spacing w:beforeAutospacing="0" w:afterAutospacing="0" w:line="240" w:lineRule="atLeast"/>
              <w:jc w:val="center"/>
              <w:rPr>
                <w:rFonts w:ascii="Calibri" w:hAnsi="Calibri" w:cs="Calibri"/>
                <w:sz w:val="24"/>
              </w:rPr>
            </w:pPr>
            <w:r>
              <w:rPr>
                <w:rFonts w:hint="eastAsia" w:cs="宋体"/>
                <w:color w:val="0C0C0C"/>
                <w:sz w:val="24"/>
              </w:rPr>
              <w:t>舆情评价</w:t>
            </w:r>
          </w:p>
        </w:tc>
        <w:tc>
          <w:tcPr>
            <w:tcW w:w="89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rPr>
              <w:t>提供市、县（市）级以上媒体医保服务相关正面报道加1分，本项最多加2分。</w:t>
            </w:r>
          </w:p>
        </w:tc>
        <w:tc>
          <w:tcPr>
            <w:tcW w:w="995" w:type="dxa"/>
            <w:tcBorders>
              <w:top w:val="nil"/>
              <w:left w:val="nil"/>
              <w:bottom w:val="single" w:color="auto" w:sz="8"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r>
              <w:rPr>
                <w:rFonts w:hint="eastAsia" w:cs="宋体"/>
                <w:color w:val="0C0C0C"/>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0" w:type="dxa"/>
            <w:vMerge w:val="continue"/>
            <w:tcBorders>
              <w:left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0" w:type="auto"/>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奖励荣誉</w:t>
            </w:r>
          </w:p>
        </w:tc>
        <w:tc>
          <w:tcPr>
            <w:tcW w:w="18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奖励与荣誉</w:t>
            </w:r>
          </w:p>
        </w:tc>
        <w:tc>
          <w:tcPr>
            <w:tcW w:w="89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rPr>
              <w:t>经认定，近3年获得市级荣誉</w:t>
            </w:r>
            <w:r>
              <w:rPr>
                <w:rFonts w:hint="eastAsia" w:cs="宋体"/>
                <w:color w:val="0C0C0C"/>
                <w:sz w:val="24"/>
                <w:lang w:eastAsia="zh-CN"/>
              </w:rPr>
              <w:t>（</w:t>
            </w:r>
            <w:r>
              <w:rPr>
                <w:rFonts w:hint="eastAsia" w:cs="宋体"/>
                <w:color w:val="0C0C0C"/>
                <w:sz w:val="24"/>
                <w:lang w:val="en-US" w:eastAsia="zh-CN"/>
              </w:rPr>
              <w:t>包括医疗保障部门评优</w:t>
            </w:r>
            <w:r>
              <w:rPr>
                <w:rFonts w:hint="eastAsia" w:cs="宋体"/>
                <w:color w:val="0C0C0C"/>
                <w:sz w:val="24"/>
                <w:lang w:eastAsia="zh-CN"/>
              </w:rPr>
              <w:t>）</w:t>
            </w:r>
            <w:r>
              <w:rPr>
                <w:rFonts w:hint="eastAsia" w:cs="宋体"/>
                <w:color w:val="0C0C0C"/>
                <w:sz w:val="24"/>
              </w:rPr>
              <w:t>每项加1分，省级荣誉每项加2分，国家级荣誉每项加3分，本项最多加3分。</w:t>
            </w:r>
          </w:p>
        </w:tc>
        <w:tc>
          <w:tcPr>
            <w:tcW w:w="995" w:type="dxa"/>
            <w:tcBorders>
              <w:top w:val="nil"/>
              <w:left w:val="nil"/>
              <w:bottom w:val="single" w:color="auto" w:sz="8"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r>
              <w:rPr>
                <w:rFonts w:hint="eastAsia" w:cs="宋体"/>
                <w:color w:val="0C0C0C"/>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920" w:type="dxa"/>
            <w:vMerge w:val="continue"/>
            <w:tcBorders>
              <w:left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0" w:type="auto"/>
            <w:tcBorders>
              <w:top w:val="nil"/>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基金安全</w:t>
            </w:r>
          </w:p>
        </w:tc>
        <w:tc>
          <w:tcPr>
            <w:tcW w:w="1842" w:type="dxa"/>
            <w:tcBorders>
              <w:top w:val="nil"/>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hint="eastAsia" w:cs="宋体"/>
                <w:color w:val="0C0C0C"/>
                <w:sz w:val="24"/>
              </w:rPr>
            </w:pPr>
            <w:r>
              <w:rPr>
                <w:rFonts w:hint="eastAsia" w:cs="宋体"/>
                <w:color w:val="0C0C0C"/>
                <w:sz w:val="24"/>
              </w:rPr>
              <w:t>维护医保</w:t>
            </w:r>
          </w:p>
          <w:p>
            <w:pPr>
              <w:pStyle w:val="5"/>
              <w:widowControl/>
              <w:spacing w:beforeAutospacing="0" w:afterAutospacing="0" w:line="240" w:lineRule="atLeast"/>
              <w:jc w:val="center"/>
              <w:rPr>
                <w:rFonts w:ascii="Calibri" w:hAnsi="Calibri" w:cs="Calibri"/>
                <w:sz w:val="24"/>
              </w:rPr>
            </w:pPr>
            <w:r>
              <w:rPr>
                <w:rFonts w:hint="eastAsia" w:cs="宋体"/>
                <w:color w:val="0C0C0C"/>
                <w:sz w:val="24"/>
              </w:rPr>
              <w:t>基金安全</w:t>
            </w:r>
          </w:p>
        </w:tc>
        <w:tc>
          <w:tcPr>
            <w:tcW w:w="8979" w:type="dxa"/>
            <w:tcBorders>
              <w:top w:val="nil"/>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rPr>
              <w:t>制止或举报医保违法违规行为，</w:t>
            </w:r>
            <w:r>
              <w:rPr>
                <w:rFonts w:hint="eastAsia" w:cs="宋体"/>
                <w:color w:val="0C0C0C"/>
                <w:sz w:val="24"/>
                <w:lang w:eastAsia="zh-CN"/>
              </w:rPr>
              <w:t>医疗保障部门</w:t>
            </w:r>
            <w:r>
              <w:rPr>
                <w:rFonts w:hint="eastAsia" w:cs="宋体"/>
                <w:color w:val="0C0C0C"/>
                <w:sz w:val="24"/>
              </w:rPr>
              <w:t>查处属实的加2分，本项最多加8分。</w:t>
            </w:r>
          </w:p>
        </w:tc>
        <w:tc>
          <w:tcPr>
            <w:tcW w:w="995" w:type="dxa"/>
            <w:tcBorders>
              <w:top w:val="nil"/>
              <w:left w:val="nil"/>
              <w:bottom w:val="single" w:color="auto" w:sz="4"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r>
              <w:rPr>
                <w:rFonts w:hint="eastAsia" w:cs="宋体"/>
                <w:color w:val="0C0C0C"/>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20" w:type="dxa"/>
            <w:vMerge w:val="continue"/>
            <w:tcBorders>
              <w:left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1176" w:type="dxa"/>
            <w:vMerge w:val="restart"/>
            <w:tcBorders>
              <w:top w:val="nil"/>
              <w:left w:val="nil"/>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color w:val="0C0C0C"/>
                <w:sz w:val="24"/>
              </w:rPr>
            </w:pPr>
            <w:r>
              <w:rPr>
                <w:rFonts w:hint="eastAsia" w:cs="宋体"/>
                <w:color w:val="0C0C0C"/>
                <w:sz w:val="24"/>
              </w:rPr>
              <w:t>服务能力</w:t>
            </w:r>
          </w:p>
        </w:tc>
        <w:tc>
          <w:tcPr>
            <w:tcW w:w="1842" w:type="dxa"/>
            <w:tcBorders>
              <w:top w:val="nil"/>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hint="eastAsia" w:cs="宋体"/>
                <w:color w:val="0C0C0C"/>
                <w:sz w:val="24"/>
              </w:rPr>
            </w:pPr>
            <w:r>
              <w:rPr>
                <w:rFonts w:hint="eastAsia" w:cs="宋体"/>
                <w:color w:val="0C0C0C"/>
                <w:sz w:val="24"/>
              </w:rPr>
              <w:t>提供优质</w:t>
            </w:r>
          </w:p>
          <w:p>
            <w:pPr>
              <w:pStyle w:val="5"/>
              <w:widowControl/>
              <w:spacing w:beforeAutospacing="0" w:afterAutospacing="0" w:line="240" w:lineRule="atLeast"/>
              <w:jc w:val="center"/>
              <w:rPr>
                <w:rFonts w:ascii="Calibri" w:hAnsi="Calibri" w:cs="Calibri"/>
                <w:sz w:val="24"/>
              </w:rPr>
            </w:pPr>
            <w:r>
              <w:rPr>
                <w:rFonts w:hint="eastAsia" w:cs="宋体"/>
                <w:color w:val="0C0C0C"/>
                <w:sz w:val="24"/>
              </w:rPr>
              <w:t>服务年限</w:t>
            </w:r>
          </w:p>
        </w:tc>
        <w:tc>
          <w:tcPr>
            <w:tcW w:w="8979" w:type="dxa"/>
            <w:tcBorders>
              <w:top w:val="nil"/>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lang w:val="en-US" w:eastAsia="zh-CN"/>
              </w:rPr>
              <w:t>连续三年</w:t>
            </w:r>
            <w:r>
              <w:rPr>
                <w:rFonts w:hint="eastAsia" w:cs="宋体"/>
                <w:color w:val="0C0C0C"/>
                <w:sz w:val="24"/>
              </w:rPr>
              <w:t>未被医保考核扣分的加3分。</w:t>
            </w:r>
          </w:p>
        </w:tc>
        <w:tc>
          <w:tcPr>
            <w:tcW w:w="995" w:type="dxa"/>
            <w:tcBorders>
              <w:top w:val="nil"/>
              <w:left w:val="nil"/>
              <w:bottom w:val="single" w:color="auto" w:sz="4"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rFonts w:ascii="Calibri" w:hAnsi="Calibri" w:cs="Calibri"/>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20" w:type="dxa"/>
            <w:vMerge w:val="continue"/>
            <w:tcBorders>
              <w:left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1176" w:type="dxa"/>
            <w:vMerge w:val="continue"/>
            <w:tcBorders>
              <w:left w:val="nil"/>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color w:val="0C0C0C"/>
                <w:sz w:val="24"/>
              </w:rPr>
            </w:pPr>
          </w:p>
        </w:tc>
        <w:tc>
          <w:tcPr>
            <w:tcW w:w="1842"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ascii="Calibri" w:hAnsi="Calibri" w:cs="Calibri"/>
                <w:sz w:val="24"/>
              </w:rPr>
            </w:pPr>
            <w:r>
              <w:rPr>
                <w:rFonts w:hint="eastAsia" w:cs="宋体"/>
                <w:color w:val="0C0C0C"/>
                <w:sz w:val="24"/>
              </w:rPr>
              <w:t>营业面积</w:t>
            </w:r>
          </w:p>
        </w:tc>
        <w:tc>
          <w:tcPr>
            <w:tcW w:w="8979"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ascii="Calibri" w:hAnsi="Calibri" w:cs="Calibri"/>
                <w:sz w:val="24"/>
              </w:rPr>
            </w:pPr>
            <w:r>
              <w:rPr>
                <w:rFonts w:hint="eastAsia" w:cs="宋体"/>
                <w:color w:val="0C0C0C"/>
                <w:sz w:val="24"/>
              </w:rPr>
              <w:t>营业面积100-150M</w:t>
            </w:r>
            <w:r>
              <w:rPr>
                <w:rFonts w:hint="eastAsia" w:cs="宋体"/>
                <w:color w:val="0C0C0C"/>
                <w:sz w:val="24"/>
                <w:vertAlign w:val="superscript"/>
              </w:rPr>
              <w:t>2</w:t>
            </w:r>
            <w:r>
              <w:rPr>
                <w:rFonts w:hint="eastAsia" w:cs="宋体"/>
                <w:color w:val="0C0C0C"/>
                <w:sz w:val="24"/>
              </w:rPr>
              <w:t>加1分，150-200M</w:t>
            </w:r>
            <w:r>
              <w:rPr>
                <w:rFonts w:hint="eastAsia" w:cs="宋体"/>
                <w:color w:val="0C0C0C"/>
                <w:sz w:val="24"/>
                <w:vertAlign w:val="superscript"/>
              </w:rPr>
              <w:t>2</w:t>
            </w:r>
            <w:r>
              <w:rPr>
                <w:rFonts w:hint="eastAsia" w:cs="宋体"/>
                <w:color w:val="0C0C0C"/>
                <w:sz w:val="24"/>
              </w:rPr>
              <w:t>加2分，200M</w:t>
            </w:r>
            <w:r>
              <w:rPr>
                <w:rFonts w:hint="eastAsia" w:cs="宋体"/>
                <w:color w:val="0C0C0C"/>
                <w:sz w:val="24"/>
                <w:vertAlign w:val="superscript"/>
              </w:rPr>
              <w:t>2</w:t>
            </w:r>
            <w:r>
              <w:rPr>
                <w:rFonts w:hint="eastAsia" w:cs="宋体"/>
                <w:color w:val="0C0C0C"/>
                <w:sz w:val="24"/>
              </w:rPr>
              <w:t>以上加3分。</w:t>
            </w:r>
          </w:p>
        </w:tc>
        <w:tc>
          <w:tcPr>
            <w:tcW w:w="995" w:type="dxa"/>
            <w:tcBorders>
              <w:top w:val="single" w:color="auto" w:sz="4" w:space="0"/>
              <w:left w:val="nil"/>
              <w:bottom w:val="single" w:color="auto" w:sz="4"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color w:val="0C0C0C"/>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0" w:type="dxa"/>
            <w:vMerge w:val="continue"/>
            <w:tcBorders>
              <w:left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1176" w:type="dxa"/>
            <w:vMerge w:val="continue"/>
            <w:tcBorders>
              <w:left w:val="nil"/>
              <w:right w:val="single" w:color="auto" w:sz="8" w:space="0"/>
            </w:tcBorders>
            <w:shd w:val="clear" w:color="auto" w:fill="FFFFFF"/>
            <w:tcMar>
              <w:left w:w="108" w:type="dxa"/>
              <w:right w:w="108" w:type="dxa"/>
            </w:tcMar>
            <w:vAlign w:val="center"/>
          </w:tcPr>
          <w:p>
            <w:pPr>
              <w:rPr>
                <w:rFonts w:ascii="宋体" w:hAnsi="宋体" w:eastAsia="宋体" w:cs="宋体"/>
                <w:color w:val="0C0C0C"/>
                <w:sz w:val="24"/>
              </w:rPr>
            </w:pPr>
          </w:p>
        </w:tc>
        <w:tc>
          <w:tcPr>
            <w:tcW w:w="1842"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rFonts w:hint="eastAsia" w:cs="宋体"/>
                <w:color w:val="0C0C0C"/>
                <w:sz w:val="24"/>
              </w:rPr>
            </w:pPr>
            <w:r>
              <w:rPr>
                <w:rFonts w:hint="eastAsia" w:cs="宋体"/>
                <w:color w:val="0C0C0C"/>
                <w:sz w:val="24"/>
              </w:rPr>
              <w:t>药品种类</w:t>
            </w:r>
          </w:p>
          <w:p>
            <w:pPr>
              <w:pStyle w:val="5"/>
              <w:widowControl/>
              <w:spacing w:beforeAutospacing="0" w:afterAutospacing="0" w:line="240" w:lineRule="atLeast"/>
              <w:jc w:val="center"/>
              <w:rPr>
                <w:rFonts w:hint="default" w:eastAsia="宋体"/>
                <w:color w:val="0C0C0C"/>
                <w:sz w:val="24"/>
                <w:lang w:val="en-US" w:eastAsia="zh-CN"/>
              </w:rPr>
            </w:pPr>
            <w:r>
              <w:rPr>
                <w:rFonts w:hint="eastAsia" w:cs="宋体"/>
                <w:color w:val="0C0C0C"/>
                <w:sz w:val="24"/>
                <w:lang w:val="en-US" w:eastAsia="zh-CN"/>
              </w:rPr>
              <w:t>及摆放</w:t>
            </w:r>
          </w:p>
        </w:tc>
        <w:tc>
          <w:tcPr>
            <w:tcW w:w="8979"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rFonts w:hint="eastAsia" w:cs="宋体"/>
                <w:color w:val="0C0C0C"/>
                <w:sz w:val="24"/>
              </w:rPr>
            </w:pPr>
            <w:r>
              <w:rPr>
                <w:rFonts w:hint="eastAsia" w:cs="宋体"/>
                <w:color w:val="0C0C0C"/>
                <w:sz w:val="24"/>
              </w:rPr>
              <w:t>药品种类1000-1500种加1分，1500-2000种加2分,2000种以上加3分。</w:t>
            </w:r>
          </w:p>
          <w:p>
            <w:pPr>
              <w:pStyle w:val="5"/>
              <w:widowControl/>
              <w:spacing w:beforeAutospacing="0" w:afterAutospacing="0" w:line="240" w:lineRule="atLeast"/>
              <w:jc w:val="both"/>
              <w:rPr>
                <w:rFonts w:hint="default" w:eastAsiaTheme="minorEastAsia"/>
                <w:lang w:val="en-US" w:eastAsia="zh-CN"/>
              </w:rPr>
            </w:pPr>
            <w:r>
              <w:rPr>
                <w:rFonts w:hint="eastAsia" w:cs="宋体"/>
                <w:color w:val="0C0C0C"/>
                <w:sz w:val="24"/>
                <w:lang w:val="en-US" w:eastAsia="zh-CN"/>
              </w:rPr>
              <w:t>不摆放及销售非医保支付药品（保健品、生活用品）的加5分。</w:t>
            </w:r>
          </w:p>
        </w:tc>
        <w:tc>
          <w:tcPr>
            <w:tcW w:w="995" w:type="dxa"/>
            <w:tcBorders>
              <w:top w:val="single" w:color="auto" w:sz="4" w:space="0"/>
              <w:left w:val="nil"/>
              <w:bottom w:val="single" w:color="auto" w:sz="4"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color w:val="0C0C0C"/>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0" w:type="dxa"/>
            <w:vMerge w:val="continue"/>
            <w:tcBorders>
              <w:left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1176" w:type="dxa"/>
            <w:vMerge w:val="continue"/>
            <w:tcBorders>
              <w:left w:val="nil"/>
              <w:right w:val="single" w:color="auto" w:sz="8" w:space="0"/>
            </w:tcBorders>
            <w:shd w:val="clear" w:color="auto" w:fill="FFFFFF"/>
            <w:tcMar>
              <w:left w:w="108" w:type="dxa"/>
              <w:right w:w="108" w:type="dxa"/>
            </w:tcMar>
            <w:vAlign w:val="center"/>
          </w:tcPr>
          <w:p>
            <w:pPr>
              <w:rPr>
                <w:rFonts w:ascii="宋体" w:hAnsi="宋体" w:eastAsia="宋体" w:cs="宋体"/>
                <w:color w:val="0C0C0C"/>
                <w:sz w:val="24"/>
              </w:rPr>
            </w:pPr>
          </w:p>
        </w:tc>
        <w:tc>
          <w:tcPr>
            <w:tcW w:w="1842"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color w:val="0C0C0C"/>
                <w:sz w:val="24"/>
              </w:rPr>
            </w:pPr>
            <w:r>
              <w:rPr>
                <w:rFonts w:hint="eastAsia" w:cs="宋体"/>
                <w:color w:val="0C0C0C"/>
                <w:sz w:val="24"/>
              </w:rPr>
              <w:t>推行电子医保凭证</w:t>
            </w:r>
          </w:p>
        </w:tc>
        <w:tc>
          <w:tcPr>
            <w:tcW w:w="8979"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color w:val="0C0C0C"/>
                <w:sz w:val="24"/>
              </w:rPr>
            </w:pPr>
            <w:r>
              <w:rPr>
                <w:rFonts w:hint="eastAsia" w:cs="宋体"/>
                <w:color w:val="0C0C0C"/>
                <w:sz w:val="24"/>
                <w:lang w:val="en-US" w:eastAsia="zh-CN"/>
              </w:rPr>
              <w:t>每季度使用电子医保卡结算超过1500笔，加2分。</w:t>
            </w:r>
          </w:p>
        </w:tc>
        <w:tc>
          <w:tcPr>
            <w:tcW w:w="995" w:type="dxa"/>
            <w:tcBorders>
              <w:top w:val="single" w:color="auto" w:sz="4" w:space="0"/>
              <w:left w:val="nil"/>
              <w:bottom w:val="single" w:color="auto" w:sz="4"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color w:val="0C0C0C"/>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20" w:type="dxa"/>
            <w:vMerge w:val="continue"/>
            <w:tcBorders>
              <w:left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24"/>
              </w:rPr>
            </w:pPr>
          </w:p>
        </w:tc>
        <w:tc>
          <w:tcPr>
            <w:tcW w:w="1176" w:type="dxa"/>
            <w:vMerge w:val="continue"/>
            <w:tcBorders>
              <w:left w:val="nil"/>
              <w:right w:val="single" w:color="auto" w:sz="8" w:space="0"/>
            </w:tcBorders>
            <w:shd w:val="clear" w:color="auto" w:fill="FFFFFF"/>
            <w:tcMar>
              <w:left w:w="108" w:type="dxa"/>
              <w:right w:w="108" w:type="dxa"/>
            </w:tcMar>
            <w:vAlign w:val="center"/>
          </w:tcPr>
          <w:p/>
        </w:tc>
        <w:tc>
          <w:tcPr>
            <w:tcW w:w="1842"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center"/>
              <w:rPr>
                <w:color w:val="0C0C0C"/>
                <w:sz w:val="24"/>
              </w:rPr>
            </w:pPr>
            <w:r>
              <w:rPr>
                <w:rFonts w:hint="eastAsia" w:cs="宋体"/>
                <w:color w:val="0C0C0C"/>
                <w:sz w:val="24"/>
              </w:rPr>
              <w:t>信息系统</w:t>
            </w:r>
          </w:p>
        </w:tc>
        <w:tc>
          <w:tcPr>
            <w:tcW w:w="8979"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color w:val="0C0C0C"/>
                <w:sz w:val="24"/>
              </w:rPr>
            </w:pPr>
            <w:r>
              <w:rPr>
                <w:rFonts w:hint="eastAsia" w:cs="宋体"/>
                <w:color w:val="0C0C0C"/>
                <w:sz w:val="24"/>
              </w:rPr>
              <w:t>完成</w:t>
            </w:r>
            <w:r>
              <w:rPr>
                <w:rFonts w:hint="eastAsia" w:cs="宋体"/>
                <w:color w:val="0C0C0C"/>
                <w:sz w:val="24"/>
                <w:lang w:val="en-US" w:eastAsia="zh-CN"/>
              </w:rPr>
              <w:t>金保系统</w:t>
            </w:r>
            <w:r>
              <w:rPr>
                <w:rFonts w:hint="eastAsia" w:cs="宋体"/>
                <w:color w:val="0C0C0C"/>
                <w:sz w:val="24"/>
              </w:rPr>
              <w:t>接口改造及数据对接的加</w:t>
            </w:r>
            <w:r>
              <w:rPr>
                <w:rFonts w:hint="eastAsia" w:cs="宋体"/>
                <w:color w:val="0C0C0C"/>
                <w:sz w:val="24"/>
                <w:lang w:val="en-US" w:eastAsia="zh-CN"/>
              </w:rPr>
              <w:t>4</w:t>
            </w:r>
            <w:r>
              <w:rPr>
                <w:rFonts w:hint="eastAsia" w:cs="宋体"/>
                <w:color w:val="0C0C0C"/>
                <w:sz w:val="24"/>
              </w:rPr>
              <w:t>分。</w:t>
            </w:r>
          </w:p>
        </w:tc>
        <w:tc>
          <w:tcPr>
            <w:tcW w:w="995" w:type="dxa"/>
            <w:tcBorders>
              <w:top w:val="single" w:color="auto" w:sz="4" w:space="0"/>
              <w:left w:val="nil"/>
              <w:bottom w:val="single" w:color="auto" w:sz="4" w:space="0"/>
              <w:right w:val="single" w:color="auto" w:sz="8" w:space="0"/>
            </w:tcBorders>
            <w:shd w:val="clear" w:color="auto" w:fill="FFFFFF"/>
            <w:tcMar>
              <w:left w:w="108" w:type="dxa"/>
              <w:right w:w="108" w:type="dxa"/>
            </w:tcMar>
          </w:tcPr>
          <w:p>
            <w:pPr>
              <w:pStyle w:val="5"/>
              <w:widowControl/>
              <w:spacing w:beforeAutospacing="0" w:afterAutospacing="0" w:line="240" w:lineRule="atLeast"/>
              <w:jc w:val="both"/>
              <w:rPr>
                <w:color w:val="0C0C0C"/>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096" w:type="dxa"/>
            <w:gridSpan w:val="2"/>
            <w:tcBorders>
              <w:left w:val="single" w:color="auto" w:sz="8" w:space="0"/>
              <w:bottom w:val="single" w:color="auto" w:sz="4" w:space="0"/>
              <w:right w:val="single" w:color="auto" w:sz="8" w:space="0"/>
            </w:tcBorders>
            <w:shd w:val="clear" w:color="auto" w:fill="FFFFFF"/>
            <w:tcMar>
              <w:left w:w="108" w:type="dxa"/>
              <w:right w:w="108" w:type="dxa"/>
            </w:tcMar>
            <w:vAlign w:val="center"/>
          </w:tcPr>
          <w:p>
            <w:pPr>
              <w:jc w:val="center"/>
              <w:rPr>
                <w:rFonts w:hint="default" w:eastAsiaTheme="minorEastAsia"/>
                <w:lang w:val="en-US" w:eastAsia="zh-CN"/>
              </w:rPr>
            </w:pPr>
            <w:r>
              <w:rPr>
                <w:rFonts w:hint="eastAsia" w:ascii="宋体" w:hAnsi="宋体" w:eastAsia="宋体" w:cs="宋体"/>
                <w:b/>
                <w:bCs/>
                <w:color w:val="0C0C0C"/>
                <w:kern w:val="0"/>
                <w:sz w:val="24"/>
                <w:szCs w:val="24"/>
                <w:lang w:val="en-US" w:eastAsia="zh-CN" w:bidi="ar-SA"/>
              </w:rPr>
              <w:t>最终得分</w:t>
            </w:r>
          </w:p>
        </w:tc>
        <w:tc>
          <w:tcPr>
            <w:tcW w:w="11816" w:type="dxa"/>
            <w:gridSpan w:val="3"/>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240" w:lineRule="atLeast"/>
              <w:jc w:val="both"/>
              <w:rPr>
                <w:color w:val="0C0C0C"/>
                <w:sz w:val="28"/>
                <w:szCs w:val="28"/>
              </w:rPr>
            </w:pPr>
          </w:p>
        </w:tc>
      </w:tr>
    </w:tbl>
    <w:p>
      <w:pPr>
        <w:pStyle w:val="5"/>
        <w:widowControl/>
        <w:shd w:val="clear" w:color="auto" w:fill="FFFFFF"/>
        <w:spacing w:beforeAutospacing="0" w:afterAutospacing="0"/>
        <w:jc w:val="both"/>
        <w:rPr>
          <w:rFonts w:hint="default" w:eastAsia="宋体"/>
          <w:u w:val="single"/>
          <w:lang w:val="en-US" w:eastAsia="zh-CN"/>
        </w:rPr>
      </w:pPr>
      <w:r>
        <w:rPr>
          <w:rFonts w:hint="eastAsia" w:cs="宋体"/>
          <w:color w:val="0C0C0C"/>
          <w:sz w:val="32"/>
          <w:szCs w:val="32"/>
          <w:shd w:val="clear" w:color="auto" w:fill="FFFFFF"/>
        </w:rPr>
        <w:t>注：总分由基本分、加分和减分构成，基本分默认为70分，减分不设限，扣完为止。</w:t>
      </w:r>
      <w:r>
        <w:rPr>
          <w:rFonts w:hint="eastAsia" w:cs="宋体"/>
          <w:color w:val="0C0C0C"/>
          <w:sz w:val="32"/>
          <w:szCs w:val="32"/>
          <w:shd w:val="clear" w:color="auto" w:fill="FFFFFF"/>
          <w:lang w:val="en-US" w:eastAsia="zh-CN"/>
        </w:rPr>
        <w:t>各项评分内容及分值结合我市实际情况，动态调整。</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74BE"/>
    <w:rsid w:val="00126ED7"/>
    <w:rsid w:val="00172A27"/>
    <w:rsid w:val="002D71F0"/>
    <w:rsid w:val="00382EFE"/>
    <w:rsid w:val="00CD1AC5"/>
    <w:rsid w:val="00DC565F"/>
    <w:rsid w:val="00F40FE6"/>
    <w:rsid w:val="030D23AF"/>
    <w:rsid w:val="0504104D"/>
    <w:rsid w:val="054F64FA"/>
    <w:rsid w:val="097F7057"/>
    <w:rsid w:val="0AA654DC"/>
    <w:rsid w:val="0EF0623D"/>
    <w:rsid w:val="0F0965F0"/>
    <w:rsid w:val="11E9262D"/>
    <w:rsid w:val="12374ED5"/>
    <w:rsid w:val="12A32044"/>
    <w:rsid w:val="132C5649"/>
    <w:rsid w:val="14306E7F"/>
    <w:rsid w:val="15F20660"/>
    <w:rsid w:val="176A25C6"/>
    <w:rsid w:val="179442C4"/>
    <w:rsid w:val="17AA5053"/>
    <w:rsid w:val="18C41F4A"/>
    <w:rsid w:val="19412BFE"/>
    <w:rsid w:val="1D6E1340"/>
    <w:rsid w:val="1F7E109B"/>
    <w:rsid w:val="216B578F"/>
    <w:rsid w:val="226D08C0"/>
    <w:rsid w:val="2ADB2DDE"/>
    <w:rsid w:val="2B264B5D"/>
    <w:rsid w:val="2B807926"/>
    <w:rsid w:val="2FB8286B"/>
    <w:rsid w:val="30117043"/>
    <w:rsid w:val="30367F97"/>
    <w:rsid w:val="313130C8"/>
    <w:rsid w:val="335E1AC4"/>
    <w:rsid w:val="336B5086"/>
    <w:rsid w:val="33DD1E8A"/>
    <w:rsid w:val="356B17E6"/>
    <w:rsid w:val="36D23CF6"/>
    <w:rsid w:val="37702F4D"/>
    <w:rsid w:val="3A5D14A0"/>
    <w:rsid w:val="3B3A71BD"/>
    <w:rsid w:val="3B5B62F8"/>
    <w:rsid w:val="42474C43"/>
    <w:rsid w:val="4268667F"/>
    <w:rsid w:val="44B42D5D"/>
    <w:rsid w:val="49284E6E"/>
    <w:rsid w:val="4984106D"/>
    <w:rsid w:val="4BA168DB"/>
    <w:rsid w:val="4CE240B3"/>
    <w:rsid w:val="4CED5653"/>
    <w:rsid w:val="4D534350"/>
    <w:rsid w:val="4D5E3A31"/>
    <w:rsid w:val="4D7C43B4"/>
    <w:rsid w:val="504843B5"/>
    <w:rsid w:val="51122995"/>
    <w:rsid w:val="526029FA"/>
    <w:rsid w:val="56EA30A1"/>
    <w:rsid w:val="5B652A24"/>
    <w:rsid w:val="5FC43B70"/>
    <w:rsid w:val="60595EF1"/>
    <w:rsid w:val="620130E0"/>
    <w:rsid w:val="62EF5000"/>
    <w:rsid w:val="647A7812"/>
    <w:rsid w:val="66230EA7"/>
    <w:rsid w:val="677448C8"/>
    <w:rsid w:val="6A330924"/>
    <w:rsid w:val="6A535F5E"/>
    <w:rsid w:val="6A964878"/>
    <w:rsid w:val="6B226A8D"/>
    <w:rsid w:val="6BED5FCC"/>
    <w:rsid w:val="6C711287"/>
    <w:rsid w:val="6D9C13F3"/>
    <w:rsid w:val="73FA0ECD"/>
    <w:rsid w:val="747B6D5F"/>
    <w:rsid w:val="76987DED"/>
    <w:rsid w:val="76C53B71"/>
    <w:rsid w:val="779A029F"/>
    <w:rsid w:val="78474FFD"/>
    <w:rsid w:val="7BBB46C4"/>
    <w:rsid w:val="7C4643A7"/>
    <w:rsid w:val="7C56064E"/>
    <w:rsid w:val="7D5F2F0B"/>
    <w:rsid w:val="7FDC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next w:val="1"/>
    <w:qFormat/>
    <w:uiPriority w:val="0"/>
    <w:pPr>
      <w:spacing w:beforeAutospacing="1" w:afterAutospacing="1"/>
      <w:jc w:val="left"/>
    </w:pPr>
    <w:rPr>
      <w:rFonts w:ascii="宋体" w:hAnsi="宋体" w:eastAsia="宋体"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10</Pages>
  <Words>684</Words>
  <Characters>3900</Characters>
  <Lines>32</Lines>
  <Paragraphs>9</Paragraphs>
  <TotalTime>8</TotalTime>
  <ScaleCrop>false</ScaleCrop>
  <LinksUpToDate>false</LinksUpToDate>
  <CharactersWithSpaces>4575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WPS_1576292710</cp:lastModifiedBy>
  <cp:lastPrinted>2020-12-16T06:47:00Z</cp:lastPrinted>
  <dcterms:modified xsi:type="dcterms:W3CDTF">2020-12-17T06:39:33Z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