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鸡环审〔2025〕25号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bCs/>
          <w:sz w:val="32"/>
          <w:szCs w:val="32"/>
          <w:shd w:val="clear" w:color="auto" w:fill="auto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ascii="方正小标宋简体" w:eastAsia="方正小标宋简体" w:cs="方正小标宋简体" w:hAnsi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关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val="en-US" w:eastAsia="zh-CN"/>
        </w:rPr>
        <w:t>鸡西市玖圣商贸有限公司建设项目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</w:rPr>
      </w:pP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鸡西市玖圣商贸有限公司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你单位《关于申请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鸡西市玖圣商贸有限公司建设项目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环境影响评价文件的函》及相关材料收悉，经研究，批复如下。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tabs>
          <w:tab w:val="left" w:pos="4725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该项目属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新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工程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拟建于鸡西市麻山区麻山镇南侧，租赁鸡西市辰源石墨有限公司工业场地，占地面积6600 m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 xml:space="preserve">新建1条年碎石40000 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m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3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生产线及配套密闭厂房、环保工程、储运工程、辅助工程等。项目原料来源应为合法开采的矿山剥离废弃土石，不包含尾矿砂等固体废物。项目总投资50万元，其中环保投资21万元。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该项目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在全面落实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《鸡西市玖圣商贸有限公司建设项目环境影响报告表》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（以下简称《报告表》）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和本批复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提出的各项生态环境保护措施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后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，对环境的不利影响可以得到缓解和控制。我局原则同意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报告表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》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中的环境影响评价总体结论和各项生态环境保护措施。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jc w:val="both"/>
        <w:textAlignment w:val="auto"/>
        <w:outlineLvl w:val="9"/>
        <w:rPr>
          <w:rFonts w:ascii="黑体" w:eastAsia="黑体" w:cs="黑体" w:hAnsi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jc w:val="both"/>
        <w:textAlignment w:val="auto"/>
        <w:outlineLvl w:val="9"/>
        <w:rPr>
          <w:rFonts w:ascii="黑体" w:eastAsia="黑体" w:cs="黑体" w:hAnsi="黑体"/>
          <w:color w:val="auto"/>
          <w:sz w:val="32"/>
          <w:szCs w:val="32"/>
        </w:rPr>
      </w:pPr>
      <w:r>
        <w:rPr>
          <w:rFonts w:ascii="黑体" w:eastAsia="黑体" w:cs="黑体" w:hAnsi="黑体" w:hint="eastAsia"/>
          <w:color w:val="auto"/>
          <w:sz w:val="32"/>
          <w:szCs w:val="32"/>
        </w:rPr>
        <w:t>二、项目建设的主要生态环境影响及保护措施</w:t>
      </w: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adjustRightInd/>
        <w:snapToGrid w:val="0"/>
        <w:spacing w:before="0" w:beforeAutospacing="0" w:after="0" w:afterAutospacing="0" w:line="560" w:lineRule="exact"/>
        <w:ind w:right="0" w:firstLineChars="200" w:firstLine="640"/>
        <w:contextualSpacing w:val="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（一）施工期环境影响及保护措施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>施工场地设立围挡，施工材料定点堆放并加装防风抑尘网，运输车辆加盖苫布，按时洒水降尘，施工期厂界颗粒物排放浓度应符合《大气污染物综合排放标准》（GB16297-1996）中二级标准限值。项目</w:t>
      </w:r>
      <w:r>
        <w:rPr>
          <w:rFonts w:eastAsia="仿宋_GB2312" w:cs="仿宋_GB2312"/>
          <w:sz w:val="32"/>
          <w:szCs w:val="32"/>
        </w:rPr>
        <w:t>施工期</w:t>
      </w:r>
      <w:r>
        <w:rPr>
          <w:rFonts w:eastAsia="仿宋_GB2312" w:cs="仿宋_GB2312" w:hint="eastAsia"/>
          <w:sz w:val="32"/>
          <w:szCs w:val="32"/>
        </w:rPr>
        <w:t>生活污水排入临时防渗旱厕，定期清掏</w:t>
      </w:r>
      <w:r>
        <w:rPr>
          <w:rFonts w:eastAsia="仿宋_GB2312" w:cs="仿宋_GB2312"/>
          <w:sz w:val="32"/>
          <w:szCs w:val="32"/>
        </w:rPr>
        <w:t>外运堆肥</w:t>
      </w:r>
      <w:r>
        <w:rPr>
          <w:rFonts w:eastAsia="仿宋_GB2312" w:cs="仿宋_GB2312" w:hint="eastAsia"/>
          <w:sz w:val="32"/>
          <w:szCs w:val="32"/>
        </w:rPr>
        <w:t>，施工废水经沉淀后回用</w:t>
      </w:r>
      <w:r>
        <w:rPr>
          <w:rFonts w:eastAsia="仿宋_GB2312" w:cs="仿宋_GB2312"/>
          <w:sz w:val="32"/>
          <w:szCs w:val="32"/>
        </w:rPr>
        <w:t>于洒水降尘</w:t>
      </w:r>
      <w:r>
        <w:rPr>
          <w:rFonts w:eastAsia="仿宋_GB2312" w:cs="仿宋_GB2312" w:hint="eastAsia"/>
          <w:sz w:val="32"/>
          <w:szCs w:val="32"/>
        </w:rPr>
        <w:t>，不外排。选用低噪声机械，加设隔声屏障，合理安排施工时间，噪声应符合《建筑施工场界环境噪声排放标准》（GB12523-2011）标准要求。</w:t>
      </w:r>
      <w:r>
        <w:rPr>
          <w:rFonts w:eastAsia="仿宋_GB2312" w:cs="仿宋_GB2312"/>
          <w:sz w:val="32"/>
          <w:szCs w:val="32"/>
        </w:rPr>
        <w:t>沉淀池内泥浆弃土、</w:t>
      </w:r>
      <w:r>
        <w:rPr>
          <w:rFonts w:eastAsia="仿宋_GB2312" w:cs="仿宋_GB2312" w:hint="eastAsia"/>
          <w:sz w:val="32"/>
          <w:szCs w:val="32"/>
        </w:rPr>
        <w:t>建筑垃圾及时清运至指定地点处置</w:t>
      </w:r>
      <w:r>
        <w:rPr>
          <w:rFonts w:eastAsia="仿宋_GB2312" w:cs="仿宋_GB2312"/>
          <w:sz w:val="32"/>
          <w:szCs w:val="32"/>
        </w:rPr>
        <w:t>，生活垃圾集中收集，由环卫部门定期清运。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二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）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大气环境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影响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val="en-US" w:eastAsia="zh-CN"/>
        </w:rPr>
        <w:t>及保护措施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项目破碎机出料口粉尘经集气罩收集和布袋除尘器处理后由15m排气筒排放，颗粒物排放浓度和排放速率应符合《大气污染物综合排放标准》（GB16297-1996）表2中的二级排放标准限值要求。密闭厂房内设置喷淋装置，成品堆场和原料堆场加装防风抑尘网，运输车辆遮盖苫布，定期洒水降尘，厂界颗粒物排放浓度应符合《大气污染物综合排放标准》（GB16297-1996）表2中无组织排放浓度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/>
          <w:sz w:val="32"/>
          <w:szCs w:val="32"/>
        </w:rPr>
        <w:t>（三）</w:t>
      </w:r>
      <w:r>
        <w:rPr>
          <w:rFonts w:ascii="方正楷体_GBK" w:eastAsia="方正楷体_GBK" w:cs="方正楷体_GBK" w:hint="eastAsia"/>
          <w:sz w:val="32"/>
          <w:szCs w:val="32"/>
        </w:rPr>
        <w:t>水环境影响及</w:t>
      </w:r>
      <w:r>
        <w:rPr>
          <w:rFonts w:ascii="方正楷体_GBK" w:eastAsia="方正楷体_GBK" w:cs="方正楷体_GBK" w:hint="eastAsia"/>
          <w:sz w:val="32"/>
          <w:szCs w:val="32"/>
          <w:lang w:val="en-US" w:eastAsia="zh-CN"/>
        </w:rPr>
        <w:t>保护措施。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项目生产过程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喷淋降尘用水全部蒸发，不外排。生活污水排入防渗旱厕，定期清掏外运堆肥。雨水导流至雨水收集池内，经沉淀后回用于洒水降尘。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suppressAutoHyphens w:val="0"/>
        <w:adjustRightInd/>
        <w:snapToGrid w:val="0"/>
        <w:spacing w:before="0" w:after="0" w:line="560" w:lineRule="exact"/>
        <w:ind w:right="0" w:firstLineChars="200" w:firstLine="640"/>
        <w:contextualSpacing w:val="0"/>
        <w:rPr>
          <w:rFonts w:hint="eastAsia"/>
        </w:rPr>
      </w:pP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应严格落实地下水保护措施，采取分区防渗，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危险废物贮存点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重点防渗，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采用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2mm厚高密度聚乙烯膜等人工材料，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K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≤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eastAsia="仿宋_GB2312"/>
          <w:color w:val="auto"/>
          <w:kern w:val="0"/>
          <w:sz w:val="32"/>
          <w:szCs w:val="32"/>
          <w:lang w:val="en-US" w:eastAsia="zh-CN" w:bidi="ar-SA"/>
        </w:rPr>
        <w:t>×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10</w:t>
      </w:r>
      <w:r>
        <w:rPr>
          <w:rFonts w:eastAsia="仿宋_GB2312" w:cs="Times New Roman" w:hint="eastAsia"/>
          <w:color w:val="auto"/>
          <w:kern w:val="0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cm/s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，厂区内堆场及雨水收集池为一般防渗区，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等效粘土防渗层Mb≥1.5m，K≤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eastAsia="仿宋_GB2312"/>
          <w:color w:val="auto"/>
          <w:kern w:val="0"/>
          <w:sz w:val="32"/>
          <w:szCs w:val="32"/>
          <w:lang w:val="en-US" w:eastAsia="zh-CN" w:bidi="ar-SA"/>
        </w:rPr>
        <w:t>×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10</w:t>
      </w:r>
      <w:r>
        <w:rPr>
          <w:rFonts w:eastAsia="仿宋_GB2312" w:cs="Times New Roman" w:hint="eastAsia"/>
          <w:color w:val="auto"/>
          <w:kern w:val="0"/>
          <w:sz w:val="32"/>
          <w:szCs w:val="32"/>
          <w:vertAlign w:val="superscript"/>
          <w:lang w:val="en-US" w:eastAsia="zh-CN" w:bidi="ar-SA"/>
        </w:rPr>
        <w:t>-7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cm/s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，其它区域为简单防渗，进行地面硬化。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）声环境影响及保护措施</w:t>
      </w:r>
      <w:r>
        <w:rPr>
          <w:rFonts w:ascii="仿宋_GB2312" w:eastAsia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项目应选用低噪声设备，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采取厂房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隔声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和基础减振等措施，厂界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《工业企业厂界环境噪声排放标准》（GB12348-2008）中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类标准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eastAsia="方正楷体_GBK" w:cs="方正楷体_GBK" w:hint="eastAsia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eastAsia="方正楷体_GBK" w:cs="方正楷体_GBK" w:hint="eastAsia"/>
          <w:color w:val="auto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项目</w:t>
      </w:r>
      <w:r>
        <w:rPr>
          <w:rFonts w:ascii="仿宋_GB2312" w:eastAsia="仿宋_GB2312" w:cs="仿宋_GB2312"/>
          <w:color w:val="auto"/>
          <w:sz w:val="32"/>
          <w:szCs w:val="32"/>
        </w:rPr>
        <w:t>生活垃圾集中收集，由环卫部门统一处置。雨水收集池污泥，定期由环卫部门清理处置。除尘器收尘暂存于密闭石粉仓内，作为产品外售。废布袋由厂家回收处置。废机油、废含油抹布及手套集中收集暂存于危废贮存点密闭容器内，定期交由有资质单位处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sz w:val="32"/>
          <w:szCs w:val="32"/>
        </w:rPr>
        <w:t>（</w:t>
      </w:r>
      <w:r>
        <w:rPr>
          <w:rFonts w:ascii="方正楷体_GBK" w:eastAsia="方正楷体_GBK" w:cs="方正楷体_GBK" w:hAnsi="方正楷体_GBK"/>
          <w:sz w:val="32"/>
          <w:szCs w:val="32"/>
        </w:rPr>
        <w:t>六</w:t>
      </w:r>
      <w:r>
        <w:rPr>
          <w:rFonts w:ascii="方正楷体_GBK" w:eastAsia="方正楷体_GBK" w:cs="方正楷体_GBK" w:hAnsi="方正楷体_GBK" w:hint="eastAsia"/>
          <w:sz w:val="32"/>
          <w:szCs w:val="32"/>
        </w:rPr>
        <w:t>）环境风险及保护措施。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项目应严格落实《报告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》中提出的风险防范措施，编制环境风险应急预案，加强风险点位预警、预防，防止风险事故发生。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ascii="仿宋_GB2312" w:eastAsia="仿宋_GB2312" w:cs="仿宋_GB2312" w:hAnsi="仿宋_GB2312"/>
          <w:color w:val="auto"/>
          <w:sz w:val="32"/>
          <w:szCs w:val="32"/>
        </w:rPr>
        <w:t>在启动生产设施或者在实际排污之前，建设单位应依法履行排污许可手续。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项目建成后，应按规定程序实施竣工环境保护验收</w:t>
      </w:r>
      <w:r>
        <w:rPr>
          <w:rFonts w:ascii="仿宋_GB2312" w:eastAsia="仿宋_GB2312" w:cs="仿宋_GB2312" w:hAnsi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lang w:eastAsia="zh-CN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</w:rPr>
        <w:t>四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eastAsia="zh-CN"/>
        </w:rPr>
        <w:t>、《</w:t>
      </w:r>
      <w:r>
        <w:rPr>
          <w:rFonts w:ascii="Times New Roman" w:eastAsia="仿宋_GB2312" w:cs="Times New Roman" w:hAnsi="Times New Roman"/>
          <w:sz w:val="32"/>
          <w:szCs w:val="32"/>
        </w:rPr>
        <w:t>报告表》经批准后，项目的性质、规模、地点或者污染</w:t>
      </w:r>
      <w:r>
        <w:rPr>
          <w:rFonts w:eastAsia="仿宋_GB2312" w:cs="Times New Roman" w:hint="eastAsia"/>
          <w:sz w:val="32"/>
          <w:szCs w:val="32"/>
          <w:lang w:eastAsia="zh-CN"/>
        </w:rPr>
        <w:t>防治</w:t>
      </w:r>
      <w:r>
        <w:rPr>
          <w:rFonts w:ascii="Times New Roman" w:eastAsia="仿宋_GB2312" w:cs="Times New Roman" w:hAnsi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、鸡西市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麻山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《</w:t>
      </w: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》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和批复文件送至鸡西市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麻山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jc w:val="left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鸡西市生态环境局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                             2025年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sz w:val="32"/>
          <w:szCs w:val="32"/>
        </w:rPr>
        <w:t>月28日</w:t>
      </w: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pBdr>
          <w:top w:val="single" w:sz="4" w:space="0" w:color="auto"/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抄 送：鸡西市生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态环境保护综合行政执法局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sz w:val="32"/>
          <w:szCs w:val="32"/>
        </w:rPr>
        <w:t>鸡西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市</w:t>
      </w:r>
      <w:r>
        <w:rPr>
          <w:rFonts w:eastAsia="仿宋_GB2312" w:cs="Times New Roman"/>
          <w:sz w:val="32"/>
          <w:szCs w:val="32"/>
          <w:lang w:val="en-US" w:eastAsia="zh-CN"/>
        </w:rPr>
        <w:t>麻山</w:t>
      </w:r>
      <w:r>
        <w:rPr>
          <w:rFonts w:ascii="Times New Roman" w:eastAsia="仿宋_GB2312" w:cs="Times New Roman" w:hAnsi="Times New Roman"/>
          <w:sz w:val="32"/>
          <w:szCs w:val="32"/>
        </w:rPr>
        <w:t>生态环境局</w:t>
      </w:r>
    </w:p>
    <w:p>
      <w:pPr>
        <w:keepNext w:val="0"/>
        <w:keepLines w:val="0"/>
        <w:pageBreakBefore w:val="0"/>
        <w:pBdr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鸡西市生态环境局办公室         </w:t>
        <w:tab/>
        <w:t xml:space="preserve"> 2025年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月28日</w:t>
      </w:r>
      <w:r>
        <w:rPr>
          <w:rFonts w:ascii="Times New Roman" w:eastAsia="仿宋_GB2312" w:cs="Times New Roman" w:hAnsi="Times New Roman"/>
          <w:sz w:val="32"/>
          <w:szCs w:val="32"/>
        </w:rPr>
        <w:t>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共印8份</w:t>
      </w:r>
    </w:p>
    <w:sectPr>
      <w:footerReference w:type="default" r:id="rId2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5F"/>
    <w:family w:val="roman"/>
    <w:pitch w:val="variable"/>
    <w:sig w:usb0="00000000" w:usb1="00000000" w:usb2="00000009" w:usb3="00000000" w:csb0="400001FF" w:csb1="FFFF0000"/>
  </w:font>
  <w:font w:name="仿宋_GB2312">
    <w:altName w:val="方正仿宋_GBK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宋体">
    <w:altName w:val="方正书宋_GBK"/>
    <w:panose1 w:val="02010600030101010101"/>
    <w:charset w:val="7A"/>
    <w:family w:val="auto"/>
    <w:pitch w:val="variable"/>
    <w:sig w:usb0="00000000" w:usb1="00000000" w:usb2="00000006" w:usb3="00000000" w:csb0="00040001" w:csb1="00000000"/>
  </w:font>
  <w:font w:name="Lucida Sans">
    <w:altName w:val="Noto Music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94</wp:posOffset>
              </wp:positionV>
              <wp:extent cx="76200" cy="131445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yle="position:absolute;margin-left:0.0pt;margin-top:0.0074015753pt;width:6.0pt;height:10.35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16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customStyle="1" w:styleId="16">
    <w:name w:val="Normal (Web)1"/>
    <w:qFormat/>
    <w:basedOn w:val="0"/>
    <w:autoRedefine/>
    <w:next w:val="17"/>
    <w:pPr>
      <w:widowControl/>
    </w:pPr>
    <w:rPr>
      <w:rFonts w:ascii="宋体"/>
      <w:sz w:val="24"/>
      <w:szCs w:val="21"/>
    </w:rPr>
  </w:style>
  <w:style w:type="paragraph" w:customStyle="1" w:styleId="17">
    <w:name w:val="Date1"/>
    <w:qFormat/>
    <w:basedOn w:val="0"/>
    <w:autoRedefine/>
    <w:next w:val="0"/>
    <w:pPr>
      <w:ind w:leftChars="2500" w:left="2500"/>
    </w:pPr>
  </w:style>
  <w:style w:type="paragraph" w:styleId="18">
    <w:name w:val="annotation text"/>
    <w:qFormat/>
    <w:basedOn w:val="0"/>
    <w:pPr>
      <w:jc w:val="left"/>
    </w:pPr>
  </w:style>
  <w:style w:type="paragraph" w:styleId="19">
    <w:name w:val="Body Text Indent"/>
    <w:qFormat/>
    <w:basedOn w:val="0"/>
    <w:pPr>
      <w:spacing w:after="120"/>
      <w:ind w:left="420"/>
    </w:pPr>
  </w:style>
  <w:style w:type="paragraph" w:styleId="20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2"/>
    <w:qFormat/>
    <w:basedOn w:val="0"/>
    <w:next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3">
    <w:name w:val="Normal (Web)"/>
    <w:qFormat/>
    <w:basedOn w:val="0"/>
    <w:pPr>
      <w:spacing w:beforeAutospacing="1" w:afterAutospacing="1"/>
      <w:jc w:val="left"/>
    </w:pPr>
    <w:rPr>
      <w:kern w:val="0"/>
      <w:sz w:val="24"/>
    </w:rPr>
  </w:style>
  <w:style w:type="paragraph" w:styleId="24">
    <w:name w:val="Body Text First Indent 2"/>
    <w:qFormat/>
    <w:basedOn w:val="19"/>
    <w:pPr>
      <w:ind w:firstLine="420"/>
    </w:pPr>
  </w:style>
  <w:style w:type="paragraph" w:customStyle="1" w:styleId="25">
    <w:name w:val="报告表  段"/>
    <w:qFormat/>
    <w:basedOn w:val="0"/>
    <w:pPr>
      <w:adjustRightInd w:val="0"/>
      <w:spacing w:line="360" w:lineRule="auto"/>
      <w:ind w:firstLine="505"/>
    </w:pPr>
    <w:rPr>
      <w:rFonts w:ascii="Calibri" w:cs="宋体" w:hAnsi="Calibri"/>
    </w:rPr>
  </w:style>
  <w:style w:type="paragraph" w:styleId="26">
    <w:name w:val="List Paragraph"/>
    <w:qFormat/>
    <w:basedOn w:val="0"/>
    <w:pPr>
      <w:ind w:firstLineChars="200" w:firstLine="200"/>
    </w:pPr>
  </w:style>
  <w:style w:type="paragraph" w:customStyle="1" w:styleId="27">
    <w:name w:val="表格(新)"/>
    <w:qFormat/>
    <w:basedOn w:val="0"/>
    <w:pPr>
      <w:adjustRightInd w:val="0"/>
      <w:snapToGrid w:val="0"/>
      <w:spacing w:line="240" w:lineRule="auto"/>
      <w:ind w:firstLine="0"/>
      <w:jc w:val="center"/>
    </w:pPr>
    <w:rPr>
      <w:rFonts w:eastAsia="宋体"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E4AF14-41D2-4226-82E1-556AA2643D4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229</TotalTime>
  <Application>WPS_Yozo_Office9.0.5233.191ZH.S1</Application>
  <Pages>4</Pages>
  <Words>0</Words>
  <Characters>1427</Characters>
  <Lines>0</Lines>
  <Paragraphs>44</Paragraphs>
  <CharactersWithSpaces>1903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01</dc:creator>
  <cp:lastModifiedBy>greatwall</cp:lastModifiedBy>
  <cp:revision>3</cp:revision>
  <cp:lastPrinted>2025-03-27T05:51:07Z</cp:lastPrinted>
  <dcterms:created xsi:type="dcterms:W3CDTF">2024-08-10T19:25:00Z</dcterms:created>
  <dcterms:modified xsi:type="dcterms:W3CDTF">2025-03-31T00:26:43Z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2052-12.8.2.1119</vt:lpwstr>
  </property>
  <property fmtid="{D5CDD505-2E9C-101B-9397-08002B2CF9AE}" pid="3" name="ICV">
    <vt:lpwstr>8C9400756EA184F22712C867274E820B_43</vt:lpwstr>
  </property>
</Properties>
</file>