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2C65B1C">
      <w:pPr>
        <w:rPr>
          <w:rFonts w:hint="default" w:ascii="Times New Roman" w:hAnsi="Times New Roman" w:eastAsia="仿宋_GB2312" w:cs="Times New Roman"/>
          <w:color w:val="auto"/>
          <w:sz w:val="36"/>
          <w:szCs w:val="36"/>
        </w:rPr>
      </w:pPr>
    </w:p>
    <w:p w14:paraId="2453823E">
      <w:pPr>
        <w:rPr>
          <w:rFonts w:hint="default" w:ascii="Times New Roman" w:hAnsi="Times New Roman" w:eastAsia="仿宋_GB2312" w:cs="Times New Roman"/>
          <w:color w:val="auto"/>
          <w:sz w:val="36"/>
          <w:szCs w:val="36"/>
        </w:rPr>
      </w:pPr>
    </w:p>
    <w:p w14:paraId="33BE6266">
      <w:pPr>
        <w:rPr>
          <w:rFonts w:hint="default" w:ascii="Times New Roman" w:hAnsi="Times New Roman" w:eastAsia="仿宋_GB2312" w:cs="Times New Roman"/>
          <w:color w:val="auto"/>
          <w:sz w:val="36"/>
          <w:szCs w:val="36"/>
        </w:rPr>
      </w:pPr>
    </w:p>
    <w:p w14:paraId="1C0E0185">
      <w:pPr>
        <w:adjustRightInd w:val="0"/>
        <w:snapToGrid w:val="0"/>
        <w:jc w:val="center"/>
        <w:outlineLvl w:val="9"/>
        <w:rPr>
          <w:rFonts w:hint="default" w:ascii="Times New Roman" w:hAnsi="Times New Roman" w:eastAsia="方正小标宋_GBK" w:cs="Times New Roman"/>
          <w:bCs/>
          <w:color w:val="auto"/>
          <w:sz w:val="72"/>
          <w:szCs w:val="72"/>
        </w:rPr>
      </w:pPr>
      <w:r>
        <w:rPr>
          <w:rFonts w:hint="default" w:ascii="Times New Roman" w:hAnsi="Times New Roman" w:eastAsia="方正小标宋_GBK" w:cs="Times New Roman"/>
          <w:bCs/>
          <w:color w:val="auto"/>
          <w:sz w:val="72"/>
          <w:szCs w:val="72"/>
        </w:rPr>
        <w:t>建设项目环境影响报告表</w:t>
      </w:r>
    </w:p>
    <w:p w14:paraId="75FD136E">
      <w:pPr>
        <w:adjustRightInd w:val="0"/>
        <w:snapToGrid w:val="0"/>
        <w:spacing w:before="192" w:beforeLines="80"/>
        <w:jc w:val="center"/>
        <w:rPr>
          <w:rFonts w:hint="default" w:ascii="Times New Roman" w:hAnsi="Times New Roman" w:eastAsia="楷体_GB2312" w:cs="Times New Roman"/>
          <w:bCs/>
          <w:color w:val="auto"/>
          <w:sz w:val="48"/>
          <w:szCs w:val="48"/>
        </w:rPr>
      </w:pPr>
      <w:r>
        <w:rPr>
          <w:rFonts w:hint="default" w:ascii="Times New Roman" w:hAnsi="Times New Roman" w:eastAsia="楷体_GB2312" w:cs="Times New Roman"/>
          <w:bCs/>
          <w:color w:val="auto"/>
          <w:sz w:val="48"/>
          <w:szCs w:val="48"/>
        </w:rPr>
        <w:t>（生态影响类）</w:t>
      </w:r>
    </w:p>
    <w:p w14:paraId="499B51A8">
      <w:pPr>
        <w:adjustRightInd w:val="0"/>
        <w:snapToGrid w:val="0"/>
        <w:spacing w:line="288" w:lineRule="auto"/>
        <w:jc w:val="center"/>
        <w:outlineLvl w:val="9"/>
        <w:rPr>
          <w:rFonts w:hint="default" w:ascii="Times New Roman" w:hAnsi="Times New Roman" w:eastAsia="华文仿宋" w:cs="Times New Roman"/>
          <w:color w:val="auto"/>
          <w:kern w:val="44"/>
          <w:sz w:val="44"/>
          <w:szCs w:val="44"/>
        </w:rPr>
      </w:pPr>
      <w:bookmarkStart w:id="0" w:name="_Hlk57883728"/>
    </w:p>
    <w:p w14:paraId="2A399B1F">
      <w:pPr>
        <w:jc w:val="center"/>
        <w:rPr>
          <w:rFonts w:hint="default" w:ascii="Times New Roman" w:hAnsi="Times New Roman" w:eastAsia="仿宋" w:cs="Times New Roman"/>
          <w:color w:val="auto"/>
          <w:sz w:val="52"/>
          <w:szCs w:val="52"/>
        </w:rPr>
      </w:pPr>
    </w:p>
    <w:p w14:paraId="237F5DC5">
      <w:pPr>
        <w:ind w:firstLine="1040"/>
        <w:rPr>
          <w:rFonts w:hint="default" w:ascii="Times New Roman" w:hAnsi="Times New Roman" w:eastAsia="仿宋" w:cs="Times New Roman"/>
          <w:color w:val="auto"/>
          <w:sz w:val="44"/>
          <w:szCs w:val="44"/>
        </w:rPr>
      </w:pPr>
    </w:p>
    <w:p w14:paraId="4DC62294">
      <w:pPr>
        <w:ind w:firstLine="1040"/>
        <w:rPr>
          <w:rFonts w:hint="default" w:ascii="Times New Roman" w:hAnsi="Times New Roman" w:eastAsia="仿宋" w:cs="Times New Roman"/>
          <w:color w:val="auto"/>
          <w:sz w:val="44"/>
          <w:szCs w:val="44"/>
        </w:rPr>
      </w:pPr>
    </w:p>
    <w:p w14:paraId="7BD12D67">
      <w:pPr>
        <w:ind w:firstLine="1040"/>
        <w:rPr>
          <w:rFonts w:hint="default" w:ascii="Times New Roman" w:hAnsi="Times New Roman" w:eastAsia="仿宋" w:cs="Times New Roman"/>
          <w:color w:val="auto"/>
          <w:sz w:val="44"/>
          <w:szCs w:val="44"/>
        </w:rPr>
      </w:pPr>
    </w:p>
    <w:p w14:paraId="24B6291C">
      <w:pPr>
        <w:pStyle w:val="23"/>
        <w:rPr>
          <w:rFonts w:hint="default" w:ascii="Times New Roman" w:hAnsi="Times New Roman" w:cs="Times New Roman"/>
        </w:rPr>
      </w:pPr>
    </w:p>
    <w:p w14:paraId="782A9D29">
      <w:pPr>
        <w:ind w:firstLine="1040"/>
        <w:rPr>
          <w:rFonts w:hint="default" w:ascii="Times New Roman" w:hAnsi="Times New Roman" w:eastAsia="仿宋" w:cs="Times New Roman"/>
          <w:color w:val="auto"/>
          <w:sz w:val="44"/>
          <w:szCs w:val="44"/>
        </w:rPr>
      </w:pPr>
    </w:p>
    <w:bookmarkEnd w:id="0"/>
    <w:p w14:paraId="27688819">
      <w:pPr>
        <w:adjustRightInd w:val="0"/>
        <w:snapToGrid w:val="0"/>
        <w:spacing w:line="288" w:lineRule="auto"/>
        <w:ind w:firstLine="1080" w:firstLineChars="300"/>
        <w:rPr>
          <w:rFonts w:hint="default" w:ascii="Times New Roman" w:hAnsi="Times New Roman" w:eastAsia="仿宋" w:cs="Times New Roman"/>
          <w:color w:val="000000" w:themeColor="text1"/>
          <w:sz w:val="36"/>
          <w:szCs w:val="36"/>
          <w:u w:val="single"/>
          <w:lang w:val="en-US" w:eastAsia="zh-CN"/>
          <w14:textFill>
            <w14:solidFill>
              <w14:schemeClr w14:val="tx1"/>
            </w14:solidFill>
          </w14:textFill>
        </w:rPr>
      </w:pPr>
      <w:r>
        <w:rPr>
          <w:rFonts w:hint="default" w:ascii="Times New Roman" w:hAnsi="Times New Roman" w:eastAsia="仿宋" w:cs="Times New Roman"/>
          <w:color w:val="auto"/>
          <w:sz w:val="36"/>
          <w:szCs w:val="36"/>
        </w:rPr>
        <w:t>项目名称：</w:t>
      </w:r>
      <w:r>
        <w:rPr>
          <w:rFonts w:hint="eastAsia" w:ascii="Times New Roman" w:hAnsi="Times New Roman" w:eastAsia="仿宋" w:cs="Times New Roman"/>
          <w:color w:val="000000" w:themeColor="text1"/>
          <w:sz w:val="36"/>
          <w:szCs w:val="36"/>
          <w:u w:val="single"/>
          <w:lang w:val="en-US" w:eastAsia="zh-CN"/>
          <w14:textFill>
            <w14:solidFill>
              <w14:schemeClr w14:val="tx1"/>
            </w14:solidFill>
          </w14:textFill>
        </w:rPr>
        <w:t>密山市青年水库电站增</w:t>
      </w:r>
      <w:r>
        <w:rPr>
          <w:rFonts w:hint="eastAsia" w:eastAsia="仿宋" w:cs="Times New Roman"/>
          <w:color w:val="000000" w:themeColor="text1"/>
          <w:sz w:val="36"/>
          <w:szCs w:val="36"/>
          <w:u w:val="single"/>
          <w:lang w:val="en-US" w:eastAsia="zh-CN"/>
          <w14:textFill>
            <w14:solidFill>
              <w14:schemeClr w14:val="tx1"/>
            </w14:solidFill>
          </w14:textFill>
        </w:rPr>
        <w:t>效</w:t>
      </w:r>
      <w:r>
        <w:rPr>
          <w:rFonts w:hint="eastAsia" w:ascii="Times New Roman" w:hAnsi="Times New Roman" w:eastAsia="仿宋" w:cs="Times New Roman"/>
          <w:color w:val="000000" w:themeColor="text1"/>
          <w:sz w:val="36"/>
          <w:szCs w:val="36"/>
          <w:u w:val="single"/>
          <w:lang w:val="en-US" w:eastAsia="zh-CN"/>
          <w14:textFill>
            <w14:solidFill>
              <w14:schemeClr w14:val="tx1"/>
            </w14:solidFill>
          </w14:textFill>
        </w:rPr>
        <w:t>扩</w:t>
      </w:r>
      <w:r>
        <w:rPr>
          <w:rFonts w:hint="eastAsia" w:eastAsia="仿宋" w:cs="Times New Roman"/>
          <w:color w:val="000000" w:themeColor="text1"/>
          <w:sz w:val="36"/>
          <w:szCs w:val="36"/>
          <w:u w:val="single"/>
          <w:lang w:val="en-US" w:eastAsia="zh-CN"/>
          <w14:textFill>
            <w14:solidFill>
              <w14:schemeClr w14:val="tx1"/>
            </w14:solidFill>
          </w14:textFill>
        </w:rPr>
        <w:t>容</w:t>
      </w:r>
      <w:r>
        <w:rPr>
          <w:rFonts w:hint="eastAsia" w:ascii="Times New Roman" w:hAnsi="Times New Roman" w:eastAsia="仿宋" w:cs="Times New Roman"/>
          <w:color w:val="000000" w:themeColor="text1"/>
          <w:sz w:val="36"/>
          <w:szCs w:val="36"/>
          <w:u w:val="single"/>
          <w:lang w:val="en-US" w:eastAsia="zh-CN"/>
          <w14:textFill>
            <w14:solidFill>
              <w14:schemeClr w14:val="tx1"/>
            </w14:solidFill>
          </w14:textFill>
        </w:rPr>
        <w:t>改造工程</w:t>
      </w:r>
    </w:p>
    <w:p w14:paraId="51352251">
      <w:pPr>
        <w:adjustRightInd w:val="0"/>
        <w:snapToGrid w:val="0"/>
        <w:spacing w:line="288" w:lineRule="auto"/>
        <w:ind w:firstLine="1040"/>
        <w:rPr>
          <w:rFonts w:hint="default" w:ascii="Times New Roman" w:hAnsi="Times New Roman" w:eastAsia="仿宋" w:cs="Times New Roman"/>
          <w:color w:val="000000" w:themeColor="text1"/>
          <w:sz w:val="36"/>
          <w:szCs w:val="36"/>
          <w:u w:val="single"/>
          <w:lang w:val="en-US" w:eastAsia="zh-CN"/>
          <w14:textFill>
            <w14:solidFill>
              <w14:schemeClr w14:val="tx1"/>
            </w14:solidFill>
          </w14:textFill>
        </w:rPr>
      </w:pPr>
      <w:r>
        <w:rPr>
          <w:rFonts w:hint="default" w:ascii="Times New Roman" w:hAnsi="Times New Roman" w:eastAsia="仿宋" w:cs="Times New Roman"/>
          <w:color w:val="000000" w:themeColor="text1"/>
          <w:sz w:val="36"/>
          <w:szCs w:val="36"/>
          <w14:textFill>
            <w14:solidFill>
              <w14:schemeClr w14:val="tx1"/>
            </w14:solidFill>
          </w14:textFill>
        </w:rPr>
        <w:t>建设单位（盖章）：</w:t>
      </w:r>
      <w:r>
        <w:rPr>
          <w:rFonts w:hint="eastAsia" w:eastAsia="仿宋" w:cs="Times New Roman"/>
          <w:color w:val="000000" w:themeColor="text1"/>
          <w:sz w:val="36"/>
          <w:szCs w:val="36"/>
          <w:u w:val="single"/>
          <w:lang w:val="en-US" w:eastAsia="zh-CN"/>
          <w14:textFill>
            <w14:solidFill>
              <w14:schemeClr w14:val="tx1"/>
            </w14:solidFill>
          </w14:textFill>
        </w:rPr>
        <w:t xml:space="preserve">密山市青年水库管护中心   </w:t>
      </w:r>
    </w:p>
    <w:p w14:paraId="22450D5B">
      <w:pPr>
        <w:adjustRightInd w:val="0"/>
        <w:snapToGrid w:val="0"/>
        <w:spacing w:line="288" w:lineRule="auto"/>
        <w:ind w:firstLine="1040"/>
        <w:rPr>
          <w:rFonts w:hint="default" w:ascii="Times New Roman" w:hAnsi="Times New Roman" w:eastAsia="仿宋" w:cs="Times New Roman"/>
          <w:color w:val="auto"/>
          <w:sz w:val="36"/>
          <w:szCs w:val="36"/>
          <w:u w:val="single"/>
          <w:lang w:val="en-US" w:eastAsia="zh-CN"/>
        </w:rPr>
      </w:pPr>
      <w:r>
        <w:rPr>
          <w:rFonts w:hint="default" w:ascii="Times New Roman" w:hAnsi="Times New Roman" w:eastAsia="仿宋" w:cs="Times New Roman"/>
          <w:color w:val="auto"/>
          <w:sz w:val="36"/>
          <w:szCs w:val="36"/>
        </w:rPr>
        <w:t>编制日期：</w:t>
      </w:r>
      <w:r>
        <w:rPr>
          <w:rFonts w:hint="default" w:ascii="Times New Roman" w:hAnsi="Times New Roman" w:eastAsia="仿宋" w:cs="Times New Roman"/>
          <w:color w:val="auto"/>
          <w:sz w:val="36"/>
          <w:szCs w:val="36"/>
          <w:u w:val="single"/>
          <w:lang w:val="en-US" w:eastAsia="zh-CN"/>
        </w:rPr>
        <w:t xml:space="preserve">         </w:t>
      </w:r>
      <w:r>
        <w:rPr>
          <w:rFonts w:hint="eastAsia" w:ascii="Times New Roman" w:hAnsi="Times New Roman" w:eastAsia="仿宋" w:cs="Times New Roman"/>
          <w:color w:val="auto"/>
          <w:sz w:val="36"/>
          <w:szCs w:val="36"/>
          <w:u w:val="single"/>
          <w:lang w:val="en-US" w:eastAsia="zh-CN"/>
        </w:rPr>
        <w:t>二〇二</w:t>
      </w:r>
      <w:r>
        <w:rPr>
          <w:rFonts w:hint="eastAsia" w:eastAsia="仿宋" w:cs="Times New Roman"/>
          <w:color w:val="auto"/>
          <w:sz w:val="36"/>
          <w:szCs w:val="36"/>
          <w:u w:val="single"/>
          <w:lang w:val="en-US" w:eastAsia="zh-CN"/>
        </w:rPr>
        <w:t>六</w:t>
      </w:r>
      <w:r>
        <w:rPr>
          <w:rFonts w:hint="default" w:ascii="Times New Roman" w:hAnsi="Times New Roman" w:eastAsia="仿宋" w:cs="Times New Roman"/>
          <w:color w:val="auto"/>
          <w:sz w:val="36"/>
          <w:szCs w:val="36"/>
          <w:u w:val="single"/>
          <w:lang w:val="en-US" w:eastAsia="zh-CN"/>
        </w:rPr>
        <w:t>年</w:t>
      </w:r>
      <w:r>
        <w:rPr>
          <w:rFonts w:hint="eastAsia" w:eastAsia="仿宋" w:cs="Times New Roman"/>
          <w:color w:val="auto"/>
          <w:sz w:val="36"/>
          <w:szCs w:val="36"/>
          <w:u w:val="single"/>
          <w:lang w:val="en-US" w:eastAsia="zh-CN"/>
        </w:rPr>
        <w:t>二</w:t>
      </w:r>
      <w:r>
        <w:rPr>
          <w:rFonts w:hint="default" w:ascii="Times New Roman" w:hAnsi="Times New Roman" w:eastAsia="仿宋" w:cs="Times New Roman"/>
          <w:color w:val="auto"/>
          <w:sz w:val="36"/>
          <w:szCs w:val="36"/>
          <w:u w:val="single"/>
          <w:lang w:val="en-US" w:eastAsia="zh-CN"/>
        </w:rPr>
        <w:t xml:space="preserve">月      </w:t>
      </w:r>
      <w:r>
        <w:rPr>
          <w:rFonts w:hint="eastAsia" w:eastAsia="仿宋" w:cs="Times New Roman"/>
          <w:color w:val="auto"/>
          <w:sz w:val="36"/>
          <w:szCs w:val="36"/>
          <w:u w:val="single"/>
          <w:lang w:val="en-US" w:eastAsia="zh-CN"/>
        </w:rPr>
        <w:t xml:space="preserve">  </w:t>
      </w:r>
      <w:r>
        <w:rPr>
          <w:rFonts w:hint="default" w:ascii="Times New Roman" w:hAnsi="Times New Roman" w:eastAsia="仿宋" w:cs="Times New Roman"/>
          <w:color w:val="auto"/>
          <w:sz w:val="36"/>
          <w:szCs w:val="36"/>
          <w:u w:val="single"/>
          <w:lang w:val="en-US" w:eastAsia="zh-CN"/>
        </w:rPr>
        <w:t xml:space="preserve"> </w:t>
      </w:r>
      <w:r>
        <w:rPr>
          <w:rFonts w:hint="eastAsia" w:eastAsia="仿宋" w:cs="Times New Roman"/>
          <w:color w:val="auto"/>
          <w:sz w:val="36"/>
          <w:szCs w:val="36"/>
          <w:u w:val="single"/>
          <w:lang w:val="en-US" w:eastAsia="zh-CN"/>
        </w:rPr>
        <w:t xml:space="preserve"> </w:t>
      </w:r>
    </w:p>
    <w:p w14:paraId="6AF51C86">
      <w:pPr>
        <w:adjustRightInd w:val="0"/>
        <w:snapToGrid w:val="0"/>
        <w:spacing w:line="288" w:lineRule="auto"/>
        <w:ind w:firstLine="1040"/>
        <w:rPr>
          <w:rFonts w:hint="default" w:ascii="Times New Roman" w:hAnsi="Times New Roman" w:eastAsia="仿宋_GB2312" w:cs="Times New Roman"/>
          <w:color w:val="auto"/>
          <w:sz w:val="36"/>
          <w:szCs w:val="36"/>
          <w:u w:val="single"/>
        </w:rPr>
      </w:pPr>
    </w:p>
    <w:p w14:paraId="5E418B8B">
      <w:pPr>
        <w:adjustRightInd w:val="0"/>
        <w:snapToGrid w:val="0"/>
        <w:spacing w:line="288" w:lineRule="auto"/>
        <w:ind w:firstLine="1040"/>
        <w:rPr>
          <w:rFonts w:hint="default" w:ascii="Times New Roman" w:hAnsi="Times New Roman" w:eastAsia="仿宋_GB2312" w:cs="Times New Roman"/>
          <w:color w:val="auto"/>
          <w:sz w:val="36"/>
          <w:szCs w:val="36"/>
        </w:rPr>
      </w:pPr>
    </w:p>
    <w:p w14:paraId="389D651D">
      <w:pPr>
        <w:adjustRightInd w:val="0"/>
        <w:snapToGrid w:val="0"/>
        <w:spacing w:line="288" w:lineRule="auto"/>
        <w:ind w:firstLine="1040"/>
        <w:rPr>
          <w:rFonts w:hint="default" w:ascii="Times New Roman" w:hAnsi="Times New Roman" w:eastAsia="仿宋_GB2312" w:cs="Times New Roman"/>
          <w:color w:val="auto"/>
          <w:sz w:val="36"/>
          <w:szCs w:val="36"/>
        </w:rPr>
      </w:pPr>
    </w:p>
    <w:p w14:paraId="4BCFBF00">
      <w:pPr>
        <w:adjustRightInd w:val="0"/>
        <w:snapToGrid w:val="0"/>
        <w:spacing w:line="288" w:lineRule="auto"/>
        <w:ind w:firstLine="1040"/>
        <w:rPr>
          <w:rFonts w:hint="default" w:ascii="Times New Roman" w:hAnsi="Times New Roman" w:eastAsia="仿宋_GB2312" w:cs="Times New Roman"/>
          <w:color w:val="auto"/>
          <w:sz w:val="36"/>
          <w:szCs w:val="36"/>
        </w:rPr>
      </w:pPr>
    </w:p>
    <w:p w14:paraId="07ABDCA8">
      <w:pPr>
        <w:adjustRightInd w:val="0"/>
        <w:snapToGrid w:val="0"/>
        <w:spacing w:line="288" w:lineRule="auto"/>
        <w:ind w:firstLine="1040"/>
        <w:rPr>
          <w:rFonts w:hint="default" w:ascii="Times New Roman" w:hAnsi="Times New Roman" w:eastAsia="仿宋_GB2312" w:cs="Times New Roman"/>
          <w:color w:val="auto"/>
          <w:sz w:val="36"/>
          <w:szCs w:val="36"/>
        </w:rPr>
      </w:pPr>
    </w:p>
    <w:p w14:paraId="352EBAED">
      <w:pPr>
        <w:adjustRightInd w:val="0"/>
        <w:snapToGrid w:val="0"/>
        <w:spacing w:line="288" w:lineRule="auto"/>
        <w:jc w:val="center"/>
        <w:rPr>
          <w:rFonts w:hint="default" w:ascii="Times New Roman" w:hAnsi="Times New Roman" w:eastAsia="楷体_GB2312" w:cs="Times New Roman"/>
          <w:color w:val="auto"/>
          <w:sz w:val="36"/>
          <w:szCs w:val="36"/>
        </w:rPr>
      </w:pPr>
      <w:r>
        <w:rPr>
          <w:rFonts w:hint="default" w:ascii="Times New Roman" w:hAnsi="Times New Roman" w:eastAsia="楷体_GB2312" w:cs="Times New Roman"/>
          <w:color w:val="auto"/>
          <w:sz w:val="36"/>
          <w:szCs w:val="36"/>
        </w:rPr>
        <w:t>中华人民共和国生态环境部制</w:t>
      </w:r>
    </w:p>
    <w:p w14:paraId="263B7664">
      <w:pPr>
        <w:pStyle w:val="2"/>
        <w:rPr>
          <w:rFonts w:hint="eastAsia" w:eastAsia="楷体_GB2312"/>
          <w:lang w:eastAsia="zh-CN"/>
        </w:rPr>
      </w:pPr>
      <w:r>
        <w:rPr>
          <w:rFonts w:hint="eastAsia" w:eastAsia="楷体_GB2312"/>
          <w:lang w:eastAsia="zh-CN"/>
        </w:rPr>
        <w:drawing>
          <wp:inline distT="0" distB="0" distL="114300" distR="114300">
            <wp:extent cx="5252085" cy="7474585"/>
            <wp:effectExtent l="0" t="0" r="5715" b="12065"/>
            <wp:docPr id="41" name="图片 41" descr="4145e0a314750fb907e8340afe082c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4145e0a314750fb907e8340afe082c58"/>
                    <pic:cNvPicPr>
                      <a:picLocks noChangeAspect="1"/>
                    </pic:cNvPicPr>
                  </pic:nvPicPr>
                  <pic:blipFill>
                    <a:blip r:embed="rId12"/>
                    <a:stretch>
                      <a:fillRect/>
                    </a:stretch>
                  </pic:blipFill>
                  <pic:spPr>
                    <a:xfrm>
                      <a:off x="0" y="0"/>
                      <a:ext cx="5252085" cy="7474585"/>
                    </a:xfrm>
                    <a:prstGeom prst="rect">
                      <a:avLst/>
                    </a:prstGeom>
                  </pic:spPr>
                </pic:pic>
              </a:graphicData>
            </a:graphic>
          </wp:inline>
        </w:drawing>
      </w:r>
    </w:p>
    <w:p w14:paraId="5A21CE9E">
      <w:pPr>
        <w:adjustRightInd w:val="0"/>
        <w:snapToGrid w:val="0"/>
        <w:spacing w:line="288" w:lineRule="auto"/>
        <w:ind w:firstLine="1040"/>
        <w:rPr>
          <w:rFonts w:hint="default" w:ascii="Times New Roman" w:hAnsi="Times New Roman" w:eastAsia="仿宋_GB2312" w:cs="Times New Roman"/>
          <w:color w:val="auto"/>
          <w:sz w:val="36"/>
          <w:szCs w:val="36"/>
        </w:rPr>
      </w:pPr>
    </w:p>
    <w:p w14:paraId="5CD1B846">
      <w:pPr>
        <w:pStyle w:val="2"/>
        <w:rPr>
          <w:rFonts w:hint="eastAsia" w:eastAsia="仿宋_GB2312"/>
          <w:lang w:eastAsia="zh-CN"/>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start="21"/>
          <w:cols w:space="720" w:num="1"/>
          <w:docGrid w:linePitch="312" w:charSpace="0"/>
        </w:sectPr>
      </w:pPr>
    </w:p>
    <w:p w14:paraId="3D7A71F0">
      <w:pPr>
        <w:pStyle w:val="21"/>
        <w:jc w:val="center"/>
        <w:outlineLvl w:val="0"/>
        <w:rPr>
          <w:rFonts w:hint="default" w:ascii="Times New Roman" w:hAnsi="Times New Roman" w:eastAsia="黑体" w:cs="Times New Roman"/>
          <w:b/>
          <w:bCs/>
          <w:snapToGrid w:val="0"/>
          <w:color w:val="auto"/>
          <w:sz w:val="30"/>
          <w:szCs w:val="30"/>
        </w:rPr>
      </w:pPr>
      <w:bookmarkStart w:id="1" w:name="_Toc21292"/>
      <w:r>
        <w:rPr>
          <w:rFonts w:hint="default" w:ascii="Times New Roman" w:hAnsi="Times New Roman" w:eastAsia="黑体" w:cs="Times New Roman"/>
          <w:b/>
          <w:bCs/>
          <w:snapToGrid w:val="0"/>
          <w:color w:val="auto"/>
          <w:sz w:val="30"/>
          <w:szCs w:val="30"/>
        </w:rPr>
        <w:t>一、建设项目基本情况</w:t>
      </w:r>
      <w:bookmarkEnd w:id="1"/>
    </w:p>
    <w:tbl>
      <w:tblPr>
        <w:tblStyle w:val="24"/>
        <w:tblW w:w="8899" w:type="dxa"/>
        <w:tblInd w:w="17"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330"/>
        <w:gridCol w:w="121"/>
        <w:gridCol w:w="2988"/>
        <w:gridCol w:w="1807"/>
        <w:gridCol w:w="2653"/>
      </w:tblGrid>
      <w:tr w14:paraId="7666F0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330" w:type="dxa"/>
            <w:tcMar>
              <w:top w:w="16" w:type="dxa"/>
              <w:left w:w="16" w:type="dxa"/>
              <w:right w:w="16" w:type="dxa"/>
            </w:tcMar>
            <w:vAlign w:val="center"/>
          </w:tcPr>
          <w:p w14:paraId="0BA91D05">
            <w:pPr>
              <w:adjustRightInd w:val="0"/>
              <w:snapToGrid w:val="0"/>
              <w:jc w:val="center"/>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rPr>
              <w:t>建设项目名称</w:t>
            </w:r>
          </w:p>
        </w:tc>
        <w:tc>
          <w:tcPr>
            <w:tcW w:w="7569" w:type="dxa"/>
            <w:gridSpan w:val="4"/>
            <w:vAlign w:val="center"/>
          </w:tcPr>
          <w:p w14:paraId="66A6FE7F">
            <w:pPr>
              <w:adjustRightInd w:val="0"/>
              <w:snapToGrid w:val="0"/>
              <w:jc w:val="center"/>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lang w:eastAsia="zh-CN"/>
              </w:rPr>
              <w:t>密山市青年水库电站增</w:t>
            </w:r>
            <w:r>
              <w:rPr>
                <w:rFonts w:hint="eastAsia" w:cs="Times New Roman" w:eastAsiaTheme="minorEastAsia"/>
                <w:color w:val="auto"/>
                <w:sz w:val="24"/>
                <w:szCs w:val="24"/>
                <w:highlight w:val="none"/>
                <w:lang w:val="en-US" w:eastAsia="zh-CN"/>
              </w:rPr>
              <w:t>效</w:t>
            </w:r>
            <w:r>
              <w:rPr>
                <w:rFonts w:hint="default" w:ascii="Times New Roman" w:hAnsi="Times New Roman" w:cs="Times New Roman" w:eastAsiaTheme="minorEastAsia"/>
                <w:color w:val="auto"/>
                <w:sz w:val="24"/>
                <w:szCs w:val="24"/>
                <w:highlight w:val="none"/>
                <w:lang w:eastAsia="zh-CN"/>
              </w:rPr>
              <w:t>扩</w:t>
            </w:r>
            <w:r>
              <w:rPr>
                <w:rFonts w:hint="eastAsia" w:cs="Times New Roman" w:eastAsiaTheme="minorEastAsia"/>
                <w:color w:val="auto"/>
                <w:sz w:val="24"/>
                <w:szCs w:val="24"/>
                <w:highlight w:val="none"/>
                <w:lang w:val="en-US" w:eastAsia="zh-CN"/>
              </w:rPr>
              <w:t>容</w:t>
            </w:r>
            <w:r>
              <w:rPr>
                <w:rFonts w:hint="default" w:ascii="Times New Roman" w:hAnsi="Times New Roman" w:cs="Times New Roman" w:eastAsiaTheme="minorEastAsia"/>
                <w:color w:val="auto"/>
                <w:sz w:val="24"/>
                <w:szCs w:val="24"/>
                <w:highlight w:val="none"/>
                <w:lang w:eastAsia="zh-CN"/>
              </w:rPr>
              <w:t>改造工程</w:t>
            </w:r>
          </w:p>
        </w:tc>
      </w:tr>
      <w:tr w14:paraId="423772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330" w:type="dxa"/>
            <w:tcMar>
              <w:top w:w="16" w:type="dxa"/>
              <w:left w:w="16" w:type="dxa"/>
              <w:right w:w="16" w:type="dxa"/>
            </w:tcMar>
            <w:vAlign w:val="center"/>
          </w:tcPr>
          <w:p w14:paraId="2F13D376">
            <w:pPr>
              <w:adjustRightInd w:val="0"/>
              <w:snapToGrid w:val="0"/>
              <w:jc w:val="center"/>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rPr>
              <w:t>项目代码</w:t>
            </w:r>
          </w:p>
        </w:tc>
        <w:tc>
          <w:tcPr>
            <w:tcW w:w="7569" w:type="dxa"/>
            <w:gridSpan w:val="4"/>
            <w:vAlign w:val="center"/>
          </w:tcPr>
          <w:p w14:paraId="20C9FAD0">
            <w:pPr>
              <w:adjustRightInd w:val="0"/>
              <w:snapToGrid w:val="0"/>
              <w:jc w:val="center"/>
              <w:rPr>
                <w:rFonts w:hint="default" w:ascii="Times New Roman" w:hAnsi="Times New Roman" w:cs="Times New Roman" w:eastAsiaTheme="minorEastAsia"/>
                <w:color w:val="auto"/>
                <w:sz w:val="24"/>
                <w:szCs w:val="24"/>
                <w:highlight w:val="none"/>
                <w:lang w:val="en-US" w:eastAsia="zh-CN"/>
              </w:rPr>
            </w:pPr>
            <w:r>
              <w:rPr>
                <w:rFonts w:hint="default" w:ascii="Times New Roman" w:hAnsi="Times New Roman" w:cs="Times New Roman" w:eastAsiaTheme="minorEastAsia"/>
                <w:color w:val="auto"/>
                <w:sz w:val="24"/>
                <w:szCs w:val="24"/>
                <w:highlight w:val="none"/>
                <w:lang w:val="en-US" w:eastAsia="zh-CN"/>
              </w:rPr>
              <w:t>无</w:t>
            </w:r>
          </w:p>
        </w:tc>
      </w:tr>
      <w:tr w14:paraId="7DB5A6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330" w:type="dxa"/>
            <w:tcMar>
              <w:top w:w="16" w:type="dxa"/>
              <w:left w:w="16" w:type="dxa"/>
              <w:right w:w="16" w:type="dxa"/>
            </w:tcMar>
            <w:vAlign w:val="center"/>
          </w:tcPr>
          <w:p w14:paraId="6432FE77">
            <w:pPr>
              <w:adjustRightInd w:val="0"/>
              <w:snapToGrid w:val="0"/>
              <w:jc w:val="center"/>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rPr>
              <w:t>建设单位联系人</w:t>
            </w:r>
          </w:p>
        </w:tc>
        <w:tc>
          <w:tcPr>
            <w:tcW w:w="3109" w:type="dxa"/>
            <w:gridSpan w:val="2"/>
            <w:vAlign w:val="center"/>
          </w:tcPr>
          <w:p w14:paraId="66AF5BE4">
            <w:pPr>
              <w:adjustRightInd w:val="0"/>
              <w:snapToGrid w:val="0"/>
              <w:jc w:val="center"/>
              <w:rPr>
                <w:rFonts w:hint="default" w:ascii="Times New Roman" w:hAnsi="Times New Roman" w:cs="Times New Roman" w:eastAsiaTheme="minorEastAsia"/>
                <w:color w:val="auto"/>
                <w:sz w:val="24"/>
                <w:szCs w:val="24"/>
                <w:highlight w:val="none"/>
                <w:lang w:val="en-US" w:eastAsia="zh-CN"/>
              </w:rPr>
            </w:pPr>
            <w:r>
              <w:rPr>
                <w:rFonts w:hint="eastAsia" w:cs="Times New Roman" w:eastAsiaTheme="minorEastAsia"/>
                <w:color w:val="auto"/>
                <w:sz w:val="24"/>
                <w:szCs w:val="24"/>
                <w:highlight w:val="none"/>
                <w:lang w:val="en-US" w:eastAsia="zh-CN"/>
              </w:rPr>
              <w:t>罗宝刚</w:t>
            </w:r>
          </w:p>
        </w:tc>
        <w:tc>
          <w:tcPr>
            <w:tcW w:w="1807" w:type="dxa"/>
            <w:vAlign w:val="center"/>
          </w:tcPr>
          <w:p w14:paraId="349A6BF6">
            <w:pPr>
              <w:adjustRightInd w:val="0"/>
              <w:snapToGrid w:val="0"/>
              <w:jc w:val="center"/>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rPr>
              <w:t>联系方式</w:t>
            </w:r>
          </w:p>
        </w:tc>
        <w:tc>
          <w:tcPr>
            <w:tcW w:w="2653" w:type="dxa"/>
            <w:vAlign w:val="center"/>
          </w:tcPr>
          <w:p w14:paraId="173FC689">
            <w:pPr>
              <w:adjustRightInd w:val="0"/>
              <w:snapToGrid w:val="0"/>
              <w:jc w:val="center"/>
              <w:rPr>
                <w:rFonts w:hint="default" w:ascii="Times New Roman" w:hAnsi="Times New Roman" w:cs="Times New Roman" w:eastAsiaTheme="minorEastAsia"/>
                <w:color w:val="auto"/>
                <w:sz w:val="24"/>
                <w:szCs w:val="24"/>
                <w:highlight w:val="none"/>
                <w:lang w:val="en-US" w:eastAsia="zh-CN"/>
              </w:rPr>
            </w:pPr>
            <w:r>
              <w:rPr>
                <w:rFonts w:hint="default" w:ascii="Times New Roman" w:hAnsi="Times New Roman" w:cs="Times New Roman" w:eastAsiaTheme="minorEastAsia"/>
                <w:color w:val="auto"/>
                <w:sz w:val="24"/>
                <w:szCs w:val="24"/>
                <w:highlight w:val="none"/>
                <w:lang w:val="en-US" w:eastAsia="zh-CN"/>
              </w:rPr>
              <w:t>18746776692</w:t>
            </w:r>
          </w:p>
        </w:tc>
      </w:tr>
      <w:tr w14:paraId="6DBE18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19" w:hRule="atLeast"/>
        </w:trPr>
        <w:tc>
          <w:tcPr>
            <w:tcW w:w="1330" w:type="dxa"/>
            <w:tcMar>
              <w:top w:w="16" w:type="dxa"/>
              <w:left w:w="16" w:type="dxa"/>
              <w:right w:w="16" w:type="dxa"/>
            </w:tcMar>
            <w:vAlign w:val="center"/>
          </w:tcPr>
          <w:p w14:paraId="24F69ACE">
            <w:pPr>
              <w:adjustRightInd w:val="0"/>
              <w:snapToGrid w:val="0"/>
              <w:jc w:val="center"/>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rPr>
              <w:t>建设地点</w:t>
            </w:r>
          </w:p>
        </w:tc>
        <w:tc>
          <w:tcPr>
            <w:tcW w:w="7569" w:type="dxa"/>
            <w:gridSpan w:val="4"/>
            <w:vAlign w:val="center"/>
          </w:tcPr>
          <w:p w14:paraId="7FD5AA6C">
            <w:pPr>
              <w:adjustRightInd w:val="0"/>
              <w:snapToGrid w:val="0"/>
              <w:jc w:val="center"/>
              <w:rPr>
                <w:rFonts w:hint="default" w:ascii="Times New Roman" w:hAnsi="Times New Roman" w:cs="Times New Roman" w:eastAsiaTheme="minorEastAsia"/>
                <w:color w:val="auto"/>
                <w:sz w:val="24"/>
                <w:szCs w:val="24"/>
                <w:highlight w:val="none"/>
                <w:lang w:val="en-US" w:eastAsia="zh-CN"/>
              </w:rPr>
            </w:pPr>
            <w:r>
              <w:rPr>
                <w:color w:val="auto"/>
                <w:sz w:val="24"/>
                <w:szCs w:val="24"/>
                <w:u w:val="none"/>
              </w:rPr>
              <w:t>黑龙江省</w:t>
            </w:r>
            <w:r>
              <w:rPr>
                <w:rFonts w:hint="eastAsia"/>
                <w:color w:val="auto"/>
                <w:sz w:val="24"/>
                <w:szCs w:val="24"/>
                <w:u w:val="none"/>
              </w:rPr>
              <w:t>密山市</w:t>
            </w:r>
          </w:p>
        </w:tc>
      </w:tr>
      <w:tr w14:paraId="2CCAFA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trPr>
        <w:tc>
          <w:tcPr>
            <w:tcW w:w="1330" w:type="dxa"/>
            <w:tcMar>
              <w:top w:w="16" w:type="dxa"/>
              <w:left w:w="16" w:type="dxa"/>
              <w:right w:w="16" w:type="dxa"/>
            </w:tcMar>
            <w:vAlign w:val="center"/>
          </w:tcPr>
          <w:p w14:paraId="67FF1474">
            <w:pPr>
              <w:adjustRightInd w:val="0"/>
              <w:snapToGrid w:val="0"/>
              <w:jc w:val="center"/>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rPr>
              <w:t>地理坐标</w:t>
            </w:r>
          </w:p>
        </w:tc>
        <w:tc>
          <w:tcPr>
            <w:tcW w:w="7569" w:type="dxa"/>
            <w:gridSpan w:val="4"/>
            <w:vAlign w:val="center"/>
          </w:tcPr>
          <w:p w14:paraId="3732A1A1">
            <w:pPr>
              <w:adjustRightInd w:val="0"/>
              <w:snapToGrid w:val="0"/>
              <w:jc w:val="center"/>
              <w:rPr>
                <w:rFonts w:hint="default" w:ascii="Times New Roman" w:hAnsi="Times New Roman" w:cs="Times New Roman" w:eastAsiaTheme="minorEastAsia"/>
                <w:color w:val="auto"/>
                <w:sz w:val="24"/>
                <w:szCs w:val="24"/>
                <w:highlight w:val="none"/>
              </w:rPr>
            </w:pPr>
            <w:r>
              <w:rPr>
                <w:color w:val="auto"/>
                <w:sz w:val="24"/>
                <w:szCs w:val="24"/>
              </w:rPr>
              <w:t>中心坐标：</w:t>
            </w:r>
            <w:r>
              <w:rPr>
                <w:color w:val="auto"/>
                <w:kern w:val="0"/>
                <w:sz w:val="24"/>
                <w:szCs w:val="24"/>
              </w:rPr>
              <w:t>东经131度49分9.74</w:t>
            </w:r>
            <w:r>
              <w:rPr>
                <w:rFonts w:hint="eastAsia"/>
                <w:color w:val="auto"/>
                <w:kern w:val="0"/>
                <w:sz w:val="24"/>
                <w:szCs w:val="24"/>
                <w:lang w:val="en-US" w:eastAsia="zh-CN"/>
              </w:rPr>
              <w:t>0</w:t>
            </w:r>
            <w:r>
              <w:rPr>
                <w:color w:val="auto"/>
                <w:kern w:val="0"/>
                <w:sz w:val="24"/>
                <w:szCs w:val="24"/>
              </w:rPr>
              <w:t>秒，北纬45度38分25.61</w:t>
            </w:r>
            <w:r>
              <w:rPr>
                <w:rFonts w:hint="eastAsia"/>
                <w:color w:val="auto"/>
                <w:kern w:val="0"/>
                <w:sz w:val="24"/>
                <w:szCs w:val="24"/>
                <w:lang w:val="en-US" w:eastAsia="zh-CN"/>
              </w:rPr>
              <w:t>0</w:t>
            </w:r>
            <w:r>
              <w:rPr>
                <w:color w:val="auto"/>
                <w:kern w:val="0"/>
                <w:sz w:val="24"/>
                <w:szCs w:val="24"/>
              </w:rPr>
              <w:t>秒</w:t>
            </w:r>
          </w:p>
        </w:tc>
      </w:tr>
      <w:tr w14:paraId="22EB47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330" w:type="dxa"/>
            <w:tcMar>
              <w:top w:w="16" w:type="dxa"/>
              <w:left w:w="16" w:type="dxa"/>
              <w:right w:w="16" w:type="dxa"/>
            </w:tcMar>
            <w:vAlign w:val="center"/>
          </w:tcPr>
          <w:p w14:paraId="47F4BB45">
            <w:pPr>
              <w:adjustRightInd w:val="0"/>
              <w:snapToGrid w:val="0"/>
              <w:jc w:val="center"/>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rPr>
              <w:t>建设项目</w:t>
            </w:r>
          </w:p>
          <w:p w14:paraId="4957ED3C">
            <w:pPr>
              <w:adjustRightInd w:val="0"/>
              <w:snapToGrid w:val="0"/>
              <w:jc w:val="center"/>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rPr>
              <w:t>行业类别</w:t>
            </w:r>
          </w:p>
        </w:tc>
        <w:tc>
          <w:tcPr>
            <w:tcW w:w="3109" w:type="dxa"/>
            <w:gridSpan w:val="2"/>
            <w:vAlign w:val="center"/>
          </w:tcPr>
          <w:p w14:paraId="67DEAC47">
            <w:pPr>
              <w:adjustRightInd w:val="0"/>
              <w:snapToGrid w:val="0"/>
              <w:jc w:val="center"/>
              <w:rPr>
                <w:rFonts w:hint="default" w:ascii="Times New Roman" w:hAnsi="Times New Roman" w:cs="Times New Roman" w:eastAsiaTheme="minorEastAsia"/>
                <w:color w:val="auto"/>
                <w:sz w:val="24"/>
                <w:szCs w:val="24"/>
                <w:highlight w:val="none"/>
                <w:lang w:val="en-US" w:eastAsia="zh-CN"/>
              </w:rPr>
            </w:pPr>
            <w:r>
              <w:rPr>
                <w:rFonts w:hint="default" w:ascii="Times New Roman" w:hAnsi="Times New Roman" w:cs="Times New Roman" w:eastAsiaTheme="minorEastAsia"/>
                <w:color w:val="auto"/>
                <w:sz w:val="24"/>
                <w:szCs w:val="24"/>
                <w:highlight w:val="none"/>
                <w:lang w:val="en-US" w:eastAsia="zh-CN"/>
              </w:rPr>
              <w:t>四十</w:t>
            </w:r>
            <w:r>
              <w:rPr>
                <w:rFonts w:hint="default" w:ascii="Times New Roman" w:hAnsi="Times New Roman" w:cs="Times New Roman" w:eastAsiaTheme="minorEastAsia"/>
                <w:color w:val="auto"/>
                <w:sz w:val="24"/>
                <w:szCs w:val="24"/>
                <w:highlight w:val="none"/>
              </w:rPr>
              <w:t>一、</w:t>
            </w:r>
            <w:r>
              <w:rPr>
                <w:rFonts w:hint="default" w:ascii="Times New Roman" w:hAnsi="Times New Roman" w:cs="Times New Roman" w:eastAsiaTheme="minorEastAsia"/>
                <w:color w:val="auto"/>
                <w:sz w:val="24"/>
                <w:szCs w:val="24"/>
                <w:highlight w:val="none"/>
                <w:lang w:val="en-US" w:eastAsia="zh-CN"/>
              </w:rPr>
              <w:t>88水力发电</w:t>
            </w:r>
          </w:p>
        </w:tc>
        <w:tc>
          <w:tcPr>
            <w:tcW w:w="1807" w:type="dxa"/>
            <w:vAlign w:val="center"/>
          </w:tcPr>
          <w:p w14:paraId="1E9F924F">
            <w:pPr>
              <w:adjustRightInd w:val="0"/>
              <w:snapToGrid w:val="0"/>
              <w:jc w:val="center"/>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rPr>
              <w:t>用地面积（m</w:t>
            </w:r>
            <w:r>
              <w:rPr>
                <w:rFonts w:hint="default" w:ascii="Times New Roman" w:hAnsi="Times New Roman" w:cs="Times New Roman" w:eastAsiaTheme="minorEastAsia"/>
                <w:color w:val="auto"/>
                <w:sz w:val="24"/>
                <w:szCs w:val="24"/>
                <w:highlight w:val="none"/>
                <w:vertAlign w:val="superscript"/>
              </w:rPr>
              <w:t>2</w:t>
            </w:r>
            <w:r>
              <w:rPr>
                <w:rFonts w:hint="default" w:ascii="Times New Roman" w:hAnsi="Times New Roman" w:cs="Times New Roman" w:eastAsiaTheme="minorEastAsia"/>
                <w:color w:val="auto"/>
                <w:sz w:val="24"/>
                <w:szCs w:val="24"/>
                <w:highlight w:val="none"/>
              </w:rPr>
              <w:t>）</w:t>
            </w:r>
          </w:p>
          <w:p w14:paraId="547137E9">
            <w:pPr>
              <w:adjustRightInd w:val="0"/>
              <w:snapToGrid w:val="0"/>
              <w:jc w:val="center"/>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rPr>
              <w:t>/长度（km）</w:t>
            </w:r>
          </w:p>
        </w:tc>
        <w:tc>
          <w:tcPr>
            <w:tcW w:w="2653" w:type="dxa"/>
            <w:vAlign w:val="center"/>
          </w:tcPr>
          <w:p w14:paraId="7950CD0D">
            <w:pPr>
              <w:adjustRightInd w:val="0"/>
              <w:snapToGrid w:val="0"/>
              <w:jc w:val="center"/>
              <w:rPr>
                <w:rFonts w:hint="default" w:ascii="Times New Roman" w:hAnsi="Times New Roman" w:cs="Times New Roman" w:eastAsiaTheme="minorEastAsia"/>
                <w:color w:val="auto"/>
                <w:sz w:val="24"/>
                <w:szCs w:val="24"/>
                <w:highlight w:val="none"/>
                <w:lang w:val="en-US" w:eastAsia="zh-CN"/>
              </w:rPr>
            </w:pPr>
            <w:r>
              <w:rPr>
                <w:rFonts w:hint="eastAsia" w:cs="Times New Roman" w:eastAsiaTheme="minorEastAsia"/>
                <w:color w:val="auto"/>
                <w:sz w:val="24"/>
                <w:szCs w:val="24"/>
                <w:highlight w:val="none"/>
                <w:lang w:val="en-US" w:eastAsia="zh-CN"/>
              </w:rPr>
              <w:t>无</w:t>
            </w:r>
          </w:p>
        </w:tc>
      </w:tr>
      <w:tr w14:paraId="1EB63C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330" w:type="dxa"/>
            <w:tcMar>
              <w:top w:w="16" w:type="dxa"/>
              <w:left w:w="16" w:type="dxa"/>
              <w:right w:w="16" w:type="dxa"/>
            </w:tcMar>
            <w:vAlign w:val="center"/>
          </w:tcPr>
          <w:p w14:paraId="1E5FD4DE">
            <w:pPr>
              <w:adjustRightInd w:val="0"/>
              <w:snapToGrid w:val="0"/>
              <w:jc w:val="center"/>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rPr>
              <w:t>建设性质</w:t>
            </w:r>
          </w:p>
        </w:tc>
        <w:tc>
          <w:tcPr>
            <w:tcW w:w="3109" w:type="dxa"/>
            <w:gridSpan w:val="2"/>
            <w:vAlign w:val="center"/>
          </w:tcPr>
          <w:p w14:paraId="01040973">
            <w:pPr>
              <w:adjustRightInd w:val="0"/>
              <w:snapToGrid w:val="0"/>
              <w:jc w:val="left"/>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lang w:eastAsia="zh-CN"/>
              </w:rPr>
              <w:t>□</w:t>
            </w:r>
            <w:r>
              <w:rPr>
                <w:rFonts w:hint="default" w:ascii="Times New Roman" w:hAnsi="Times New Roman" w:cs="Times New Roman" w:eastAsiaTheme="minorEastAsia"/>
                <w:color w:val="auto"/>
                <w:sz w:val="24"/>
                <w:szCs w:val="24"/>
                <w:highlight w:val="none"/>
              </w:rPr>
              <w:t>新建（迁建）</w:t>
            </w:r>
          </w:p>
          <w:p w14:paraId="6B3DDA3A">
            <w:pPr>
              <w:adjustRightInd w:val="0"/>
              <w:snapToGrid w:val="0"/>
              <w:jc w:val="left"/>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lang w:eastAsia="zh-CN"/>
              </w:rPr>
              <w:t>□</w:t>
            </w:r>
            <w:r>
              <w:rPr>
                <w:rFonts w:hint="default" w:ascii="Times New Roman" w:hAnsi="Times New Roman" w:cs="Times New Roman" w:eastAsiaTheme="minorEastAsia"/>
                <w:color w:val="auto"/>
                <w:sz w:val="24"/>
                <w:szCs w:val="24"/>
                <w:highlight w:val="none"/>
              </w:rPr>
              <w:t>改建</w:t>
            </w:r>
          </w:p>
          <w:p w14:paraId="267E2ADF">
            <w:pPr>
              <w:adjustRightInd w:val="0"/>
              <w:snapToGrid w:val="0"/>
              <w:jc w:val="left"/>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lang w:eastAsia="zh-CN"/>
              </w:rPr>
              <w:t>□</w:t>
            </w:r>
            <w:r>
              <w:rPr>
                <w:rFonts w:hint="default" w:ascii="Times New Roman" w:hAnsi="Times New Roman" w:cs="Times New Roman" w:eastAsiaTheme="minorEastAsia"/>
                <w:color w:val="auto"/>
                <w:sz w:val="24"/>
                <w:szCs w:val="24"/>
                <w:highlight w:val="none"/>
              </w:rPr>
              <w:t>扩建</w:t>
            </w:r>
          </w:p>
          <w:p w14:paraId="1C707674">
            <w:pPr>
              <w:adjustRightInd w:val="0"/>
              <w:snapToGrid w:val="0"/>
              <w:jc w:val="left"/>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lang w:eastAsia="zh-CN"/>
              </w:rPr>
              <w:t>☑</w:t>
            </w:r>
            <w:r>
              <w:rPr>
                <w:rFonts w:hint="default" w:ascii="Times New Roman" w:hAnsi="Times New Roman" w:cs="Times New Roman" w:eastAsiaTheme="minorEastAsia"/>
                <w:color w:val="auto"/>
                <w:sz w:val="24"/>
                <w:szCs w:val="24"/>
                <w:highlight w:val="none"/>
              </w:rPr>
              <w:t>技术改造</w:t>
            </w:r>
          </w:p>
        </w:tc>
        <w:tc>
          <w:tcPr>
            <w:tcW w:w="1807" w:type="dxa"/>
            <w:vAlign w:val="center"/>
          </w:tcPr>
          <w:p w14:paraId="08AB9DC0">
            <w:pPr>
              <w:adjustRightInd w:val="0"/>
              <w:snapToGrid w:val="0"/>
              <w:jc w:val="center"/>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rPr>
              <w:t>建设项目</w:t>
            </w:r>
          </w:p>
          <w:p w14:paraId="39CF546C">
            <w:pPr>
              <w:adjustRightInd w:val="0"/>
              <w:snapToGrid w:val="0"/>
              <w:jc w:val="center"/>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rPr>
              <w:t>申报情形</w:t>
            </w:r>
          </w:p>
        </w:tc>
        <w:tc>
          <w:tcPr>
            <w:tcW w:w="2653" w:type="dxa"/>
            <w:vAlign w:val="center"/>
          </w:tcPr>
          <w:p w14:paraId="226D7A38">
            <w:pPr>
              <w:adjustRightInd w:val="0"/>
              <w:snapToGrid w:val="0"/>
              <w:jc w:val="left"/>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rPr>
              <w:t>☑首次申报项目</w:t>
            </w:r>
          </w:p>
          <w:p w14:paraId="354606BF">
            <w:pPr>
              <w:adjustRightInd w:val="0"/>
              <w:snapToGrid w:val="0"/>
              <w:jc w:val="left"/>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rPr>
              <w:t>□不予批准后再次申报项目</w:t>
            </w:r>
          </w:p>
          <w:p w14:paraId="42FB6A3D">
            <w:pPr>
              <w:adjustRightInd w:val="0"/>
              <w:snapToGrid w:val="0"/>
              <w:jc w:val="left"/>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rPr>
              <w:t>□超五年重新审核项目</w:t>
            </w:r>
          </w:p>
          <w:p w14:paraId="62F35338">
            <w:pPr>
              <w:adjustRightInd w:val="0"/>
              <w:snapToGrid w:val="0"/>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rPr>
              <w:t>□重大变动重新报批项目</w:t>
            </w:r>
          </w:p>
        </w:tc>
      </w:tr>
      <w:tr w14:paraId="494BDB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01" w:hRule="atLeast"/>
        </w:trPr>
        <w:tc>
          <w:tcPr>
            <w:tcW w:w="1330" w:type="dxa"/>
            <w:tcMar>
              <w:top w:w="16" w:type="dxa"/>
              <w:left w:w="16" w:type="dxa"/>
              <w:right w:w="16" w:type="dxa"/>
            </w:tcMar>
            <w:vAlign w:val="center"/>
          </w:tcPr>
          <w:p w14:paraId="5A3D1F82">
            <w:pPr>
              <w:adjustRightInd w:val="0"/>
              <w:snapToGrid w:val="0"/>
              <w:jc w:val="center"/>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rPr>
              <w:t>项目审批（核准/</w:t>
            </w:r>
          </w:p>
          <w:p w14:paraId="6CDA811A">
            <w:pPr>
              <w:adjustRightInd w:val="0"/>
              <w:snapToGrid w:val="0"/>
              <w:jc w:val="center"/>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rPr>
              <w:t>备案）部门（选填）</w:t>
            </w:r>
          </w:p>
        </w:tc>
        <w:tc>
          <w:tcPr>
            <w:tcW w:w="3109" w:type="dxa"/>
            <w:gridSpan w:val="2"/>
            <w:vAlign w:val="center"/>
          </w:tcPr>
          <w:p w14:paraId="2A6FD043">
            <w:pPr>
              <w:adjustRightInd w:val="0"/>
              <w:snapToGrid w:val="0"/>
              <w:jc w:val="center"/>
              <w:rPr>
                <w:rFonts w:hint="default" w:ascii="Times New Roman" w:hAnsi="Times New Roman" w:cs="Times New Roman" w:eastAsiaTheme="minorEastAsia"/>
                <w:color w:val="auto"/>
                <w:sz w:val="24"/>
                <w:szCs w:val="24"/>
                <w:highlight w:val="none"/>
                <w:lang w:val="en-US" w:eastAsia="zh-CN"/>
              </w:rPr>
            </w:pPr>
            <w:r>
              <w:rPr>
                <w:rFonts w:hint="eastAsia" w:cs="Times New Roman" w:eastAsiaTheme="minorEastAsia"/>
                <w:color w:val="auto"/>
                <w:sz w:val="24"/>
                <w:szCs w:val="24"/>
                <w:highlight w:val="none"/>
                <w:lang w:val="en-US" w:eastAsia="zh-CN"/>
              </w:rPr>
              <w:t>黑龙江省水利厅</w:t>
            </w:r>
          </w:p>
        </w:tc>
        <w:tc>
          <w:tcPr>
            <w:tcW w:w="1807" w:type="dxa"/>
            <w:vAlign w:val="center"/>
          </w:tcPr>
          <w:p w14:paraId="20CA2D24">
            <w:pPr>
              <w:adjustRightInd w:val="0"/>
              <w:snapToGrid w:val="0"/>
              <w:jc w:val="center"/>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rPr>
              <w:t>项目审批（核准/</w:t>
            </w:r>
          </w:p>
          <w:p w14:paraId="253F0F11">
            <w:pPr>
              <w:adjustRightInd w:val="0"/>
              <w:snapToGrid w:val="0"/>
              <w:jc w:val="center"/>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rPr>
              <w:t>备案）文号（选填）</w:t>
            </w:r>
          </w:p>
        </w:tc>
        <w:tc>
          <w:tcPr>
            <w:tcW w:w="2653" w:type="dxa"/>
            <w:vAlign w:val="center"/>
          </w:tcPr>
          <w:p w14:paraId="29E6884A">
            <w:pPr>
              <w:adjustRightInd w:val="0"/>
              <w:snapToGrid w:val="0"/>
              <w:jc w:val="center"/>
              <w:rPr>
                <w:rFonts w:hint="default" w:ascii="Times New Roman" w:hAnsi="Times New Roman" w:cs="Times New Roman" w:eastAsiaTheme="minorEastAsia"/>
                <w:color w:val="auto"/>
                <w:sz w:val="24"/>
                <w:szCs w:val="24"/>
                <w:highlight w:val="none"/>
                <w:lang w:val="en-US" w:eastAsia="zh-CN"/>
              </w:rPr>
            </w:pPr>
            <w:r>
              <w:rPr>
                <w:rFonts w:hint="default" w:ascii="Times New Roman" w:hAnsi="Times New Roman" w:cs="Times New Roman"/>
                <w:snapToGrid w:val="0"/>
                <w:color w:val="auto"/>
                <w:sz w:val="24"/>
                <w:szCs w:val="24"/>
                <w:highlight w:val="none"/>
                <w:lang w:val="en-US" w:eastAsia="zh-CN"/>
              </w:rPr>
              <w:t>黑水发〔2012〕6</w:t>
            </w:r>
            <w:r>
              <w:rPr>
                <w:rFonts w:hint="eastAsia" w:cs="Times New Roman"/>
                <w:snapToGrid w:val="0"/>
                <w:color w:val="auto"/>
                <w:sz w:val="24"/>
                <w:szCs w:val="24"/>
                <w:highlight w:val="none"/>
                <w:lang w:val="en-US" w:eastAsia="zh-CN"/>
              </w:rPr>
              <w:t>13</w:t>
            </w:r>
            <w:r>
              <w:rPr>
                <w:rFonts w:hint="default" w:ascii="Times New Roman" w:hAnsi="Times New Roman" w:cs="Times New Roman"/>
                <w:snapToGrid w:val="0"/>
                <w:color w:val="auto"/>
                <w:sz w:val="24"/>
                <w:szCs w:val="24"/>
                <w:highlight w:val="none"/>
                <w:lang w:val="en-US" w:eastAsia="zh-CN"/>
              </w:rPr>
              <w:t>号</w:t>
            </w:r>
          </w:p>
        </w:tc>
      </w:tr>
      <w:tr w14:paraId="4C0543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330" w:type="dxa"/>
            <w:tcMar>
              <w:top w:w="16" w:type="dxa"/>
              <w:left w:w="16" w:type="dxa"/>
              <w:right w:w="16" w:type="dxa"/>
            </w:tcMar>
            <w:vAlign w:val="center"/>
          </w:tcPr>
          <w:p w14:paraId="155F6D9B">
            <w:pPr>
              <w:adjustRightInd w:val="0"/>
              <w:snapToGrid w:val="0"/>
              <w:jc w:val="center"/>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rPr>
              <w:t>总投资（万元）</w:t>
            </w:r>
          </w:p>
        </w:tc>
        <w:tc>
          <w:tcPr>
            <w:tcW w:w="3109" w:type="dxa"/>
            <w:gridSpan w:val="2"/>
            <w:vAlign w:val="center"/>
          </w:tcPr>
          <w:p w14:paraId="3770F5CA">
            <w:pPr>
              <w:adjustRightInd w:val="0"/>
              <w:snapToGrid w:val="0"/>
              <w:jc w:val="center"/>
              <w:rPr>
                <w:rFonts w:hint="default" w:ascii="Times New Roman" w:hAnsi="Times New Roman" w:cs="Times New Roman" w:eastAsiaTheme="minorEastAsia"/>
                <w:color w:val="auto"/>
                <w:sz w:val="24"/>
                <w:szCs w:val="24"/>
                <w:highlight w:val="none"/>
                <w:lang w:val="en-US" w:eastAsia="zh-CN"/>
              </w:rPr>
            </w:pPr>
            <w:r>
              <w:rPr>
                <w:rFonts w:hint="default" w:ascii="Times New Roman" w:hAnsi="Times New Roman" w:cs="Times New Roman" w:eastAsiaTheme="minorEastAsia"/>
                <w:color w:val="auto"/>
                <w:sz w:val="24"/>
                <w:szCs w:val="24"/>
                <w:highlight w:val="none"/>
                <w:lang w:val="en-US" w:eastAsia="zh-CN"/>
              </w:rPr>
              <w:t>1</w:t>
            </w:r>
            <w:r>
              <w:rPr>
                <w:rFonts w:hint="eastAsia" w:cs="Times New Roman" w:eastAsiaTheme="minorEastAsia"/>
                <w:color w:val="auto"/>
                <w:sz w:val="24"/>
                <w:szCs w:val="24"/>
                <w:highlight w:val="none"/>
                <w:lang w:val="en-US" w:eastAsia="zh-CN"/>
              </w:rPr>
              <w:t>82.18</w:t>
            </w:r>
          </w:p>
        </w:tc>
        <w:tc>
          <w:tcPr>
            <w:tcW w:w="1807" w:type="dxa"/>
            <w:tcMar>
              <w:top w:w="16" w:type="dxa"/>
              <w:left w:w="16" w:type="dxa"/>
              <w:right w:w="16" w:type="dxa"/>
            </w:tcMar>
            <w:vAlign w:val="center"/>
          </w:tcPr>
          <w:p w14:paraId="00FC0226">
            <w:pPr>
              <w:adjustRightInd w:val="0"/>
              <w:snapToGrid w:val="0"/>
              <w:jc w:val="center"/>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rPr>
              <w:t>环保投资（万元）</w:t>
            </w:r>
          </w:p>
        </w:tc>
        <w:tc>
          <w:tcPr>
            <w:tcW w:w="2653" w:type="dxa"/>
            <w:vAlign w:val="center"/>
          </w:tcPr>
          <w:p w14:paraId="468A1141">
            <w:pPr>
              <w:adjustRightInd w:val="0"/>
              <w:snapToGrid w:val="0"/>
              <w:jc w:val="center"/>
              <w:rPr>
                <w:rFonts w:hint="default" w:ascii="Times New Roman" w:hAnsi="Times New Roman" w:cs="Times New Roman" w:eastAsiaTheme="minorEastAsia"/>
                <w:color w:val="auto"/>
                <w:sz w:val="24"/>
                <w:szCs w:val="24"/>
                <w:highlight w:val="none"/>
                <w:lang w:val="en-US" w:eastAsia="zh-CN"/>
              </w:rPr>
            </w:pPr>
            <w:r>
              <w:rPr>
                <w:rFonts w:hint="eastAsia" w:cs="Times New Roman" w:eastAsiaTheme="minorEastAsia"/>
                <w:color w:val="auto"/>
                <w:sz w:val="24"/>
                <w:szCs w:val="24"/>
                <w:highlight w:val="none"/>
                <w:lang w:val="en-US" w:eastAsia="zh-CN"/>
              </w:rPr>
              <w:t>16.7</w:t>
            </w:r>
          </w:p>
        </w:tc>
      </w:tr>
      <w:tr w14:paraId="60C523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330" w:type="dxa"/>
            <w:tcMar>
              <w:top w:w="16" w:type="dxa"/>
              <w:left w:w="16" w:type="dxa"/>
              <w:right w:w="16" w:type="dxa"/>
            </w:tcMar>
            <w:vAlign w:val="center"/>
          </w:tcPr>
          <w:p w14:paraId="75E1CCB5">
            <w:pPr>
              <w:adjustRightInd w:val="0"/>
              <w:snapToGrid w:val="0"/>
              <w:jc w:val="center"/>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rPr>
              <w:t>环保投资占比（%）</w:t>
            </w:r>
          </w:p>
        </w:tc>
        <w:tc>
          <w:tcPr>
            <w:tcW w:w="3109" w:type="dxa"/>
            <w:gridSpan w:val="2"/>
            <w:vAlign w:val="center"/>
          </w:tcPr>
          <w:p w14:paraId="07740620">
            <w:pPr>
              <w:adjustRightInd w:val="0"/>
              <w:snapToGrid w:val="0"/>
              <w:jc w:val="center"/>
              <w:rPr>
                <w:rFonts w:hint="default" w:ascii="Times New Roman" w:hAnsi="Times New Roman" w:cs="Times New Roman" w:eastAsiaTheme="minorEastAsia"/>
                <w:color w:val="auto"/>
                <w:sz w:val="24"/>
                <w:szCs w:val="24"/>
                <w:highlight w:val="none"/>
                <w:lang w:val="en-US" w:eastAsia="zh-CN"/>
              </w:rPr>
            </w:pPr>
            <w:r>
              <w:rPr>
                <w:rFonts w:hint="eastAsia" w:cs="Times New Roman" w:eastAsiaTheme="minorEastAsia"/>
                <w:color w:val="auto"/>
                <w:sz w:val="24"/>
                <w:szCs w:val="24"/>
                <w:highlight w:val="none"/>
                <w:lang w:val="en-US" w:eastAsia="zh-CN"/>
              </w:rPr>
              <w:t>9.17</w:t>
            </w:r>
          </w:p>
        </w:tc>
        <w:tc>
          <w:tcPr>
            <w:tcW w:w="1807" w:type="dxa"/>
            <w:tcMar>
              <w:top w:w="16" w:type="dxa"/>
              <w:left w:w="16" w:type="dxa"/>
              <w:right w:w="16" w:type="dxa"/>
            </w:tcMar>
            <w:vAlign w:val="center"/>
          </w:tcPr>
          <w:p w14:paraId="6A02ED9A">
            <w:pPr>
              <w:adjustRightInd w:val="0"/>
              <w:snapToGrid w:val="0"/>
              <w:jc w:val="center"/>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rPr>
              <w:t>施工工期</w:t>
            </w:r>
          </w:p>
        </w:tc>
        <w:tc>
          <w:tcPr>
            <w:tcW w:w="2653" w:type="dxa"/>
            <w:vAlign w:val="center"/>
          </w:tcPr>
          <w:p w14:paraId="080ADE93">
            <w:pPr>
              <w:adjustRightInd w:val="0"/>
              <w:snapToGrid w:val="0"/>
              <w:jc w:val="center"/>
              <w:rPr>
                <w:rFonts w:hint="default" w:ascii="Times New Roman" w:hAnsi="Times New Roman" w:cs="Times New Roman" w:eastAsiaTheme="minorEastAsia"/>
                <w:color w:val="auto"/>
                <w:sz w:val="24"/>
                <w:szCs w:val="24"/>
                <w:highlight w:val="none"/>
                <w:lang w:val="en-US" w:eastAsia="zh-CN"/>
              </w:rPr>
            </w:pPr>
            <w:r>
              <w:rPr>
                <w:rFonts w:hint="default" w:ascii="Times New Roman" w:hAnsi="Times New Roman" w:cs="Times New Roman" w:eastAsiaTheme="minorEastAsia"/>
                <w:color w:val="auto"/>
                <w:sz w:val="24"/>
                <w:szCs w:val="24"/>
                <w:highlight w:val="none"/>
                <w:lang w:val="en-US" w:eastAsia="zh-CN"/>
              </w:rPr>
              <w:t>2014年9月—2015年10月</w:t>
            </w:r>
          </w:p>
        </w:tc>
      </w:tr>
      <w:tr w14:paraId="7C4360F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717" w:hRule="atLeast"/>
        </w:trPr>
        <w:tc>
          <w:tcPr>
            <w:tcW w:w="1451" w:type="dxa"/>
            <w:gridSpan w:val="2"/>
            <w:tcMar>
              <w:top w:w="16" w:type="dxa"/>
              <w:left w:w="16" w:type="dxa"/>
              <w:right w:w="16" w:type="dxa"/>
            </w:tcMar>
            <w:vAlign w:val="center"/>
          </w:tcPr>
          <w:p w14:paraId="47A667AA">
            <w:pPr>
              <w:adjustRightInd w:val="0"/>
              <w:snapToGrid w:val="0"/>
              <w:jc w:val="center"/>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rPr>
              <w:t>是否开工建设</w:t>
            </w:r>
          </w:p>
        </w:tc>
        <w:tc>
          <w:tcPr>
            <w:tcW w:w="7448" w:type="dxa"/>
            <w:gridSpan w:val="3"/>
            <w:vAlign w:val="center"/>
          </w:tcPr>
          <w:p w14:paraId="244AFE2C">
            <w:pPr>
              <w:keepNext w:val="0"/>
              <w:keepLines w:val="0"/>
              <w:pageBreakBefore w:val="0"/>
              <w:widowControl w:val="0"/>
              <w:kinsoku/>
              <w:wordWrap/>
              <w:overflowPunct/>
              <w:topLinePunct w:val="0"/>
              <w:autoSpaceDE/>
              <w:autoSpaceDN/>
              <w:bidi w:val="0"/>
              <w:adjustRightInd/>
              <w:snapToGrid/>
              <w:spacing w:before="157" w:beforeLines="50" w:line="240" w:lineRule="auto"/>
              <w:jc w:val="both"/>
              <w:textAlignment w:val="auto"/>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cs="Times New Roman"/>
                <w:bCs/>
                <w:color w:val="auto"/>
                <w:sz w:val="24"/>
                <w:szCs w:val="24"/>
                <w:highlight w:val="none"/>
                <w:lang w:val="en-US" w:eastAsia="zh-CN"/>
              </w:rPr>
              <w:t>□</w:t>
            </w:r>
            <w:r>
              <w:rPr>
                <w:rFonts w:hint="default" w:ascii="Times New Roman" w:hAnsi="Times New Roman" w:eastAsia="宋体" w:cs="Times New Roman"/>
                <w:bCs/>
                <w:color w:val="auto"/>
                <w:sz w:val="24"/>
                <w:szCs w:val="24"/>
                <w:highlight w:val="none"/>
                <w:lang w:val="en-US" w:eastAsia="zh-CN"/>
              </w:rPr>
              <w:t>否</w:t>
            </w:r>
          </w:p>
          <w:p w14:paraId="218A244D">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cs="Times New Roman"/>
                <w:bCs/>
                <w:color w:val="auto"/>
                <w:sz w:val="24"/>
                <w:szCs w:val="24"/>
                <w:highlight w:val="none"/>
                <w:lang w:val="en-US" w:eastAsia="zh-CN"/>
              </w:rPr>
            </w:pPr>
            <w:r>
              <w:rPr>
                <w:rFonts w:hint="default" w:ascii="Times New Roman" w:hAnsi="Times New Roman" w:cs="Times New Roman"/>
                <w:bCs/>
                <w:color w:val="auto"/>
                <w:sz w:val="24"/>
                <w:szCs w:val="24"/>
                <w:highlight w:val="none"/>
                <w:lang w:val="en-US" w:eastAsia="zh-CN"/>
              </w:rPr>
              <w:t>☑</w:t>
            </w:r>
            <w:r>
              <w:rPr>
                <w:rFonts w:hint="default" w:ascii="Times New Roman" w:hAnsi="Times New Roman" w:eastAsia="宋体" w:cs="Times New Roman"/>
                <w:bCs/>
                <w:color w:val="auto"/>
                <w:sz w:val="24"/>
                <w:szCs w:val="24"/>
                <w:highlight w:val="none"/>
                <w:lang w:val="en-US" w:eastAsia="zh-CN"/>
              </w:rPr>
              <w:t>是：电站于195</w:t>
            </w:r>
            <w:r>
              <w:rPr>
                <w:rFonts w:hint="eastAsia" w:cs="Times New Roman"/>
                <w:bCs/>
                <w:color w:val="auto"/>
                <w:sz w:val="24"/>
                <w:szCs w:val="24"/>
                <w:highlight w:val="none"/>
                <w:lang w:val="en-US" w:eastAsia="zh-CN"/>
              </w:rPr>
              <w:t>8</w:t>
            </w:r>
            <w:r>
              <w:rPr>
                <w:rFonts w:hint="default" w:ascii="Times New Roman" w:hAnsi="Times New Roman" w:eastAsia="宋体" w:cs="Times New Roman"/>
                <w:bCs/>
                <w:color w:val="auto"/>
                <w:sz w:val="24"/>
                <w:szCs w:val="24"/>
                <w:highlight w:val="none"/>
                <w:lang w:val="en-US" w:eastAsia="zh-CN"/>
              </w:rPr>
              <w:t>年动工</w:t>
            </w:r>
            <w:r>
              <w:rPr>
                <w:rFonts w:hint="eastAsia" w:cs="Times New Roman"/>
                <w:bCs/>
                <w:color w:val="auto"/>
                <w:sz w:val="24"/>
                <w:szCs w:val="24"/>
                <w:highlight w:val="none"/>
                <w:lang w:val="en-US" w:eastAsia="zh-CN"/>
              </w:rPr>
              <w:t>兴</w:t>
            </w:r>
            <w:r>
              <w:rPr>
                <w:rFonts w:hint="default" w:ascii="Times New Roman" w:hAnsi="Times New Roman" w:eastAsia="宋体" w:cs="Times New Roman"/>
                <w:bCs/>
                <w:color w:val="auto"/>
                <w:sz w:val="24"/>
                <w:szCs w:val="24"/>
                <w:highlight w:val="none"/>
                <w:lang w:val="en-US" w:eastAsia="zh-CN"/>
              </w:rPr>
              <w:t>建，1973年续建，1978年</w:t>
            </w:r>
            <w:r>
              <w:rPr>
                <w:rFonts w:hint="eastAsia" w:cs="Times New Roman"/>
                <w:bCs/>
                <w:color w:val="auto"/>
                <w:sz w:val="24"/>
                <w:szCs w:val="24"/>
                <w:highlight w:val="none"/>
                <w:lang w:val="en-US" w:eastAsia="zh-CN"/>
              </w:rPr>
              <w:t>竣工</w:t>
            </w:r>
            <w:r>
              <w:rPr>
                <w:rFonts w:hint="default" w:ascii="Times New Roman" w:hAnsi="Times New Roman" w:eastAsia="宋体" w:cs="Times New Roman"/>
                <w:bCs/>
                <w:color w:val="auto"/>
                <w:sz w:val="24"/>
                <w:szCs w:val="24"/>
                <w:highlight w:val="none"/>
                <w:lang w:val="en-US" w:eastAsia="zh-CN"/>
              </w:rPr>
              <w:t>验收并投产发电。2014年9</w:t>
            </w:r>
            <w:r>
              <w:rPr>
                <w:rFonts w:hint="default" w:ascii="Times New Roman" w:hAnsi="Times New Roman" w:cs="Times New Roman"/>
                <w:bCs/>
                <w:color w:val="auto"/>
                <w:sz w:val="24"/>
                <w:szCs w:val="24"/>
                <w:highlight w:val="none"/>
                <w:lang w:val="en-US" w:eastAsia="zh-CN"/>
              </w:rPr>
              <w:t>月</w:t>
            </w:r>
            <w:r>
              <w:rPr>
                <w:rFonts w:hint="default" w:ascii="Times New Roman" w:hAnsi="Times New Roman" w:eastAsia="宋体" w:cs="Times New Roman"/>
                <w:bCs/>
                <w:color w:val="auto"/>
                <w:sz w:val="24"/>
                <w:szCs w:val="24"/>
                <w:highlight w:val="none"/>
                <w:lang w:val="en-US" w:eastAsia="zh-CN"/>
              </w:rPr>
              <w:t>增效扩容改造，2015年10月改造完成</w:t>
            </w:r>
            <w:r>
              <w:rPr>
                <w:rFonts w:hint="default" w:ascii="Times New Roman" w:hAnsi="Times New Roman" w:cs="Times New Roman"/>
                <w:bCs/>
                <w:color w:val="auto"/>
                <w:sz w:val="24"/>
                <w:szCs w:val="24"/>
                <w:highlight w:val="none"/>
                <w:lang w:val="en-US" w:eastAsia="zh-CN"/>
              </w:rPr>
              <w:t>。</w:t>
            </w:r>
            <w:r>
              <w:rPr>
                <w:rFonts w:hint="eastAsia" w:cs="Times New Roman"/>
                <w:bCs/>
                <w:color w:val="auto"/>
                <w:sz w:val="24"/>
                <w:szCs w:val="24"/>
                <w:highlight w:val="none"/>
                <w:lang w:val="en-US" w:eastAsia="zh-CN"/>
              </w:rPr>
              <w:t>2025年8月，黑龙江省水利厅下发《关于做好小水电监督检查发现问题整改通知单》，青年水库电站缺少环保审批材料，需补充相关手续；2026年01月，密山市青年水库管理处委托黑龙江鑫润环保工程设计有限公司开展环境影响评价工作，环保手续正在履行中。</w:t>
            </w:r>
          </w:p>
          <w:p w14:paraId="02A8CCCE">
            <w:pPr>
              <w:pStyle w:val="2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cs="Times New Roman"/>
                <w:bCs/>
                <w:color w:val="auto"/>
                <w:sz w:val="24"/>
                <w:szCs w:val="24"/>
                <w:highlight w:val="none"/>
                <w:lang w:val="en-US" w:eastAsia="zh-CN"/>
              </w:rPr>
            </w:pPr>
            <w:r>
              <w:rPr>
                <w:rFonts w:hint="eastAsia" w:ascii="Times New Roman" w:hAnsi="Times New Roman" w:eastAsia="宋体" w:cs="Times New Roman"/>
                <w:b w:val="0"/>
                <w:bCs w:val="0"/>
                <w:color w:val="auto"/>
                <w:kern w:val="2"/>
                <w:sz w:val="24"/>
                <w:szCs w:val="24"/>
                <w:lang w:val="en-US" w:eastAsia="zh-CN" w:bidi="ar-SA"/>
              </w:rPr>
              <w:t>根据生态环境部2018年02月22日发布的《关于建设项目“未批先建”违法行为法律适用问题的意见》（环政法函[2018]31号）中指出“</w:t>
            </w:r>
            <w:r>
              <w:rPr>
                <w:rFonts w:hint="default" w:ascii="Times New Roman" w:hAnsi="Times New Roman" w:eastAsia="宋体" w:cs="Times New Roman"/>
                <w:b w:val="0"/>
                <w:bCs w:val="0"/>
                <w:color w:val="auto"/>
                <w:kern w:val="2"/>
                <w:sz w:val="24"/>
                <w:szCs w:val="24"/>
                <w:lang w:val="en-US" w:eastAsia="zh-CN" w:bidi="ar-SA"/>
              </w:rPr>
              <w:t>(一)相关法律规定</w:t>
            </w:r>
            <w:r>
              <w:rPr>
                <w:rFonts w:hint="eastAsia" w:ascii="Times New Roman" w:hAnsi="Times New Roman" w:eastAsia="宋体" w:cs="Times New Roman"/>
                <w:b w:val="0"/>
                <w:bCs w:val="0"/>
                <w:color w:val="auto"/>
                <w:kern w:val="2"/>
                <w:sz w:val="24"/>
                <w:szCs w:val="24"/>
                <w:lang w:val="en-US" w:eastAsia="zh-CN" w:bidi="ar-SA"/>
              </w:rPr>
              <w:t>——</w:t>
            </w:r>
            <w:r>
              <w:rPr>
                <w:rFonts w:hint="default" w:ascii="Times New Roman" w:hAnsi="Times New Roman" w:eastAsia="宋体" w:cs="Times New Roman"/>
                <w:b w:val="0"/>
                <w:bCs w:val="0"/>
                <w:color w:val="auto"/>
                <w:kern w:val="2"/>
                <w:sz w:val="24"/>
                <w:szCs w:val="24"/>
                <w:lang w:val="en-US" w:eastAsia="zh-CN" w:bidi="ar-SA"/>
              </w:rPr>
              <w:t>行政处罚法第二十九条规定：“违法行为在二年内未被发现的，不再给予行政处罚。法律另有规定的除外。前款规定的期限，从违法行为发生之日起计算</w:t>
            </w:r>
            <w:r>
              <w:rPr>
                <w:rFonts w:hint="eastAsia" w:ascii="Times New Roman" w:hAnsi="Times New Roman" w:eastAsia="宋体" w:cs="Times New Roman"/>
                <w:b w:val="0"/>
                <w:bCs w:val="0"/>
                <w:color w:val="auto"/>
                <w:kern w:val="2"/>
                <w:sz w:val="24"/>
                <w:szCs w:val="24"/>
                <w:lang w:val="en-US" w:eastAsia="zh-CN" w:bidi="ar-SA"/>
              </w:rPr>
              <w:t>；</w:t>
            </w:r>
            <w:r>
              <w:rPr>
                <w:rFonts w:hint="default" w:ascii="Times New Roman" w:hAnsi="Times New Roman" w:eastAsia="宋体" w:cs="Times New Roman"/>
                <w:b w:val="0"/>
                <w:bCs w:val="0"/>
                <w:color w:val="auto"/>
                <w:kern w:val="2"/>
                <w:sz w:val="24"/>
                <w:szCs w:val="24"/>
                <w:lang w:val="en-US" w:eastAsia="zh-CN" w:bidi="ar-SA"/>
              </w:rPr>
              <w:t>违法行为有连续或者继续状态的，从行为终了之日起计算。”</w:t>
            </w:r>
            <w:r>
              <w:rPr>
                <w:rFonts w:hint="eastAsia" w:ascii="Times New Roman" w:hAnsi="Times New Roman" w:eastAsia="宋体" w:cs="Times New Roman"/>
                <w:b w:val="0"/>
                <w:bCs w:val="0"/>
                <w:color w:val="auto"/>
                <w:kern w:val="2"/>
                <w:sz w:val="24"/>
                <w:szCs w:val="24"/>
                <w:lang w:val="en-US" w:eastAsia="zh-CN" w:bidi="ar-SA"/>
              </w:rPr>
              <w:t>“</w:t>
            </w:r>
            <w:r>
              <w:rPr>
                <w:rFonts w:hint="default" w:ascii="Times New Roman" w:hAnsi="Times New Roman" w:eastAsia="宋体" w:cs="Times New Roman"/>
                <w:b w:val="0"/>
                <w:bCs w:val="0"/>
                <w:color w:val="auto"/>
                <w:kern w:val="2"/>
                <w:sz w:val="24"/>
                <w:szCs w:val="24"/>
                <w:lang w:val="en-US" w:eastAsia="zh-CN" w:bidi="ar-SA"/>
              </w:rPr>
              <w:t>(二)追溯期限的起算时间</w:t>
            </w:r>
            <w:r>
              <w:rPr>
                <w:rFonts w:hint="eastAsia" w:ascii="Times New Roman" w:hAnsi="Times New Roman" w:eastAsia="宋体" w:cs="Times New Roman"/>
                <w:b w:val="0"/>
                <w:bCs w:val="0"/>
                <w:color w:val="auto"/>
                <w:kern w:val="2"/>
                <w:sz w:val="24"/>
                <w:szCs w:val="24"/>
                <w:lang w:val="en-US" w:eastAsia="zh-CN" w:bidi="ar-SA"/>
              </w:rPr>
              <w:t>——</w:t>
            </w:r>
            <w:r>
              <w:rPr>
                <w:rFonts w:hint="default" w:ascii="Times New Roman" w:hAnsi="Times New Roman" w:eastAsia="宋体" w:cs="Times New Roman"/>
                <w:b w:val="0"/>
                <w:bCs w:val="0"/>
                <w:color w:val="auto"/>
                <w:kern w:val="2"/>
                <w:sz w:val="24"/>
                <w:szCs w:val="24"/>
                <w:lang w:val="en-US" w:eastAsia="zh-CN" w:bidi="ar-SA"/>
              </w:rPr>
              <w:t>根据上述法律规定，“未批先建”违法行为的行政处罚追溯期限应当自建设行为终了之日起计算。因此，“未批先建”违法行为自建设行为终了之日起二年内未被发现的，环保部门应当遵守行政处罚法第二十九条的规定，不予行政处罚。</w:t>
            </w:r>
            <w:r>
              <w:rPr>
                <w:rFonts w:hint="eastAsia" w:ascii="Times New Roman" w:hAnsi="Times New Roman" w:eastAsia="宋体" w:cs="Times New Roman"/>
                <w:b w:val="0"/>
                <w:bCs w:val="0"/>
                <w:color w:val="auto"/>
                <w:kern w:val="2"/>
                <w:sz w:val="24"/>
                <w:szCs w:val="24"/>
                <w:lang w:val="en-US" w:eastAsia="zh-CN" w:bidi="ar-SA"/>
              </w:rPr>
              <w:t>”本项目增效扩容改造工程均己建成投产超过2年，按环政法函[2018]31号要求，不予行政处罚。</w:t>
            </w:r>
          </w:p>
        </w:tc>
      </w:tr>
      <w:tr w14:paraId="006638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00" w:hRule="atLeast"/>
        </w:trPr>
        <w:tc>
          <w:tcPr>
            <w:tcW w:w="1330" w:type="dxa"/>
            <w:tcMar>
              <w:top w:w="16" w:type="dxa"/>
              <w:left w:w="16" w:type="dxa"/>
              <w:right w:w="16" w:type="dxa"/>
            </w:tcMar>
            <w:vAlign w:val="center"/>
          </w:tcPr>
          <w:p w14:paraId="3ACEC4B3">
            <w:pPr>
              <w:spacing w:beforeLines="50" w:line="360" w:lineRule="auto"/>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专项评价设置情况</w:t>
            </w:r>
          </w:p>
        </w:tc>
        <w:tc>
          <w:tcPr>
            <w:tcW w:w="7569" w:type="dxa"/>
            <w:gridSpan w:val="4"/>
            <w:tcMar>
              <w:top w:w="17" w:type="dxa"/>
              <w:left w:w="74" w:type="dxa"/>
              <w:right w:w="74" w:type="dxa"/>
            </w:tcMar>
            <w:vAlign w:val="center"/>
          </w:tcPr>
          <w:p w14:paraId="733D2220">
            <w:pPr>
              <w:keepNext w:val="0"/>
              <w:keepLines w:val="0"/>
              <w:pageBreakBefore w:val="0"/>
              <w:widowControl w:val="0"/>
              <w:kinsoku/>
              <w:wordWrap/>
              <w:overflowPunct/>
              <w:topLinePunct w:val="0"/>
              <w:autoSpaceDE w:val="0"/>
              <w:autoSpaceDN w:val="0"/>
              <w:bidi w:val="0"/>
              <w:adjustRightInd w:val="0"/>
              <w:snapToGrid w:val="0"/>
              <w:spacing w:before="157" w:beforeLines="50" w:line="360" w:lineRule="auto"/>
              <w:ind w:firstLine="480" w:firstLineChars="200"/>
              <w:textAlignment w:val="auto"/>
              <w:rPr>
                <w:rFonts w:hint="default" w:ascii="Times New Roman" w:hAnsi="Times New Roman" w:eastAsia="宋体" w:cs="Times New Roman"/>
                <w:color w:val="auto"/>
                <w:kern w:val="0"/>
                <w:sz w:val="24"/>
                <w:szCs w:val="24"/>
                <w:highlight w:val="none"/>
                <w:lang w:eastAsia="zh-CN"/>
              </w:rPr>
            </w:pPr>
            <w:r>
              <w:rPr>
                <w:rFonts w:hint="default" w:ascii="Times New Roman" w:hAnsi="Times New Roman" w:eastAsia="宋体" w:cs="Times New Roman"/>
                <w:color w:val="auto"/>
                <w:kern w:val="0"/>
                <w:sz w:val="24"/>
                <w:szCs w:val="24"/>
                <w:highlight w:val="none"/>
                <w:lang w:val="en-US" w:eastAsia="zh-CN"/>
              </w:rPr>
              <w:t>根据《建设项目环境影响报告表编制技术指南（生态影响类）（试行）》，表1专项评价设置原则表，</w:t>
            </w:r>
            <w:r>
              <w:rPr>
                <w:rFonts w:hint="default" w:ascii="Times New Roman" w:hAnsi="Times New Roman" w:cs="Times New Roman"/>
                <w:color w:val="auto"/>
                <w:kern w:val="0"/>
                <w:sz w:val="24"/>
                <w:szCs w:val="24"/>
                <w:highlight w:val="none"/>
                <w:lang w:val="en-US" w:eastAsia="zh-CN"/>
              </w:rPr>
              <w:t>青年水库电站</w:t>
            </w:r>
            <w:r>
              <w:rPr>
                <w:rFonts w:hint="default" w:ascii="Times New Roman" w:hAnsi="Times New Roman" w:eastAsia="宋体" w:cs="Times New Roman"/>
                <w:color w:val="auto"/>
                <w:kern w:val="0"/>
                <w:sz w:val="24"/>
                <w:szCs w:val="24"/>
                <w:highlight w:val="none"/>
                <w:lang w:val="en-US" w:eastAsia="zh-CN"/>
              </w:rPr>
              <w:t>为坝后式电站，不涉及调峰发电及引水发电，无需编制地表水专项评价。</w:t>
            </w:r>
          </w:p>
        </w:tc>
      </w:tr>
      <w:tr w14:paraId="4E43B0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09" w:hRule="atLeast"/>
        </w:trPr>
        <w:tc>
          <w:tcPr>
            <w:tcW w:w="1330" w:type="dxa"/>
            <w:tcMar>
              <w:top w:w="16" w:type="dxa"/>
              <w:left w:w="16" w:type="dxa"/>
              <w:right w:w="16" w:type="dxa"/>
            </w:tcMar>
            <w:vAlign w:val="center"/>
          </w:tcPr>
          <w:p w14:paraId="3AF479F1">
            <w:pPr>
              <w:spacing w:beforeLines="50" w:line="360" w:lineRule="auto"/>
              <w:jc w:val="center"/>
              <w:rPr>
                <w:rFonts w:hint="default" w:ascii="Times New Roman" w:hAnsi="Times New Roman" w:cs="Times New Roman"/>
                <w:color w:val="auto"/>
                <w:sz w:val="24"/>
                <w:szCs w:val="24"/>
                <w:highlight w:val="none"/>
              </w:rPr>
            </w:pPr>
            <w:r>
              <w:rPr>
                <w:rFonts w:hint="default" w:ascii="Times New Roman" w:hAnsi="Times New Roman" w:eastAsia="宋体" w:cs="Times New Roman"/>
                <w:color w:val="auto"/>
                <w:sz w:val="24"/>
                <w:szCs w:val="24"/>
                <w:highlight w:val="none"/>
              </w:rPr>
              <w:t>规划情况</w:t>
            </w:r>
          </w:p>
        </w:tc>
        <w:tc>
          <w:tcPr>
            <w:tcW w:w="7569" w:type="dxa"/>
            <w:gridSpan w:val="4"/>
            <w:tcMar>
              <w:top w:w="17" w:type="dxa"/>
              <w:left w:w="74" w:type="dxa"/>
              <w:right w:w="74" w:type="dxa"/>
            </w:tcMar>
            <w:vAlign w:val="center"/>
          </w:tcPr>
          <w:p w14:paraId="07DA4983">
            <w:pPr>
              <w:spacing w:beforeLines="50" w:line="360" w:lineRule="auto"/>
              <w:jc w:val="center"/>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《农村水电增效扩容改造规划》</w:t>
            </w:r>
            <w:r>
              <w:rPr>
                <w:rFonts w:hint="eastAsia" w:ascii="Times New Roman" w:hAnsi="Times New Roman" w:eastAsia="宋体" w:cs="Times New Roman"/>
                <w:color w:val="auto"/>
                <w:sz w:val="24"/>
                <w:szCs w:val="24"/>
                <w:highlight w:val="none"/>
                <w:lang w:val="en-US" w:eastAsia="zh-CN"/>
              </w:rPr>
              <w:t>（2011年，中华人民共和国水利部）</w:t>
            </w:r>
          </w:p>
        </w:tc>
      </w:tr>
      <w:tr w14:paraId="288A669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07" w:hRule="atLeast"/>
        </w:trPr>
        <w:tc>
          <w:tcPr>
            <w:tcW w:w="1330" w:type="dxa"/>
            <w:tcMar>
              <w:top w:w="16" w:type="dxa"/>
              <w:left w:w="16" w:type="dxa"/>
              <w:right w:w="16" w:type="dxa"/>
            </w:tcMar>
            <w:vAlign w:val="center"/>
          </w:tcPr>
          <w:p w14:paraId="68796EBA">
            <w:pPr>
              <w:autoSpaceDE w:val="0"/>
              <w:autoSpaceDN w:val="0"/>
              <w:adjustRightInd w:val="0"/>
              <w:snapToGrid w:val="0"/>
              <w:jc w:val="center"/>
              <w:rPr>
                <w:rFonts w:hint="default" w:ascii="Times New Roman" w:hAnsi="Times New Roman" w:cs="Times New Roman" w:eastAsiaTheme="minorEastAsia"/>
                <w:color w:val="auto"/>
                <w:kern w:val="0"/>
                <w:sz w:val="24"/>
                <w:szCs w:val="24"/>
                <w:highlight w:val="none"/>
              </w:rPr>
            </w:pPr>
            <w:r>
              <w:rPr>
                <w:rFonts w:hint="default" w:ascii="Times New Roman" w:hAnsi="Times New Roman" w:cs="Times New Roman" w:eastAsiaTheme="minorEastAsia"/>
                <w:color w:val="auto"/>
                <w:sz w:val="24"/>
                <w:szCs w:val="24"/>
                <w:highlight w:val="none"/>
              </w:rPr>
              <w:t>规划环境影响评价情况</w:t>
            </w:r>
          </w:p>
        </w:tc>
        <w:tc>
          <w:tcPr>
            <w:tcW w:w="7569" w:type="dxa"/>
            <w:gridSpan w:val="4"/>
            <w:tcMar>
              <w:top w:w="16" w:type="dxa"/>
              <w:left w:w="16" w:type="dxa"/>
              <w:right w:w="16" w:type="dxa"/>
            </w:tcMar>
            <w:vAlign w:val="center"/>
          </w:tcPr>
          <w:p w14:paraId="7A41626D">
            <w:pPr>
              <w:keepNext w:val="0"/>
              <w:keepLines w:val="0"/>
              <w:pageBreakBefore w:val="0"/>
              <w:widowControl w:val="0"/>
              <w:kinsoku/>
              <w:wordWrap/>
              <w:overflowPunct/>
              <w:topLinePunct w:val="0"/>
              <w:autoSpaceDE w:val="0"/>
              <w:autoSpaceDN w:val="0"/>
              <w:bidi w:val="0"/>
              <w:adjustRightInd w:val="0"/>
              <w:snapToGrid w:val="0"/>
              <w:spacing w:before="157" w:beforeLines="50" w:line="360" w:lineRule="auto"/>
              <w:ind w:firstLine="480" w:firstLineChars="200"/>
              <w:textAlignment w:val="auto"/>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无</w:t>
            </w:r>
          </w:p>
        </w:tc>
      </w:tr>
      <w:tr w14:paraId="260465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199" w:hRule="atLeast"/>
        </w:trPr>
        <w:tc>
          <w:tcPr>
            <w:tcW w:w="1330" w:type="dxa"/>
            <w:tcMar>
              <w:top w:w="16" w:type="dxa"/>
              <w:left w:w="16" w:type="dxa"/>
              <w:right w:w="16" w:type="dxa"/>
            </w:tcMar>
            <w:vAlign w:val="center"/>
          </w:tcPr>
          <w:p w14:paraId="63DC0308">
            <w:pPr>
              <w:autoSpaceDE w:val="0"/>
              <w:autoSpaceDN w:val="0"/>
              <w:adjustRightInd w:val="0"/>
              <w:snapToGrid w:val="0"/>
              <w:jc w:val="center"/>
              <w:rPr>
                <w:rFonts w:hint="default" w:ascii="Times New Roman" w:hAnsi="Times New Roman" w:cs="Times New Roman" w:eastAsiaTheme="minorEastAsia"/>
                <w:color w:val="auto"/>
                <w:kern w:val="0"/>
                <w:sz w:val="24"/>
                <w:szCs w:val="24"/>
                <w:highlight w:val="none"/>
              </w:rPr>
            </w:pPr>
            <w:r>
              <w:rPr>
                <w:rFonts w:hint="default" w:ascii="Times New Roman" w:hAnsi="Times New Roman" w:cs="Times New Roman" w:eastAsiaTheme="minorEastAsia"/>
                <w:color w:val="auto"/>
                <w:kern w:val="0"/>
                <w:sz w:val="24"/>
                <w:szCs w:val="24"/>
                <w:highlight w:val="none"/>
              </w:rPr>
              <w:t>规划及</w:t>
            </w:r>
            <w:r>
              <w:rPr>
                <w:rFonts w:hint="default" w:ascii="Times New Roman" w:hAnsi="Times New Roman" w:cs="Times New Roman" w:eastAsiaTheme="minorEastAsia"/>
                <w:color w:val="auto"/>
                <w:sz w:val="24"/>
                <w:szCs w:val="24"/>
                <w:highlight w:val="none"/>
              </w:rPr>
              <w:t>规划环境影响评价</w:t>
            </w:r>
            <w:r>
              <w:rPr>
                <w:rFonts w:hint="default" w:ascii="Times New Roman" w:hAnsi="Times New Roman" w:cs="Times New Roman" w:eastAsiaTheme="minorEastAsia"/>
                <w:color w:val="auto"/>
                <w:kern w:val="0"/>
                <w:sz w:val="24"/>
                <w:szCs w:val="24"/>
                <w:highlight w:val="none"/>
              </w:rPr>
              <w:t>符合性分析</w:t>
            </w:r>
          </w:p>
        </w:tc>
        <w:tc>
          <w:tcPr>
            <w:tcW w:w="7569" w:type="dxa"/>
            <w:gridSpan w:val="4"/>
            <w:tcMar>
              <w:top w:w="16" w:type="dxa"/>
              <w:left w:w="16" w:type="dxa"/>
              <w:right w:w="16" w:type="dxa"/>
            </w:tcMar>
            <w:vAlign w:val="center"/>
          </w:tcPr>
          <w:p w14:paraId="5A0679DB">
            <w:pPr>
              <w:spacing w:before="120" w:beforeLines="50" w:line="360" w:lineRule="auto"/>
              <w:ind w:firstLine="480" w:firstLineChars="200"/>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cs="Times New Roman"/>
                <w:color w:val="auto"/>
                <w:kern w:val="0"/>
                <w:sz w:val="24"/>
                <w:szCs w:val="24"/>
                <w:highlight w:val="none"/>
                <w:lang w:val="en-US" w:eastAsia="zh-CN"/>
              </w:rPr>
              <w:t>2011年，</w:t>
            </w:r>
            <w:r>
              <w:rPr>
                <w:rFonts w:hint="default" w:ascii="Times New Roman" w:hAnsi="Times New Roman" w:eastAsia="宋体" w:cs="Times New Roman"/>
                <w:color w:val="auto"/>
                <w:kern w:val="0"/>
                <w:sz w:val="24"/>
                <w:szCs w:val="24"/>
                <w:highlight w:val="none"/>
                <w:lang w:val="en-US" w:eastAsia="zh-CN"/>
              </w:rPr>
              <w:t>黑龙江省有42座农村水电站被列入国家《农村水电增效扩容改造规划》，</w:t>
            </w:r>
            <w:r>
              <w:rPr>
                <w:rFonts w:hint="eastAsia"/>
                <w:color w:val="auto"/>
                <w:kern w:val="0"/>
                <w:sz w:val="24"/>
                <w:szCs w:val="24"/>
              </w:rPr>
              <w:t>青年水库是一座集灌溉、防洪、发电、养鱼等综合作用的大（Ⅱ）型水库工程。青年水库和下游堤防共同承担下游农田和虎密铁路桥、公路桥的防洪任务，为青年灌区灌溉供水，并结合灌溉供水发电。</w:t>
            </w:r>
            <w:r>
              <w:rPr>
                <w:rFonts w:hint="eastAsia" w:ascii="Times New Roman" w:hAnsi="Times New Roman" w:cs="Times New Roman"/>
                <w:color w:val="auto"/>
                <w:sz w:val="24"/>
                <w:szCs w:val="24"/>
                <w:highlight w:val="none"/>
                <w:lang w:val="en-US" w:eastAsia="zh-CN"/>
              </w:rPr>
              <w:t>本次</w:t>
            </w:r>
            <w:r>
              <w:rPr>
                <w:rFonts w:hint="default" w:ascii="Times New Roman" w:hAnsi="Times New Roman" w:cs="Times New Roman"/>
                <w:color w:val="auto"/>
                <w:sz w:val="24"/>
                <w:szCs w:val="24"/>
                <w:highlight w:val="none"/>
                <w:lang w:val="en-US" w:eastAsia="zh-CN"/>
              </w:rPr>
              <w:t>增效扩容改造后总装机容量</w:t>
            </w:r>
            <w:r>
              <w:rPr>
                <w:rFonts w:hint="eastAsia" w:cs="Times New Roman"/>
                <w:color w:val="auto"/>
                <w:sz w:val="24"/>
                <w:szCs w:val="24"/>
                <w:highlight w:val="none"/>
                <w:lang w:val="en-US" w:eastAsia="zh-CN"/>
              </w:rPr>
              <w:t>增加80kW</w:t>
            </w:r>
            <w:r>
              <w:rPr>
                <w:rFonts w:hint="default" w:ascii="Times New Roman" w:hAnsi="Times New Roman" w:cs="Times New Roman"/>
                <w:color w:val="auto"/>
                <w:sz w:val="24"/>
                <w:szCs w:val="24"/>
                <w:highlight w:val="none"/>
                <w:lang w:val="en-US" w:eastAsia="zh-CN"/>
              </w:rPr>
              <w:t>，多</w:t>
            </w:r>
            <w:r>
              <w:rPr>
                <w:rFonts w:hint="default" w:ascii="Times New Roman" w:hAnsi="Times New Roman" w:eastAsia="宋体" w:cs="Times New Roman"/>
                <w:color w:val="auto"/>
                <w:sz w:val="24"/>
                <w:szCs w:val="24"/>
                <w:highlight w:val="none"/>
              </w:rPr>
              <w:t>年平均发电量</w:t>
            </w:r>
            <w:r>
              <w:rPr>
                <w:rFonts w:hint="eastAsia" w:ascii="Times New Roman" w:hAnsi="Times New Roman" w:eastAsia="宋体" w:cs="Times New Roman"/>
                <w:color w:val="auto"/>
                <w:sz w:val="24"/>
                <w:szCs w:val="24"/>
                <w:highlight w:val="none"/>
                <w:lang w:val="en-US" w:eastAsia="zh-CN"/>
              </w:rPr>
              <w:t>提升至</w:t>
            </w:r>
            <w:r>
              <w:rPr>
                <w:rFonts w:hint="eastAsia" w:cs="Times New Roman"/>
                <w:color w:val="auto"/>
                <w:sz w:val="24"/>
                <w:szCs w:val="24"/>
                <w:highlight w:val="none"/>
                <w:lang w:val="en-US" w:eastAsia="zh-CN"/>
              </w:rPr>
              <w:t>101.62</w:t>
            </w:r>
            <w:r>
              <w:rPr>
                <w:rFonts w:hint="default" w:ascii="Times New Roman" w:hAnsi="Times New Roman" w:eastAsia="宋体" w:cs="Times New Roman"/>
                <w:color w:val="auto"/>
                <w:sz w:val="24"/>
                <w:szCs w:val="24"/>
                <w:highlight w:val="none"/>
              </w:rPr>
              <w:t>×10</w:t>
            </w:r>
            <w:r>
              <w:rPr>
                <w:rFonts w:hint="default" w:ascii="Times New Roman" w:hAnsi="Times New Roman" w:eastAsia="宋体" w:cs="Times New Roman"/>
                <w:color w:val="auto"/>
                <w:sz w:val="24"/>
                <w:szCs w:val="24"/>
                <w:highlight w:val="none"/>
                <w:vertAlign w:val="superscript"/>
              </w:rPr>
              <w:t>4</w:t>
            </w:r>
            <w:r>
              <w:rPr>
                <w:rFonts w:hint="eastAsia" w:cs="Times New Roman"/>
                <w:color w:val="auto"/>
                <w:sz w:val="24"/>
                <w:szCs w:val="24"/>
                <w:highlight w:val="none"/>
                <w:lang w:eastAsia="zh-CN"/>
              </w:rPr>
              <w:t>kW</w:t>
            </w:r>
            <w:r>
              <w:rPr>
                <w:rFonts w:hint="default" w:ascii="Times New Roman" w:hAnsi="Times New Roman" w:cs="Times New Roman"/>
                <w:color w:val="auto"/>
                <w:sz w:val="24"/>
                <w:szCs w:val="24"/>
                <w:highlight w:val="none"/>
                <w:lang w:eastAsia="zh-CN"/>
              </w:rPr>
              <w:t>·h</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增加年发电量</w:t>
            </w:r>
            <w:r>
              <w:rPr>
                <w:rFonts w:hint="eastAsia" w:cs="Times New Roman"/>
                <w:color w:val="auto"/>
                <w:sz w:val="24"/>
                <w:szCs w:val="24"/>
                <w:highlight w:val="none"/>
                <w:lang w:val="en-US" w:eastAsia="zh-CN"/>
              </w:rPr>
              <w:t>56.62</w:t>
            </w:r>
            <w:r>
              <w:rPr>
                <w:rFonts w:hint="default" w:ascii="Times New Roman" w:hAnsi="Times New Roman" w:eastAsia="宋体" w:cs="Times New Roman"/>
                <w:color w:val="auto"/>
                <w:sz w:val="24"/>
                <w:szCs w:val="24"/>
                <w:highlight w:val="none"/>
              </w:rPr>
              <w:t>×10</w:t>
            </w:r>
            <w:r>
              <w:rPr>
                <w:rFonts w:hint="default" w:ascii="Times New Roman" w:hAnsi="Times New Roman" w:eastAsia="宋体" w:cs="Times New Roman"/>
                <w:color w:val="auto"/>
                <w:sz w:val="24"/>
                <w:szCs w:val="24"/>
                <w:highlight w:val="none"/>
                <w:vertAlign w:val="superscript"/>
              </w:rPr>
              <w:t>4</w:t>
            </w:r>
            <w:r>
              <w:rPr>
                <w:rFonts w:hint="eastAsia" w:cs="Times New Roman"/>
                <w:color w:val="auto"/>
                <w:sz w:val="24"/>
                <w:szCs w:val="24"/>
                <w:highlight w:val="none"/>
                <w:lang w:eastAsia="zh-CN"/>
              </w:rPr>
              <w:t>kW</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h</w:t>
            </w:r>
            <w:r>
              <w:rPr>
                <w:rFonts w:hint="eastAsia" w:ascii="Times New Roman" w:hAnsi="Times New Roman" w:eastAsia="宋体" w:cs="Times New Roman"/>
                <w:color w:val="auto"/>
                <w:sz w:val="24"/>
                <w:szCs w:val="24"/>
                <w:highlight w:val="none"/>
                <w:lang w:eastAsia="zh-CN"/>
              </w:rPr>
              <w:t>，</w:t>
            </w:r>
            <w:r>
              <w:rPr>
                <w:rFonts w:hint="eastAsia" w:cs="Times New Roman"/>
                <w:color w:val="auto"/>
                <w:kern w:val="0"/>
                <w:sz w:val="24"/>
                <w:szCs w:val="24"/>
                <w:highlight w:val="none"/>
                <w:lang w:val="en-US" w:eastAsia="zh-CN"/>
              </w:rPr>
              <w:t>青年</w:t>
            </w:r>
            <w:r>
              <w:rPr>
                <w:rFonts w:hint="default" w:ascii="Times New Roman" w:hAnsi="Times New Roman" w:cs="Times New Roman"/>
                <w:color w:val="auto"/>
                <w:kern w:val="0"/>
                <w:sz w:val="24"/>
                <w:szCs w:val="24"/>
                <w:highlight w:val="none"/>
                <w:lang w:val="en-US" w:eastAsia="zh-CN"/>
              </w:rPr>
              <w:t>水库电站为其中之一。</w:t>
            </w:r>
          </w:p>
        </w:tc>
      </w:tr>
      <w:tr w14:paraId="1EDA84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89" w:hRule="atLeast"/>
        </w:trPr>
        <w:tc>
          <w:tcPr>
            <w:tcW w:w="1330" w:type="dxa"/>
            <w:tcMar>
              <w:top w:w="16" w:type="dxa"/>
              <w:left w:w="16" w:type="dxa"/>
              <w:right w:w="16" w:type="dxa"/>
            </w:tcMar>
            <w:vAlign w:val="center"/>
          </w:tcPr>
          <w:p w14:paraId="5324375A">
            <w:pPr>
              <w:autoSpaceDE w:val="0"/>
              <w:autoSpaceDN w:val="0"/>
              <w:adjustRightInd w:val="0"/>
              <w:snapToGrid w:val="0"/>
              <w:jc w:val="center"/>
              <w:rPr>
                <w:rFonts w:hint="default" w:ascii="Times New Roman" w:hAnsi="Times New Roman" w:cs="Times New Roman" w:eastAsiaTheme="minorEastAsia"/>
                <w:color w:val="auto"/>
                <w:kern w:val="0"/>
                <w:sz w:val="24"/>
                <w:szCs w:val="24"/>
                <w:highlight w:val="none"/>
              </w:rPr>
            </w:pPr>
            <w:bookmarkStart w:id="2" w:name="_Hlk56690880"/>
            <w:r>
              <w:rPr>
                <w:rFonts w:hint="default" w:ascii="Times New Roman" w:hAnsi="Times New Roman" w:cs="Times New Roman" w:eastAsiaTheme="minorEastAsia"/>
                <w:color w:val="auto"/>
                <w:kern w:val="0"/>
                <w:sz w:val="24"/>
                <w:szCs w:val="24"/>
                <w:highlight w:val="none"/>
              </w:rPr>
              <w:t>其他符合性分析</w:t>
            </w:r>
          </w:p>
        </w:tc>
        <w:tc>
          <w:tcPr>
            <w:tcW w:w="7569" w:type="dxa"/>
            <w:gridSpan w:val="4"/>
            <w:tcMar>
              <w:top w:w="16" w:type="dxa"/>
              <w:left w:w="16" w:type="dxa"/>
              <w:right w:w="16" w:type="dxa"/>
            </w:tcMar>
            <w:vAlign w:val="center"/>
          </w:tcPr>
          <w:p w14:paraId="3E3C18D3">
            <w:pPr>
              <w:keepNext w:val="0"/>
              <w:keepLines w:val="0"/>
              <w:pageBreakBefore w:val="0"/>
              <w:widowControl w:val="0"/>
              <w:kinsoku/>
              <w:wordWrap/>
              <w:overflowPunct/>
              <w:topLinePunct w:val="0"/>
              <w:autoSpaceDE/>
              <w:autoSpaceDN/>
              <w:bidi w:val="0"/>
              <w:adjustRightInd/>
              <w:snapToGrid/>
              <w:spacing w:before="157" w:beforeLines="50" w:line="360" w:lineRule="auto"/>
              <w:ind w:firstLine="482" w:firstLineChars="200"/>
              <w:textAlignment w:val="auto"/>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lang w:val="en-US" w:eastAsia="zh-CN"/>
              </w:rPr>
              <w:t>1.</w:t>
            </w:r>
            <w:r>
              <w:rPr>
                <w:rFonts w:hint="default" w:ascii="Times New Roman" w:hAnsi="Times New Roman" w:cs="Times New Roman"/>
                <w:b/>
                <w:color w:val="auto"/>
                <w:sz w:val="24"/>
                <w:szCs w:val="24"/>
                <w:highlight w:val="none"/>
              </w:rPr>
              <w:t>产业政策符合性分析</w:t>
            </w:r>
          </w:p>
          <w:p w14:paraId="58CDDD7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本项目为</w:t>
            </w:r>
            <w:r>
              <w:rPr>
                <w:rFonts w:hint="default" w:ascii="Times New Roman" w:hAnsi="Times New Roman" w:cs="Times New Roman"/>
                <w:bCs/>
                <w:color w:val="auto"/>
                <w:sz w:val="24"/>
                <w:szCs w:val="24"/>
                <w:highlight w:val="none"/>
                <w:lang w:val="en-US" w:eastAsia="zh-CN"/>
              </w:rPr>
              <w:t>坝后</w:t>
            </w:r>
            <w:r>
              <w:rPr>
                <w:rFonts w:hint="default" w:ascii="Times New Roman" w:hAnsi="Times New Roman" w:cs="Times New Roman"/>
                <w:bCs/>
                <w:color w:val="auto"/>
                <w:sz w:val="24"/>
                <w:szCs w:val="24"/>
                <w:highlight w:val="none"/>
              </w:rPr>
              <w:t>式水力发电项目，装机容量</w:t>
            </w:r>
            <w:r>
              <w:rPr>
                <w:rFonts w:hint="eastAsia" w:cs="Times New Roman"/>
                <w:bCs/>
                <w:color w:val="auto"/>
                <w:sz w:val="24"/>
                <w:szCs w:val="24"/>
                <w:highlight w:val="none"/>
                <w:lang w:val="en-US" w:eastAsia="zh-CN"/>
              </w:rPr>
              <w:t>72</w:t>
            </w:r>
            <w:r>
              <w:rPr>
                <w:rFonts w:hint="default" w:ascii="Times New Roman" w:hAnsi="Times New Roman" w:cs="Times New Roman"/>
                <w:bCs/>
                <w:color w:val="auto"/>
                <w:sz w:val="24"/>
                <w:szCs w:val="24"/>
                <w:highlight w:val="none"/>
                <w:lang w:val="en-US" w:eastAsia="zh-CN"/>
              </w:rPr>
              <w:t>0</w:t>
            </w:r>
            <w:r>
              <w:rPr>
                <w:rFonts w:hint="eastAsia" w:cs="Times New Roman"/>
                <w:bCs/>
                <w:color w:val="auto"/>
                <w:sz w:val="24"/>
                <w:szCs w:val="24"/>
                <w:highlight w:val="none"/>
                <w:lang w:val="en-US" w:eastAsia="zh-CN"/>
              </w:rPr>
              <w:t>kW</w:t>
            </w:r>
            <w:r>
              <w:rPr>
                <w:rFonts w:hint="default" w:ascii="Times New Roman" w:hAnsi="Times New Roman" w:cs="Times New Roman"/>
                <w:bCs/>
                <w:color w:val="auto"/>
                <w:sz w:val="24"/>
                <w:szCs w:val="24"/>
                <w:highlight w:val="none"/>
              </w:rPr>
              <w:t>，多年平均发电量达到</w:t>
            </w:r>
            <w:r>
              <w:rPr>
                <w:rFonts w:hint="eastAsia" w:cs="Times New Roman"/>
                <w:color w:val="auto"/>
                <w:sz w:val="24"/>
                <w:szCs w:val="24"/>
                <w:highlight w:val="none"/>
                <w:lang w:val="en-US" w:eastAsia="zh-CN"/>
              </w:rPr>
              <w:t>45</w:t>
            </w:r>
            <w:r>
              <w:rPr>
                <w:rFonts w:hint="default" w:ascii="Times New Roman" w:hAnsi="Times New Roman" w:eastAsia="宋体" w:cs="Times New Roman"/>
                <w:color w:val="auto"/>
                <w:sz w:val="24"/>
                <w:szCs w:val="24"/>
                <w:highlight w:val="none"/>
              </w:rPr>
              <w:t>×10</w:t>
            </w:r>
            <w:r>
              <w:rPr>
                <w:rFonts w:hint="default" w:ascii="Times New Roman" w:hAnsi="Times New Roman" w:eastAsia="宋体" w:cs="Times New Roman"/>
                <w:color w:val="auto"/>
                <w:sz w:val="24"/>
                <w:szCs w:val="24"/>
                <w:highlight w:val="none"/>
                <w:vertAlign w:val="superscript"/>
              </w:rPr>
              <w:t>4</w:t>
            </w:r>
            <w:r>
              <w:rPr>
                <w:rFonts w:hint="eastAsia" w:cs="Times New Roman"/>
                <w:color w:val="auto"/>
                <w:sz w:val="24"/>
                <w:szCs w:val="24"/>
                <w:highlight w:val="none"/>
                <w:lang w:eastAsia="zh-CN"/>
              </w:rPr>
              <w:t>kW</w:t>
            </w:r>
            <w:r>
              <w:rPr>
                <w:rFonts w:hint="default" w:ascii="Times New Roman" w:hAnsi="Times New Roman" w:cs="Times New Roman"/>
                <w:color w:val="auto"/>
                <w:sz w:val="24"/>
                <w:szCs w:val="24"/>
                <w:highlight w:val="none"/>
                <w:lang w:eastAsia="zh-CN"/>
              </w:rPr>
              <w:t>·h</w:t>
            </w:r>
            <w:r>
              <w:rPr>
                <w:rFonts w:hint="default" w:ascii="Times New Roman" w:hAnsi="Times New Roman" w:cs="Times New Roman"/>
                <w:bCs/>
                <w:color w:val="auto"/>
                <w:sz w:val="24"/>
                <w:szCs w:val="24"/>
                <w:highlight w:val="none"/>
              </w:rPr>
              <w:t>，</w:t>
            </w:r>
            <w:r>
              <w:rPr>
                <w:rFonts w:hint="default" w:ascii="Times New Roman" w:hAnsi="Times New Roman" w:cs="Times New Roman"/>
                <w:bCs/>
                <w:color w:val="auto"/>
                <w:sz w:val="24"/>
                <w:szCs w:val="24"/>
                <w:highlight w:val="none"/>
                <w:lang w:val="en-US" w:eastAsia="zh-CN"/>
              </w:rPr>
              <w:t>水库输水洞</w:t>
            </w:r>
            <w:r>
              <w:rPr>
                <w:rFonts w:hint="default" w:ascii="Times New Roman" w:hAnsi="Times New Roman" w:cs="Times New Roman"/>
                <w:bCs/>
                <w:color w:val="auto"/>
                <w:sz w:val="24"/>
                <w:szCs w:val="24"/>
                <w:highlight w:val="none"/>
              </w:rPr>
              <w:t>可用于生态放流，且坝址下泄生态流量已核定。因此，本项目不属于《产业结构调整指导目录（2024年本）》中 “无下泄生态流量的引水式水力发电”限制类项目。</w:t>
            </w:r>
          </w:p>
          <w:p w14:paraId="1709CB6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根据《产业结构调整指导目录（2024年本）》，本项目不属于“限制类”和“淘汰类”，视为“允许类”。因此，本工程建设符合国家产业政策要求。</w:t>
            </w:r>
          </w:p>
          <w:p w14:paraId="6B8003A5">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Cs/>
                <w:color w:val="auto"/>
                <w:sz w:val="24"/>
                <w:szCs w:val="24"/>
                <w:highlight w:val="none"/>
                <w:lang w:eastAsia="zh-CN"/>
              </w:rPr>
            </w:pPr>
            <w:r>
              <w:rPr>
                <w:rFonts w:hint="default" w:ascii="Times New Roman" w:hAnsi="Times New Roman" w:cs="Times New Roman"/>
                <w:b/>
                <w:color w:val="auto"/>
                <w:sz w:val="24"/>
                <w:szCs w:val="24"/>
                <w:highlight w:val="none"/>
                <w:lang w:val="en-US" w:eastAsia="zh-CN"/>
              </w:rPr>
              <w:t>2.生态环境分区管控</w:t>
            </w:r>
            <w:r>
              <w:rPr>
                <w:rFonts w:hint="default" w:ascii="Times New Roman" w:hAnsi="Times New Roman" w:cs="Times New Roman"/>
                <w:b/>
                <w:color w:val="auto"/>
                <w:sz w:val="24"/>
                <w:szCs w:val="24"/>
                <w:highlight w:val="none"/>
              </w:rPr>
              <w:t>符合性分析</w:t>
            </w:r>
          </w:p>
          <w:p w14:paraId="699F3E2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bCs/>
                <w:color w:val="auto"/>
                <w:sz w:val="24"/>
                <w:szCs w:val="24"/>
                <w:highlight w:val="none"/>
                <w:lang w:val="en-US" w:eastAsia="zh-CN"/>
              </w:rPr>
            </w:pPr>
            <w:r>
              <w:rPr>
                <w:rFonts w:hint="eastAsia" w:ascii="Times New Roman" w:hAnsi="Times New Roman" w:eastAsia="宋体" w:cs="Times New Roman"/>
                <w:bCs/>
                <w:color w:val="auto"/>
                <w:sz w:val="24"/>
                <w:szCs w:val="24"/>
                <w:highlight w:val="none"/>
                <w:lang w:val="en-US" w:eastAsia="zh-CN"/>
              </w:rPr>
              <w:t>（1）“一图”</w:t>
            </w:r>
          </w:p>
          <w:p w14:paraId="592762B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bCs/>
                <w:color w:val="auto"/>
                <w:sz w:val="24"/>
                <w:szCs w:val="24"/>
                <w:highlight w:val="none"/>
                <w:lang w:val="en-US" w:eastAsia="zh-CN"/>
              </w:rPr>
            </w:pPr>
            <w:r>
              <w:rPr>
                <w:rFonts w:hint="eastAsia" w:ascii="Times New Roman" w:hAnsi="Times New Roman" w:eastAsia="宋体" w:cs="Times New Roman"/>
                <w:bCs/>
                <w:color w:val="auto"/>
                <w:sz w:val="24"/>
                <w:szCs w:val="24"/>
                <w:highlight w:val="none"/>
                <w:lang w:val="en-US" w:eastAsia="zh-CN"/>
              </w:rPr>
              <w:t>根据黑龙江省生态环境分区管控数据应用平台《生态环境分区管控分析报告》（见附件），本项目与“环境管控单元”的叠加情况如下：</w:t>
            </w:r>
          </w:p>
          <w:p w14:paraId="3E0ACF30">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cs="Times New Roman"/>
                <w:b/>
                <w:bCs/>
                <w:color w:val="auto"/>
                <w:kern w:val="0"/>
                <w:sz w:val="21"/>
                <w:szCs w:val="21"/>
                <w:lang w:val="en-US" w:eastAsia="zh-CN"/>
              </w:rPr>
            </w:pPr>
            <w:r>
              <w:rPr>
                <w:rFonts w:hint="default" w:ascii="Times New Roman" w:hAnsi="Times New Roman" w:cs="Times New Roman"/>
                <w:b/>
                <w:bCs/>
                <w:color w:val="auto"/>
                <w:kern w:val="0"/>
                <w:sz w:val="21"/>
                <w:szCs w:val="21"/>
                <w:lang w:val="en-US" w:eastAsia="zh-CN"/>
              </w:rPr>
              <w:drawing>
                <wp:inline distT="0" distB="0" distL="114300" distR="114300">
                  <wp:extent cx="4780915" cy="2574290"/>
                  <wp:effectExtent l="0" t="0" r="635" b="6985"/>
                  <wp:docPr id="42" name="图片 42" descr="00b4d70c-f97a-4a57-8c73-3e3b7035fd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00b4d70c-f97a-4a57-8c73-3e3b7035fdd3"/>
                          <pic:cNvPicPr>
                            <a:picLocks noChangeAspect="1"/>
                          </pic:cNvPicPr>
                        </pic:nvPicPr>
                        <pic:blipFill>
                          <a:blip r:embed="rId13"/>
                          <a:stretch>
                            <a:fillRect/>
                          </a:stretch>
                        </pic:blipFill>
                        <pic:spPr>
                          <a:xfrm>
                            <a:off x="0" y="0"/>
                            <a:ext cx="4780915" cy="2574290"/>
                          </a:xfrm>
                          <a:prstGeom prst="rect">
                            <a:avLst/>
                          </a:prstGeom>
                        </pic:spPr>
                      </pic:pic>
                    </a:graphicData>
                  </a:graphic>
                </wp:inline>
              </w:drawing>
            </w:r>
          </w:p>
          <w:p w14:paraId="7426A52B">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cs="Times New Roman"/>
                <w:b/>
                <w:bCs/>
                <w:color w:val="auto"/>
                <w:kern w:val="0"/>
                <w:sz w:val="21"/>
                <w:szCs w:val="21"/>
                <w:lang w:val="en-US" w:eastAsia="zh-CN"/>
              </w:rPr>
              <w:t>图1-1 本项目与环境管控单元叠加图</w:t>
            </w:r>
          </w:p>
          <w:p w14:paraId="78E08579">
            <w:pPr>
              <w:spacing w:line="360" w:lineRule="auto"/>
              <w:ind w:firstLine="480" w:firstLineChars="200"/>
              <w:jc w:val="left"/>
              <w:rPr>
                <w:rFonts w:hint="default" w:ascii="Times New Roman" w:hAnsi="Times New Roman" w:eastAsia="宋体" w:cs="Times New Roman"/>
                <w:b w:val="0"/>
                <w:bCs/>
                <w:color w:val="auto"/>
                <w:kern w:val="2"/>
                <w:sz w:val="24"/>
                <w:szCs w:val="24"/>
                <w:highlight w:val="none"/>
                <w:lang w:val="en-US" w:eastAsia="zh-CN" w:bidi="ar-SA"/>
              </w:rPr>
            </w:pPr>
            <w:r>
              <w:rPr>
                <w:rFonts w:hint="default" w:ascii="Times New Roman" w:hAnsi="Times New Roman" w:cs="Times New Roman"/>
                <w:b w:val="0"/>
                <w:bCs/>
                <w:color w:val="auto"/>
                <w:kern w:val="2"/>
                <w:sz w:val="24"/>
                <w:szCs w:val="24"/>
                <w:highlight w:val="none"/>
                <w:lang w:val="en-US" w:eastAsia="zh-CN" w:bidi="ar-SA"/>
              </w:rPr>
              <w:t>1）</w:t>
            </w:r>
            <w:r>
              <w:rPr>
                <w:rFonts w:hint="default" w:ascii="Times New Roman" w:hAnsi="Times New Roman" w:eastAsia="宋体" w:cs="Times New Roman"/>
                <w:b w:val="0"/>
                <w:bCs/>
                <w:color w:val="auto"/>
                <w:kern w:val="2"/>
                <w:sz w:val="24"/>
                <w:szCs w:val="24"/>
                <w:highlight w:val="none"/>
                <w:lang w:val="en-US" w:eastAsia="zh-CN" w:bidi="ar-SA"/>
              </w:rPr>
              <w:t>生态保护红线</w:t>
            </w:r>
            <w:r>
              <w:rPr>
                <w:rFonts w:hint="default" w:ascii="Times New Roman" w:hAnsi="Times New Roman" w:cs="Times New Roman"/>
                <w:b w:val="0"/>
                <w:bCs/>
                <w:color w:val="auto"/>
                <w:sz w:val="24"/>
                <w:szCs w:val="24"/>
                <w:highlight w:val="none"/>
              </w:rPr>
              <w:t>符合性分析</w:t>
            </w:r>
          </w:p>
          <w:p w14:paraId="74FDBBFD">
            <w:pPr>
              <w:spacing w:line="360" w:lineRule="auto"/>
              <w:ind w:firstLine="480" w:firstLineChars="200"/>
              <w:jc w:val="left"/>
              <w:rPr>
                <w:rFonts w:hint="default" w:ascii="Times New Roman" w:hAnsi="Times New Roman" w:cs="Times New Roman"/>
                <w:bCs/>
                <w:color w:val="auto"/>
                <w:sz w:val="24"/>
                <w:szCs w:val="24"/>
                <w:highlight w:val="none"/>
                <w:lang w:val="en-US" w:eastAsia="zh-CN"/>
              </w:rPr>
            </w:pPr>
            <w:r>
              <w:rPr>
                <w:color w:val="auto"/>
                <w:kern w:val="0"/>
                <w:sz w:val="24"/>
                <w:szCs w:val="24"/>
              </w:rPr>
              <w:t>本项目位于黑龙江省</w:t>
            </w:r>
            <w:r>
              <w:rPr>
                <w:rFonts w:hint="eastAsia"/>
                <w:color w:val="auto"/>
                <w:kern w:val="0"/>
                <w:sz w:val="24"/>
                <w:szCs w:val="24"/>
              </w:rPr>
              <w:t>鸡西市密山市</w:t>
            </w:r>
            <w:r>
              <w:rPr>
                <w:color w:val="auto"/>
                <w:kern w:val="0"/>
                <w:sz w:val="24"/>
                <w:szCs w:val="24"/>
              </w:rPr>
              <w:t>。根据</w:t>
            </w:r>
            <w:r>
              <w:rPr>
                <w:rFonts w:hint="eastAsia"/>
                <w:color w:val="auto"/>
                <w:kern w:val="0"/>
                <w:sz w:val="24"/>
                <w:szCs w:val="24"/>
              </w:rPr>
              <w:t>《黑龙江省人民政府关于实施“三线一单”生态环境分区管控的意见</w:t>
            </w:r>
            <w:r>
              <w:rPr>
                <w:color w:val="auto"/>
                <w:kern w:val="0"/>
                <w:sz w:val="24"/>
                <w:szCs w:val="24"/>
              </w:rPr>
              <w:t>》（黑政发〔2020〕14号）</w:t>
            </w:r>
            <w:r>
              <w:rPr>
                <w:rFonts w:hint="eastAsia"/>
                <w:color w:val="auto"/>
                <w:kern w:val="0"/>
                <w:sz w:val="24"/>
                <w:szCs w:val="24"/>
              </w:rPr>
              <w:t>和《鸡西市人民政府关于实施“三线一单”生态环境分区管控的意见》（鸡政发〔2021〕7号）</w:t>
            </w:r>
            <w:r>
              <w:rPr>
                <w:color w:val="auto"/>
                <w:kern w:val="0"/>
                <w:sz w:val="24"/>
                <w:szCs w:val="24"/>
              </w:rPr>
              <w:t>，工程</w:t>
            </w:r>
            <w:r>
              <w:rPr>
                <w:rFonts w:hint="eastAsia"/>
                <w:color w:val="auto"/>
                <w:kern w:val="0"/>
                <w:sz w:val="24"/>
                <w:szCs w:val="24"/>
              </w:rPr>
              <w:t>无新增永久占地，主体工程均位于原有工程占地范围内，主体工程及临时工程均</w:t>
            </w:r>
            <w:r>
              <w:rPr>
                <w:color w:val="auto"/>
                <w:kern w:val="0"/>
                <w:sz w:val="24"/>
                <w:szCs w:val="24"/>
              </w:rPr>
              <w:t>不涉及</w:t>
            </w:r>
            <w:r>
              <w:rPr>
                <w:rFonts w:hint="eastAsia"/>
                <w:color w:val="auto"/>
                <w:kern w:val="0"/>
                <w:sz w:val="24"/>
                <w:szCs w:val="24"/>
              </w:rPr>
              <w:t>鸡西</w:t>
            </w:r>
            <w:r>
              <w:rPr>
                <w:color w:val="auto"/>
                <w:kern w:val="0"/>
                <w:sz w:val="24"/>
                <w:szCs w:val="24"/>
              </w:rPr>
              <w:t>市生态保护红线</w:t>
            </w:r>
            <w:r>
              <w:rPr>
                <w:rFonts w:hint="eastAsia"/>
                <w:color w:val="auto"/>
                <w:kern w:val="0"/>
                <w:sz w:val="24"/>
                <w:szCs w:val="24"/>
              </w:rPr>
              <w:t>，因此本工程不涉及鸡西市生态保护红线</w:t>
            </w:r>
            <w:r>
              <w:rPr>
                <w:rFonts w:hint="default" w:ascii="Times New Roman" w:hAnsi="Times New Roman" w:cs="Times New Roman"/>
                <w:bCs/>
                <w:color w:val="auto"/>
                <w:kern w:val="2"/>
                <w:sz w:val="24"/>
                <w:szCs w:val="24"/>
                <w:highlight w:val="none"/>
                <w:lang w:val="en-US" w:eastAsia="zh-CN" w:bidi="ar-SA"/>
              </w:rPr>
              <w:t>。</w:t>
            </w:r>
          </w:p>
          <w:p w14:paraId="2A9445D5">
            <w:pPr>
              <w:spacing w:line="360" w:lineRule="auto"/>
              <w:ind w:firstLine="480" w:firstLineChars="200"/>
              <w:jc w:val="left"/>
              <w:rPr>
                <w:rFonts w:hint="default" w:ascii="Times New Roman" w:hAnsi="Times New Roman" w:eastAsia="宋体" w:cs="Times New Roman"/>
                <w:b/>
                <w:bCs w:val="0"/>
                <w:color w:val="auto"/>
                <w:kern w:val="2"/>
                <w:sz w:val="24"/>
                <w:szCs w:val="24"/>
                <w:highlight w:val="none"/>
                <w:lang w:val="en-US" w:eastAsia="zh-CN" w:bidi="ar-SA"/>
              </w:rPr>
            </w:pPr>
            <w:r>
              <w:rPr>
                <w:rFonts w:hint="default" w:ascii="Times New Roman" w:hAnsi="Times New Roman" w:cs="Times New Roman"/>
                <w:b w:val="0"/>
                <w:bCs/>
                <w:color w:val="auto"/>
                <w:kern w:val="2"/>
                <w:sz w:val="24"/>
                <w:szCs w:val="24"/>
                <w:highlight w:val="none"/>
                <w:lang w:val="en-US" w:eastAsia="zh-CN" w:bidi="ar-SA"/>
              </w:rPr>
              <w:t>2）</w:t>
            </w:r>
            <w:r>
              <w:rPr>
                <w:rFonts w:hint="default" w:ascii="Times New Roman" w:hAnsi="Times New Roman" w:eastAsia="宋体" w:cs="Times New Roman"/>
                <w:b w:val="0"/>
                <w:bCs/>
                <w:color w:val="auto"/>
                <w:kern w:val="2"/>
                <w:sz w:val="24"/>
                <w:szCs w:val="24"/>
                <w:highlight w:val="none"/>
                <w:lang w:val="en-US" w:eastAsia="zh-CN" w:bidi="ar-SA"/>
              </w:rPr>
              <w:t>环境质量底线</w:t>
            </w:r>
          </w:p>
          <w:p w14:paraId="44896D1A">
            <w:pPr>
              <w:spacing w:line="360" w:lineRule="auto"/>
              <w:ind w:firstLine="480" w:firstLineChars="200"/>
              <w:rPr>
                <w:rFonts w:hint="default" w:ascii="Times New Roman" w:hAnsi="Times New Roman" w:cs="Times New Roman"/>
                <w:color w:val="auto"/>
                <w:kern w:val="0"/>
                <w:sz w:val="24"/>
                <w:szCs w:val="24"/>
                <w:highlight w:val="none"/>
                <w:lang w:val="en-US" w:eastAsia="zh-CN"/>
              </w:rPr>
            </w:pPr>
            <w:r>
              <w:rPr>
                <w:color w:val="auto"/>
                <w:kern w:val="0"/>
                <w:sz w:val="24"/>
                <w:szCs w:val="24"/>
              </w:rPr>
              <w:t>根据</w:t>
            </w:r>
            <w:r>
              <w:rPr>
                <w:rFonts w:hint="eastAsia"/>
                <w:color w:val="auto"/>
                <w:kern w:val="0"/>
                <w:sz w:val="24"/>
                <w:szCs w:val="24"/>
              </w:rPr>
              <w:t>《鸡西市人民政府关于实施“三线一单”生态环境分区管控的意见》（鸡政发〔2021〕7号）</w:t>
            </w:r>
            <w:r>
              <w:rPr>
                <w:color w:val="auto"/>
                <w:kern w:val="0"/>
                <w:sz w:val="24"/>
                <w:szCs w:val="24"/>
              </w:rPr>
              <w:t>，2025年及2030年鸡西市水污染物化学需氧量、氨氮削减比例不得低于省政府确定的削减比例；大气污染物二氧化硫、氮氧化物、一次细颗粒物和VOCs削减比例不低于省政府确定的削减比例。</w:t>
            </w:r>
          </w:p>
        </w:tc>
      </w:tr>
      <w:bookmarkEnd w:id="2"/>
      <w:tr w14:paraId="6F9716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3096" w:hRule="atLeast"/>
        </w:trPr>
        <w:tc>
          <w:tcPr>
            <w:tcW w:w="1330" w:type="dxa"/>
            <w:tcMar>
              <w:top w:w="16" w:type="dxa"/>
              <w:left w:w="16" w:type="dxa"/>
              <w:right w:w="16" w:type="dxa"/>
            </w:tcMar>
            <w:vAlign w:val="center"/>
          </w:tcPr>
          <w:p w14:paraId="455A6645">
            <w:pPr>
              <w:autoSpaceDE w:val="0"/>
              <w:autoSpaceDN w:val="0"/>
              <w:adjustRightInd w:val="0"/>
              <w:snapToGrid w:val="0"/>
              <w:jc w:val="center"/>
              <w:rPr>
                <w:rFonts w:hint="default" w:ascii="Times New Roman" w:hAnsi="Times New Roman" w:cs="Times New Roman" w:eastAsiaTheme="minorEastAsia"/>
                <w:color w:val="auto"/>
                <w:kern w:val="0"/>
                <w:szCs w:val="21"/>
                <w:highlight w:val="none"/>
              </w:rPr>
            </w:pPr>
          </w:p>
        </w:tc>
        <w:tc>
          <w:tcPr>
            <w:tcW w:w="7569" w:type="dxa"/>
            <w:gridSpan w:val="4"/>
            <w:tcMar>
              <w:top w:w="17" w:type="dxa"/>
              <w:left w:w="130" w:type="dxa"/>
              <w:right w:w="130" w:type="dxa"/>
            </w:tcMar>
          </w:tcPr>
          <w:p w14:paraId="6C72BBD9">
            <w:pPr>
              <w:spacing w:line="360" w:lineRule="auto"/>
              <w:ind w:firstLine="480" w:firstLineChars="200"/>
              <w:rPr>
                <w:color w:val="auto"/>
                <w:kern w:val="0"/>
                <w:sz w:val="24"/>
                <w:szCs w:val="24"/>
              </w:rPr>
            </w:pPr>
            <w:r>
              <w:rPr>
                <w:color w:val="auto"/>
                <w:kern w:val="0"/>
                <w:sz w:val="24"/>
                <w:szCs w:val="24"/>
              </w:rPr>
              <w:t>大气环境</w:t>
            </w:r>
            <w:r>
              <w:rPr>
                <w:rFonts w:hint="eastAsia"/>
                <w:color w:val="auto"/>
                <w:kern w:val="0"/>
                <w:sz w:val="24"/>
                <w:szCs w:val="24"/>
                <w:lang w:eastAsia="zh-CN"/>
              </w:rPr>
              <w:t>：</w:t>
            </w:r>
            <w:r>
              <w:rPr>
                <w:color w:val="auto"/>
                <w:kern w:val="0"/>
                <w:sz w:val="24"/>
                <w:szCs w:val="24"/>
              </w:rPr>
              <w:t>工程涉及</w:t>
            </w:r>
            <w:r>
              <w:rPr>
                <w:rFonts w:hint="eastAsia"/>
                <w:color w:val="auto"/>
                <w:kern w:val="0"/>
                <w:sz w:val="24"/>
                <w:szCs w:val="24"/>
              </w:rPr>
              <w:t>鸡西市</w:t>
            </w:r>
            <w:r>
              <w:rPr>
                <w:color w:val="auto"/>
                <w:kern w:val="0"/>
                <w:sz w:val="24"/>
                <w:szCs w:val="24"/>
              </w:rPr>
              <w:t>大气环境分区中的一般管控区，大气环境分区管控要求符合性分析见表1-1。</w:t>
            </w:r>
          </w:p>
          <w:p w14:paraId="5C06A2F4">
            <w:pPr>
              <w:spacing w:line="360" w:lineRule="auto"/>
              <w:jc w:val="center"/>
              <w:rPr>
                <w:b/>
                <w:bCs/>
                <w:color w:val="auto"/>
                <w:kern w:val="0"/>
                <w:sz w:val="24"/>
                <w:szCs w:val="24"/>
              </w:rPr>
            </w:pPr>
            <w:r>
              <w:rPr>
                <w:b/>
                <w:bCs/>
                <w:color w:val="auto"/>
                <w:kern w:val="0"/>
                <w:sz w:val="24"/>
                <w:szCs w:val="24"/>
              </w:rPr>
              <w:t>表1-1  工程与</w:t>
            </w:r>
            <w:r>
              <w:rPr>
                <w:rFonts w:hint="eastAsia"/>
                <w:b/>
                <w:bCs/>
                <w:color w:val="auto"/>
                <w:kern w:val="0"/>
                <w:sz w:val="24"/>
                <w:szCs w:val="24"/>
              </w:rPr>
              <w:t>鸡西市</w:t>
            </w:r>
            <w:r>
              <w:rPr>
                <w:b/>
                <w:bCs/>
                <w:color w:val="auto"/>
                <w:kern w:val="0"/>
                <w:sz w:val="24"/>
                <w:szCs w:val="24"/>
              </w:rPr>
              <w:t>大气环境分区管控要求符合性分析</w:t>
            </w:r>
          </w:p>
          <w:tbl>
            <w:tblPr>
              <w:tblStyle w:val="24"/>
              <w:tblW w:w="489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06"/>
              <w:gridCol w:w="1063"/>
              <w:gridCol w:w="4020"/>
              <w:gridCol w:w="1459"/>
            </w:tblGrid>
            <w:tr w14:paraId="01ECE9B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blHeader/>
                <w:jc w:val="center"/>
              </w:trPr>
              <w:tc>
                <w:tcPr>
                  <w:tcW w:w="424" w:type="pct"/>
                  <w:vMerge w:val="restart"/>
                  <w:tcBorders>
                    <w:left w:val="single" w:color="auto" w:sz="0" w:space="0"/>
                  </w:tcBorders>
                  <w:noWrap w:val="0"/>
                  <w:tcMar>
                    <w:left w:w="0" w:type="dxa"/>
                    <w:right w:w="0" w:type="dxa"/>
                  </w:tcMar>
                  <w:vAlign w:val="center"/>
                </w:tcPr>
                <w:p w14:paraId="42518171">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环境要素分区管控</w:t>
                  </w:r>
                </w:p>
              </w:tc>
              <w:tc>
                <w:tcPr>
                  <w:tcW w:w="744" w:type="pct"/>
                  <w:noWrap w:val="0"/>
                  <w:tcMar>
                    <w:left w:w="0" w:type="dxa"/>
                    <w:right w:w="0" w:type="dxa"/>
                  </w:tcMar>
                  <w:vAlign w:val="center"/>
                </w:tcPr>
                <w:p w14:paraId="22460A5D">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管控区</w:t>
                  </w:r>
                </w:p>
                <w:p w14:paraId="7357BB7A">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分类</w:t>
                  </w:r>
                </w:p>
              </w:tc>
              <w:tc>
                <w:tcPr>
                  <w:tcW w:w="2811" w:type="pct"/>
                  <w:noWrap w:val="0"/>
                  <w:tcMar>
                    <w:left w:w="0" w:type="dxa"/>
                    <w:right w:w="0" w:type="dxa"/>
                  </w:tcMar>
                  <w:vAlign w:val="center"/>
                </w:tcPr>
                <w:p w14:paraId="6D02EF9C">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一般管控区</w:t>
                  </w:r>
                </w:p>
              </w:tc>
              <w:tc>
                <w:tcPr>
                  <w:tcW w:w="1020" w:type="pct"/>
                  <w:vMerge w:val="restart"/>
                  <w:tcBorders>
                    <w:right w:val="single" w:color="auto" w:sz="4" w:space="0"/>
                  </w:tcBorders>
                  <w:noWrap w:val="0"/>
                  <w:vAlign w:val="center"/>
                </w:tcPr>
                <w:p w14:paraId="3416D38B">
                  <w:pPr>
                    <w:keepNext w:val="0"/>
                    <w:keepLines w:val="0"/>
                    <w:pageBreakBefore w:val="0"/>
                    <w:widowControl/>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符合性分析</w:t>
                  </w:r>
                </w:p>
              </w:tc>
            </w:tr>
            <w:tr w14:paraId="0EF44A1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blHeader/>
                <w:jc w:val="center"/>
              </w:trPr>
              <w:tc>
                <w:tcPr>
                  <w:tcW w:w="424" w:type="pct"/>
                  <w:vMerge w:val="continue"/>
                  <w:tcBorders>
                    <w:left w:val="single" w:color="auto" w:sz="4" w:space="0"/>
                  </w:tcBorders>
                  <w:noWrap w:val="0"/>
                  <w:tcMar>
                    <w:left w:w="0" w:type="dxa"/>
                    <w:right w:w="0" w:type="dxa"/>
                  </w:tcMar>
                  <w:vAlign w:val="center"/>
                </w:tcPr>
                <w:p w14:paraId="03ABB320">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p>
              </w:tc>
              <w:tc>
                <w:tcPr>
                  <w:tcW w:w="744" w:type="pct"/>
                  <w:noWrap w:val="0"/>
                  <w:tcMar>
                    <w:left w:w="0" w:type="dxa"/>
                    <w:right w:w="0" w:type="dxa"/>
                  </w:tcMar>
                  <w:vAlign w:val="center"/>
                </w:tcPr>
                <w:p w14:paraId="44B21F00">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环境要素</w:t>
                  </w:r>
                </w:p>
              </w:tc>
              <w:tc>
                <w:tcPr>
                  <w:tcW w:w="2811" w:type="pct"/>
                  <w:noWrap w:val="0"/>
                  <w:tcMar>
                    <w:left w:w="0" w:type="dxa"/>
                    <w:right w:w="0" w:type="dxa"/>
                  </w:tcMar>
                  <w:vAlign w:val="center"/>
                </w:tcPr>
                <w:p w14:paraId="3942C897">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大气</w:t>
                  </w:r>
                </w:p>
              </w:tc>
              <w:tc>
                <w:tcPr>
                  <w:tcW w:w="1020" w:type="pct"/>
                  <w:vMerge w:val="continue"/>
                  <w:tcBorders>
                    <w:right w:val="single" w:color="auto" w:sz="4" w:space="0"/>
                  </w:tcBorders>
                  <w:noWrap w:val="0"/>
                  <w:vAlign w:val="center"/>
                </w:tcPr>
                <w:p w14:paraId="4218E2B4">
                  <w:pPr>
                    <w:keepNext w:val="0"/>
                    <w:keepLines w:val="0"/>
                    <w:pageBreakBefore w:val="0"/>
                    <w:widowControl/>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rPr>
                  </w:pPr>
                </w:p>
              </w:tc>
            </w:tr>
            <w:tr w14:paraId="7C86F20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blHeader/>
                <w:jc w:val="center"/>
              </w:trPr>
              <w:tc>
                <w:tcPr>
                  <w:tcW w:w="424" w:type="pct"/>
                  <w:vMerge w:val="continue"/>
                  <w:tcBorders>
                    <w:left w:val="single" w:color="auto" w:sz="4" w:space="0"/>
                  </w:tcBorders>
                  <w:noWrap w:val="0"/>
                  <w:tcMar>
                    <w:left w:w="0" w:type="dxa"/>
                    <w:right w:w="0" w:type="dxa"/>
                  </w:tcMar>
                  <w:vAlign w:val="center"/>
                </w:tcPr>
                <w:p w14:paraId="1E44B97D">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p>
              </w:tc>
              <w:tc>
                <w:tcPr>
                  <w:tcW w:w="744" w:type="pct"/>
                  <w:noWrap w:val="0"/>
                  <w:tcMar>
                    <w:left w:w="0" w:type="dxa"/>
                    <w:right w:w="0" w:type="dxa"/>
                  </w:tcMar>
                  <w:vAlign w:val="center"/>
                </w:tcPr>
                <w:p w14:paraId="22A573A9">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要素细类</w:t>
                  </w:r>
                </w:p>
              </w:tc>
              <w:tc>
                <w:tcPr>
                  <w:tcW w:w="2811" w:type="pct"/>
                  <w:noWrap w:val="0"/>
                  <w:tcMar>
                    <w:left w:w="0" w:type="dxa"/>
                    <w:right w:w="0" w:type="dxa"/>
                  </w:tcMar>
                  <w:vAlign w:val="center"/>
                </w:tcPr>
                <w:p w14:paraId="59D6C382">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大气环境一般管控区</w:t>
                  </w:r>
                </w:p>
              </w:tc>
              <w:tc>
                <w:tcPr>
                  <w:tcW w:w="1020" w:type="pct"/>
                  <w:vMerge w:val="continue"/>
                  <w:tcBorders>
                    <w:right w:val="single" w:color="auto" w:sz="4" w:space="0"/>
                  </w:tcBorders>
                  <w:noWrap w:val="0"/>
                  <w:vAlign w:val="center"/>
                </w:tcPr>
                <w:p w14:paraId="79380753">
                  <w:pPr>
                    <w:keepNext w:val="0"/>
                    <w:keepLines w:val="0"/>
                    <w:pageBreakBefore w:val="0"/>
                    <w:widowControl/>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rPr>
                  </w:pPr>
                </w:p>
              </w:tc>
            </w:tr>
            <w:tr w14:paraId="4B3D7B8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24" w:type="pct"/>
                  <w:vMerge w:val="restart"/>
                  <w:tcBorders>
                    <w:left w:val="single" w:color="auto" w:sz="4" w:space="0"/>
                  </w:tcBorders>
                  <w:noWrap w:val="0"/>
                  <w:tcMar>
                    <w:left w:w="0" w:type="dxa"/>
                    <w:right w:w="0" w:type="dxa"/>
                  </w:tcMar>
                  <w:vAlign w:val="center"/>
                </w:tcPr>
                <w:p w14:paraId="5A9724B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一般管控区管控要求</w:t>
                  </w:r>
                </w:p>
              </w:tc>
              <w:tc>
                <w:tcPr>
                  <w:tcW w:w="744" w:type="pct"/>
                  <w:noWrap w:val="0"/>
                  <w:tcMar>
                    <w:left w:w="0" w:type="dxa"/>
                    <w:right w:w="0" w:type="dxa"/>
                  </w:tcMar>
                  <w:vAlign w:val="center"/>
                </w:tcPr>
                <w:p w14:paraId="1249D516">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空间布局约束</w:t>
                  </w:r>
                </w:p>
              </w:tc>
              <w:tc>
                <w:tcPr>
                  <w:tcW w:w="2811" w:type="pct"/>
                  <w:noWrap w:val="0"/>
                  <w:tcMar>
                    <w:left w:w="0" w:type="dxa"/>
                    <w:right w:w="0" w:type="dxa"/>
                  </w:tcMar>
                  <w:vAlign w:val="center"/>
                </w:tcPr>
                <w:p w14:paraId="11CAB573">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减少新增化工园区，除符合省政府产业布局调整政策外，减少新增钢铁、电解铝、水泥和平板玻璃等产能。减少建设生产和使用高VOCs 含量的溶剂型涂料、油墨、胶粘剂等项目。</w:t>
                  </w:r>
                </w:p>
              </w:tc>
              <w:tc>
                <w:tcPr>
                  <w:tcW w:w="1020" w:type="pct"/>
                  <w:vMerge w:val="restart"/>
                  <w:tcBorders>
                    <w:right w:val="single" w:color="auto" w:sz="4" w:space="0"/>
                  </w:tcBorders>
                  <w:noWrap w:val="0"/>
                  <w:vAlign w:val="center"/>
                </w:tcPr>
                <w:p w14:paraId="1811B320">
                  <w:pPr>
                    <w:keepNext w:val="0"/>
                    <w:keepLines w:val="0"/>
                    <w:pageBreakBefore w:val="0"/>
                    <w:widowControl/>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工程施工期已采取有效的大气环境保护措施，无遗留问题；工程</w:t>
                  </w:r>
                  <w:r>
                    <w:rPr>
                      <w:rFonts w:hint="default" w:ascii="Times New Roman" w:hAnsi="Times New Roman" w:cs="Times New Roman"/>
                      <w:color w:val="auto"/>
                      <w:sz w:val="21"/>
                      <w:szCs w:val="21"/>
                    </w:rPr>
                    <w:t>运行期无大气污染物排放，不会改变环境功能区类别</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lang w:val="en-US" w:eastAsia="zh-CN"/>
                    </w:rPr>
                    <w:t>因此，本项目</w:t>
                  </w:r>
                  <w:r>
                    <w:rPr>
                      <w:rFonts w:hint="default" w:ascii="Times New Roman" w:hAnsi="Times New Roman" w:cs="Times New Roman"/>
                      <w:color w:val="auto"/>
                      <w:sz w:val="21"/>
                      <w:szCs w:val="21"/>
                    </w:rPr>
                    <w:t>符合大气环境管控要求。</w:t>
                  </w:r>
                </w:p>
                <w:p w14:paraId="4536E8C9">
                  <w:pPr>
                    <w:keepNext w:val="0"/>
                    <w:keepLines w:val="0"/>
                    <w:pageBreakBefore w:val="0"/>
                    <w:widowControl/>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rPr>
                  </w:pPr>
                </w:p>
              </w:tc>
            </w:tr>
            <w:tr w14:paraId="4B47035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24" w:type="pct"/>
                  <w:vMerge w:val="continue"/>
                  <w:tcBorders>
                    <w:left w:val="single" w:color="auto" w:sz="4" w:space="0"/>
                  </w:tcBorders>
                  <w:noWrap w:val="0"/>
                  <w:tcMar>
                    <w:left w:w="0" w:type="dxa"/>
                    <w:right w:w="0" w:type="dxa"/>
                  </w:tcMar>
                  <w:vAlign w:val="center"/>
                </w:tcPr>
                <w:p w14:paraId="47443B46">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p>
              </w:tc>
              <w:tc>
                <w:tcPr>
                  <w:tcW w:w="744" w:type="pct"/>
                  <w:noWrap w:val="0"/>
                  <w:tcMar>
                    <w:left w:w="0" w:type="dxa"/>
                    <w:right w:w="0" w:type="dxa"/>
                  </w:tcMar>
                  <w:vAlign w:val="center"/>
                </w:tcPr>
                <w:p w14:paraId="1576DC3E">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污染物排放管控</w:t>
                  </w:r>
                </w:p>
              </w:tc>
              <w:tc>
                <w:tcPr>
                  <w:tcW w:w="2811" w:type="pct"/>
                  <w:noWrap w:val="0"/>
                  <w:tcMar>
                    <w:left w:w="0" w:type="dxa"/>
                    <w:right w:w="0" w:type="dxa"/>
                  </w:tcMar>
                  <w:vAlign w:val="center"/>
                </w:tcPr>
                <w:p w14:paraId="7A35314E">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二氧化硫、氮氧化物、颗粒物、VOCs 全面执行国家、省及各市下达的大气污染防治要求。新建钢铁、焦化等高污染项目要同时配置最先进的生产工艺和污染治理装备</w:t>
                  </w:r>
                </w:p>
              </w:tc>
              <w:tc>
                <w:tcPr>
                  <w:tcW w:w="1020" w:type="pct"/>
                  <w:vMerge w:val="continue"/>
                  <w:tcBorders>
                    <w:right w:val="single" w:color="auto" w:sz="4" w:space="0"/>
                  </w:tcBorders>
                  <w:noWrap w:val="0"/>
                  <w:vAlign w:val="center"/>
                </w:tcPr>
                <w:p w14:paraId="655E207B">
                  <w:pPr>
                    <w:keepNext w:val="0"/>
                    <w:keepLines w:val="0"/>
                    <w:pageBreakBefore w:val="0"/>
                    <w:widowControl/>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rPr>
                  </w:pPr>
                </w:p>
              </w:tc>
            </w:tr>
            <w:tr w14:paraId="5BD1B9B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24" w:type="pct"/>
                  <w:vMerge w:val="continue"/>
                  <w:tcBorders>
                    <w:left w:val="single" w:color="auto" w:sz="4" w:space="0"/>
                  </w:tcBorders>
                  <w:noWrap w:val="0"/>
                  <w:tcMar>
                    <w:left w:w="0" w:type="dxa"/>
                    <w:right w:w="0" w:type="dxa"/>
                  </w:tcMar>
                  <w:vAlign w:val="center"/>
                </w:tcPr>
                <w:p w14:paraId="3D2D35C1">
                  <w:pPr>
                    <w:pStyle w:val="61"/>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rPr>
                  </w:pPr>
                </w:p>
              </w:tc>
              <w:tc>
                <w:tcPr>
                  <w:tcW w:w="744" w:type="pct"/>
                  <w:noWrap w:val="0"/>
                  <w:tcMar>
                    <w:left w:w="0" w:type="dxa"/>
                    <w:right w:w="0" w:type="dxa"/>
                  </w:tcMar>
                  <w:vAlign w:val="center"/>
                </w:tcPr>
                <w:p w14:paraId="7CBB5EFC">
                  <w:pPr>
                    <w:pStyle w:val="61"/>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811" w:type="pct"/>
                  <w:noWrap w:val="0"/>
                  <w:tcMar>
                    <w:left w:w="0" w:type="dxa"/>
                    <w:right w:w="0" w:type="dxa"/>
                  </w:tcMar>
                  <w:vAlign w:val="center"/>
                </w:tcPr>
                <w:p w14:paraId="3E315327">
                  <w:pPr>
                    <w:pStyle w:val="61"/>
                    <w:keepNext w:val="0"/>
                    <w:keepLines w:val="0"/>
                    <w:pageBreakBefore w:val="0"/>
                    <w:widowControl/>
                    <w:kinsoku/>
                    <w:wordWrap/>
                    <w:overflowPunct/>
                    <w:topLinePunct w:val="0"/>
                    <w:autoSpaceDE/>
                    <w:autoSpaceDN/>
                    <w:bidi w:val="0"/>
                    <w:adjustRightInd w:val="0"/>
                    <w:snapToGrid w:val="0"/>
                    <w:jc w:val="left"/>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编制区域内大气污染应急减排项目清单，做到可操作、可核查、可监测，当预测到区域将出现重污染天气时，根据预警发布，按级别启动应急响应措施。</w:t>
                  </w:r>
                </w:p>
              </w:tc>
              <w:tc>
                <w:tcPr>
                  <w:tcW w:w="1020" w:type="pct"/>
                  <w:vMerge w:val="continue"/>
                  <w:tcBorders>
                    <w:right w:val="single" w:color="auto" w:sz="4" w:space="0"/>
                  </w:tcBorders>
                  <w:noWrap w:val="0"/>
                  <w:vAlign w:val="center"/>
                </w:tcPr>
                <w:p w14:paraId="68A05A58">
                  <w:pPr>
                    <w:pStyle w:val="61"/>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 w:val="21"/>
                      <w:szCs w:val="21"/>
                    </w:rPr>
                  </w:pPr>
                </w:p>
              </w:tc>
            </w:tr>
            <w:tr w14:paraId="4D061AE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24" w:type="pct"/>
                  <w:vMerge w:val="continue"/>
                  <w:tcBorders>
                    <w:left w:val="single" w:color="auto" w:sz="4" w:space="0"/>
                  </w:tcBorders>
                  <w:noWrap w:val="0"/>
                  <w:tcMar>
                    <w:left w:w="0" w:type="dxa"/>
                    <w:right w:w="0" w:type="dxa"/>
                  </w:tcMar>
                  <w:vAlign w:val="center"/>
                </w:tcPr>
                <w:p w14:paraId="2DD5D8F7">
                  <w:pPr>
                    <w:pStyle w:val="61"/>
                    <w:jc w:val="center"/>
                    <w:rPr>
                      <w:color w:val="auto"/>
                      <w:sz w:val="18"/>
                      <w:szCs w:val="20"/>
                    </w:rPr>
                  </w:pPr>
                </w:p>
              </w:tc>
              <w:tc>
                <w:tcPr>
                  <w:tcW w:w="744" w:type="pct"/>
                  <w:noWrap w:val="0"/>
                  <w:tcMar>
                    <w:left w:w="0" w:type="dxa"/>
                    <w:right w:w="0" w:type="dxa"/>
                  </w:tcMar>
                  <w:vAlign w:val="center"/>
                </w:tcPr>
                <w:p w14:paraId="057E2B8A">
                  <w:pPr>
                    <w:pStyle w:val="61"/>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资源开发率要求</w:t>
                  </w:r>
                </w:p>
              </w:tc>
              <w:tc>
                <w:tcPr>
                  <w:tcW w:w="2811" w:type="pct"/>
                  <w:noWrap w:val="0"/>
                  <w:tcMar>
                    <w:left w:w="0" w:type="dxa"/>
                    <w:right w:w="0" w:type="dxa"/>
                  </w:tcMar>
                  <w:vAlign w:val="center"/>
                </w:tcPr>
                <w:p w14:paraId="4487AE33">
                  <w:pPr>
                    <w:pStyle w:val="61"/>
                    <w:keepNext w:val="0"/>
                    <w:keepLines w:val="0"/>
                    <w:pageBreakBefore w:val="0"/>
                    <w:widowControl/>
                    <w:kinsoku/>
                    <w:wordWrap/>
                    <w:overflowPunct/>
                    <w:topLinePunct w:val="0"/>
                    <w:autoSpaceDE/>
                    <w:autoSpaceDN/>
                    <w:bidi w:val="0"/>
                    <w:adjustRightInd w:val="0"/>
                    <w:snapToGrid w:val="0"/>
                    <w:jc w:val="left"/>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禁燃区禁止新建、扩建燃用高污染燃料的项目和设施，已建成的应逐步或依法限期改用天然气、电或者其他清洁能源。新上耗煤项目实施煤炭减量替代，单位产品（产值）能耗要达到国内先进水平。</w:t>
                  </w:r>
                </w:p>
              </w:tc>
              <w:tc>
                <w:tcPr>
                  <w:tcW w:w="1020" w:type="pct"/>
                  <w:vMerge w:val="continue"/>
                  <w:tcBorders>
                    <w:right w:val="single" w:color="auto" w:sz="4" w:space="0"/>
                  </w:tcBorders>
                  <w:noWrap w:val="0"/>
                  <w:vAlign w:val="center"/>
                </w:tcPr>
                <w:p w14:paraId="01E23EBB">
                  <w:pPr>
                    <w:pStyle w:val="61"/>
                    <w:rPr>
                      <w:color w:val="auto"/>
                      <w:kern w:val="0"/>
                      <w:sz w:val="18"/>
                      <w:szCs w:val="20"/>
                    </w:rPr>
                  </w:pPr>
                </w:p>
              </w:tc>
            </w:tr>
          </w:tbl>
          <w:p w14:paraId="0E977BBC">
            <w:pPr>
              <w:spacing w:before="120" w:beforeLines="50" w:line="360" w:lineRule="auto"/>
              <w:ind w:firstLine="480" w:firstLineChars="200"/>
              <w:rPr>
                <w:color w:val="auto"/>
                <w:kern w:val="0"/>
                <w:sz w:val="24"/>
                <w:szCs w:val="24"/>
              </w:rPr>
            </w:pPr>
            <w:r>
              <w:rPr>
                <w:color w:val="auto"/>
                <w:kern w:val="0"/>
                <w:sz w:val="24"/>
                <w:szCs w:val="24"/>
              </w:rPr>
              <w:t>水环境</w:t>
            </w:r>
            <w:r>
              <w:rPr>
                <w:rFonts w:hint="eastAsia"/>
                <w:color w:val="auto"/>
                <w:kern w:val="0"/>
                <w:sz w:val="24"/>
                <w:szCs w:val="24"/>
                <w:lang w:eastAsia="zh-CN"/>
              </w:rPr>
              <w:t>：</w:t>
            </w:r>
            <w:r>
              <w:rPr>
                <w:color w:val="auto"/>
                <w:kern w:val="0"/>
                <w:sz w:val="24"/>
                <w:szCs w:val="24"/>
              </w:rPr>
              <w:t>工程涉及</w:t>
            </w:r>
            <w:r>
              <w:rPr>
                <w:rFonts w:hint="eastAsia"/>
                <w:color w:val="auto"/>
                <w:kern w:val="0"/>
                <w:sz w:val="24"/>
                <w:szCs w:val="24"/>
              </w:rPr>
              <w:t>鸡西市</w:t>
            </w:r>
            <w:r>
              <w:rPr>
                <w:color w:val="auto"/>
                <w:kern w:val="0"/>
                <w:sz w:val="24"/>
                <w:szCs w:val="24"/>
              </w:rPr>
              <w:t>水环境分区中的一般管控区，工程在</w:t>
            </w:r>
            <w:r>
              <w:rPr>
                <w:rFonts w:hint="eastAsia"/>
                <w:color w:val="auto"/>
                <w:kern w:val="0"/>
                <w:sz w:val="24"/>
                <w:szCs w:val="24"/>
              </w:rPr>
              <w:t>鸡西市</w:t>
            </w:r>
            <w:r>
              <w:rPr>
                <w:color w:val="auto"/>
                <w:kern w:val="0"/>
                <w:sz w:val="24"/>
                <w:szCs w:val="24"/>
              </w:rPr>
              <w:t>水环境分区管控图中的位置详见附图4，水环境分区管控要求符合性分析见表1-2。</w:t>
            </w:r>
          </w:p>
          <w:p w14:paraId="1D8314F6">
            <w:pPr>
              <w:spacing w:line="360" w:lineRule="auto"/>
              <w:jc w:val="center"/>
              <w:rPr>
                <w:b/>
                <w:bCs/>
                <w:color w:val="auto"/>
                <w:kern w:val="0"/>
                <w:sz w:val="24"/>
                <w:szCs w:val="24"/>
              </w:rPr>
            </w:pPr>
            <w:r>
              <w:rPr>
                <w:b/>
                <w:bCs/>
                <w:color w:val="auto"/>
                <w:kern w:val="0"/>
                <w:sz w:val="24"/>
                <w:szCs w:val="24"/>
              </w:rPr>
              <w:t>表1-2  工程与</w:t>
            </w:r>
            <w:r>
              <w:rPr>
                <w:rFonts w:hint="eastAsia"/>
                <w:b/>
                <w:bCs/>
                <w:color w:val="auto"/>
                <w:kern w:val="0"/>
                <w:sz w:val="24"/>
                <w:szCs w:val="24"/>
              </w:rPr>
              <w:t>鸡西市</w:t>
            </w:r>
            <w:r>
              <w:rPr>
                <w:b/>
                <w:bCs/>
                <w:color w:val="auto"/>
                <w:kern w:val="0"/>
                <w:sz w:val="24"/>
                <w:szCs w:val="24"/>
              </w:rPr>
              <w:t>水环境分区管控要求符合性分析</w:t>
            </w:r>
          </w:p>
          <w:tbl>
            <w:tblPr>
              <w:tblStyle w:val="24"/>
              <w:tblW w:w="4893" w:type="pct"/>
              <w:tblInd w:w="77"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5"/>
              <w:gridCol w:w="1306"/>
              <w:gridCol w:w="4033"/>
              <w:gridCol w:w="1169"/>
            </w:tblGrid>
            <w:tr w14:paraId="50D93BA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51" w:type="pct"/>
                  <w:vMerge w:val="restart"/>
                  <w:tcBorders>
                    <w:left w:val="single" w:color="auto" w:sz="0" w:space="0"/>
                  </w:tcBorders>
                  <w:noWrap w:val="0"/>
                  <w:tcMar>
                    <w:left w:w="0" w:type="dxa"/>
                    <w:right w:w="0" w:type="dxa"/>
                  </w:tcMar>
                  <w:vAlign w:val="center"/>
                </w:tcPr>
                <w:p w14:paraId="7592F2DB">
                  <w:pPr>
                    <w:pStyle w:val="61"/>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环境要素分区管控</w:t>
                  </w:r>
                </w:p>
              </w:tc>
              <w:tc>
                <w:tcPr>
                  <w:tcW w:w="913" w:type="pct"/>
                  <w:noWrap w:val="0"/>
                  <w:tcMar>
                    <w:left w:w="0" w:type="dxa"/>
                    <w:right w:w="0" w:type="dxa"/>
                  </w:tcMar>
                  <w:vAlign w:val="center"/>
                </w:tcPr>
                <w:p w14:paraId="1C764AA9">
                  <w:pPr>
                    <w:pStyle w:val="61"/>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管控区分类</w:t>
                  </w:r>
                </w:p>
              </w:tc>
              <w:tc>
                <w:tcPr>
                  <w:tcW w:w="2819" w:type="pct"/>
                  <w:noWrap w:val="0"/>
                  <w:tcMar>
                    <w:left w:w="0" w:type="dxa"/>
                    <w:right w:w="0" w:type="dxa"/>
                  </w:tcMar>
                  <w:vAlign w:val="center"/>
                </w:tcPr>
                <w:p w14:paraId="218B6615">
                  <w:pPr>
                    <w:pStyle w:val="61"/>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一般管控区</w:t>
                  </w:r>
                </w:p>
              </w:tc>
              <w:tc>
                <w:tcPr>
                  <w:tcW w:w="817" w:type="pct"/>
                  <w:vMerge w:val="restart"/>
                  <w:tcBorders>
                    <w:right w:val="single" w:color="auto" w:sz="4" w:space="0"/>
                  </w:tcBorders>
                  <w:noWrap w:val="0"/>
                  <w:vAlign w:val="center"/>
                </w:tcPr>
                <w:p w14:paraId="6760AA80">
                  <w:pPr>
                    <w:pStyle w:val="61"/>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符合性分析</w:t>
                  </w:r>
                </w:p>
              </w:tc>
            </w:tr>
            <w:tr w14:paraId="1ED43E3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51" w:type="pct"/>
                  <w:vMerge w:val="continue"/>
                  <w:tcBorders>
                    <w:left w:val="single" w:color="auto" w:sz="4" w:space="0"/>
                  </w:tcBorders>
                  <w:noWrap w:val="0"/>
                  <w:tcMar>
                    <w:left w:w="0" w:type="dxa"/>
                    <w:right w:w="0" w:type="dxa"/>
                  </w:tcMar>
                  <w:vAlign w:val="center"/>
                </w:tcPr>
                <w:p w14:paraId="2D30645B">
                  <w:pPr>
                    <w:pStyle w:val="61"/>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p>
              </w:tc>
              <w:tc>
                <w:tcPr>
                  <w:tcW w:w="913" w:type="pct"/>
                  <w:noWrap w:val="0"/>
                  <w:tcMar>
                    <w:left w:w="0" w:type="dxa"/>
                    <w:right w:w="0" w:type="dxa"/>
                  </w:tcMar>
                  <w:vAlign w:val="center"/>
                </w:tcPr>
                <w:p w14:paraId="0F15BB49">
                  <w:pPr>
                    <w:pStyle w:val="61"/>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环境要素</w:t>
                  </w:r>
                </w:p>
              </w:tc>
              <w:tc>
                <w:tcPr>
                  <w:tcW w:w="2819" w:type="pct"/>
                  <w:noWrap w:val="0"/>
                  <w:tcMar>
                    <w:left w:w="0" w:type="dxa"/>
                    <w:right w:w="0" w:type="dxa"/>
                  </w:tcMar>
                  <w:vAlign w:val="center"/>
                </w:tcPr>
                <w:p w14:paraId="35DC8CC7">
                  <w:pPr>
                    <w:pStyle w:val="61"/>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水环境</w:t>
                  </w:r>
                </w:p>
              </w:tc>
              <w:tc>
                <w:tcPr>
                  <w:tcW w:w="817" w:type="pct"/>
                  <w:vMerge w:val="continue"/>
                  <w:tcBorders>
                    <w:right w:val="single" w:color="auto" w:sz="4" w:space="0"/>
                  </w:tcBorders>
                  <w:noWrap w:val="0"/>
                  <w:vAlign w:val="center"/>
                </w:tcPr>
                <w:p w14:paraId="1C2703F4">
                  <w:pPr>
                    <w:pStyle w:val="61"/>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cs="Times New Roman"/>
                      <w:color w:val="auto"/>
                      <w:sz w:val="21"/>
                      <w:szCs w:val="21"/>
                    </w:rPr>
                  </w:pPr>
                </w:p>
              </w:tc>
            </w:tr>
            <w:tr w14:paraId="6932360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51" w:type="pct"/>
                  <w:vMerge w:val="continue"/>
                  <w:tcBorders>
                    <w:left w:val="single" w:color="auto" w:sz="4" w:space="0"/>
                  </w:tcBorders>
                  <w:noWrap w:val="0"/>
                  <w:tcMar>
                    <w:left w:w="0" w:type="dxa"/>
                    <w:right w:w="0" w:type="dxa"/>
                  </w:tcMar>
                  <w:vAlign w:val="center"/>
                </w:tcPr>
                <w:p w14:paraId="2F9F46BF">
                  <w:pPr>
                    <w:pStyle w:val="61"/>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p>
              </w:tc>
              <w:tc>
                <w:tcPr>
                  <w:tcW w:w="913" w:type="pct"/>
                  <w:noWrap w:val="0"/>
                  <w:tcMar>
                    <w:left w:w="0" w:type="dxa"/>
                    <w:right w:w="0" w:type="dxa"/>
                  </w:tcMar>
                  <w:vAlign w:val="center"/>
                </w:tcPr>
                <w:p w14:paraId="0ED67973">
                  <w:pPr>
                    <w:pStyle w:val="61"/>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要素细类</w:t>
                  </w:r>
                </w:p>
              </w:tc>
              <w:tc>
                <w:tcPr>
                  <w:tcW w:w="2819" w:type="pct"/>
                  <w:noWrap w:val="0"/>
                  <w:tcMar>
                    <w:left w:w="0" w:type="dxa"/>
                    <w:right w:w="0" w:type="dxa"/>
                  </w:tcMar>
                  <w:vAlign w:val="center"/>
                </w:tcPr>
                <w:p w14:paraId="74E58597">
                  <w:pPr>
                    <w:pStyle w:val="61"/>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水环境一般管控区</w:t>
                  </w:r>
                </w:p>
              </w:tc>
              <w:tc>
                <w:tcPr>
                  <w:tcW w:w="817" w:type="pct"/>
                  <w:vMerge w:val="continue"/>
                  <w:tcBorders>
                    <w:right w:val="single" w:color="auto" w:sz="4" w:space="0"/>
                  </w:tcBorders>
                  <w:noWrap w:val="0"/>
                  <w:vAlign w:val="center"/>
                </w:tcPr>
                <w:p w14:paraId="744BB4CD">
                  <w:pPr>
                    <w:pStyle w:val="61"/>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cs="Times New Roman"/>
                      <w:color w:val="auto"/>
                      <w:sz w:val="21"/>
                      <w:szCs w:val="21"/>
                    </w:rPr>
                  </w:pPr>
                </w:p>
              </w:tc>
            </w:tr>
            <w:tr w14:paraId="4E8D0A6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51" w:type="pct"/>
                  <w:vMerge w:val="restart"/>
                  <w:tcBorders>
                    <w:left w:val="single" w:color="auto" w:sz="4" w:space="0"/>
                  </w:tcBorders>
                  <w:noWrap w:val="0"/>
                  <w:tcMar>
                    <w:left w:w="0" w:type="dxa"/>
                    <w:right w:w="0" w:type="dxa"/>
                  </w:tcMar>
                  <w:vAlign w:val="center"/>
                </w:tcPr>
                <w:p w14:paraId="41C39AB6">
                  <w:pPr>
                    <w:pStyle w:val="61"/>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管控要求</w:t>
                  </w:r>
                </w:p>
              </w:tc>
              <w:tc>
                <w:tcPr>
                  <w:tcW w:w="913" w:type="pct"/>
                  <w:noWrap w:val="0"/>
                  <w:tcMar>
                    <w:left w:w="0" w:type="dxa"/>
                    <w:right w:w="0" w:type="dxa"/>
                  </w:tcMar>
                  <w:vAlign w:val="center"/>
                </w:tcPr>
                <w:p w14:paraId="24C8C8AE">
                  <w:pPr>
                    <w:pStyle w:val="61"/>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空间布局约束</w:t>
                  </w:r>
                </w:p>
              </w:tc>
              <w:tc>
                <w:tcPr>
                  <w:tcW w:w="2819" w:type="pct"/>
                  <w:noWrap w:val="0"/>
                  <w:tcMar>
                    <w:left w:w="0" w:type="dxa"/>
                    <w:right w:w="0" w:type="dxa"/>
                  </w:tcMar>
                  <w:vAlign w:val="center"/>
                </w:tcPr>
                <w:p w14:paraId="534E4790">
                  <w:pPr>
                    <w:pStyle w:val="61"/>
                    <w:keepNext w:val="0"/>
                    <w:keepLines w:val="0"/>
                    <w:pageBreakBefore w:val="0"/>
                    <w:widowControl/>
                    <w:kinsoku/>
                    <w:wordWrap/>
                    <w:overflowPunct/>
                    <w:topLinePunct w:val="0"/>
                    <w:autoSpaceDE/>
                    <w:autoSpaceDN/>
                    <w:bidi w:val="0"/>
                    <w:adjustRightInd w:val="0"/>
                    <w:snapToGrid w:val="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加强对跨国界水体的污染治理和管控。加快市域内各城镇污水处理厂的建设。严格依法管控畜禽养殖企业，提高规模化养殖占比，优化种植业结构，坚持适区种植。坚持市场需求导向。</w:t>
                  </w:r>
                </w:p>
              </w:tc>
              <w:tc>
                <w:tcPr>
                  <w:tcW w:w="817" w:type="pct"/>
                  <w:vMerge w:val="restart"/>
                  <w:tcBorders>
                    <w:right w:val="single" w:color="auto" w:sz="4" w:space="0"/>
                  </w:tcBorders>
                  <w:noWrap w:val="0"/>
                  <w:vAlign w:val="center"/>
                </w:tcPr>
                <w:p w14:paraId="07DFF68B">
                  <w:pPr>
                    <w:keepNext w:val="0"/>
                    <w:keepLines w:val="0"/>
                    <w:pageBreakBefore w:val="0"/>
                    <w:widowControl/>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工程施工期</w:t>
                  </w:r>
                  <w:r>
                    <w:rPr>
                      <w:rFonts w:hint="default" w:ascii="Times New Roman" w:hAnsi="Times New Roman" w:cs="Times New Roman"/>
                      <w:color w:val="auto"/>
                      <w:sz w:val="21"/>
                      <w:szCs w:val="21"/>
                      <w:lang w:val="en-US" w:eastAsia="zh-CN"/>
                    </w:rPr>
                    <w:t>施工人员</w:t>
                  </w:r>
                  <w:r>
                    <w:rPr>
                      <w:rFonts w:hint="default" w:ascii="Times New Roman" w:hAnsi="Times New Roman" w:cs="Times New Roman"/>
                      <w:color w:val="auto"/>
                      <w:sz w:val="21"/>
                      <w:szCs w:val="21"/>
                    </w:rPr>
                    <w:t>生活污水定期清淘，外运堆肥</w:t>
                  </w:r>
                  <w:r>
                    <w:rPr>
                      <w:rFonts w:hint="eastAsia" w:cs="Times New Roman"/>
                      <w:color w:val="auto"/>
                      <w:sz w:val="21"/>
                      <w:szCs w:val="21"/>
                      <w:lang w:eastAsia="zh-CN"/>
                    </w:rPr>
                    <w:t>；</w:t>
                  </w:r>
                  <w:r>
                    <w:rPr>
                      <w:rFonts w:hint="default" w:ascii="Times New Roman" w:hAnsi="Times New Roman" w:cs="Times New Roman"/>
                      <w:color w:val="auto"/>
                      <w:sz w:val="21"/>
                      <w:szCs w:val="21"/>
                    </w:rPr>
                    <w:t>运行期</w:t>
                  </w:r>
                  <w:r>
                    <w:rPr>
                      <w:rFonts w:hint="default" w:ascii="Times New Roman" w:hAnsi="Times New Roman" w:cs="Times New Roman"/>
                      <w:color w:val="auto"/>
                      <w:sz w:val="21"/>
                      <w:szCs w:val="21"/>
                      <w:lang w:val="en-US" w:eastAsia="zh-CN"/>
                    </w:rPr>
                    <w:t>管理人员生活污水均排入水库管护中心化粪池</w:t>
                  </w:r>
                  <w:r>
                    <w:rPr>
                      <w:rFonts w:hint="eastAsia" w:ascii="Times New Roman" w:hAnsi="Times New Roman" w:cs="Times New Roman"/>
                      <w:color w:val="auto"/>
                      <w:sz w:val="21"/>
                      <w:szCs w:val="21"/>
                      <w:lang w:val="en-US" w:eastAsia="zh-CN"/>
                    </w:rPr>
                    <w:t>、</w:t>
                  </w:r>
                  <w:r>
                    <w:rPr>
                      <w:rFonts w:hint="default" w:ascii="Times New Roman" w:hAnsi="Times New Roman" w:cs="Times New Roman"/>
                      <w:color w:val="auto"/>
                      <w:sz w:val="21"/>
                      <w:szCs w:val="21"/>
                      <w:lang w:val="en-US" w:eastAsia="zh-CN"/>
                    </w:rPr>
                    <w:t>不外排</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kern w:val="0"/>
                      <w:sz w:val="21"/>
                      <w:szCs w:val="21"/>
                    </w:rPr>
                    <w:t>不会改变环境功能区类别</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lang w:val="en-US" w:eastAsia="zh-CN"/>
                    </w:rPr>
                    <w:t>因此，本项目</w:t>
                  </w:r>
                  <w:r>
                    <w:rPr>
                      <w:rFonts w:hint="default" w:ascii="Times New Roman" w:hAnsi="Times New Roman" w:cs="Times New Roman"/>
                      <w:color w:val="auto"/>
                      <w:kern w:val="0"/>
                      <w:sz w:val="21"/>
                      <w:szCs w:val="21"/>
                    </w:rPr>
                    <w:t>符合</w:t>
                  </w:r>
                  <w:r>
                    <w:rPr>
                      <w:rFonts w:hint="default" w:ascii="Times New Roman" w:hAnsi="Times New Roman" w:cs="Times New Roman"/>
                      <w:color w:val="auto"/>
                      <w:kern w:val="0"/>
                      <w:sz w:val="21"/>
                      <w:szCs w:val="21"/>
                      <w:lang w:val="en-US" w:eastAsia="zh-CN"/>
                    </w:rPr>
                    <w:t>水</w:t>
                  </w:r>
                  <w:r>
                    <w:rPr>
                      <w:rFonts w:hint="default" w:ascii="Times New Roman" w:hAnsi="Times New Roman" w:cs="Times New Roman"/>
                      <w:color w:val="auto"/>
                      <w:kern w:val="0"/>
                      <w:sz w:val="21"/>
                      <w:szCs w:val="21"/>
                    </w:rPr>
                    <w:t>环境管控要求。</w:t>
                  </w:r>
                </w:p>
              </w:tc>
            </w:tr>
            <w:tr w14:paraId="6F2F4FC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51" w:type="pct"/>
                  <w:vMerge w:val="continue"/>
                  <w:tcBorders>
                    <w:left w:val="single" w:color="auto" w:sz="4" w:space="0"/>
                  </w:tcBorders>
                  <w:noWrap w:val="0"/>
                  <w:tcMar>
                    <w:left w:w="0" w:type="dxa"/>
                    <w:right w:w="0" w:type="dxa"/>
                  </w:tcMar>
                  <w:vAlign w:val="center"/>
                </w:tcPr>
                <w:p w14:paraId="21656C4F">
                  <w:pPr>
                    <w:pStyle w:val="61"/>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p>
              </w:tc>
              <w:tc>
                <w:tcPr>
                  <w:tcW w:w="913" w:type="pct"/>
                  <w:noWrap w:val="0"/>
                  <w:tcMar>
                    <w:left w:w="0" w:type="dxa"/>
                    <w:right w:w="0" w:type="dxa"/>
                  </w:tcMar>
                  <w:vAlign w:val="center"/>
                </w:tcPr>
                <w:p w14:paraId="6046AFB5">
                  <w:pPr>
                    <w:pStyle w:val="61"/>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污染物排放管控</w:t>
                  </w:r>
                </w:p>
              </w:tc>
              <w:tc>
                <w:tcPr>
                  <w:tcW w:w="2819" w:type="pct"/>
                  <w:noWrap w:val="0"/>
                  <w:tcMar>
                    <w:left w:w="0" w:type="dxa"/>
                    <w:right w:w="0" w:type="dxa"/>
                  </w:tcMar>
                  <w:vAlign w:val="center"/>
                </w:tcPr>
                <w:p w14:paraId="6F0D1B4E">
                  <w:pPr>
                    <w:pStyle w:val="61"/>
                    <w:keepNext w:val="0"/>
                    <w:keepLines w:val="0"/>
                    <w:pageBreakBefore w:val="0"/>
                    <w:widowControl/>
                    <w:kinsoku/>
                    <w:wordWrap/>
                    <w:overflowPunct/>
                    <w:topLinePunct w:val="0"/>
                    <w:autoSpaceDE/>
                    <w:autoSpaceDN/>
                    <w:bidi w:val="0"/>
                    <w:adjustRightInd w:val="0"/>
                    <w:snapToGrid w:val="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加强监测能力建设。加强污水厂日常监管，确保达标排放。加强畜禽养殖、农业种植、农村生活污染管控。</w:t>
                  </w:r>
                </w:p>
              </w:tc>
              <w:tc>
                <w:tcPr>
                  <w:tcW w:w="817" w:type="pct"/>
                  <w:vMerge w:val="continue"/>
                  <w:tcBorders>
                    <w:right w:val="single" w:color="auto" w:sz="4" w:space="0"/>
                  </w:tcBorders>
                  <w:noWrap w:val="0"/>
                  <w:vAlign w:val="center"/>
                </w:tcPr>
                <w:p w14:paraId="029885AD">
                  <w:pPr>
                    <w:pStyle w:val="61"/>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cs="Times New Roman"/>
                      <w:color w:val="auto"/>
                      <w:sz w:val="21"/>
                      <w:szCs w:val="21"/>
                    </w:rPr>
                  </w:pPr>
                </w:p>
              </w:tc>
            </w:tr>
            <w:tr w14:paraId="43CFE8D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51" w:type="pct"/>
                  <w:vMerge w:val="continue"/>
                  <w:tcBorders>
                    <w:left w:val="single" w:color="auto" w:sz="4" w:space="0"/>
                  </w:tcBorders>
                  <w:noWrap w:val="0"/>
                  <w:tcMar>
                    <w:left w:w="0" w:type="dxa"/>
                    <w:right w:w="0" w:type="dxa"/>
                  </w:tcMar>
                  <w:vAlign w:val="center"/>
                </w:tcPr>
                <w:p w14:paraId="419435A1">
                  <w:pPr>
                    <w:pStyle w:val="61"/>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p>
              </w:tc>
              <w:tc>
                <w:tcPr>
                  <w:tcW w:w="913" w:type="pct"/>
                  <w:noWrap w:val="0"/>
                  <w:tcMar>
                    <w:left w:w="0" w:type="dxa"/>
                    <w:right w:w="0" w:type="dxa"/>
                  </w:tcMar>
                  <w:vAlign w:val="center"/>
                </w:tcPr>
                <w:p w14:paraId="0C4F068C">
                  <w:pPr>
                    <w:pStyle w:val="61"/>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环境风险防控</w:t>
                  </w:r>
                </w:p>
              </w:tc>
              <w:tc>
                <w:tcPr>
                  <w:tcW w:w="2819" w:type="pct"/>
                  <w:noWrap w:val="0"/>
                  <w:tcMar>
                    <w:left w:w="0" w:type="dxa"/>
                    <w:right w:w="0" w:type="dxa"/>
                  </w:tcMar>
                  <w:vAlign w:val="center"/>
                </w:tcPr>
                <w:p w14:paraId="715CB8C9">
                  <w:pPr>
                    <w:pStyle w:val="61"/>
                    <w:keepNext w:val="0"/>
                    <w:keepLines w:val="0"/>
                    <w:pageBreakBefore w:val="0"/>
                    <w:widowControl/>
                    <w:kinsoku/>
                    <w:wordWrap/>
                    <w:overflowPunct/>
                    <w:topLinePunct w:val="0"/>
                    <w:autoSpaceDE/>
                    <w:autoSpaceDN/>
                    <w:bidi w:val="0"/>
                    <w:adjustRightInd w:val="0"/>
                    <w:snapToGrid w:val="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提高跨国界河流水环境污染预警与应急能力，防范环境风险。加强污水厂事故排放管控。对化肥、农药、除草剂及包装物等处理、处置加强风险防控。</w:t>
                  </w:r>
                </w:p>
              </w:tc>
              <w:tc>
                <w:tcPr>
                  <w:tcW w:w="817" w:type="pct"/>
                  <w:vMerge w:val="continue"/>
                  <w:tcBorders>
                    <w:right w:val="single" w:color="auto" w:sz="4" w:space="0"/>
                  </w:tcBorders>
                  <w:noWrap w:val="0"/>
                  <w:vAlign w:val="center"/>
                </w:tcPr>
                <w:p w14:paraId="2E6542FB">
                  <w:pPr>
                    <w:pStyle w:val="61"/>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cs="Times New Roman"/>
                      <w:color w:val="auto"/>
                      <w:sz w:val="21"/>
                      <w:szCs w:val="21"/>
                    </w:rPr>
                  </w:pPr>
                </w:p>
              </w:tc>
            </w:tr>
            <w:tr w14:paraId="070BD30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51" w:type="pct"/>
                  <w:vMerge w:val="continue"/>
                  <w:tcBorders>
                    <w:left w:val="single" w:color="auto" w:sz="4" w:space="0"/>
                  </w:tcBorders>
                  <w:noWrap w:val="0"/>
                  <w:tcMar>
                    <w:left w:w="0" w:type="dxa"/>
                    <w:right w:w="0" w:type="dxa"/>
                  </w:tcMar>
                  <w:vAlign w:val="center"/>
                </w:tcPr>
                <w:p w14:paraId="400261FD">
                  <w:pPr>
                    <w:pStyle w:val="61"/>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p>
              </w:tc>
              <w:tc>
                <w:tcPr>
                  <w:tcW w:w="913" w:type="pct"/>
                  <w:noWrap w:val="0"/>
                  <w:tcMar>
                    <w:left w:w="0" w:type="dxa"/>
                    <w:right w:w="0" w:type="dxa"/>
                  </w:tcMar>
                  <w:vAlign w:val="center"/>
                </w:tcPr>
                <w:p w14:paraId="5916D52A">
                  <w:pPr>
                    <w:pStyle w:val="61"/>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资源开发率要求</w:t>
                  </w:r>
                </w:p>
              </w:tc>
              <w:tc>
                <w:tcPr>
                  <w:tcW w:w="2819" w:type="pct"/>
                  <w:noWrap w:val="0"/>
                  <w:tcMar>
                    <w:left w:w="0" w:type="dxa"/>
                    <w:right w:w="0" w:type="dxa"/>
                  </w:tcMar>
                  <w:vAlign w:val="center"/>
                </w:tcPr>
                <w:p w14:paraId="1FF46619">
                  <w:pPr>
                    <w:pStyle w:val="61"/>
                    <w:keepNext w:val="0"/>
                    <w:keepLines w:val="0"/>
                    <w:pageBreakBefore w:val="0"/>
                    <w:widowControl/>
                    <w:kinsoku/>
                    <w:wordWrap/>
                    <w:overflowPunct/>
                    <w:topLinePunct w:val="0"/>
                    <w:autoSpaceDE/>
                    <w:autoSpaceDN/>
                    <w:bidi w:val="0"/>
                    <w:adjustRightInd w:val="0"/>
                    <w:snapToGrid w:val="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提高化肥、农药、除草剂及农业生产废弃物、畜禽粪便等资源综合利用水平。</w:t>
                  </w:r>
                </w:p>
              </w:tc>
              <w:tc>
                <w:tcPr>
                  <w:tcW w:w="817" w:type="pct"/>
                  <w:vMerge w:val="continue"/>
                  <w:tcBorders>
                    <w:right w:val="single" w:color="auto" w:sz="4" w:space="0"/>
                  </w:tcBorders>
                  <w:noWrap w:val="0"/>
                  <w:vAlign w:val="center"/>
                </w:tcPr>
                <w:p w14:paraId="67A631AA">
                  <w:pPr>
                    <w:pStyle w:val="61"/>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cs="Times New Roman"/>
                      <w:color w:val="auto"/>
                      <w:sz w:val="21"/>
                      <w:szCs w:val="21"/>
                    </w:rPr>
                  </w:pPr>
                </w:p>
              </w:tc>
            </w:tr>
          </w:tbl>
          <w:p w14:paraId="1C7FC30C">
            <w:pPr>
              <w:spacing w:before="120" w:beforeLines="50" w:line="360" w:lineRule="auto"/>
              <w:ind w:firstLine="480" w:firstLineChars="200"/>
              <w:rPr>
                <w:color w:val="auto"/>
                <w:kern w:val="0"/>
                <w:sz w:val="24"/>
                <w:szCs w:val="24"/>
              </w:rPr>
            </w:pPr>
            <w:r>
              <w:rPr>
                <w:color w:val="auto"/>
                <w:kern w:val="0"/>
                <w:sz w:val="24"/>
                <w:szCs w:val="24"/>
              </w:rPr>
              <w:t>土壤环境</w:t>
            </w:r>
            <w:r>
              <w:rPr>
                <w:rFonts w:hint="eastAsia"/>
                <w:color w:val="auto"/>
                <w:kern w:val="0"/>
                <w:sz w:val="24"/>
                <w:szCs w:val="24"/>
                <w:lang w:eastAsia="zh-CN"/>
              </w:rPr>
              <w:t>：</w:t>
            </w:r>
            <w:r>
              <w:rPr>
                <w:color w:val="auto"/>
                <w:kern w:val="0"/>
                <w:sz w:val="24"/>
                <w:szCs w:val="24"/>
              </w:rPr>
              <w:t>工程不涉及</w:t>
            </w:r>
            <w:r>
              <w:rPr>
                <w:rFonts w:hint="eastAsia"/>
                <w:color w:val="auto"/>
                <w:kern w:val="0"/>
                <w:sz w:val="24"/>
                <w:szCs w:val="24"/>
              </w:rPr>
              <w:t>鸡西市</w:t>
            </w:r>
            <w:r>
              <w:rPr>
                <w:color w:val="auto"/>
                <w:kern w:val="0"/>
                <w:sz w:val="24"/>
                <w:szCs w:val="24"/>
              </w:rPr>
              <w:t>土壤污染风险重点管控区，土壤环境管控要求符合性分析见表1-3。</w:t>
            </w:r>
          </w:p>
          <w:p w14:paraId="75C14B38">
            <w:pPr>
              <w:spacing w:line="360" w:lineRule="auto"/>
              <w:jc w:val="center"/>
              <w:rPr>
                <w:b/>
                <w:bCs/>
                <w:color w:val="auto"/>
                <w:kern w:val="0"/>
                <w:sz w:val="24"/>
                <w:szCs w:val="24"/>
              </w:rPr>
            </w:pPr>
            <w:r>
              <w:rPr>
                <w:b/>
                <w:bCs/>
                <w:color w:val="auto"/>
                <w:kern w:val="0"/>
                <w:sz w:val="24"/>
                <w:szCs w:val="24"/>
              </w:rPr>
              <w:t>表1-3  工程与</w:t>
            </w:r>
            <w:r>
              <w:rPr>
                <w:rFonts w:hint="eastAsia"/>
                <w:b/>
                <w:bCs/>
                <w:color w:val="auto"/>
                <w:kern w:val="0"/>
                <w:sz w:val="24"/>
                <w:szCs w:val="24"/>
              </w:rPr>
              <w:t>鸡西市</w:t>
            </w:r>
            <w:r>
              <w:rPr>
                <w:b/>
                <w:bCs/>
                <w:color w:val="auto"/>
                <w:kern w:val="0"/>
                <w:sz w:val="24"/>
                <w:szCs w:val="24"/>
              </w:rPr>
              <w:t>土壤环境管控要求符合性分析</w:t>
            </w:r>
          </w:p>
          <w:tbl>
            <w:tblPr>
              <w:tblStyle w:val="24"/>
              <w:tblW w:w="4899"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07"/>
              <w:gridCol w:w="711"/>
              <w:gridCol w:w="3830"/>
              <w:gridCol w:w="1813"/>
            </w:tblGrid>
            <w:tr w14:paraId="0A58E22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563" w:type="pct"/>
                  <w:vMerge w:val="restart"/>
                  <w:tcBorders>
                    <w:left w:val="single" w:color="auto" w:sz="0" w:space="0"/>
                  </w:tcBorders>
                  <w:noWrap w:val="0"/>
                  <w:tcMar>
                    <w:left w:w="0" w:type="dxa"/>
                    <w:right w:w="0" w:type="dxa"/>
                  </w:tcMar>
                  <w:vAlign w:val="center"/>
                </w:tcPr>
                <w:p w14:paraId="3BD4C2BA">
                  <w:pPr>
                    <w:pStyle w:val="61"/>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环境要素分区管控</w:t>
                  </w:r>
                </w:p>
              </w:tc>
              <w:tc>
                <w:tcPr>
                  <w:tcW w:w="496" w:type="pct"/>
                  <w:noWrap w:val="0"/>
                  <w:tcMar>
                    <w:left w:w="0" w:type="dxa"/>
                    <w:right w:w="0" w:type="dxa"/>
                  </w:tcMar>
                  <w:vAlign w:val="center"/>
                </w:tcPr>
                <w:p w14:paraId="58B5C977">
                  <w:pPr>
                    <w:pStyle w:val="61"/>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管控区分类</w:t>
                  </w:r>
                </w:p>
              </w:tc>
              <w:tc>
                <w:tcPr>
                  <w:tcW w:w="2673" w:type="pct"/>
                  <w:noWrap w:val="0"/>
                  <w:tcMar>
                    <w:left w:w="0" w:type="dxa"/>
                    <w:right w:w="0" w:type="dxa"/>
                  </w:tcMar>
                  <w:vAlign w:val="center"/>
                </w:tcPr>
                <w:p w14:paraId="444FA171">
                  <w:pPr>
                    <w:pStyle w:val="61"/>
                    <w:keepNext w:val="0"/>
                    <w:keepLines w:val="0"/>
                    <w:pageBreakBefore w:val="0"/>
                    <w:widowControl/>
                    <w:kinsoku/>
                    <w:wordWrap/>
                    <w:overflowPunct/>
                    <w:topLinePunct w:val="0"/>
                    <w:autoSpaceDE/>
                    <w:autoSpaceDN/>
                    <w:bidi w:val="0"/>
                    <w:adjustRightInd w:val="0"/>
                    <w:snapToGrid w:val="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一般管控区</w:t>
                  </w:r>
                </w:p>
              </w:tc>
              <w:tc>
                <w:tcPr>
                  <w:tcW w:w="1265" w:type="pct"/>
                  <w:vMerge w:val="restart"/>
                  <w:tcBorders>
                    <w:right w:val="single" w:color="auto" w:sz="4" w:space="0"/>
                  </w:tcBorders>
                  <w:noWrap w:val="0"/>
                  <w:vAlign w:val="center"/>
                </w:tcPr>
                <w:p w14:paraId="52B79F0B">
                  <w:pPr>
                    <w:pStyle w:val="61"/>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符合性分析</w:t>
                  </w:r>
                </w:p>
              </w:tc>
            </w:tr>
            <w:tr w14:paraId="124EEDF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563" w:type="pct"/>
                  <w:vMerge w:val="continue"/>
                  <w:tcBorders>
                    <w:left w:val="single" w:color="auto" w:sz="4" w:space="0"/>
                  </w:tcBorders>
                  <w:noWrap w:val="0"/>
                  <w:tcMar>
                    <w:left w:w="0" w:type="dxa"/>
                    <w:right w:w="0" w:type="dxa"/>
                  </w:tcMar>
                  <w:vAlign w:val="center"/>
                </w:tcPr>
                <w:p w14:paraId="13B021BA">
                  <w:pPr>
                    <w:pStyle w:val="61"/>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rPr>
                  </w:pPr>
                </w:p>
              </w:tc>
              <w:tc>
                <w:tcPr>
                  <w:tcW w:w="496" w:type="pct"/>
                  <w:noWrap w:val="0"/>
                  <w:tcMar>
                    <w:left w:w="0" w:type="dxa"/>
                    <w:right w:w="0" w:type="dxa"/>
                  </w:tcMar>
                  <w:vAlign w:val="center"/>
                </w:tcPr>
                <w:p w14:paraId="1214F188">
                  <w:pPr>
                    <w:pStyle w:val="61"/>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环境要素</w:t>
                  </w:r>
                </w:p>
              </w:tc>
              <w:tc>
                <w:tcPr>
                  <w:tcW w:w="2673" w:type="pct"/>
                  <w:noWrap w:val="0"/>
                  <w:tcMar>
                    <w:left w:w="0" w:type="dxa"/>
                    <w:right w:w="0" w:type="dxa"/>
                  </w:tcMar>
                  <w:vAlign w:val="center"/>
                </w:tcPr>
                <w:p w14:paraId="30FFE3AA">
                  <w:pPr>
                    <w:pStyle w:val="61"/>
                    <w:keepNext w:val="0"/>
                    <w:keepLines w:val="0"/>
                    <w:pageBreakBefore w:val="0"/>
                    <w:widowControl/>
                    <w:kinsoku/>
                    <w:wordWrap/>
                    <w:overflowPunct/>
                    <w:topLinePunct w:val="0"/>
                    <w:autoSpaceDE/>
                    <w:autoSpaceDN/>
                    <w:bidi w:val="0"/>
                    <w:adjustRightInd w:val="0"/>
                    <w:snapToGrid w:val="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土壤环境</w:t>
                  </w:r>
                </w:p>
              </w:tc>
              <w:tc>
                <w:tcPr>
                  <w:tcW w:w="1265" w:type="pct"/>
                  <w:vMerge w:val="continue"/>
                  <w:tcBorders>
                    <w:right w:val="single" w:color="auto" w:sz="4" w:space="0"/>
                  </w:tcBorders>
                  <w:noWrap w:val="0"/>
                  <w:vAlign w:val="center"/>
                </w:tcPr>
                <w:p w14:paraId="08F018D5">
                  <w:pPr>
                    <w:pStyle w:val="61"/>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sz w:val="21"/>
                      <w:szCs w:val="21"/>
                    </w:rPr>
                  </w:pPr>
                </w:p>
              </w:tc>
            </w:tr>
            <w:tr w14:paraId="3DC413C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63" w:type="pct"/>
                  <w:vMerge w:val="restart"/>
                  <w:tcBorders>
                    <w:left w:val="single" w:color="auto" w:sz="4" w:space="0"/>
                  </w:tcBorders>
                  <w:noWrap w:val="0"/>
                  <w:tcMar>
                    <w:left w:w="0" w:type="dxa"/>
                    <w:right w:w="0" w:type="dxa"/>
                  </w:tcMar>
                  <w:vAlign w:val="center"/>
                </w:tcPr>
                <w:p w14:paraId="1B7D48F9">
                  <w:pPr>
                    <w:pStyle w:val="61"/>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管控要求</w:t>
                  </w:r>
                </w:p>
              </w:tc>
              <w:tc>
                <w:tcPr>
                  <w:tcW w:w="496" w:type="pct"/>
                  <w:noWrap w:val="0"/>
                  <w:tcMar>
                    <w:left w:w="0" w:type="dxa"/>
                    <w:right w:w="0" w:type="dxa"/>
                  </w:tcMar>
                  <w:vAlign w:val="center"/>
                </w:tcPr>
                <w:p w14:paraId="7DD9BE3D">
                  <w:pPr>
                    <w:pStyle w:val="61"/>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673" w:type="pct"/>
                  <w:noWrap w:val="0"/>
                  <w:tcMar>
                    <w:left w:w="0" w:type="dxa"/>
                    <w:right w:w="0" w:type="dxa"/>
                  </w:tcMar>
                  <w:vAlign w:val="center"/>
                </w:tcPr>
                <w:p w14:paraId="7A13FA5F">
                  <w:pPr>
                    <w:pStyle w:val="61"/>
                    <w:keepNext w:val="0"/>
                    <w:keepLines w:val="0"/>
                    <w:pageBreakBefore w:val="0"/>
                    <w:widowControl/>
                    <w:kinsoku/>
                    <w:wordWrap/>
                    <w:overflowPunct/>
                    <w:topLinePunct w:val="0"/>
                    <w:autoSpaceDE/>
                    <w:autoSpaceDN/>
                    <w:bidi w:val="0"/>
                    <w:adjustRightInd w:val="0"/>
                    <w:snapToGrid w:val="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1.严格建设项目环境准入。在规划和建设项目环评中，强化土壤环境调查，增加对土壤环境影响评价内容，明确防范土壤污染具体措施，纳入环保“三同时”管理。</w:t>
                  </w:r>
                </w:p>
                <w:p w14:paraId="1145BF26">
                  <w:pPr>
                    <w:pStyle w:val="61"/>
                    <w:keepNext w:val="0"/>
                    <w:keepLines w:val="0"/>
                    <w:pageBreakBefore w:val="0"/>
                    <w:widowControl/>
                    <w:kinsoku/>
                    <w:wordWrap/>
                    <w:overflowPunct/>
                    <w:topLinePunct w:val="0"/>
                    <w:autoSpaceDE/>
                    <w:autoSpaceDN/>
                    <w:bidi w:val="0"/>
                    <w:adjustRightInd w:val="0"/>
                    <w:snapToGrid w:val="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加强未利用地环境管理。未利用地的开发应符合土地整治规划，经科学论证与评估，依法批准后方可进行。拟开发为农用地的，有关县（市、区）政府要组织开展土壤环境质量状况评估，达不到相关标准的，不得种植食用农产品和饲草。拟开发为建设用地的未利用地，符合土壤环境质量要求的地块，方可进入用地程序。</w:t>
                  </w:r>
                </w:p>
                <w:p w14:paraId="0B942EBD">
                  <w:pPr>
                    <w:pStyle w:val="61"/>
                    <w:keepNext w:val="0"/>
                    <w:keepLines w:val="0"/>
                    <w:pageBreakBefore w:val="0"/>
                    <w:widowControl/>
                    <w:kinsoku/>
                    <w:wordWrap/>
                    <w:overflowPunct/>
                    <w:topLinePunct w:val="0"/>
                    <w:autoSpaceDE/>
                    <w:autoSpaceDN/>
                    <w:bidi w:val="0"/>
                    <w:adjustRightInd w:val="0"/>
                    <w:snapToGrid w:val="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3.结合区域功能定位和土壤污染防治需要，科学布局城乡生活垃圾处理、危险废物处置、废旧资源再生利用等设施和场所，合理确定畜禽养殖布局和规模。</w:t>
                  </w:r>
                </w:p>
              </w:tc>
              <w:tc>
                <w:tcPr>
                  <w:tcW w:w="1265" w:type="pct"/>
                  <w:vMerge w:val="restart"/>
                  <w:tcBorders>
                    <w:right w:val="single" w:color="auto" w:sz="4" w:space="0"/>
                  </w:tcBorders>
                  <w:noWrap w:val="0"/>
                  <w:vAlign w:val="center"/>
                </w:tcPr>
                <w:p w14:paraId="5D0D4A78">
                  <w:pPr>
                    <w:pStyle w:val="53"/>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本次青年水库电站增效扩容工程只是针对溢洪道进口段、电站尾水渠出现破损的部位进行重建或维修，并更换电站水轮机和变压器等，水库规模不改变。对于区域来说，不新增取水，工程建设不会对水资源产生不利影响，符合水资源利用上线要求。</w:t>
                  </w:r>
                </w:p>
                <w:p w14:paraId="2B03EEF0">
                  <w:pPr>
                    <w:pStyle w:val="53"/>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青年水库电站为已有工程，无新增永久占地和临时占地，施工生活区租赁附近村屯民房，本项目不设置取弃土场。本项目符合资源利用上线要求。</w:t>
                  </w:r>
                </w:p>
                <w:p w14:paraId="256574B3">
                  <w:pPr>
                    <w:pStyle w:val="61"/>
                    <w:keepNext w:val="0"/>
                    <w:keepLines w:val="0"/>
                    <w:pageBreakBefore w:val="0"/>
                    <w:widowControl/>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rPr>
                  </w:pPr>
                </w:p>
              </w:tc>
            </w:tr>
            <w:tr w14:paraId="5808760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63" w:type="pct"/>
                  <w:vMerge w:val="continue"/>
                  <w:tcBorders>
                    <w:left w:val="single" w:color="auto" w:sz="4" w:space="0"/>
                  </w:tcBorders>
                  <w:noWrap w:val="0"/>
                  <w:tcMar>
                    <w:left w:w="0" w:type="dxa"/>
                    <w:right w:w="0" w:type="dxa"/>
                  </w:tcMar>
                  <w:vAlign w:val="center"/>
                </w:tcPr>
                <w:p w14:paraId="05D598E2">
                  <w:pPr>
                    <w:pStyle w:val="61"/>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rPr>
                  </w:pPr>
                </w:p>
              </w:tc>
              <w:tc>
                <w:tcPr>
                  <w:tcW w:w="496" w:type="pct"/>
                  <w:noWrap w:val="0"/>
                  <w:tcMar>
                    <w:left w:w="0" w:type="dxa"/>
                    <w:right w:w="0" w:type="dxa"/>
                  </w:tcMar>
                  <w:vAlign w:val="center"/>
                </w:tcPr>
                <w:p w14:paraId="6D3EBE1F">
                  <w:pPr>
                    <w:pStyle w:val="61"/>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673" w:type="pct"/>
                  <w:noWrap w:val="0"/>
                  <w:tcMar>
                    <w:left w:w="0" w:type="dxa"/>
                    <w:right w:w="0" w:type="dxa"/>
                  </w:tcMar>
                  <w:vAlign w:val="center"/>
                </w:tcPr>
                <w:p w14:paraId="446F2D83">
                  <w:pPr>
                    <w:pStyle w:val="61"/>
                    <w:keepNext w:val="0"/>
                    <w:keepLines w:val="0"/>
                    <w:pageBreakBefore w:val="0"/>
                    <w:widowControl/>
                    <w:kinsoku/>
                    <w:wordWrap/>
                    <w:overflowPunct/>
                    <w:topLinePunct w:val="0"/>
                    <w:autoSpaceDE/>
                    <w:autoSpaceDN/>
                    <w:bidi w:val="0"/>
                    <w:adjustRightInd w:val="0"/>
                    <w:snapToGrid w:val="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1.各类涉及土地利用的规划和可能造成土壤污染的建设项目，应当依法进行环评。环评文件应当包括对土壤可能造成的不良影响及应当采取的相应预防措施等内容。</w:t>
                  </w:r>
                </w:p>
                <w:p w14:paraId="356871FA">
                  <w:pPr>
                    <w:pStyle w:val="61"/>
                    <w:keepNext w:val="0"/>
                    <w:keepLines w:val="0"/>
                    <w:pageBreakBefore w:val="0"/>
                    <w:widowControl/>
                    <w:kinsoku/>
                    <w:wordWrap/>
                    <w:overflowPunct/>
                    <w:topLinePunct w:val="0"/>
                    <w:autoSpaceDE/>
                    <w:autoSpaceDN/>
                    <w:bidi w:val="0"/>
                    <w:adjustRightInd w:val="0"/>
                    <w:snapToGrid w:val="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2.生产、使用、贮存、运输、回收、处置、排放有毒有害物质的单位和个人，应当采取有效措施，防止有毒有害物质渗漏、流失、扬散，避免土壤受到污染。</w:t>
                  </w:r>
                </w:p>
                <w:p w14:paraId="4964D3F0">
                  <w:pPr>
                    <w:pStyle w:val="61"/>
                    <w:keepNext w:val="0"/>
                    <w:keepLines w:val="0"/>
                    <w:pageBreakBefore w:val="0"/>
                    <w:widowControl/>
                    <w:kinsoku/>
                    <w:wordWrap/>
                    <w:overflowPunct/>
                    <w:topLinePunct w:val="0"/>
                    <w:autoSpaceDE/>
                    <w:autoSpaceDN/>
                    <w:bidi w:val="0"/>
                    <w:adjustRightInd w:val="0"/>
                    <w:snapToGrid w:val="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3.开展建设用地调查评估。对已搬迁、关闭企业原址场地土壤污染状况进行排查，建立已搬迁、关闭企业原址场地的潜在污染地块清单，并及时更新。</w:t>
                  </w:r>
                </w:p>
                <w:p w14:paraId="52893581">
                  <w:pPr>
                    <w:pStyle w:val="61"/>
                    <w:keepNext w:val="0"/>
                    <w:keepLines w:val="0"/>
                    <w:pageBreakBefore w:val="0"/>
                    <w:widowControl/>
                    <w:kinsoku/>
                    <w:wordWrap/>
                    <w:overflowPunct/>
                    <w:topLinePunct w:val="0"/>
                    <w:autoSpaceDE/>
                    <w:autoSpaceDN/>
                    <w:bidi w:val="0"/>
                    <w:adjustRightInd w:val="0"/>
                    <w:snapToGrid w:val="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4.健全垃圾处理处置体系。</w:t>
                  </w:r>
                </w:p>
                <w:p w14:paraId="6CDF4BF2">
                  <w:pPr>
                    <w:pStyle w:val="61"/>
                    <w:keepNext w:val="0"/>
                    <w:keepLines w:val="0"/>
                    <w:pageBreakBefore w:val="0"/>
                    <w:widowControl/>
                    <w:kinsoku/>
                    <w:wordWrap/>
                    <w:overflowPunct/>
                    <w:topLinePunct w:val="0"/>
                    <w:autoSpaceDE/>
                    <w:autoSpaceDN/>
                    <w:bidi w:val="0"/>
                    <w:adjustRightInd w:val="0"/>
                    <w:snapToGrid w:val="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5.加强对尾矿坝安全监控及对其周边地下水水质监测。</w:t>
                  </w:r>
                </w:p>
              </w:tc>
              <w:tc>
                <w:tcPr>
                  <w:tcW w:w="1265" w:type="pct"/>
                  <w:vMerge w:val="continue"/>
                  <w:tcBorders>
                    <w:right w:val="single" w:color="auto" w:sz="4" w:space="0"/>
                  </w:tcBorders>
                  <w:noWrap w:val="0"/>
                  <w:vAlign w:val="center"/>
                </w:tcPr>
                <w:p w14:paraId="2239CF59">
                  <w:pPr>
                    <w:pStyle w:val="61"/>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sz w:val="21"/>
                      <w:szCs w:val="21"/>
                    </w:rPr>
                  </w:pPr>
                </w:p>
              </w:tc>
            </w:tr>
          </w:tbl>
          <w:p w14:paraId="744A1249">
            <w:pPr>
              <w:spacing w:before="120" w:beforeLines="50" w:line="360" w:lineRule="auto"/>
              <w:ind w:firstLine="480" w:firstLineChars="200"/>
              <w:rPr>
                <w:color w:val="auto"/>
                <w:kern w:val="0"/>
                <w:sz w:val="24"/>
                <w:szCs w:val="24"/>
              </w:rPr>
            </w:pPr>
            <w:r>
              <w:rPr>
                <w:color w:val="auto"/>
                <w:kern w:val="0"/>
                <w:sz w:val="24"/>
                <w:szCs w:val="24"/>
              </w:rPr>
              <w:t>综上，本项目的建设不会改变区域环境质量现状，能够满足《关于以改善环境质量为核心加强环境影响评价管理的通知》（环环评[2016]150号）文件中“环境质量底线”的要求。因此，本项目的建设符合</w:t>
            </w:r>
            <w:r>
              <w:rPr>
                <w:rFonts w:hint="eastAsia"/>
                <w:color w:val="auto"/>
                <w:kern w:val="0"/>
                <w:sz w:val="24"/>
                <w:szCs w:val="24"/>
              </w:rPr>
              <w:t>大气、水及土壤</w:t>
            </w:r>
            <w:r>
              <w:rPr>
                <w:color w:val="auto"/>
                <w:kern w:val="0"/>
                <w:sz w:val="24"/>
                <w:szCs w:val="24"/>
              </w:rPr>
              <w:t>环境质量底线的相关要求。</w:t>
            </w:r>
          </w:p>
          <w:p w14:paraId="656C74B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 w:val="0"/>
                <w:bCs/>
                <w:color w:val="auto"/>
                <w:kern w:val="2"/>
                <w:sz w:val="24"/>
                <w:szCs w:val="24"/>
                <w:highlight w:val="none"/>
                <w:lang w:val="en-US" w:eastAsia="zh-CN" w:bidi="ar-SA"/>
              </w:rPr>
            </w:pPr>
            <w:r>
              <w:rPr>
                <w:rFonts w:hint="default" w:ascii="Times New Roman" w:hAnsi="Times New Roman" w:cs="Times New Roman"/>
                <w:b w:val="0"/>
                <w:bCs/>
                <w:color w:val="auto"/>
                <w:kern w:val="2"/>
                <w:sz w:val="24"/>
                <w:szCs w:val="24"/>
                <w:highlight w:val="none"/>
                <w:lang w:val="en-US" w:eastAsia="zh-CN" w:bidi="ar-SA"/>
              </w:rPr>
              <w:t>3）</w:t>
            </w:r>
            <w:r>
              <w:rPr>
                <w:rFonts w:hint="default" w:ascii="Times New Roman" w:hAnsi="Times New Roman" w:eastAsia="宋体" w:cs="Times New Roman"/>
                <w:b w:val="0"/>
                <w:bCs/>
                <w:color w:val="auto"/>
                <w:kern w:val="2"/>
                <w:sz w:val="24"/>
                <w:szCs w:val="24"/>
                <w:highlight w:val="none"/>
                <w:lang w:val="en-US" w:eastAsia="zh-CN" w:bidi="ar-SA"/>
              </w:rPr>
              <w:t>资源利用上线</w:t>
            </w:r>
          </w:p>
          <w:p w14:paraId="75EEC7E7">
            <w:pPr>
              <w:pStyle w:val="53"/>
              <w:keepNext w:val="0"/>
              <w:keepLines w:val="0"/>
              <w:pageBreakBefore w:val="0"/>
              <w:widowControl w:val="0"/>
              <w:kinsoku/>
              <w:wordWrap w:val="0"/>
              <w:overflowPunct/>
              <w:topLinePunct w:val="0"/>
              <w:autoSpaceDE/>
              <w:autoSpaceDN/>
              <w:bidi w:val="0"/>
              <w:adjustRightInd/>
              <w:snapToGrid/>
              <w:ind w:firstLine="420"/>
              <w:textAlignment w:val="auto"/>
              <w:rPr>
                <w:rFonts w:hint="default" w:ascii="Times New Roman" w:hAnsi="Times New Roman" w:eastAsia="宋体" w:cs="Times New Roman"/>
                <w:b w:val="0"/>
                <w:bCs/>
                <w:color w:val="auto"/>
                <w:sz w:val="24"/>
                <w:szCs w:val="24"/>
                <w:highlight w:val="none"/>
                <w:lang w:val="en-US" w:eastAsia="zh-CN"/>
              </w:rPr>
            </w:pPr>
            <w:r>
              <w:rPr>
                <w:color w:val="auto"/>
                <w:kern w:val="0"/>
                <w:szCs w:val="21"/>
              </w:rPr>
              <w:t>工程不涉及</w:t>
            </w:r>
            <w:r>
              <w:rPr>
                <w:rFonts w:hint="eastAsia"/>
                <w:color w:val="auto"/>
                <w:kern w:val="0"/>
                <w:szCs w:val="21"/>
              </w:rPr>
              <w:t>鸡西市</w:t>
            </w:r>
            <w:r>
              <w:rPr>
                <w:color w:val="auto"/>
                <w:kern w:val="0"/>
                <w:szCs w:val="21"/>
              </w:rPr>
              <w:t>水资源上</w:t>
            </w:r>
            <w:r>
              <w:rPr>
                <w:rFonts w:hint="eastAsia"/>
                <w:color w:val="auto"/>
                <w:kern w:val="0"/>
                <w:szCs w:val="21"/>
                <w:lang w:val="en-US" w:eastAsia="zh-CN"/>
              </w:rPr>
              <w:t>线</w:t>
            </w:r>
            <w:r>
              <w:rPr>
                <w:color w:val="auto"/>
                <w:kern w:val="0"/>
                <w:szCs w:val="21"/>
              </w:rPr>
              <w:t>重点管控区，工程所在</w:t>
            </w:r>
            <w:r>
              <w:rPr>
                <w:rFonts w:hint="eastAsia"/>
                <w:color w:val="auto"/>
                <w:kern w:val="0"/>
                <w:szCs w:val="21"/>
              </w:rPr>
              <w:t>密山市</w:t>
            </w:r>
            <w:r>
              <w:rPr>
                <w:color w:val="auto"/>
                <w:kern w:val="0"/>
                <w:szCs w:val="21"/>
              </w:rPr>
              <w:t>为一般管控区</w:t>
            </w:r>
            <w:r>
              <w:rPr>
                <w:rFonts w:hint="default" w:ascii="Times New Roman" w:hAnsi="Times New Roman" w:eastAsia="宋体" w:cs="Times New Roman"/>
                <w:b w:val="0"/>
                <w:bCs/>
                <w:color w:val="auto"/>
                <w:sz w:val="24"/>
                <w:szCs w:val="24"/>
                <w:highlight w:val="none"/>
                <w:lang w:val="en-US" w:eastAsia="zh-CN"/>
              </w:rPr>
              <w:t>，土地资源利用上线一般管控区。本次</w:t>
            </w:r>
            <w:r>
              <w:rPr>
                <w:rFonts w:hint="eastAsia" w:ascii="Times New Roman" w:hAnsi="Times New Roman" w:cs="Times New Roman"/>
                <w:b w:val="0"/>
                <w:bCs/>
                <w:color w:val="auto"/>
                <w:sz w:val="24"/>
                <w:szCs w:val="24"/>
                <w:highlight w:val="none"/>
                <w:lang w:val="en-US" w:eastAsia="zh-CN"/>
              </w:rPr>
              <w:t>青年水库</w:t>
            </w:r>
            <w:r>
              <w:rPr>
                <w:rFonts w:hint="default" w:ascii="Times New Roman" w:hAnsi="Times New Roman" w:eastAsia="宋体" w:cs="Times New Roman"/>
                <w:b w:val="0"/>
                <w:bCs/>
                <w:color w:val="auto"/>
                <w:sz w:val="24"/>
                <w:szCs w:val="24"/>
                <w:highlight w:val="none"/>
                <w:lang w:val="en-US" w:eastAsia="zh-CN"/>
              </w:rPr>
              <w:t>电站增效扩容工程只是针对溢洪道进口段、电站尾水渠出现破损的部位进行重建或维修，并更换电站水轮机和变压器等，水库规模不改变。对于区域来说，不新增取水，工程建设不会对水资源产生不利影响，符合水资源利用上线要求。</w:t>
            </w:r>
          </w:p>
          <w:p w14:paraId="1521550D">
            <w:pPr>
              <w:pStyle w:val="53"/>
              <w:keepNext w:val="0"/>
              <w:keepLines w:val="0"/>
              <w:pageBreakBefore w:val="0"/>
              <w:widowControl w:val="0"/>
              <w:kinsoku/>
              <w:wordWrap w:val="0"/>
              <w:overflowPunct/>
              <w:topLinePunct w:val="0"/>
              <w:autoSpaceDE/>
              <w:autoSpaceDN/>
              <w:bidi w:val="0"/>
              <w:adjustRightInd/>
              <w:snapToGrid/>
              <w:ind w:firstLine="420"/>
              <w:textAlignment w:val="auto"/>
              <w:rPr>
                <w:rFonts w:hint="default" w:ascii="Times New Roman" w:hAnsi="Times New Roman" w:eastAsia="宋体" w:cs="Times New Roman"/>
                <w:b w:val="0"/>
                <w:bCs/>
                <w:color w:val="auto"/>
                <w:sz w:val="24"/>
                <w:szCs w:val="24"/>
                <w:highlight w:val="none"/>
                <w:lang w:val="en-US" w:eastAsia="zh-CN"/>
              </w:rPr>
            </w:pPr>
            <w:r>
              <w:rPr>
                <w:rFonts w:hint="eastAsia" w:ascii="Times New Roman" w:hAnsi="Times New Roman" w:cs="Times New Roman"/>
                <w:b w:val="0"/>
                <w:bCs/>
                <w:color w:val="auto"/>
                <w:sz w:val="24"/>
                <w:szCs w:val="24"/>
                <w:highlight w:val="none"/>
                <w:lang w:val="en-US" w:eastAsia="zh-CN"/>
              </w:rPr>
              <w:t>青年水库</w:t>
            </w:r>
            <w:r>
              <w:rPr>
                <w:rFonts w:hint="default" w:ascii="Times New Roman" w:hAnsi="Times New Roman" w:cs="Times New Roman"/>
                <w:b w:val="0"/>
                <w:bCs/>
                <w:color w:val="auto"/>
                <w:sz w:val="24"/>
                <w:szCs w:val="24"/>
                <w:highlight w:val="none"/>
                <w:lang w:val="en-US" w:eastAsia="zh-CN"/>
              </w:rPr>
              <w:t>电站</w:t>
            </w:r>
            <w:r>
              <w:rPr>
                <w:rFonts w:hint="default" w:ascii="Times New Roman" w:hAnsi="Times New Roman" w:eastAsia="宋体" w:cs="Times New Roman"/>
                <w:b w:val="0"/>
                <w:bCs/>
                <w:color w:val="auto"/>
                <w:sz w:val="24"/>
                <w:szCs w:val="24"/>
                <w:highlight w:val="none"/>
                <w:lang w:val="en-US" w:eastAsia="zh-CN"/>
              </w:rPr>
              <w:t>为已有工程，无新增永久占地和临时占地，施工生活区租赁附近村屯民房，本项目不设置取弃土场。本项目符合资源利用上线要求。</w:t>
            </w:r>
          </w:p>
          <w:p w14:paraId="2673B67B">
            <w:pPr>
              <w:spacing w:line="360" w:lineRule="auto"/>
              <w:ind w:firstLine="480" w:firstLineChars="200"/>
              <w:jc w:val="left"/>
              <w:rPr>
                <w:rFonts w:hint="default" w:ascii="Times New Roman" w:hAnsi="Times New Roman" w:eastAsia="宋体" w:cs="Times New Roman"/>
                <w:b w:val="0"/>
                <w:bCs/>
                <w:color w:val="auto"/>
                <w:kern w:val="2"/>
                <w:sz w:val="24"/>
                <w:szCs w:val="24"/>
                <w:highlight w:val="none"/>
                <w:lang w:val="en-US" w:eastAsia="zh-CN" w:bidi="ar-SA"/>
              </w:rPr>
            </w:pPr>
            <w:r>
              <w:rPr>
                <w:rFonts w:hint="eastAsia" w:cs="Times New Roman"/>
                <w:b w:val="0"/>
                <w:bCs/>
                <w:color w:val="auto"/>
                <w:kern w:val="2"/>
                <w:sz w:val="24"/>
                <w:szCs w:val="24"/>
                <w:highlight w:val="none"/>
                <w:lang w:val="en-US" w:eastAsia="zh-CN" w:bidi="ar-SA"/>
              </w:rPr>
              <w:t>（2）“一表”</w:t>
            </w:r>
          </w:p>
          <w:p w14:paraId="29CCEE3C">
            <w:pPr>
              <w:spacing w:line="360" w:lineRule="auto"/>
              <w:ind w:firstLine="480" w:firstLineChars="200"/>
              <w:rPr>
                <w:color w:val="auto"/>
                <w:kern w:val="0"/>
                <w:sz w:val="24"/>
                <w:szCs w:val="24"/>
              </w:rPr>
            </w:pPr>
            <w:r>
              <w:rPr>
                <w:color w:val="auto"/>
                <w:kern w:val="0"/>
                <w:sz w:val="24"/>
                <w:szCs w:val="24"/>
              </w:rPr>
              <w:t>根据</w:t>
            </w:r>
            <w:r>
              <w:rPr>
                <w:rFonts w:hint="eastAsia"/>
                <w:color w:val="auto"/>
                <w:kern w:val="0"/>
                <w:sz w:val="24"/>
                <w:szCs w:val="24"/>
              </w:rPr>
              <w:t>《鸡西市人民政府关于实施“三线一单”生态环境分区管控的意见》（鸡政发〔2021〕7号）</w:t>
            </w:r>
            <w:r>
              <w:rPr>
                <w:color w:val="auto"/>
                <w:kern w:val="0"/>
                <w:sz w:val="24"/>
                <w:szCs w:val="24"/>
              </w:rPr>
              <w:t>公布的</w:t>
            </w:r>
            <w:r>
              <w:rPr>
                <w:rFonts w:hint="eastAsia"/>
                <w:color w:val="auto"/>
                <w:kern w:val="0"/>
                <w:sz w:val="24"/>
                <w:szCs w:val="24"/>
              </w:rPr>
              <w:t>鸡西市</w:t>
            </w:r>
            <w:r>
              <w:rPr>
                <w:color w:val="auto"/>
                <w:kern w:val="0"/>
                <w:sz w:val="24"/>
                <w:szCs w:val="24"/>
              </w:rPr>
              <w:t>生态保护红线及生态分区管控要求，本工程不涉及</w:t>
            </w:r>
            <w:r>
              <w:rPr>
                <w:rFonts w:hint="eastAsia"/>
                <w:color w:val="auto"/>
                <w:kern w:val="0"/>
                <w:sz w:val="24"/>
                <w:szCs w:val="24"/>
              </w:rPr>
              <w:t>鸡西市</w:t>
            </w:r>
            <w:r>
              <w:rPr>
                <w:color w:val="auto"/>
                <w:kern w:val="0"/>
                <w:sz w:val="24"/>
                <w:szCs w:val="24"/>
              </w:rPr>
              <w:t>生态保护红线，工程</w:t>
            </w:r>
            <w:r>
              <w:rPr>
                <w:rFonts w:hint="eastAsia"/>
                <w:color w:val="auto"/>
                <w:kern w:val="0"/>
                <w:sz w:val="24"/>
                <w:szCs w:val="24"/>
              </w:rPr>
              <w:t>所在区域为鸡西市</w:t>
            </w:r>
            <w:r>
              <w:rPr>
                <w:color w:val="auto"/>
                <w:kern w:val="0"/>
                <w:sz w:val="24"/>
                <w:szCs w:val="24"/>
              </w:rPr>
              <w:t>一般管控单元。本项目生态环境准入清单符合性分析见表1-</w:t>
            </w:r>
            <w:r>
              <w:rPr>
                <w:rFonts w:hint="eastAsia"/>
                <w:color w:val="auto"/>
                <w:kern w:val="0"/>
                <w:sz w:val="24"/>
                <w:szCs w:val="24"/>
                <w:lang w:val="en-US" w:eastAsia="zh-CN"/>
              </w:rPr>
              <w:t>4</w:t>
            </w:r>
            <w:r>
              <w:rPr>
                <w:color w:val="auto"/>
                <w:kern w:val="0"/>
                <w:sz w:val="24"/>
                <w:szCs w:val="24"/>
              </w:rPr>
              <w:t>。</w:t>
            </w:r>
          </w:p>
          <w:p w14:paraId="06BF885D">
            <w:pPr>
              <w:spacing w:line="360" w:lineRule="auto"/>
              <w:jc w:val="center"/>
              <w:rPr>
                <w:b/>
                <w:bCs/>
                <w:color w:val="auto"/>
                <w:kern w:val="0"/>
                <w:sz w:val="24"/>
                <w:szCs w:val="24"/>
              </w:rPr>
            </w:pPr>
            <w:r>
              <w:rPr>
                <w:b/>
                <w:bCs/>
                <w:color w:val="auto"/>
                <w:kern w:val="0"/>
                <w:sz w:val="24"/>
                <w:szCs w:val="24"/>
              </w:rPr>
              <w:t>表1-</w:t>
            </w:r>
            <w:r>
              <w:rPr>
                <w:rFonts w:hint="eastAsia"/>
                <w:b/>
                <w:bCs/>
                <w:color w:val="auto"/>
                <w:kern w:val="0"/>
                <w:sz w:val="24"/>
                <w:szCs w:val="24"/>
                <w:lang w:val="en-US" w:eastAsia="zh-CN"/>
              </w:rPr>
              <w:t>4</w:t>
            </w:r>
            <w:r>
              <w:rPr>
                <w:b/>
                <w:bCs/>
                <w:color w:val="auto"/>
                <w:kern w:val="0"/>
                <w:sz w:val="24"/>
                <w:szCs w:val="24"/>
              </w:rPr>
              <w:t xml:space="preserve">  </w:t>
            </w:r>
            <w:r>
              <w:rPr>
                <w:rFonts w:hint="eastAsia"/>
                <w:b/>
                <w:bCs/>
                <w:color w:val="auto"/>
                <w:kern w:val="0"/>
                <w:sz w:val="24"/>
                <w:szCs w:val="24"/>
              </w:rPr>
              <w:t>生态环境准入</w:t>
            </w:r>
            <w:r>
              <w:rPr>
                <w:b/>
                <w:bCs/>
                <w:color w:val="auto"/>
                <w:kern w:val="0"/>
                <w:sz w:val="24"/>
                <w:szCs w:val="24"/>
              </w:rPr>
              <w:t>符合性分析</w:t>
            </w:r>
          </w:p>
          <w:tbl>
            <w:tblPr>
              <w:tblStyle w:val="24"/>
              <w:tblW w:w="4904"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94"/>
              <w:gridCol w:w="1356"/>
              <w:gridCol w:w="3095"/>
              <w:gridCol w:w="2023"/>
            </w:tblGrid>
            <w:tr w14:paraId="35F96D9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4" w:type="pct"/>
                  <w:vMerge w:val="restart"/>
                  <w:tcBorders>
                    <w:left w:val="single" w:color="auto" w:sz="0" w:space="0"/>
                  </w:tcBorders>
                  <w:noWrap w:val="0"/>
                  <w:tcMar>
                    <w:left w:w="0" w:type="dxa"/>
                    <w:right w:w="0" w:type="dxa"/>
                  </w:tcMar>
                  <w:vAlign w:val="center"/>
                </w:tcPr>
                <w:p w14:paraId="628D54AA">
                  <w:pPr>
                    <w:pStyle w:val="61"/>
                    <w:keepNext w:val="0"/>
                    <w:keepLines w:val="0"/>
                    <w:pageBreakBefore w:val="0"/>
                    <w:widowControl/>
                    <w:kinsoku/>
                    <w:wordWrap/>
                    <w:overflowPunct/>
                    <w:topLinePunct w:val="0"/>
                    <w:autoSpaceDE/>
                    <w:autoSpaceDN/>
                    <w:bidi w:val="0"/>
                    <w:adjustRightInd w:val="0"/>
                    <w:snapToGrid w:val="0"/>
                    <w:jc w:val="center"/>
                    <w:textAlignment w:val="auto"/>
                    <w:rPr>
                      <w:color w:val="auto"/>
                      <w:sz w:val="21"/>
                      <w:szCs w:val="21"/>
                    </w:rPr>
                  </w:pPr>
                  <w:r>
                    <w:rPr>
                      <w:bCs/>
                      <w:color w:val="auto"/>
                      <w:kern w:val="0"/>
                      <w:sz w:val="21"/>
                      <w:szCs w:val="21"/>
                    </w:rPr>
                    <w:t>环境管控单元名称</w:t>
                  </w:r>
                </w:p>
              </w:tc>
              <w:tc>
                <w:tcPr>
                  <w:tcW w:w="945" w:type="pct"/>
                  <w:noWrap w:val="0"/>
                  <w:tcMar>
                    <w:left w:w="0" w:type="dxa"/>
                    <w:right w:w="0" w:type="dxa"/>
                  </w:tcMar>
                  <w:vAlign w:val="center"/>
                </w:tcPr>
                <w:p w14:paraId="40AF4E81">
                  <w:pPr>
                    <w:keepNext w:val="0"/>
                    <w:keepLines w:val="0"/>
                    <w:pageBreakBefore w:val="0"/>
                    <w:widowControl/>
                    <w:kinsoku/>
                    <w:wordWrap/>
                    <w:overflowPunct/>
                    <w:topLinePunct w:val="0"/>
                    <w:autoSpaceDE/>
                    <w:autoSpaceDN/>
                    <w:bidi w:val="0"/>
                    <w:adjustRightInd w:val="0"/>
                    <w:snapToGrid w:val="0"/>
                    <w:jc w:val="center"/>
                    <w:textAlignment w:val="auto"/>
                    <w:rPr>
                      <w:bCs/>
                      <w:color w:val="auto"/>
                      <w:kern w:val="0"/>
                      <w:sz w:val="21"/>
                      <w:szCs w:val="21"/>
                    </w:rPr>
                  </w:pPr>
                  <w:r>
                    <w:rPr>
                      <w:bCs/>
                      <w:color w:val="auto"/>
                      <w:kern w:val="0"/>
                      <w:sz w:val="21"/>
                      <w:szCs w:val="21"/>
                    </w:rPr>
                    <w:t>环境管控单元编码</w:t>
                  </w:r>
                </w:p>
              </w:tc>
              <w:tc>
                <w:tcPr>
                  <w:tcW w:w="2158" w:type="pct"/>
                  <w:noWrap w:val="0"/>
                  <w:tcMar>
                    <w:left w:w="0" w:type="dxa"/>
                    <w:right w:w="0" w:type="dxa"/>
                  </w:tcMar>
                  <w:vAlign w:val="center"/>
                </w:tcPr>
                <w:p w14:paraId="47C77C7E">
                  <w:pPr>
                    <w:pStyle w:val="61"/>
                    <w:keepNext w:val="0"/>
                    <w:keepLines w:val="0"/>
                    <w:pageBreakBefore w:val="0"/>
                    <w:widowControl/>
                    <w:kinsoku/>
                    <w:wordWrap/>
                    <w:overflowPunct/>
                    <w:topLinePunct w:val="0"/>
                    <w:autoSpaceDE/>
                    <w:autoSpaceDN/>
                    <w:bidi w:val="0"/>
                    <w:adjustRightInd w:val="0"/>
                    <w:snapToGrid w:val="0"/>
                    <w:jc w:val="center"/>
                    <w:textAlignment w:val="auto"/>
                    <w:rPr>
                      <w:color w:val="auto"/>
                      <w:sz w:val="21"/>
                      <w:szCs w:val="21"/>
                    </w:rPr>
                  </w:pPr>
                  <w:r>
                    <w:rPr>
                      <w:color w:val="auto"/>
                      <w:sz w:val="21"/>
                      <w:szCs w:val="21"/>
                    </w:rPr>
                    <w:t>ZH23038230002</w:t>
                  </w:r>
                </w:p>
              </w:tc>
              <w:tc>
                <w:tcPr>
                  <w:tcW w:w="1411" w:type="pct"/>
                  <w:vMerge w:val="restart"/>
                  <w:tcBorders>
                    <w:right w:val="single" w:color="auto" w:sz="4" w:space="0"/>
                  </w:tcBorders>
                  <w:noWrap w:val="0"/>
                  <w:vAlign w:val="center"/>
                </w:tcPr>
                <w:p w14:paraId="4AC708A4">
                  <w:pPr>
                    <w:pStyle w:val="61"/>
                    <w:keepNext w:val="0"/>
                    <w:keepLines w:val="0"/>
                    <w:pageBreakBefore w:val="0"/>
                    <w:widowControl/>
                    <w:kinsoku/>
                    <w:wordWrap/>
                    <w:overflowPunct/>
                    <w:topLinePunct w:val="0"/>
                    <w:autoSpaceDE/>
                    <w:autoSpaceDN/>
                    <w:bidi w:val="0"/>
                    <w:adjustRightInd w:val="0"/>
                    <w:snapToGrid w:val="0"/>
                    <w:textAlignment w:val="auto"/>
                    <w:rPr>
                      <w:rFonts w:hint="eastAsia"/>
                      <w:color w:val="auto"/>
                      <w:sz w:val="21"/>
                      <w:szCs w:val="21"/>
                    </w:rPr>
                  </w:pPr>
                  <w:r>
                    <w:rPr>
                      <w:rFonts w:hint="eastAsia"/>
                      <w:color w:val="auto"/>
                      <w:sz w:val="21"/>
                      <w:szCs w:val="21"/>
                    </w:rPr>
                    <w:t>符合性分析</w:t>
                  </w:r>
                </w:p>
              </w:tc>
            </w:tr>
            <w:tr w14:paraId="6380B1A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4" w:type="pct"/>
                  <w:vMerge w:val="continue"/>
                  <w:tcBorders>
                    <w:left w:val="single" w:color="auto" w:sz="4" w:space="0"/>
                  </w:tcBorders>
                  <w:noWrap w:val="0"/>
                  <w:tcMar>
                    <w:left w:w="0" w:type="dxa"/>
                    <w:right w:w="0" w:type="dxa"/>
                  </w:tcMar>
                  <w:vAlign w:val="center"/>
                </w:tcPr>
                <w:p w14:paraId="27B9E9B6">
                  <w:pPr>
                    <w:pStyle w:val="61"/>
                    <w:keepNext w:val="0"/>
                    <w:keepLines w:val="0"/>
                    <w:pageBreakBefore w:val="0"/>
                    <w:widowControl/>
                    <w:kinsoku/>
                    <w:wordWrap/>
                    <w:overflowPunct/>
                    <w:topLinePunct w:val="0"/>
                    <w:autoSpaceDE/>
                    <w:autoSpaceDN/>
                    <w:bidi w:val="0"/>
                    <w:adjustRightInd w:val="0"/>
                    <w:snapToGrid w:val="0"/>
                    <w:jc w:val="center"/>
                    <w:textAlignment w:val="auto"/>
                    <w:rPr>
                      <w:bCs/>
                      <w:color w:val="auto"/>
                      <w:kern w:val="0"/>
                      <w:sz w:val="21"/>
                      <w:szCs w:val="21"/>
                    </w:rPr>
                  </w:pPr>
                </w:p>
              </w:tc>
              <w:tc>
                <w:tcPr>
                  <w:tcW w:w="945" w:type="pct"/>
                  <w:noWrap w:val="0"/>
                  <w:tcMar>
                    <w:left w:w="0" w:type="dxa"/>
                    <w:right w:w="0" w:type="dxa"/>
                  </w:tcMar>
                  <w:vAlign w:val="center"/>
                </w:tcPr>
                <w:p w14:paraId="2CC4FE4C">
                  <w:pPr>
                    <w:pStyle w:val="61"/>
                    <w:keepNext w:val="0"/>
                    <w:keepLines w:val="0"/>
                    <w:pageBreakBefore w:val="0"/>
                    <w:widowControl/>
                    <w:kinsoku/>
                    <w:wordWrap/>
                    <w:overflowPunct/>
                    <w:topLinePunct w:val="0"/>
                    <w:autoSpaceDE/>
                    <w:autoSpaceDN/>
                    <w:bidi w:val="0"/>
                    <w:adjustRightInd w:val="0"/>
                    <w:snapToGrid w:val="0"/>
                    <w:jc w:val="center"/>
                    <w:textAlignment w:val="auto"/>
                    <w:rPr>
                      <w:color w:val="auto"/>
                      <w:sz w:val="21"/>
                      <w:szCs w:val="21"/>
                    </w:rPr>
                  </w:pPr>
                  <w:r>
                    <w:rPr>
                      <w:bCs/>
                      <w:color w:val="auto"/>
                      <w:kern w:val="0"/>
                      <w:sz w:val="21"/>
                      <w:szCs w:val="21"/>
                    </w:rPr>
                    <w:t>管控单元类别</w:t>
                  </w:r>
                </w:p>
              </w:tc>
              <w:tc>
                <w:tcPr>
                  <w:tcW w:w="2158" w:type="pct"/>
                  <w:noWrap w:val="0"/>
                  <w:tcMar>
                    <w:left w:w="0" w:type="dxa"/>
                    <w:right w:w="0" w:type="dxa"/>
                  </w:tcMar>
                  <w:vAlign w:val="center"/>
                </w:tcPr>
                <w:p w14:paraId="79F057C2">
                  <w:pPr>
                    <w:pStyle w:val="61"/>
                    <w:keepNext w:val="0"/>
                    <w:keepLines w:val="0"/>
                    <w:pageBreakBefore w:val="0"/>
                    <w:widowControl/>
                    <w:kinsoku/>
                    <w:wordWrap/>
                    <w:overflowPunct/>
                    <w:topLinePunct w:val="0"/>
                    <w:autoSpaceDE/>
                    <w:autoSpaceDN/>
                    <w:bidi w:val="0"/>
                    <w:adjustRightInd w:val="0"/>
                    <w:snapToGrid w:val="0"/>
                    <w:jc w:val="center"/>
                    <w:textAlignment w:val="auto"/>
                    <w:rPr>
                      <w:color w:val="auto"/>
                      <w:sz w:val="21"/>
                      <w:szCs w:val="21"/>
                    </w:rPr>
                  </w:pPr>
                  <w:r>
                    <w:rPr>
                      <w:color w:val="auto"/>
                      <w:sz w:val="21"/>
                      <w:szCs w:val="21"/>
                    </w:rPr>
                    <w:t>一般管控</w:t>
                  </w:r>
                  <w:r>
                    <w:rPr>
                      <w:rFonts w:hint="eastAsia"/>
                      <w:color w:val="auto"/>
                      <w:sz w:val="21"/>
                      <w:szCs w:val="21"/>
                    </w:rPr>
                    <w:t>单元</w:t>
                  </w:r>
                </w:p>
              </w:tc>
              <w:tc>
                <w:tcPr>
                  <w:tcW w:w="1411" w:type="pct"/>
                  <w:vMerge w:val="continue"/>
                  <w:tcBorders>
                    <w:right w:val="single" w:color="auto" w:sz="4" w:space="0"/>
                  </w:tcBorders>
                  <w:noWrap w:val="0"/>
                  <w:vAlign w:val="center"/>
                </w:tcPr>
                <w:p w14:paraId="3A2CF281">
                  <w:pPr>
                    <w:pStyle w:val="61"/>
                    <w:keepNext w:val="0"/>
                    <w:keepLines w:val="0"/>
                    <w:pageBreakBefore w:val="0"/>
                    <w:widowControl/>
                    <w:kinsoku/>
                    <w:wordWrap/>
                    <w:overflowPunct/>
                    <w:topLinePunct w:val="0"/>
                    <w:autoSpaceDE/>
                    <w:autoSpaceDN/>
                    <w:bidi w:val="0"/>
                    <w:adjustRightInd w:val="0"/>
                    <w:snapToGrid w:val="0"/>
                    <w:textAlignment w:val="auto"/>
                    <w:rPr>
                      <w:rFonts w:hint="eastAsia"/>
                      <w:color w:val="auto"/>
                      <w:sz w:val="21"/>
                      <w:szCs w:val="21"/>
                    </w:rPr>
                  </w:pPr>
                </w:p>
              </w:tc>
            </w:tr>
            <w:tr w14:paraId="4E3F442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4" w:type="pct"/>
                  <w:vMerge w:val="continue"/>
                  <w:tcBorders>
                    <w:left w:val="single" w:color="auto" w:sz="4" w:space="0"/>
                  </w:tcBorders>
                  <w:noWrap w:val="0"/>
                  <w:tcMar>
                    <w:left w:w="0" w:type="dxa"/>
                    <w:right w:w="0" w:type="dxa"/>
                  </w:tcMar>
                  <w:vAlign w:val="center"/>
                </w:tcPr>
                <w:p w14:paraId="6A0C3F29">
                  <w:pPr>
                    <w:pStyle w:val="61"/>
                    <w:keepNext w:val="0"/>
                    <w:keepLines w:val="0"/>
                    <w:pageBreakBefore w:val="0"/>
                    <w:widowControl/>
                    <w:kinsoku/>
                    <w:wordWrap/>
                    <w:overflowPunct/>
                    <w:topLinePunct w:val="0"/>
                    <w:autoSpaceDE/>
                    <w:autoSpaceDN/>
                    <w:bidi w:val="0"/>
                    <w:adjustRightInd w:val="0"/>
                    <w:snapToGrid w:val="0"/>
                    <w:jc w:val="center"/>
                    <w:textAlignment w:val="auto"/>
                    <w:rPr>
                      <w:color w:val="auto"/>
                      <w:sz w:val="21"/>
                      <w:szCs w:val="21"/>
                    </w:rPr>
                  </w:pPr>
                </w:p>
              </w:tc>
              <w:tc>
                <w:tcPr>
                  <w:tcW w:w="945" w:type="pct"/>
                  <w:noWrap w:val="0"/>
                  <w:tcMar>
                    <w:left w:w="0" w:type="dxa"/>
                    <w:right w:w="0" w:type="dxa"/>
                  </w:tcMar>
                  <w:vAlign w:val="center"/>
                </w:tcPr>
                <w:p w14:paraId="61CDA7F0">
                  <w:pPr>
                    <w:pStyle w:val="61"/>
                    <w:keepNext w:val="0"/>
                    <w:keepLines w:val="0"/>
                    <w:pageBreakBefore w:val="0"/>
                    <w:widowControl/>
                    <w:kinsoku/>
                    <w:wordWrap/>
                    <w:overflowPunct/>
                    <w:topLinePunct w:val="0"/>
                    <w:autoSpaceDE/>
                    <w:autoSpaceDN/>
                    <w:bidi w:val="0"/>
                    <w:adjustRightInd w:val="0"/>
                    <w:snapToGrid w:val="0"/>
                    <w:jc w:val="center"/>
                    <w:textAlignment w:val="auto"/>
                    <w:rPr>
                      <w:rFonts w:hint="eastAsia"/>
                      <w:color w:val="auto"/>
                      <w:sz w:val="21"/>
                      <w:szCs w:val="21"/>
                    </w:rPr>
                  </w:pPr>
                  <w:r>
                    <w:rPr>
                      <w:rFonts w:hint="eastAsia"/>
                      <w:color w:val="auto"/>
                      <w:sz w:val="21"/>
                      <w:szCs w:val="21"/>
                    </w:rPr>
                    <w:t>管控要求</w:t>
                  </w:r>
                </w:p>
              </w:tc>
              <w:tc>
                <w:tcPr>
                  <w:tcW w:w="2158" w:type="pct"/>
                  <w:noWrap w:val="0"/>
                  <w:tcMar>
                    <w:left w:w="0" w:type="dxa"/>
                    <w:right w:w="0" w:type="dxa"/>
                  </w:tcMar>
                  <w:vAlign w:val="center"/>
                </w:tcPr>
                <w:p w14:paraId="14549CBA">
                  <w:pPr>
                    <w:pStyle w:val="61"/>
                    <w:keepNext w:val="0"/>
                    <w:keepLines w:val="0"/>
                    <w:pageBreakBefore w:val="0"/>
                    <w:widowControl/>
                    <w:kinsoku/>
                    <w:wordWrap/>
                    <w:overflowPunct/>
                    <w:topLinePunct w:val="0"/>
                    <w:autoSpaceDE/>
                    <w:autoSpaceDN/>
                    <w:bidi w:val="0"/>
                    <w:adjustRightInd w:val="0"/>
                    <w:snapToGrid w:val="0"/>
                    <w:jc w:val="center"/>
                    <w:textAlignment w:val="auto"/>
                    <w:rPr>
                      <w:color w:val="auto"/>
                      <w:sz w:val="21"/>
                      <w:szCs w:val="21"/>
                    </w:rPr>
                  </w:pPr>
                  <w:r>
                    <w:rPr>
                      <w:rFonts w:hint="eastAsia"/>
                      <w:color w:val="auto"/>
                      <w:sz w:val="21"/>
                      <w:szCs w:val="21"/>
                    </w:rPr>
                    <w:t>空间布局约束</w:t>
                  </w:r>
                </w:p>
              </w:tc>
              <w:tc>
                <w:tcPr>
                  <w:tcW w:w="1411" w:type="pct"/>
                  <w:vMerge w:val="continue"/>
                  <w:tcBorders>
                    <w:right w:val="single" w:color="auto" w:sz="4" w:space="0"/>
                  </w:tcBorders>
                  <w:noWrap w:val="0"/>
                  <w:vAlign w:val="center"/>
                </w:tcPr>
                <w:p w14:paraId="18986705">
                  <w:pPr>
                    <w:pStyle w:val="61"/>
                    <w:keepNext w:val="0"/>
                    <w:keepLines w:val="0"/>
                    <w:pageBreakBefore w:val="0"/>
                    <w:widowControl/>
                    <w:kinsoku/>
                    <w:wordWrap/>
                    <w:overflowPunct/>
                    <w:topLinePunct w:val="0"/>
                    <w:autoSpaceDE/>
                    <w:autoSpaceDN/>
                    <w:bidi w:val="0"/>
                    <w:adjustRightInd w:val="0"/>
                    <w:snapToGrid w:val="0"/>
                    <w:textAlignment w:val="auto"/>
                    <w:rPr>
                      <w:color w:val="auto"/>
                      <w:sz w:val="21"/>
                      <w:szCs w:val="21"/>
                    </w:rPr>
                  </w:pPr>
                </w:p>
              </w:tc>
            </w:tr>
            <w:tr w14:paraId="2655DE7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0" w:type="pct"/>
                  <w:gridSpan w:val="2"/>
                  <w:tcBorders>
                    <w:left w:val="single" w:color="auto" w:sz="4" w:space="0"/>
                  </w:tcBorders>
                  <w:noWrap w:val="0"/>
                  <w:tcMar>
                    <w:left w:w="0" w:type="dxa"/>
                    <w:right w:w="0" w:type="dxa"/>
                  </w:tcMar>
                  <w:vAlign w:val="center"/>
                </w:tcPr>
                <w:p w14:paraId="7B30109F">
                  <w:pPr>
                    <w:pStyle w:val="61"/>
                    <w:keepNext w:val="0"/>
                    <w:keepLines w:val="0"/>
                    <w:pageBreakBefore w:val="0"/>
                    <w:widowControl/>
                    <w:kinsoku/>
                    <w:wordWrap/>
                    <w:overflowPunct/>
                    <w:topLinePunct w:val="0"/>
                    <w:autoSpaceDE/>
                    <w:autoSpaceDN/>
                    <w:bidi w:val="0"/>
                    <w:adjustRightInd w:val="0"/>
                    <w:snapToGrid w:val="0"/>
                    <w:jc w:val="center"/>
                    <w:textAlignment w:val="auto"/>
                    <w:rPr>
                      <w:color w:val="auto"/>
                      <w:sz w:val="21"/>
                      <w:szCs w:val="21"/>
                    </w:rPr>
                  </w:pPr>
                  <w:r>
                    <w:rPr>
                      <w:rFonts w:hint="eastAsia"/>
                      <w:color w:val="auto"/>
                      <w:sz w:val="21"/>
                      <w:szCs w:val="21"/>
                    </w:rPr>
                    <w:t>其他区域</w:t>
                  </w:r>
                </w:p>
              </w:tc>
              <w:tc>
                <w:tcPr>
                  <w:tcW w:w="2158" w:type="pct"/>
                  <w:noWrap w:val="0"/>
                  <w:tcMar>
                    <w:left w:w="0" w:type="dxa"/>
                    <w:right w:w="0" w:type="dxa"/>
                  </w:tcMar>
                  <w:vAlign w:val="center"/>
                </w:tcPr>
                <w:p w14:paraId="44B2A102">
                  <w:pPr>
                    <w:keepNext w:val="0"/>
                    <w:keepLines w:val="0"/>
                    <w:pageBreakBefore w:val="0"/>
                    <w:widowControl/>
                    <w:kinsoku/>
                    <w:wordWrap/>
                    <w:overflowPunct/>
                    <w:topLinePunct w:val="0"/>
                    <w:autoSpaceDE/>
                    <w:autoSpaceDN/>
                    <w:bidi w:val="0"/>
                    <w:adjustRightInd w:val="0"/>
                    <w:snapToGrid w:val="0"/>
                    <w:jc w:val="left"/>
                    <w:textAlignment w:val="auto"/>
                    <w:rPr>
                      <w:rFonts w:hint="eastAsia"/>
                      <w:color w:val="auto"/>
                      <w:sz w:val="21"/>
                      <w:szCs w:val="21"/>
                    </w:rPr>
                  </w:pPr>
                  <w:r>
                    <w:rPr>
                      <w:rFonts w:hint="eastAsia"/>
                      <w:color w:val="auto"/>
                      <w:sz w:val="21"/>
                      <w:szCs w:val="21"/>
                    </w:rPr>
                    <w:t>贯彻实施国家与黑龙江省大气、水污染相关各项标准，深化重点行业污染治理，推进国家和地方确定的各项产业结构调整措施。</w:t>
                  </w:r>
                </w:p>
                <w:p w14:paraId="51CC81BC">
                  <w:pPr>
                    <w:keepNext w:val="0"/>
                    <w:keepLines w:val="0"/>
                    <w:pageBreakBefore w:val="0"/>
                    <w:widowControl/>
                    <w:kinsoku/>
                    <w:wordWrap/>
                    <w:overflowPunct/>
                    <w:topLinePunct w:val="0"/>
                    <w:autoSpaceDE/>
                    <w:autoSpaceDN/>
                    <w:bidi w:val="0"/>
                    <w:adjustRightInd w:val="0"/>
                    <w:snapToGrid w:val="0"/>
                    <w:jc w:val="left"/>
                    <w:textAlignment w:val="auto"/>
                    <w:rPr>
                      <w:rFonts w:hint="eastAsia"/>
                      <w:color w:val="auto"/>
                      <w:sz w:val="21"/>
                      <w:szCs w:val="21"/>
                    </w:rPr>
                  </w:pPr>
                  <w:r>
                    <w:rPr>
                      <w:rFonts w:hint="eastAsia"/>
                      <w:color w:val="auto"/>
                      <w:sz w:val="21"/>
                      <w:szCs w:val="21"/>
                    </w:rPr>
                    <w:t>1.引导工业项目向开发区集中，促进产业集聚、资源集约、绿色发展。</w:t>
                  </w:r>
                </w:p>
                <w:p w14:paraId="3B48CB52">
                  <w:pPr>
                    <w:pStyle w:val="61"/>
                    <w:keepNext w:val="0"/>
                    <w:keepLines w:val="0"/>
                    <w:pageBreakBefore w:val="0"/>
                    <w:widowControl/>
                    <w:kinsoku/>
                    <w:wordWrap/>
                    <w:overflowPunct/>
                    <w:topLinePunct w:val="0"/>
                    <w:autoSpaceDE/>
                    <w:autoSpaceDN/>
                    <w:bidi w:val="0"/>
                    <w:adjustRightInd w:val="0"/>
                    <w:snapToGrid w:val="0"/>
                    <w:jc w:val="left"/>
                    <w:textAlignment w:val="auto"/>
                    <w:rPr>
                      <w:color w:val="auto"/>
                      <w:sz w:val="21"/>
                      <w:szCs w:val="21"/>
                    </w:rPr>
                  </w:pPr>
                  <w:r>
                    <w:rPr>
                      <w:rFonts w:hint="eastAsia"/>
                      <w:color w:val="auto"/>
                      <w:sz w:val="21"/>
                      <w:szCs w:val="21"/>
                    </w:rPr>
                    <w:t>2.强化节能环保标准约束，严格行业规范、准入管理和节能审查，对电力、钢铁、建材、有色、化工、石油石化、船舶、煤炭、印染、造纸、制革、染料、焦化、电镀等行业中，环保、能耗、安全等不达标或生产、使用淘汰类产品的企业和产能，要依法依规有序退出。</w:t>
                  </w:r>
                </w:p>
              </w:tc>
              <w:tc>
                <w:tcPr>
                  <w:tcW w:w="1411" w:type="pct"/>
                  <w:tcBorders>
                    <w:right w:val="single" w:color="auto" w:sz="4" w:space="0"/>
                  </w:tcBorders>
                  <w:noWrap w:val="0"/>
                  <w:vAlign w:val="center"/>
                </w:tcPr>
                <w:p w14:paraId="59774217">
                  <w:pPr>
                    <w:pStyle w:val="53"/>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smallCaps w:val="0"/>
                      <w:color w:val="auto"/>
                      <w:sz w:val="21"/>
                      <w:szCs w:val="21"/>
                      <w:highlight w:val="none"/>
                    </w:rPr>
                    <w:t>本工程不属于高污染行业</w:t>
                  </w:r>
                  <w:r>
                    <w:rPr>
                      <w:rFonts w:hint="default" w:ascii="Times New Roman" w:hAnsi="Times New Roman" w:eastAsia="宋体" w:cs="Times New Roman"/>
                      <w:b w:val="0"/>
                      <w:bCs w:val="0"/>
                      <w:smallCaps w:val="0"/>
                      <w:color w:val="auto"/>
                      <w:sz w:val="21"/>
                      <w:szCs w:val="21"/>
                      <w:highlight w:val="none"/>
                      <w:lang w:eastAsia="zh-CN"/>
                    </w:rPr>
                    <w:t>，</w:t>
                  </w:r>
                  <w:r>
                    <w:rPr>
                      <w:rFonts w:hint="default" w:ascii="Times New Roman" w:hAnsi="Times New Roman" w:eastAsia="宋体" w:cs="Times New Roman"/>
                      <w:b w:val="0"/>
                      <w:bCs w:val="0"/>
                      <w:smallCaps w:val="0"/>
                      <w:color w:val="auto"/>
                      <w:sz w:val="21"/>
                      <w:szCs w:val="21"/>
                      <w:highlight w:val="none"/>
                      <w:lang w:val="en-US" w:eastAsia="zh-CN"/>
                    </w:rPr>
                    <w:t>不涉及废污水排放</w:t>
                  </w:r>
                  <w:r>
                    <w:rPr>
                      <w:rFonts w:hint="default" w:ascii="Times New Roman" w:hAnsi="Times New Roman" w:eastAsia="宋体" w:cs="Times New Roman"/>
                      <w:b w:val="0"/>
                      <w:bCs w:val="0"/>
                      <w:smallCaps w:val="0"/>
                      <w:color w:val="auto"/>
                      <w:sz w:val="21"/>
                      <w:szCs w:val="21"/>
                      <w:highlight w:val="none"/>
                    </w:rPr>
                    <w:t>。工程实施后</w:t>
                  </w:r>
                  <w:r>
                    <w:rPr>
                      <w:rFonts w:hint="default" w:ascii="Times New Roman" w:hAnsi="Times New Roman" w:eastAsia="宋体" w:cs="Times New Roman"/>
                      <w:color w:val="auto"/>
                      <w:sz w:val="21"/>
                      <w:szCs w:val="21"/>
                      <w:highlight w:val="none"/>
                      <w:lang w:val="en-US" w:eastAsia="zh-CN"/>
                    </w:rPr>
                    <w:t>，可消除</w:t>
                  </w:r>
                  <w:r>
                    <w:rPr>
                      <w:rFonts w:hint="eastAsia" w:ascii="Times New Roman" w:hAnsi="Times New Roman" w:cs="Times New Roman"/>
                      <w:color w:val="auto"/>
                      <w:sz w:val="21"/>
                      <w:szCs w:val="21"/>
                      <w:highlight w:val="none"/>
                      <w:lang w:val="en-US" w:eastAsia="zh-CN"/>
                    </w:rPr>
                    <w:t>青年水库</w:t>
                  </w:r>
                  <w:r>
                    <w:rPr>
                      <w:rFonts w:hint="default" w:ascii="Times New Roman" w:hAnsi="Times New Roman" w:eastAsia="宋体" w:cs="Times New Roman"/>
                      <w:color w:val="auto"/>
                      <w:sz w:val="21"/>
                      <w:szCs w:val="21"/>
                      <w:highlight w:val="none"/>
                      <w:lang w:val="en-US" w:eastAsia="zh-CN"/>
                    </w:rPr>
                    <w:t>电站安全隐患，提高生产效率，增加发电效益，对电站本身的利益是非常重要的，</w:t>
                  </w:r>
                  <w:r>
                    <w:rPr>
                      <w:rFonts w:hint="eastAsia" w:ascii="Times New Roman" w:hAnsi="Times New Roman" w:cs="Times New Roman"/>
                      <w:color w:val="auto"/>
                      <w:sz w:val="21"/>
                      <w:szCs w:val="21"/>
                      <w:highlight w:val="none"/>
                      <w:lang w:val="en-US" w:eastAsia="zh-CN"/>
                    </w:rPr>
                    <w:t>同时</w:t>
                  </w:r>
                  <w:r>
                    <w:rPr>
                      <w:rFonts w:hint="default" w:ascii="Times New Roman" w:hAnsi="Times New Roman" w:eastAsia="宋体" w:cs="Times New Roman"/>
                      <w:color w:val="auto"/>
                      <w:sz w:val="21"/>
                      <w:szCs w:val="21"/>
                      <w:highlight w:val="none"/>
                      <w:lang w:val="en-US" w:eastAsia="zh-CN"/>
                    </w:rPr>
                    <w:t>对电站的安全运行、流域水能资源的充分利用、促进当地社会经济发展，也是十分有利的。</w:t>
                  </w:r>
                </w:p>
                <w:p w14:paraId="443AA896">
                  <w:pPr>
                    <w:pStyle w:val="61"/>
                    <w:keepNext w:val="0"/>
                    <w:keepLines w:val="0"/>
                    <w:pageBreakBefore w:val="0"/>
                    <w:widowControl/>
                    <w:kinsoku/>
                    <w:wordWrap/>
                    <w:overflowPunct/>
                    <w:topLinePunct w:val="0"/>
                    <w:autoSpaceDE/>
                    <w:autoSpaceDN/>
                    <w:bidi w:val="0"/>
                    <w:adjustRightInd w:val="0"/>
                    <w:snapToGrid w:val="0"/>
                    <w:jc w:val="both"/>
                    <w:textAlignment w:val="auto"/>
                    <w:rPr>
                      <w:color w:val="auto"/>
                      <w:sz w:val="21"/>
                      <w:szCs w:val="21"/>
                    </w:rPr>
                  </w:pPr>
                </w:p>
              </w:tc>
            </w:tr>
          </w:tbl>
          <w:p w14:paraId="3179B78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eastAsia="宋体"/>
                <w:color w:val="auto"/>
                <w:kern w:val="0"/>
                <w:sz w:val="24"/>
                <w:szCs w:val="24"/>
                <w:lang w:val="en-US" w:eastAsia="zh-CN"/>
              </w:rPr>
            </w:pPr>
            <w:r>
              <w:rPr>
                <w:rFonts w:hint="eastAsia"/>
                <w:color w:val="auto"/>
                <w:kern w:val="0"/>
                <w:sz w:val="24"/>
                <w:szCs w:val="24"/>
                <w:lang w:eastAsia="zh-CN"/>
              </w:rPr>
              <w:t>（</w:t>
            </w:r>
            <w:r>
              <w:rPr>
                <w:rFonts w:hint="eastAsia"/>
                <w:color w:val="auto"/>
                <w:kern w:val="0"/>
                <w:sz w:val="24"/>
                <w:szCs w:val="24"/>
                <w:lang w:val="en-US" w:eastAsia="zh-CN"/>
              </w:rPr>
              <w:t>3）“一说明”</w:t>
            </w:r>
          </w:p>
          <w:p w14:paraId="3DB5687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olor w:val="auto"/>
                <w:kern w:val="0"/>
                <w:sz w:val="24"/>
                <w:szCs w:val="24"/>
              </w:rPr>
            </w:pPr>
            <w:r>
              <w:rPr>
                <w:rFonts w:hint="eastAsia"/>
                <w:color w:val="auto"/>
                <w:kern w:val="0"/>
                <w:sz w:val="24"/>
                <w:szCs w:val="24"/>
              </w:rPr>
              <w:t>密山市青年水库电站</w:t>
            </w:r>
            <w:r>
              <w:rPr>
                <w:rFonts w:hint="eastAsia"/>
                <w:color w:val="auto"/>
                <w:kern w:val="0"/>
                <w:sz w:val="24"/>
                <w:szCs w:val="24"/>
                <w:lang w:eastAsia="zh-CN"/>
              </w:rPr>
              <w:t>增效扩容</w:t>
            </w:r>
            <w:r>
              <w:rPr>
                <w:rFonts w:hint="eastAsia"/>
                <w:color w:val="auto"/>
                <w:kern w:val="0"/>
                <w:sz w:val="24"/>
                <w:szCs w:val="24"/>
              </w:rPr>
              <w:t>改造工程项目位置涉及鸡西市密山市</w:t>
            </w:r>
            <w:r>
              <w:rPr>
                <w:rFonts w:hint="eastAsia"/>
                <w:color w:val="auto"/>
                <w:kern w:val="0"/>
                <w:sz w:val="24"/>
                <w:szCs w:val="24"/>
                <w:lang w:eastAsia="zh-CN"/>
              </w:rPr>
              <w:t>。</w:t>
            </w:r>
            <w:r>
              <w:rPr>
                <w:rFonts w:hint="eastAsia"/>
                <w:color w:val="auto"/>
                <w:kern w:val="0"/>
                <w:sz w:val="24"/>
                <w:szCs w:val="24"/>
              </w:rPr>
              <w:t>项目占地总面积小于0.01平方公里。与生态保护红线</w:t>
            </w:r>
            <w:r>
              <w:rPr>
                <w:rFonts w:hint="eastAsia"/>
                <w:color w:val="auto"/>
                <w:kern w:val="0"/>
                <w:sz w:val="24"/>
                <w:szCs w:val="24"/>
                <w:lang w:eastAsia="zh-CN"/>
              </w:rPr>
              <w:t>、</w:t>
            </w:r>
            <w:r>
              <w:rPr>
                <w:rFonts w:hint="eastAsia"/>
                <w:color w:val="auto"/>
                <w:kern w:val="0"/>
                <w:sz w:val="24"/>
                <w:szCs w:val="24"/>
              </w:rPr>
              <w:t>自然保护地</w:t>
            </w:r>
            <w:r>
              <w:rPr>
                <w:rFonts w:hint="eastAsia"/>
                <w:color w:val="auto"/>
                <w:kern w:val="0"/>
                <w:sz w:val="24"/>
                <w:szCs w:val="24"/>
                <w:lang w:eastAsia="zh-CN"/>
              </w:rPr>
              <w:t>、</w:t>
            </w:r>
            <w:r>
              <w:rPr>
                <w:rFonts w:hint="eastAsia"/>
                <w:color w:val="auto"/>
                <w:kern w:val="0"/>
                <w:sz w:val="24"/>
                <w:szCs w:val="24"/>
              </w:rPr>
              <w:t>饮用水水源保护区</w:t>
            </w:r>
            <w:r>
              <w:rPr>
                <w:rFonts w:hint="eastAsia"/>
                <w:color w:val="auto"/>
                <w:kern w:val="0"/>
                <w:sz w:val="24"/>
                <w:szCs w:val="24"/>
                <w:lang w:eastAsia="zh-CN"/>
              </w:rPr>
              <w:t>、</w:t>
            </w:r>
            <w:r>
              <w:rPr>
                <w:rFonts w:hint="eastAsia"/>
                <w:color w:val="auto"/>
                <w:kern w:val="0"/>
                <w:sz w:val="24"/>
                <w:szCs w:val="24"/>
              </w:rPr>
              <w:t>国家级水产种质资源保护区交集面积为0.00平方公里，占项目占地面积的0.00%</w:t>
            </w:r>
            <w:r>
              <w:rPr>
                <w:rFonts w:hint="eastAsia"/>
                <w:color w:val="auto"/>
                <w:kern w:val="0"/>
                <w:sz w:val="24"/>
                <w:szCs w:val="24"/>
                <w:lang w:eastAsia="zh-CN"/>
              </w:rPr>
              <w:t>。</w:t>
            </w:r>
            <w:r>
              <w:rPr>
                <w:rFonts w:hint="eastAsia"/>
                <w:color w:val="auto"/>
                <w:kern w:val="0"/>
                <w:sz w:val="24"/>
                <w:szCs w:val="24"/>
              </w:rPr>
              <w:t>与环境管控单元优先保护单元交集面积为小于0.01平方公里，占项目占地面积的89.18%</w:t>
            </w:r>
            <w:r>
              <w:rPr>
                <w:rFonts w:hint="eastAsia"/>
                <w:color w:val="auto"/>
                <w:kern w:val="0"/>
                <w:sz w:val="24"/>
                <w:szCs w:val="24"/>
                <w:lang w:eastAsia="zh-CN"/>
              </w:rPr>
              <w:t>；</w:t>
            </w:r>
            <w:r>
              <w:rPr>
                <w:rFonts w:hint="eastAsia"/>
                <w:color w:val="auto"/>
                <w:kern w:val="0"/>
                <w:sz w:val="24"/>
                <w:szCs w:val="24"/>
              </w:rPr>
              <w:t>与重点管控单元交集面积为0.00平方公里，占项目占地面积的0.00%</w:t>
            </w:r>
            <w:r>
              <w:rPr>
                <w:rFonts w:hint="eastAsia"/>
                <w:color w:val="auto"/>
                <w:kern w:val="0"/>
                <w:sz w:val="24"/>
                <w:szCs w:val="24"/>
                <w:lang w:eastAsia="zh-CN"/>
              </w:rPr>
              <w:t>；</w:t>
            </w:r>
            <w:r>
              <w:rPr>
                <w:rFonts w:hint="eastAsia"/>
                <w:color w:val="auto"/>
                <w:kern w:val="0"/>
                <w:sz w:val="24"/>
                <w:szCs w:val="24"/>
                <w:lang w:val="en-US" w:eastAsia="zh-CN"/>
              </w:rPr>
              <w:t>与</w:t>
            </w:r>
            <w:r>
              <w:rPr>
                <w:rFonts w:hint="eastAsia"/>
                <w:color w:val="auto"/>
                <w:kern w:val="0"/>
                <w:sz w:val="24"/>
                <w:szCs w:val="24"/>
              </w:rPr>
              <w:t>一般管控单元交集面积为小于0.01平方公里，占项目占地面积的10.82%。</w:t>
            </w:r>
          </w:p>
          <w:p w14:paraId="5BA6ADB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kern w:val="0"/>
                <w:sz w:val="24"/>
                <w:szCs w:val="24"/>
              </w:rPr>
            </w:pPr>
            <w:r>
              <w:rPr>
                <w:rFonts w:hint="eastAsia"/>
                <w:color w:val="auto"/>
                <w:kern w:val="0"/>
                <w:sz w:val="24"/>
                <w:szCs w:val="24"/>
              </w:rPr>
              <w:t>本工程无新增永久占地，临时占地不涉及永久基本农田、基本草原及自然保护区等环境敏感区；且工程运行期间不产生废水、废气等污染物；施工期间产生的废污水回用不外排；大气污染物通过洒水降尘等措施有效抑尘；工程生活区、生产区等临时设施均避开了生态保护红线区域，施工前进行表土剥离，施工结束后进行复垦及植被恢复；在严格落实本报告提出的各项措施后，工程建设对外环境影响较小，因此本项目符合鸡西市生态环境准入清单要求。</w:t>
            </w:r>
          </w:p>
          <w:p w14:paraId="1940832E">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lang w:val="en-US" w:eastAsia="zh-CN"/>
              </w:rPr>
              <w:t>3.与相关规划、相关政策</w:t>
            </w:r>
            <w:r>
              <w:rPr>
                <w:rFonts w:hint="default" w:ascii="Times New Roman" w:hAnsi="Times New Roman" w:cs="Times New Roman"/>
                <w:b/>
                <w:color w:val="auto"/>
                <w:sz w:val="24"/>
                <w:szCs w:val="24"/>
                <w:highlight w:val="none"/>
              </w:rPr>
              <w:t>符合性分析</w:t>
            </w:r>
          </w:p>
          <w:p w14:paraId="13D1B8C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smallCaps w:val="0"/>
                <w:color w:val="auto"/>
                <w:kern w:val="2"/>
                <w:sz w:val="24"/>
                <w:szCs w:val="24"/>
                <w:highlight w:val="none"/>
                <w:lang w:val="en-US" w:eastAsia="zh-CN" w:bidi="ar-SA"/>
              </w:rPr>
            </w:pPr>
            <w:r>
              <w:rPr>
                <w:rFonts w:hint="default" w:ascii="Times New Roman" w:hAnsi="Times New Roman" w:eastAsia="宋体" w:cs="Times New Roman"/>
                <w:b w:val="0"/>
                <w:bCs w:val="0"/>
                <w:smallCaps w:val="0"/>
                <w:color w:val="auto"/>
                <w:kern w:val="2"/>
                <w:sz w:val="24"/>
                <w:szCs w:val="24"/>
                <w:highlight w:val="none"/>
                <w:lang w:val="en-US" w:eastAsia="zh-CN" w:bidi="ar-SA"/>
              </w:rPr>
              <w:t>（1）与《黑龙江省主体功能区规划》符合性分析</w:t>
            </w:r>
          </w:p>
          <w:p w14:paraId="039A7D3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kern w:val="0"/>
                <w:sz w:val="24"/>
                <w:szCs w:val="24"/>
              </w:rPr>
            </w:pPr>
            <w:r>
              <w:rPr>
                <w:color w:val="auto"/>
                <w:kern w:val="0"/>
                <w:sz w:val="24"/>
                <w:szCs w:val="24"/>
              </w:rPr>
              <w:t>根据《黑龙江省主体功能区规划》，工程建设地点所在的</w:t>
            </w:r>
            <w:r>
              <w:rPr>
                <w:rFonts w:hint="eastAsia"/>
                <w:color w:val="auto"/>
                <w:kern w:val="0"/>
                <w:sz w:val="24"/>
                <w:szCs w:val="24"/>
              </w:rPr>
              <w:t>密山市属于限制开发区域（国家重点生态功能区），该区域功能定位以提供生态产品为主，保障生态安全的重要区域，人与自然和谐相处的示范区；未来发展方向应在保护生态的前提下，积极发展农业生产，努力提高粮食产量，保障国家粮食安全和食品安全，增加农民收入。该区域在国土空间开发中限制进行大规模高强度工业化和城镇化开发，以保持生态产品供给能力的区域。</w:t>
            </w:r>
          </w:p>
          <w:p w14:paraId="3567C61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smallCaps w:val="0"/>
                <w:color w:val="auto"/>
                <w:kern w:val="2"/>
                <w:sz w:val="24"/>
                <w:szCs w:val="24"/>
                <w:highlight w:val="none"/>
                <w:lang w:val="en-US" w:eastAsia="zh-CN" w:bidi="ar-SA"/>
              </w:rPr>
            </w:pPr>
            <w:r>
              <w:rPr>
                <w:rFonts w:hint="default" w:ascii="Times New Roman" w:hAnsi="Times New Roman" w:eastAsia="宋体" w:cs="Times New Roman"/>
                <w:b w:val="0"/>
                <w:bCs w:val="0"/>
                <w:smallCaps w:val="0"/>
                <w:color w:val="auto"/>
                <w:kern w:val="2"/>
                <w:sz w:val="24"/>
                <w:szCs w:val="24"/>
                <w:highlight w:val="none"/>
                <w:lang w:val="en-US" w:eastAsia="zh-CN" w:bidi="ar-SA"/>
              </w:rPr>
              <w:t>本项目为水电站增效扩容改造，不新增装机容量，仅通过优化运行提升发电量，属于现有能源设施的提质升级，未改变区域土地利用性质和农业生产空间布局。本项目不涉及新增占地，未占用农业生产用地或破坏农业发展条件。因此，工程建设与限制开发区域的功能定位无冲突，项目实施将为农业生产（如灌溉、农机作业）、农村生活提供稳定的清洁能源，符合《黑龙江省主体功能区规划》。</w:t>
            </w:r>
          </w:p>
          <w:p w14:paraId="3DB8584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smallCaps w:val="0"/>
                <w:color w:val="auto"/>
                <w:kern w:val="2"/>
                <w:sz w:val="24"/>
                <w:szCs w:val="24"/>
                <w:highlight w:val="none"/>
                <w:lang w:val="en-US" w:eastAsia="zh-CN" w:bidi="ar-SA"/>
              </w:rPr>
            </w:pPr>
            <w:r>
              <w:rPr>
                <w:rFonts w:hint="default" w:ascii="Times New Roman" w:hAnsi="Times New Roman" w:eastAsia="宋体" w:cs="Times New Roman"/>
                <w:b w:val="0"/>
                <w:bCs w:val="0"/>
                <w:smallCaps w:val="0"/>
                <w:color w:val="auto"/>
                <w:kern w:val="2"/>
                <w:sz w:val="24"/>
                <w:szCs w:val="24"/>
                <w:highlight w:val="none"/>
                <w:lang w:val="en-US" w:eastAsia="zh-CN" w:bidi="ar-SA"/>
              </w:rPr>
              <w:t>（2）与《黑龙江省生态功能区划》符合性分析</w:t>
            </w:r>
          </w:p>
          <w:p w14:paraId="08793BD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kern w:val="0"/>
                <w:sz w:val="24"/>
                <w:szCs w:val="24"/>
              </w:rPr>
            </w:pPr>
            <w:r>
              <w:rPr>
                <w:rFonts w:hint="eastAsia"/>
                <w:color w:val="auto"/>
                <w:kern w:val="0"/>
                <w:sz w:val="24"/>
                <w:szCs w:val="24"/>
              </w:rPr>
              <w:t>工程位于密山市，</w:t>
            </w:r>
            <w:r>
              <w:rPr>
                <w:color w:val="auto"/>
                <w:kern w:val="0"/>
                <w:sz w:val="24"/>
                <w:szCs w:val="24"/>
              </w:rPr>
              <w:t>根据《黑龙江省生态功能区划》，</w:t>
            </w:r>
            <w:r>
              <w:rPr>
                <w:rFonts w:hint="eastAsia"/>
                <w:color w:val="auto"/>
                <w:kern w:val="0"/>
                <w:sz w:val="24"/>
                <w:szCs w:val="24"/>
              </w:rPr>
              <w:t>工程所在区域属</w:t>
            </w:r>
            <w:r>
              <w:rPr>
                <w:color w:val="auto"/>
                <w:kern w:val="0"/>
                <w:sz w:val="24"/>
                <w:szCs w:val="24"/>
              </w:rPr>
              <w:t>“</w:t>
            </w:r>
            <w:r>
              <w:rPr>
                <w:rFonts w:hint="eastAsia" w:ascii="宋体" w:hAnsi="宋体" w:cs="宋体"/>
                <w:color w:val="auto"/>
                <w:kern w:val="0"/>
                <w:sz w:val="24"/>
                <w:szCs w:val="24"/>
              </w:rPr>
              <w:t>Ⅰ</w:t>
            </w:r>
            <w:r>
              <w:rPr>
                <w:color w:val="auto"/>
                <w:kern w:val="0"/>
                <w:sz w:val="24"/>
                <w:szCs w:val="24"/>
              </w:rPr>
              <w:t>—3—3—2兴凯湖农、牧、渔业与湿地及生物多样性保护生态功能区”。</w:t>
            </w:r>
            <w:r>
              <w:rPr>
                <w:rFonts w:hint="eastAsia"/>
                <w:color w:val="auto"/>
                <w:sz w:val="24"/>
                <w:szCs w:val="24"/>
              </w:rPr>
              <w:t xml:space="preserve"> </w:t>
            </w:r>
            <w:r>
              <w:rPr>
                <w:rFonts w:hint="eastAsia"/>
                <w:color w:val="auto"/>
                <w:kern w:val="0"/>
                <w:sz w:val="24"/>
                <w:szCs w:val="24"/>
              </w:rPr>
              <w:t>该区域主要生态环境问题为“湖泊水体有潜在富营养化的趋势；湿地保护区被耕地包围，湿地生态功能衰退”。生态环境敏感性表现为“该区东南部边缘地区生物多样性敏感性为极敏感，高度敏感性地区所占面积较大”。主要生态系统服务功能为“土壤保持、生物多样性保护、自然人文景观保护、农牧渔生产、旅游”，保护措施与发展方向为“加强保护区建设，以减少人为因素对其的影响，改善周围湿地质量。科学发展农牧渔业”。</w:t>
            </w:r>
          </w:p>
          <w:p w14:paraId="3F3E39D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smallCaps w:val="0"/>
                <w:color w:val="auto"/>
                <w:kern w:val="2"/>
                <w:sz w:val="24"/>
                <w:szCs w:val="24"/>
                <w:highlight w:val="none"/>
                <w:lang w:val="en-US" w:eastAsia="zh-CN" w:bidi="ar-SA"/>
              </w:rPr>
            </w:pPr>
            <w:r>
              <w:rPr>
                <w:rFonts w:hint="default" w:ascii="Times New Roman" w:hAnsi="Times New Roman" w:eastAsia="宋体" w:cs="Times New Roman"/>
                <w:b w:val="0"/>
                <w:bCs w:val="0"/>
                <w:smallCaps w:val="0"/>
                <w:color w:val="auto"/>
                <w:kern w:val="2"/>
                <w:sz w:val="24"/>
                <w:szCs w:val="24"/>
                <w:highlight w:val="none"/>
                <w:lang w:val="en-US" w:eastAsia="zh-CN" w:bidi="ar-SA"/>
              </w:rPr>
              <w:t>本项目为水力发电工程，用水工艺是通过大坝拦蓄河道径流，来水经拦河坝拦蓄后进入电站厂房机组，通过水轮发电机组发电后经尾水渠排入下游河道，水轮机发电尾水不改变水质，发电尾水直接排放至原河道，对下游河流水质不产生影响。</w:t>
            </w:r>
          </w:p>
          <w:p w14:paraId="085110D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smallCaps w:val="0"/>
                <w:color w:val="auto"/>
                <w:kern w:val="2"/>
                <w:sz w:val="24"/>
                <w:szCs w:val="24"/>
                <w:highlight w:val="none"/>
                <w:lang w:val="en-US" w:eastAsia="zh-CN" w:bidi="ar-SA"/>
              </w:rPr>
            </w:pPr>
            <w:r>
              <w:rPr>
                <w:rFonts w:hint="default" w:ascii="Times New Roman" w:hAnsi="Times New Roman" w:eastAsia="宋体" w:cs="Times New Roman"/>
                <w:b w:val="0"/>
                <w:bCs w:val="0"/>
                <w:smallCaps w:val="0"/>
                <w:color w:val="auto"/>
                <w:kern w:val="2"/>
                <w:sz w:val="24"/>
                <w:szCs w:val="24"/>
                <w:highlight w:val="none"/>
                <w:lang w:val="en-US" w:eastAsia="zh-CN" w:bidi="ar-SA"/>
              </w:rPr>
              <w:t>本项目为无新增占地，不涉及开挖地表、破坏地表植被等工程行为，不会加剧区域水土流失；施工期不涉及取土、填土等可能改变土壤结构的作业，不会使区域生态环境恶化，增加区域的环境敏感度。因此，项目符合《黑龙江省生态功能区划》。</w:t>
            </w:r>
          </w:p>
          <w:p w14:paraId="66ED8CBE">
            <w:pPr>
              <w:keepNext w:val="0"/>
              <w:keepLines w:val="0"/>
              <w:pageBreakBefore w:val="0"/>
              <w:widowControl w:val="0"/>
              <w:numPr>
                <w:ilvl w:val="0"/>
                <w:numId w:val="2"/>
              </w:numPr>
              <w:kinsoku/>
              <w:wordWrap/>
              <w:overflowPunct/>
              <w:topLinePunct w:val="0"/>
              <w:autoSpaceDE/>
              <w:autoSpaceDN/>
              <w:bidi w:val="0"/>
              <w:adjustRightInd w:val="0"/>
              <w:snapToGrid w:val="0"/>
              <w:spacing w:line="360" w:lineRule="auto"/>
              <w:ind w:firstLine="480" w:firstLineChars="200"/>
              <w:textAlignment w:val="auto"/>
              <w:rPr>
                <w:rFonts w:hint="eastAsia" w:cs="Times New Roman"/>
                <w:b w:val="0"/>
                <w:bCs w:val="0"/>
                <w:smallCaps w:val="0"/>
                <w:color w:val="auto"/>
                <w:kern w:val="2"/>
                <w:sz w:val="24"/>
                <w:szCs w:val="24"/>
                <w:highlight w:val="none"/>
                <w:lang w:val="en-US" w:eastAsia="zh-CN" w:bidi="ar-SA"/>
              </w:rPr>
            </w:pPr>
            <w:r>
              <w:rPr>
                <w:rFonts w:hint="default" w:ascii="Times New Roman" w:hAnsi="Times New Roman" w:eastAsia="宋体" w:cs="Times New Roman"/>
                <w:b w:val="0"/>
                <w:bCs w:val="0"/>
                <w:smallCaps w:val="0"/>
                <w:color w:val="auto"/>
                <w:kern w:val="2"/>
                <w:sz w:val="24"/>
                <w:szCs w:val="24"/>
                <w:highlight w:val="none"/>
                <w:lang w:val="en-US" w:eastAsia="zh-CN" w:bidi="ar-SA"/>
              </w:rPr>
              <w:t>与《黑龙江省重点流域水生态环境保护规划》</w:t>
            </w:r>
            <w:r>
              <w:rPr>
                <w:rFonts w:hint="eastAsia" w:cs="Times New Roman"/>
                <w:b w:val="0"/>
                <w:bCs w:val="0"/>
                <w:smallCaps w:val="0"/>
                <w:color w:val="auto"/>
                <w:kern w:val="2"/>
                <w:sz w:val="24"/>
                <w:szCs w:val="24"/>
                <w:highlight w:val="none"/>
                <w:lang w:val="en-US" w:eastAsia="zh-CN" w:bidi="ar-SA"/>
              </w:rPr>
              <w:t>符合性分析</w:t>
            </w:r>
          </w:p>
          <w:p w14:paraId="4F5BDE28">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smallCaps w:val="0"/>
                <w:color w:val="auto"/>
                <w:kern w:val="2"/>
                <w:sz w:val="24"/>
                <w:szCs w:val="24"/>
                <w:highlight w:val="none"/>
                <w:lang w:val="en-US" w:eastAsia="zh-CN" w:bidi="ar-SA"/>
              </w:rPr>
            </w:pPr>
            <w:r>
              <w:rPr>
                <w:rFonts w:hint="default" w:ascii="Times New Roman" w:hAnsi="Times New Roman" w:eastAsia="宋体" w:cs="Times New Roman"/>
                <w:b w:val="0"/>
                <w:bCs w:val="0"/>
                <w:smallCaps w:val="0"/>
                <w:color w:val="auto"/>
                <w:kern w:val="2"/>
                <w:sz w:val="24"/>
                <w:szCs w:val="24"/>
                <w:highlight w:val="none"/>
                <w:lang w:val="en-US" w:eastAsia="zh-CN" w:bidi="ar-SA"/>
              </w:rPr>
              <w:t>根据《黑龙江省重点流域水生态环境保护规划》</w:t>
            </w:r>
            <w:r>
              <w:rPr>
                <w:rFonts w:hint="eastAsia" w:cs="Times New Roman"/>
                <w:b w:val="0"/>
                <w:bCs w:val="0"/>
                <w:smallCaps w:val="0"/>
                <w:color w:val="auto"/>
                <w:kern w:val="2"/>
                <w:sz w:val="24"/>
                <w:szCs w:val="24"/>
                <w:highlight w:val="none"/>
                <w:lang w:val="en-US" w:eastAsia="zh-CN" w:bidi="ar-SA"/>
              </w:rPr>
              <w:t>：</w:t>
            </w:r>
            <w:r>
              <w:rPr>
                <w:rFonts w:hint="default" w:ascii="Times New Roman" w:hAnsi="Times New Roman" w:eastAsia="宋体" w:cs="Times New Roman"/>
                <w:b w:val="0"/>
                <w:bCs w:val="0"/>
                <w:smallCaps w:val="0"/>
                <w:color w:val="auto"/>
                <w:kern w:val="2"/>
                <w:sz w:val="24"/>
                <w:szCs w:val="24"/>
                <w:highlight w:val="none"/>
                <w:lang w:val="en-US" w:eastAsia="zh-CN" w:bidi="ar-SA"/>
              </w:rPr>
              <w:t>“水库、水电站、闸坝等水工程管理单位应按国家有关标准，建设完善生态流量监测设施，并按要求接入水行政主管部门有关监控平台。建立健全部门间监测数据共享机制，推进生态流量、水生态监测数据共享。”</w:t>
            </w:r>
            <w:r>
              <w:rPr>
                <w:rFonts w:hint="eastAsia" w:cs="Times New Roman"/>
                <w:b w:val="0"/>
                <w:bCs w:val="0"/>
                <w:smallCaps w:val="0"/>
                <w:color w:val="auto"/>
                <w:kern w:val="2"/>
                <w:sz w:val="24"/>
                <w:szCs w:val="24"/>
                <w:highlight w:val="none"/>
                <w:lang w:val="en-US" w:eastAsia="zh-CN" w:bidi="ar-SA"/>
              </w:rPr>
              <w:t>本工程</w:t>
            </w:r>
            <w:r>
              <w:rPr>
                <w:rFonts w:hint="eastAsia" w:ascii="Times New Roman" w:hAnsi="Times New Roman" w:cs="Times New Roman"/>
                <w:color w:val="auto"/>
                <w:sz w:val="24"/>
                <w:szCs w:val="24"/>
                <w:lang w:val="en-US" w:eastAsia="zh-CN"/>
              </w:rPr>
              <w:t>通过采取设置拦河坝生态泄流口，安装生态流量监测设施，</w:t>
            </w:r>
            <w:r>
              <w:rPr>
                <w:rFonts w:hint="default" w:ascii="Times New Roman" w:hAnsi="Times New Roman" w:cs="Times New Roman"/>
                <w:color w:val="auto"/>
                <w:sz w:val="24"/>
                <w:szCs w:val="24"/>
                <w:lang w:val="en-US" w:eastAsia="zh-CN"/>
              </w:rPr>
              <w:t>监控</w:t>
            </w:r>
            <w:r>
              <w:rPr>
                <w:rFonts w:hint="eastAsia" w:ascii="Times New Roman" w:hAnsi="Times New Roman" w:cs="Times New Roman"/>
                <w:color w:val="auto"/>
                <w:sz w:val="24"/>
                <w:szCs w:val="24"/>
                <w:lang w:val="en-US" w:eastAsia="zh-CN"/>
              </w:rPr>
              <w:t>上游来水流量及</w:t>
            </w:r>
            <w:r>
              <w:rPr>
                <w:rFonts w:hint="default" w:ascii="Times New Roman" w:hAnsi="Times New Roman" w:cs="Times New Roman"/>
                <w:color w:val="auto"/>
                <w:sz w:val="24"/>
                <w:szCs w:val="24"/>
                <w:lang w:val="en-US" w:eastAsia="zh-CN"/>
              </w:rPr>
              <w:t>下泄生态流量</w:t>
            </w:r>
            <w:r>
              <w:rPr>
                <w:rFonts w:hint="eastAsia" w:ascii="Times New Roman" w:hAnsi="Times New Roman" w:cs="Times New Roman"/>
                <w:color w:val="auto"/>
                <w:sz w:val="24"/>
                <w:szCs w:val="24"/>
                <w:lang w:val="en-US" w:eastAsia="zh-CN"/>
              </w:rPr>
              <w:t>。</w:t>
            </w:r>
            <w:r>
              <w:rPr>
                <w:rFonts w:hint="eastAsia" w:cs="Times New Roman"/>
                <w:color w:val="auto"/>
                <w:sz w:val="24"/>
                <w:szCs w:val="24"/>
                <w:lang w:val="en-US" w:eastAsia="zh-CN"/>
              </w:rPr>
              <w:t>生态流量监测设施已与水利厅系统连网。符合规划要求。</w:t>
            </w:r>
          </w:p>
          <w:p w14:paraId="2E482ED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smallCaps w:val="0"/>
                <w:color w:val="auto"/>
                <w:kern w:val="2"/>
                <w:sz w:val="24"/>
                <w:szCs w:val="24"/>
                <w:highlight w:val="none"/>
                <w:lang w:val="en-US" w:eastAsia="zh-CN" w:bidi="ar-SA"/>
              </w:rPr>
            </w:pPr>
            <w:r>
              <w:rPr>
                <w:rFonts w:hint="eastAsia" w:cs="Times New Roman"/>
                <w:b w:val="0"/>
                <w:bCs w:val="0"/>
                <w:smallCaps w:val="0"/>
                <w:color w:val="auto"/>
                <w:kern w:val="2"/>
                <w:sz w:val="24"/>
                <w:szCs w:val="24"/>
                <w:highlight w:val="none"/>
                <w:lang w:val="en-US" w:eastAsia="zh-CN" w:bidi="ar-SA"/>
              </w:rPr>
              <w:t>（4）</w:t>
            </w:r>
            <w:r>
              <w:rPr>
                <w:rFonts w:hint="default" w:ascii="Times New Roman" w:hAnsi="Times New Roman" w:eastAsia="宋体" w:cs="Times New Roman"/>
                <w:b w:val="0"/>
                <w:bCs w:val="0"/>
                <w:smallCaps w:val="0"/>
                <w:color w:val="auto"/>
                <w:kern w:val="2"/>
                <w:sz w:val="24"/>
                <w:szCs w:val="24"/>
                <w:highlight w:val="none"/>
                <w:lang w:val="en-US" w:eastAsia="zh-CN" w:bidi="ar-SA"/>
              </w:rPr>
              <w:t>《关于加强小水电站生态流量监管的通知》符合性分析</w:t>
            </w:r>
          </w:p>
          <w:p w14:paraId="51F7F0E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smallCaps w:val="0"/>
                <w:color w:val="auto"/>
                <w:kern w:val="2"/>
                <w:sz w:val="24"/>
                <w:szCs w:val="24"/>
                <w:highlight w:val="none"/>
                <w:lang w:val="en-US" w:eastAsia="zh-CN" w:bidi="ar-SA"/>
              </w:rPr>
            </w:pPr>
            <w:r>
              <w:rPr>
                <w:rFonts w:hint="default" w:ascii="Times New Roman" w:hAnsi="Times New Roman" w:eastAsia="宋体" w:cs="Times New Roman"/>
                <w:b w:val="0"/>
                <w:bCs w:val="0"/>
                <w:smallCaps w:val="0"/>
                <w:color w:val="auto"/>
                <w:kern w:val="2"/>
                <w:sz w:val="24"/>
                <w:szCs w:val="24"/>
                <w:highlight w:val="none"/>
                <w:lang w:val="en-US" w:eastAsia="zh-CN" w:bidi="ar-SA"/>
              </w:rPr>
              <w:t>根据《关于加强小水电站生态流量监管的通知》：“坚持生态优先、绿色发展的原则，组织开展我省小水电站生态流量核定、泄放设施改造、生态调度运行、监测监控等工作，切实加强小水电站生态流量监督管理，尽快健全保障生态流量长效机制，力争于2023年12月底前全面落实小水电站生态流量。”</w:t>
            </w:r>
          </w:p>
          <w:p w14:paraId="6C6E241F">
            <w:pPr>
              <w:spacing w:line="360" w:lineRule="auto"/>
              <w:ind w:firstLine="480" w:firstLineChars="200"/>
              <w:rPr>
                <w:color w:val="auto"/>
                <w:sz w:val="24"/>
                <w:szCs w:val="22"/>
                <w:highlight w:val="none"/>
              </w:rPr>
            </w:pPr>
            <w:r>
              <w:rPr>
                <w:rFonts w:hint="eastAsia"/>
                <w:color w:val="auto"/>
                <w:sz w:val="24"/>
                <w:szCs w:val="22"/>
                <w:highlight w:val="none"/>
                <w:lang w:val="en-US" w:eastAsia="zh-CN"/>
              </w:rPr>
              <w:t>青年水库在2022年</w:t>
            </w:r>
            <w:r>
              <w:rPr>
                <w:color w:val="auto"/>
                <w:sz w:val="24"/>
                <w:szCs w:val="22"/>
                <w:highlight w:val="none"/>
              </w:rPr>
              <w:t>除险加固时增设生态泄放管，下泄生态流量，并按照《密山市青年水库生态流量保障实施方案》（2021.12）的下泄要求，下泄生态流量，满足水库坝下河道水生生态环境的要求。生态流量泄放管设置在距离输水涵洞尾端左侧1m处设有一支管生态流量管φ20cm，接一座阀门室，便于控制流量和检修。青年水库坝址断面生态流量为汛期0.29m</w:t>
            </w:r>
            <w:r>
              <w:rPr>
                <w:color w:val="auto"/>
                <w:sz w:val="24"/>
                <w:szCs w:val="22"/>
                <w:highlight w:val="none"/>
                <w:vertAlign w:val="superscript"/>
              </w:rPr>
              <w:t>3</w:t>
            </w:r>
            <w:r>
              <w:rPr>
                <w:color w:val="auto"/>
                <w:sz w:val="24"/>
                <w:szCs w:val="22"/>
                <w:highlight w:val="none"/>
              </w:rPr>
              <w:t>/s，非汛期为0.18m</w:t>
            </w:r>
            <w:r>
              <w:rPr>
                <w:color w:val="auto"/>
                <w:sz w:val="24"/>
                <w:szCs w:val="22"/>
                <w:highlight w:val="none"/>
                <w:vertAlign w:val="superscript"/>
              </w:rPr>
              <w:t>3</w:t>
            </w:r>
            <w:r>
              <w:rPr>
                <w:color w:val="auto"/>
                <w:sz w:val="24"/>
                <w:szCs w:val="22"/>
                <w:highlight w:val="none"/>
              </w:rPr>
              <w:t>/s。</w:t>
            </w:r>
          </w:p>
          <w:p w14:paraId="129270A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smallCaps w:val="0"/>
                <w:color w:val="auto"/>
                <w:kern w:val="2"/>
                <w:sz w:val="24"/>
                <w:szCs w:val="24"/>
                <w:highlight w:val="none"/>
                <w:lang w:val="en-US" w:eastAsia="zh-CN" w:bidi="ar-SA"/>
              </w:rPr>
            </w:pPr>
            <w:r>
              <w:rPr>
                <w:rFonts w:hint="eastAsia" w:cs="Times New Roman"/>
                <w:b w:val="0"/>
                <w:bCs w:val="0"/>
                <w:smallCaps w:val="0"/>
                <w:color w:val="auto"/>
                <w:kern w:val="2"/>
                <w:sz w:val="24"/>
                <w:szCs w:val="24"/>
                <w:highlight w:val="none"/>
                <w:lang w:val="en-US" w:eastAsia="zh-CN" w:bidi="ar-SA"/>
              </w:rPr>
              <w:t>青年水库电站从2022年除险加固施工至今未发电，已连接</w:t>
            </w:r>
            <w:r>
              <w:rPr>
                <w:rFonts w:hint="default" w:ascii="Times New Roman" w:hAnsi="Times New Roman" w:eastAsia="宋体" w:cs="Times New Roman"/>
                <w:b w:val="0"/>
                <w:bCs w:val="0"/>
                <w:smallCaps w:val="0"/>
                <w:color w:val="auto"/>
                <w:kern w:val="2"/>
                <w:sz w:val="24"/>
                <w:szCs w:val="24"/>
                <w:highlight w:val="none"/>
                <w:lang w:val="en-US" w:eastAsia="zh-CN" w:bidi="ar-SA"/>
              </w:rPr>
              <w:t>黑龙江省水利厅管理系统平台实时共享至监测平台。</w:t>
            </w:r>
          </w:p>
          <w:p w14:paraId="43B22D2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b w:val="0"/>
                <w:bCs w:val="0"/>
                <w:smallCaps w:val="0"/>
                <w:color w:val="auto"/>
                <w:kern w:val="2"/>
                <w:sz w:val="24"/>
                <w:szCs w:val="24"/>
                <w:highlight w:val="none"/>
                <w:lang w:val="en-US" w:eastAsia="zh-CN" w:bidi="ar-SA"/>
              </w:rPr>
            </w:pPr>
            <w:r>
              <w:rPr>
                <w:rFonts w:hint="eastAsia" w:ascii="Times New Roman" w:hAnsi="Times New Roman" w:eastAsia="宋体" w:cs="Times New Roman"/>
                <w:b w:val="0"/>
                <w:bCs w:val="0"/>
                <w:smallCaps w:val="0"/>
                <w:color w:val="auto"/>
                <w:kern w:val="2"/>
                <w:sz w:val="24"/>
                <w:szCs w:val="24"/>
                <w:highlight w:val="none"/>
                <w:lang w:val="en-US" w:eastAsia="zh-CN" w:bidi="ar-SA"/>
              </w:rPr>
              <w:t>（5）《黑龙江省“十四五”生态环境保护规划》的符合性分析</w:t>
            </w:r>
          </w:p>
          <w:p w14:paraId="1C32CF5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b w:val="0"/>
                <w:bCs w:val="0"/>
                <w:smallCaps w:val="0"/>
                <w:color w:val="auto"/>
                <w:kern w:val="2"/>
                <w:sz w:val="24"/>
                <w:szCs w:val="24"/>
                <w:highlight w:val="none"/>
                <w:lang w:val="en-US" w:eastAsia="zh-CN" w:bidi="ar-SA"/>
              </w:rPr>
            </w:pPr>
            <w:r>
              <w:rPr>
                <w:rFonts w:hint="eastAsia" w:ascii="Times New Roman" w:hAnsi="Times New Roman" w:eastAsia="宋体" w:cs="Times New Roman"/>
                <w:b w:val="0"/>
                <w:bCs w:val="0"/>
                <w:smallCaps w:val="0"/>
                <w:color w:val="auto"/>
                <w:kern w:val="2"/>
                <w:sz w:val="24"/>
                <w:szCs w:val="24"/>
                <w:highlight w:val="none"/>
                <w:lang w:val="en-US" w:eastAsia="zh-CN" w:bidi="ar-SA"/>
              </w:rPr>
              <w:t>《黑龙江省“十四五”生态环境保护规划》总体目标中指出：“...（2）生态环境持续改善。主要污染物排放总量持续减少，温室气体排放得到有效控制；空气质量全面改善，基本消除重污染天气；水生态环境质量稳步提升，基本消除天然河湖国控劣V类断面和城市建成区黑臭水体，水生态功能初步得到恢复；土壤和地下水环境质量总体保持稳定，城乡人居环境明显改善。（3）生态系统质量和稳定性稳步提升。北方生态屏障功能进一步提升，生物多样性得到有效保护，生物安全得到保障，生态系统服务功能不断增强，建成生态强省。”</w:t>
            </w:r>
          </w:p>
          <w:p w14:paraId="0C8E754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b w:val="0"/>
                <w:bCs w:val="0"/>
                <w:smallCaps w:val="0"/>
                <w:color w:val="auto"/>
                <w:kern w:val="2"/>
                <w:sz w:val="24"/>
                <w:szCs w:val="24"/>
                <w:highlight w:val="none"/>
                <w:lang w:val="en-US" w:eastAsia="zh-CN" w:bidi="ar-SA"/>
              </w:rPr>
            </w:pPr>
            <w:r>
              <w:rPr>
                <w:rFonts w:hint="eastAsia" w:ascii="Times New Roman" w:hAnsi="Times New Roman" w:eastAsia="宋体" w:cs="Times New Roman"/>
                <w:b w:val="0"/>
                <w:bCs w:val="0"/>
                <w:smallCaps w:val="0"/>
                <w:color w:val="auto"/>
                <w:kern w:val="2"/>
                <w:sz w:val="24"/>
                <w:szCs w:val="24"/>
                <w:highlight w:val="none"/>
                <w:lang w:val="en-US" w:eastAsia="zh-CN" w:bidi="ar-SA"/>
              </w:rPr>
              <w:t>本工程运行期间无大气及水污染物产生，无新增污染物排放；施工期间产生废水经治理后回用不外排，施工期间通过洒水降尘等措施有效抑尘，不违背“生态环境持续改善”的要求。因此，本工程建设与《黑龙江省“十四五”生态环境保护规划》是相符的。</w:t>
            </w:r>
          </w:p>
          <w:p w14:paraId="14E882A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smallCaps w:val="0"/>
                <w:color w:val="auto"/>
                <w:kern w:val="2"/>
                <w:sz w:val="24"/>
                <w:szCs w:val="24"/>
                <w:highlight w:val="none"/>
                <w:lang w:val="en-US" w:eastAsia="zh-CN" w:bidi="ar-SA"/>
              </w:rPr>
            </w:pPr>
            <w:r>
              <w:rPr>
                <w:rFonts w:hint="default" w:ascii="Times New Roman" w:hAnsi="Times New Roman" w:eastAsia="宋体" w:cs="Times New Roman"/>
                <w:b w:val="0"/>
                <w:bCs w:val="0"/>
                <w:smallCaps w:val="0"/>
                <w:color w:val="auto"/>
                <w:kern w:val="2"/>
                <w:sz w:val="24"/>
                <w:szCs w:val="24"/>
                <w:highlight w:val="none"/>
                <w:lang w:val="en-US" w:eastAsia="zh-CN" w:bidi="ar-SA"/>
              </w:rPr>
              <w:t>（</w:t>
            </w:r>
            <w:r>
              <w:rPr>
                <w:rFonts w:hint="eastAsia" w:cs="Times New Roman"/>
                <w:b w:val="0"/>
                <w:bCs w:val="0"/>
                <w:smallCaps w:val="0"/>
                <w:color w:val="auto"/>
                <w:kern w:val="2"/>
                <w:sz w:val="24"/>
                <w:szCs w:val="24"/>
                <w:highlight w:val="none"/>
                <w:lang w:val="en-US" w:eastAsia="zh-CN" w:bidi="ar-SA"/>
              </w:rPr>
              <w:t>6</w:t>
            </w:r>
            <w:r>
              <w:rPr>
                <w:rFonts w:hint="default" w:ascii="Times New Roman" w:hAnsi="Times New Roman" w:eastAsia="宋体" w:cs="Times New Roman"/>
                <w:b w:val="0"/>
                <w:bCs w:val="0"/>
                <w:smallCaps w:val="0"/>
                <w:color w:val="auto"/>
                <w:kern w:val="2"/>
                <w:sz w:val="24"/>
                <w:szCs w:val="24"/>
                <w:highlight w:val="none"/>
                <w:lang w:val="en-US" w:eastAsia="zh-CN" w:bidi="ar-SA"/>
              </w:rPr>
              <w:t>）与《黑龙江省小水电分类整改实施方案》符合性分析</w:t>
            </w:r>
          </w:p>
          <w:p w14:paraId="015E940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smallCaps w:val="0"/>
                <w:color w:val="auto"/>
                <w:kern w:val="2"/>
                <w:sz w:val="24"/>
                <w:szCs w:val="24"/>
                <w:highlight w:val="none"/>
                <w:lang w:val="en-US" w:eastAsia="zh-CN" w:bidi="ar-SA"/>
              </w:rPr>
            </w:pPr>
            <w:r>
              <w:rPr>
                <w:rFonts w:hint="default" w:ascii="Times New Roman" w:hAnsi="Times New Roman" w:eastAsia="宋体" w:cs="Times New Roman"/>
                <w:b w:val="0"/>
                <w:bCs w:val="0"/>
                <w:smallCaps w:val="0"/>
                <w:color w:val="auto"/>
                <w:kern w:val="2"/>
                <w:sz w:val="24"/>
                <w:szCs w:val="24"/>
                <w:highlight w:val="none"/>
                <w:lang w:val="en-US" w:eastAsia="zh-CN" w:bidi="ar-SA"/>
              </w:rPr>
              <w:t>根据《黑龙江省小水电分类整改实施方案》：“在有关部门前期组织开展排查摸底的基础上，重点核查水电站布置影响河流生态的具体问题，对水电开发的合规性全面梳理，包括是否履行立项审批（核准）、取水许可、环境影响评价、土地预审、林地征用等前期审批手续以及电站生态流量泄放情况。核查完成后，统筹考虑经济社会发展、社会稳定、生态环境影响、电站布局优化、整改修复可行性等，广泛征求水电站利益相关方的意见与建议，提出退出、整改或保留的综合评估报告，并向社会公开，建立台账。在综合评估报告的基础上，逐站制定退出或整改方案。”</w:t>
            </w:r>
          </w:p>
          <w:p w14:paraId="432B81F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smallCaps w:val="0"/>
                <w:color w:val="auto"/>
                <w:kern w:val="2"/>
                <w:sz w:val="24"/>
                <w:szCs w:val="24"/>
                <w:highlight w:val="none"/>
                <w:lang w:val="en-US" w:eastAsia="zh-CN" w:bidi="ar-SA"/>
              </w:rPr>
            </w:pPr>
            <w:r>
              <w:rPr>
                <w:rFonts w:hint="default" w:ascii="Times New Roman" w:hAnsi="Times New Roman" w:eastAsia="宋体" w:cs="Times New Roman"/>
                <w:b w:val="0"/>
                <w:bCs w:val="0"/>
                <w:smallCaps w:val="0"/>
                <w:color w:val="auto"/>
                <w:kern w:val="2"/>
                <w:sz w:val="24"/>
                <w:szCs w:val="24"/>
                <w:highlight w:val="none"/>
                <w:lang w:val="en-US" w:eastAsia="zh-CN" w:bidi="ar-SA"/>
              </w:rPr>
              <w:t>2025年8月8日，黑龙江省水利厅对</w:t>
            </w:r>
            <w:r>
              <w:rPr>
                <w:rFonts w:hint="eastAsia" w:cs="Times New Roman"/>
                <w:b w:val="0"/>
                <w:bCs w:val="0"/>
                <w:smallCaps w:val="0"/>
                <w:color w:val="auto"/>
                <w:kern w:val="2"/>
                <w:sz w:val="24"/>
                <w:szCs w:val="24"/>
                <w:highlight w:val="none"/>
                <w:lang w:val="en-US" w:eastAsia="zh-CN" w:bidi="ar-SA"/>
              </w:rPr>
              <w:t>密山市青年水库电站</w:t>
            </w:r>
            <w:r>
              <w:rPr>
                <w:rFonts w:hint="default" w:ascii="Times New Roman" w:hAnsi="Times New Roman" w:eastAsia="宋体" w:cs="Times New Roman"/>
                <w:b w:val="0"/>
                <w:bCs w:val="0"/>
                <w:smallCaps w:val="0"/>
                <w:color w:val="auto"/>
                <w:kern w:val="2"/>
                <w:sz w:val="24"/>
                <w:szCs w:val="24"/>
                <w:highlight w:val="none"/>
                <w:lang w:val="en-US" w:eastAsia="zh-CN" w:bidi="ar-SA"/>
              </w:rPr>
              <w:t>生态流量泄放及分类整改等有关情况进行现场检查，电站</w:t>
            </w:r>
            <w:r>
              <w:rPr>
                <w:rFonts w:hint="eastAsia" w:cs="Times New Roman"/>
                <w:b w:val="0"/>
                <w:bCs w:val="0"/>
                <w:smallCaps w:val="0"/>
                <w:color w:val="auto"/>
                <w:kern w:val="2"/>
                <w:sz w:val="24"/>
                <w:szCs w:val="24"/>
                <w:highlight w:val="none"/>
                <w:lang w:val="en-US" w:eastAsia="zh-CN" w:bidi="ar-SA"/>
              </w:rPr>
              <w:t>2022年除险加固施工至今</w:t>
            </w:r>
            <w:r>
              <w:rPr>
                <w:rFonts w:hint="default" w:ascii="Times New Roman" w:hAnsi="Times New Roman" w:eastAsia="宋体" w:cs="Times New Roman"/>
                <w:b w:val="0"/>
                <w:bCs w:val="0"/>
                <w:smallCaps w:val="0"/>
                <w:color w:val="auto"/>
                <w:kern w:val="2"/>
                <w:sz w:val="24"/>
                <w:szCs w:val="24"/>
                <w:highlight w:val="none"/>
                <w:lang w:val="en-US" w:eastAsia="zh-CN" w:bidi="ar-SA"/>
              </w:rPr>
              <w:t>处于停机状态。按照与环保部门沟通情况，</w:t>
            </w:r>
            <w:r>
              <w:rPr>
                <w:rFonts w:hint="eastAsia" w:cs="Times New Roman"/>
                <w:b w:val="0"/>
                <w:bCs w:val="0"/>
                <w:smallCaps w:val="0"/>
                <w:color w:val="auto"/>
                <w:kern w:val="2"/>
                <w:sz w:val="24"/>
                <w:szCs w:val="24"/>
                <w:highlight w:val="none"/>
                <w:lang w:val="en-US" w:eastAsia="zh-CN" w:bidi="ar-SA"/>
              </w:rPr>
              <w:t>密山市</w:t>
            </w:r>
            <w:r>
              <w:rPr>
                <w:rFonts w:hint="default" w:ascii="Times New Roman" w:hAnsi="Times New Roman" w:eastAsia="宋体" w:cs="Times New Roman"/>
                <w:b w:val="0"/>
                <w:bCs w:val="0"/>
                <w:smallCaps w:val="0"/>
                <w:color w:val="auto"/>
                <w:kern w:val="2"/>
                <w:sz w:val="24"/>
                <w:szCs w:val="24"/>
                <w:highlight w:val="none"/>
                <w:lang w:val="en-US" w:eastAsia="zh-CN" w:bidi="ar-SA"/>
              </w:rPr>
              <w:t>已分类整改销号的</w:t>
            </w:r>
            <w:r>
              <w:rPr>
                <w:rFonts w:hint="eastAsia" w:cs="Times New Roman"/>
                <w:b w:val="0"/>
                <w:bCs w:val="0"/>
                <w:smallCaps w:val="0"/>
                <w:color w:val="auto"/>
                <w:kern w:val="2"/>
                <w:sz w:val="24"/>
                <w:szCs w:val="24"/>
                <w:highlight w:val="none"/>
                <w:lang w:val="en-US" w:eastAsia="zh-CN" w:bidi="ar-SA"/>
              </w:rPr>
              <w:t>青年水库电站</w:t>
            </w:r>
            <w:r>
              <w:rPr>
                <w:rFonts w:hint="default" w:ascii="Times New Roman" w:hAnsi="Times New Roman" w:eastAsia="宋体" w:cs="Times New Roman"/>
                <w:b w:val="0"/>
                <w:bCs w:val="0"/>
                <w:smallCaps w:val="0"/>
                <w:color w:val="auto"/>
                <w:kern w:val="2"/>
                <w:sz w:val="24"/>
                <w:szCs w:val="24"/>
                <w:highlight w:val="none"/>
                <w:lang w:val="en-US" w:eastAsia="zh-CN" w:bidi="ar-SA"/>
              </w:rPr>
              <w:t>缺少环保审批材料，需要补充相关手续。</w:t>
            </w:r>
          </w:p>
          <w:p w14:paraId="21997D4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smallCaps w:val="0"/>
                <w:color w:val="auto"/>
                <w:kern w:val="2"/>
                <w:sz w:val="24"/>
                <w:szCs w:val="24"/>
                <w:highlight w:val="none"/>
                <w:lang w:val="en-US" w:eastAsia="zh-CN" w:bidi="ar-SA"/>
              </w:rPr>
            </w:pPr>
            <w:r>
              <w:rPr>
                <w:rFonts w:hint="default" w:ascii="Times New Roman" w:hAnsi="Times New Roman" w:eastAsia="宋体" w:cs="Times New Roman"/>
                <w:b w:val="0"/>
                <w:bCs w:val="0"/>
                <w:smallCaps w:val="0"/>
                <w:color w:val="auto"/>
                <w:kern w:val="2"/>
                <w:sz w:val="24"/>
                <w:szCs w:val="24"/>
                <w:highlight w:val="none"/>
                <w:lang w:val="en-US" w:eastAsia="zh-CN" w:bidi="ar-SA"/>
              </w:rPr>
              <w:t>202</w:t>
            </w:r>
            <w:r>
              <w:rPr>
                <w:rFonts w:hint="eastAsia" w:cs="Times New Roman"/>
                <w:b w:val="0"/>
                <w:bCs w:val="0"/>
                <w:smallCaps w:val="0"/>
                <w:color w:val="auto"/>
                <w:kern w:val="2"/>
                <w:sz w:val="24"/>
                <w:szCs w:val="24"/>
                <w:highlight w:val="none"/>
                <w:lang w:val="en-US" w:eastAsia="zh-CN" w:bidi="ar-SA"/>
              </w:rPr>
              <w:t>6</w:t>
            </w:r>
            <w:r>
              <w:rPr>
                <w:rFonts w:hint="default" w:ascii="Times New Roman" w:hAnsi="Times New Roman" w:eastAsia="宋体" w:cs="Times New Roman"/>
                <w:b w:val="0"/>
                <w:bCs w:val="0"/>
                <w:smallCaps w:val="0"/>
                <w:color w:val="auto"/>
                <w:kern w:val="2"/>
                <w:sz w:val="24"/>
                <w:szCs w:val="24"/>
                <w:highlight w:val="none"/>
                <w:lang w:val="en-US" w:eastAsia="zh-CN" w:bidi="ar-SA"/>
              </w:rPr>
              <w:t>年1月，建设单位委托黑龙江鑫润环保工程设计有限公司开展环境影响评价工作，环保手续正在履行中。</w:t>
            </w:r>
          </w:p>
          <w:p w14:paraId="60B136C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b w:val="0"/>
                <w:bCs w:val="0"/>
                <w:smallCaps w:val="0"/>
                <w:color w:val="auto"/>
                <w:kern w:val="2"/>
                <w:sz w:val="24"/>
                <w:szCs w:val="24"/>
                <w:highlight w:val="none"/>
                <w:lang w:val="en-US" w:eastAsia="zh-CN" w:bidi="ar-SA"/>
              </w:rPr>
            </w:pPr>
            <w:r>
              <w:rPr>
                <w:rFonts w:hint="eastAsia" w:ascii="Times New Roman" w:hAnsi="Times New Roman" w:eastAsia="宋体" w:cs="Times New Roman"/>
                <w:b w:val="0"/>
                <w:bCs w:val="0"/>
                <w:smallCaps w:val="0"/>
                <w:color w:val="auto"/>
                <w:kern w:val="2"/>
                <w:sz w:val="24"/>
                <w:szCs w:val="24"/>
                <w:highlight w:val="none"/>
                <w:lang w:val="en-US" w:eastAsia="zh-CN" w:bidi="ar-SA"/>
              </w:rPr>
              <w:t>（7）与水环境功能区划符合性分析</w:t>
            </w:r>
          </w:p>
          <w:p w14:paraId="3D414C6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b w:val="0"/>
                <w:bCs w:val="0"/>
                <w:smallCaps w:val="0"/>
                <w:color w:val="auto"/>
                <w:kern w:val="2"/>
                <w:sz w:val="24"/>
                <w:szCs w:val="24"/>
                <w:highlight w:val="none"/>
                <w:lang w:val="en-US" w:eastAsia="zh-CN" w:bidi="ar-SA"/>
              </w:rPr>
            </w:pPr>
            <w:r>
              <w:rPr>
                <w:rFonts w:hint="eastAsia" w:ascii="Times New Roman" w:hAnsi="Times New Roman" w:eastAsia="宋体" w:cs="Times New Roman"/>
                <w:b w:val="0"/>
                <w:bCs w:val="0"/>
                <w:smallCaps w:val="0"/>
                <w:color w:val="auto"/>
                <w:kern w:val="2"/>
                <w:sz w:val="24"/>
                <w:szCs w:val="24"/>
                <w:highlight w:val="none"/>
                <w:lang w:val="en-US" w:eastAsia="zh-CN" w:bidi="ar-SA"/>
              </w:rPr>
              <w:t>根据《全国重要江河湖泊水功能区划（2011-2030年）》（国函[2011]167号），裴德河未划分水功能区。另根据《黑龙江省地表水功能区标准》 (GB23/T740-2003)，工程位于水功能一级区为裴德河密山市开发利用区，二级区为裴德河密山市农业用水区（青年水库库尾至入穆棱河河口），水质目标为Ⅲ类。本次</w:t>
            </w:r>
            <w:r>
              <w:rPr>
                <w:rFonts w:hint="eastAsia" w:cs="Times New Roman"/>
                <w:b w:val="0"/>
                <w:bCs w:val="0"/>
                <w:smallCaps w:val="0"/>
                <w:color w:val="auto"/>
                <w:kern w:val="2"/>
                <w:sz w:val="24"/>
                <w:szCs w:val="24"/>
                <w:highlight w:val="none"/>
                <w:lang w:val="en-US" w:eastAsia="zh-CN" w:bidi="ar-SA"/>
              </w:rPr>
              <w:t>增效扩容</w:t>
            </w:r>
            <w:r>
              <w:rPr>
                <w:rFonts w:hint="eastAsia" w:ascii="Times New Roman" w:hAnsi="Times New Roman" w:eastAsia="宋体" w:cs="Times New Roman"/>
                <w:b w:val="0"/>
                <w:bCs w:val="0"/>
                <w:smallCaps w:val="0"/>
                <w:color w:val="auto"/>
                <w:kern w:val="2"/>
                <w:sz w:val="24"/>
                <w:szCs w:val="24"/>
                <w:highlight w:val="none"/>
                <w:lang w:val="en-US" w:eastAsia="zh-CN" w:bidi="ar-SA"/>
              </w:rPr>
              <w:t>工程在实施过程中，生产废水经处理后回用不外排，施工人员生活污水定期清淘，外运堆肥，不会对地表水体产生明显不利影响，符合裴德河密山市农业用水区Ⅲ类水体的管理要求。</w:t>
            </w:r>
          </w:p>
          <w:p w14:paraId="70E7167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b w:val="0"/>
                <w:bCs w:val="0"/>
                <w:smallCaps w:val="0"/>
                <w:color w:val="auto"/>
                <w:kern w:val="2"/>
                <w:sz w:val="24"/>
                <w:szCs w:val="24"/>
                <w:highlight w:val="none"/>
                <w:lang w:val="en-US" w:eastAsia="zh-CN" w:bidi="ar-SA"/>
              </w:rPr>
            </w:pPr>
            <w:r>
              <w:rPr>
                <w:rFonts w:hint="eastAsia" w:ascii="Times New Roman" w:hAnsi="Times New Roman" w:eastAsia="宋体" w:cs="Times New Roman"/>
                <w:b w:val="0"/>
                <w:bCs w:val="0"/>
                <w:smallCaps w:val="0"/>
                <w:color w:val="auto"/>
                <w:kern w:val="2"/>
                <w:sz w:val="24"/>
                <w:szCs w:val="24"/>
                <w:highlight w:val="none"/>
                <w:lang w:val="en-US" w:eastAsia="zh-CN" w:bidi="ar-SA"/>
              </w:rPr>
              <w:t>（</w:t>
            </w:r>
            <w:r>
              <w:rPr>
                <w:rFonts w:hint="eastAsia" w:cs="Times New Roman"/>
                <w:b w:val="0"/>
                <w:bCs w:val="0"/>
                <w:smallCaps w:val="0"/>
                <w:color w:val="auto"/>
                <w:kern w:val="2"/>
                <w:sz w:val="24"/>
                <w:szCs w:val="24"/>
                <w:highlight w:val="none"/>
                <w:lang w:val="en-US" w:eastAsia="zh-CN" w:bidi="ar-SA"/>
              </w:rPr>
              <w:t>8</w:t>
            </w:r>
            <w:r>
              <w:rPr>
                <w:rFonts w:hint="eastAsia" w:ascii="Times New Roman" w:hAnsi="Times New Roman" w:eastAsia="宋体" w:cs="Times New Roman"/>
                <w:b w:val="0"/>
                <w:bCs w:val="0"/>
                <w:smallCaps w:val="0"/>
                <w:color w:val="auto"/>
                <w:kern w:val="2"/>
                <w:sz w:val="24"/>
                <w:szCs w:val="24"/>
                <w:highlight w:val="none"/>
                <w:lang w:val="en-US" w:eastAsia="zh-CN" w:bidi="ar-SA"/>
              </w:rPr>
              <w:t>）与</w:t>
            </w:r>
            <w:r>
              <w:rPr>
                <w:rFonts w:hint="eastAsia" w:cs="Times New Roman"/>
                <w:b w:val="0"/>
                <w:bCs w:val="0"/>
                <w:smallCaps w:val="0"/>
                <w:color w:val="auto"/>
                <w:kern w:val="2"/>
                <w:sz w:val="24"/>
                <w:szCs w:val="24"/>
                <w:highlight w:val="none"/>
                <w:lang w:val="en-US" w:eastAsia="zh-CN" w:bidi="ar-SA"/>
              </w:rPr>
              <w:t>《穆棱河流域规划》</w:t>
            </w:r>
            <w:r>
              <w:rPr>
                <w:rFonts w:hint="eastAsia" w:ascii="Times New Roman" w:hAnsi="Times New Roman" w:eastAsia="宋体" w:cs="Times New Roman"/>
                <w:b w:val="0"/>
                <w:bCs w:val="0"/>
                <w:smallCaps w:val="0"/>
                <w:color w:val="auto"/>
                <w:kern w:val="2"/>
                <w:sz w:val="24"/>
                <w:szCs w:val="24"/>
                <w:highlight w:val="none"/>
                <w:lang w:val="en-US" w:eastAsia="zh-CN" w:bidi="ar-SA"/>
              </w:rPr>
              <w:t>符合性分析</w:t>
            </w:r>
          </w:p>
          <w:p w14:paraId="79EE65E0">
            <w:pPr>
              <w:adjustRightInd w:val="0"/>
              <w:snapToGrid w:val="0"/>
              <w:spacing w:line="360" w:lineRule="auto"/>
              <w:ind w:firstLine="480" w:firstLineChars="200"/>
              <w:rPr>
                <w:rFonts w:hint="default" w:cs="Times New Roman"/>
                <w:b w:val="0"/>
                <w:bCs w:val="0"/>
                <w:smallCaps w:val="0"/>
                <w:color w:val="auto"/>
                <w:kern w:val="2"/>
                <w:sz w:val="24"/>
                <w:szCs w:val="24"/>
                <w:highlight w:val="none"/>
                <w:lang w:val="en-US" w:eastAsia="zh-CN" w:bidi="ar-SA"/>
              </w:rPr>
            </w:pPr>
            <w:r>
              <w:rPr>
                <w:rFonts w:hint="default" w:cs="Times New Roman"/>
                <w:b w:val="0"/>
                <w:bCs w:val="0"/>
                <w:smallCaps w:val="0"/>
                <w:color w:val="auto"/>
                <w:kern w:val="2"/>
                <w:sz w:val="24"/>
                <w:szCs w:val="24"/>
                <w:highlight w:val="none"/>
                <w:lang w:val="en-US" w:eastAsia="zh-CN" w:bidi="ar-SA"/>
              </w:rPr>
              <w:t>根据《</w:t>
            </w:r>
            <w:r>
              <w:rPr>
                <w:rFonts w:hint="eastAsia" w:cs="Times New Roman"/>
                <w:b w:val="0"/>
                <w:bCs w:val="0"/>
                <w:smallCaps w:val="0"/>
                <w:color w:val="auto"/>
                <w:kern w:val="2"/>
                <w:sz w:val="24"/>
                <w:szCs w:val="24"/>
                <w:highlight w:val="none"/>
                <w:lang w:val="en-US" w:eastAsia="zh-CN" w:bidi="ar-SA"/>
              </w:rPr>
              <w:t>穆棱河流域规划</w:t>
            </w:r>
            <w:r>
              <w:rPr>
                <w:rFonts w:hint="default" w:cs="Times New Roman"/>
                <w:b w:val="0"/>
                <w:bCs w:val="0"/>
                <w:smallCaps w:val="0"/>
                <w:color w:val="auto"/>
                <w:kern w:val="2"/>
                <w:sz w:val="24"/>
                <w:szCs w:val="24"/>
                <w:highlight w:val="none"/>
                <w:lang w:val="en-US" w:eastAsia="zh-CN" w:bidi="ar-SA"/>
              </w:rPr>
              <w:t>》</w:t>
            </w:r>
            <w:r>
              <w:rPr>
                <w:rFonts w:hint="eastAsia" w:cs="Times New Roman"/>
                <w:b w:val="0"/>
                <w:bCs w:val="0"/>
                <w:smallCaps w:val="0"/>
                <w:color w:val="auto"/>
                <w:kern w:val="2"/>
                <w:sz w:val="24"/>
                <w:szCs w:val="24"/>
                <w:highlight w:val="none"/>
                <w:lang w:val="en-US" w:eastAsia="zh-CN" w:bidi="ar-SA"/>
              </w:rPr>
              <w:t>：</w:t>
            </w:r>
            <w:r>
              <w:rPr>
                <w:rFonts w:hint="default" w:cs="Times New Roman"/>
                <w:b w:val="0"/>
                <w:bCs w:val="0"/>
                <w:smallCaps w:val="0"/>
                <w:color w:val="auto"/>
                <w:kern w:val="2"/>
                <w:sz w:val="24"/>
                <w:szCs w:val="24"/>
                <w:highlight w:val="none"/>
                <w:lang w:val="en-US" w:eastAsia="zh-CN" w:bidi="ar-SA"/>
              </w:rPr>
              <w:t>“</w:t>
            </w:r>
            <w:r>
              <w:rPr>
                <w:rFonts w:hint="eastAsia" w:cs="Times New Roman"/>
                <w:b w:val="0"/>
                <w:bCs w:val="0"/>
                <w:smallCaps w:val="0"/>
                <w:color w:val="auto"/>
                <w:kern w:val="2"/>
                <w:sz w:val="24"/>
                <w:szCs w:val="24"/>
                <w:highlight w:val="none"/>
                <w:lang w:val="en-US" w:eastAsia="zh-CN" w:bidi="ar-SA"/>
              </w:rPr>
              <w:t>本规划建议水库建成后应安装生态流量在线监控系统。根据环保部要求，每天定时上传监控数据，保证每组数据或平均值满足最小生态流量要求。</w:t>
            </w:r>
            <w:r>
              <w:rPr>
                <w:rFonts w:hint="default" w:cs="Times New Roman"/>
                <w:b w:val="0"/>
                <w:bCs w:val="0"/>
                <w:smallCaps w:val="0"/>
                <w:color w:val="auto"/>
                <w:kern w:val="2"/>
                <w:sz w:val="24"/>
                <w:szCs w:val="24"/>
                <w:highlight w:val="none"/>
                <w:lang w:val="en-US" w:eastAsia="zh-CN" w:bidi="ar-SA"/>
              </w:rPr>
              <w:t>”</w:t>
            </w:r>
            <w:r>
              <w:rPr>
                <w:rFonts w:hint="eastAsia" w:cs="Times New Roman"/>
                <w:b w:val="0"/>
                <w:bCs w:val="0"/>
                <w:smallCaps w:val="0"/>
                <w:color w:val="auto"/>
                <w:kern w:val="2"/>
                <w:sz w:val="24"/>
                <w:szCs w:val="24"/>
                <w:highlight w:val="none"/>
                <w:lang w:val="en-US" w:eastAsia="zh-CN" w:bidi="ar-SA"/>
              </w:rPr>
              <w:t>本工程通过采取设置拦河坝生态泄流口，安装生态流量监测设施，</w:t>
            </w:r>
            <w:r>
              <w:rPr>
                <w:rFonts w:hint="default" w:cs="Times New Roman"/>
                <w:b w:val="0"/>
                <w:bCs w:val="0"/>
                <w:smallCaps w:val="0"/>
                <w:color w:val="auto"/>
                <w:kern w:val="2"/>
                <w:sz w:val="24"/>
                <w:szCs w:val="24"/>
                <w:highlight w:val="none"/>
                <w:lang w:val="en-US" w:eastAsia="zh-CN" w:bidi="ar-SA"/>
              </w:rPr>
              <w:t>监控</w:t>
            </w:r>
            <w:r>
              <w:rPr>
                <w:rFonts w:hint="eastAsia" w:cs="Times New Roman"/>
                <w:b w:val="0"/>
                <w:bCs w:val="0"/>
                <w:smallCaps w:val="0"/>
                <w:color w:val="auto"/>
                <w:kern w:val="2"/>
                <w:sz w:val="24"/>
                <w:szCs w:val="24"/>
                <w:highlight w:val="none"/>
                <w:lang w:val="en-US" w:eastAsia="zh-CN" w:bidi="ar-SA"/>
              </w:rPr>
              <w:t>上游来水流量及</w:t>
            </w:r>
            <w:r>
              <w:rPr>
                <w:rFonts w:hint="default" w:cs="Times New Roman"/>
                <w:b w:val="0"/>
                <w:bCs w:val="0"/>
                <w:smallCaps w:val="0"/>
                <w:color w:val="auto"/>
                <w:kern w:val="2"/>
                <w:sz w:val="24"/>
                <w:szCs w:val="24"/>
                <w:highlight w:val="none"/>
                <w:lang w:val="en-US" w:eastAsia="zh-CN" w:bidi="ar-SA"/>
              </w:rPr>
              <w:t>下泄生态流量</w:t>
            </w:r>
            <w:r>
              <w:rPr>
                <w:rFonts w:hint="eastAsia" w:cs="Times New Roman"/>
                <w:b w:val="0"/>
                <w:bCs w:val="0"/>
                <w:smallCaps w:val="0"/>
                <w:color w:val="auto"/>
                <w:kern w:val="2"/>
                <w:sz w:val="24"/>
                <w:szCs w:val="24"/>
                <w:highlight w:val="none"/>
                <w:lang w:val="en-US" w:eastAsia="zh-CN" w:bidi="ar-SA"/>
              </w:rPr>
              <w:t>。生态流量监测设施已与水利厅系统连网。符合规划要求。</w:t>
            </w:r>
          </w:p>
          <w:p w14:paraId="31C83A3E">
            <w:pPr>
              <w:pStyle w:val="53"/>
              <w:keepNext w:val="0"/>
              <w:keepLines w:val="0"/>
              <w:pageBreakBefore w:val="0"/>
              <w:widowControl w:val="0"/>
              <w:kinsoku/>
              <w:wordWrap w:val="0"/>
              <w:overflowPunct/>
              <w:topLinePunct w:val="0"/>
              <w:autoSpaceDE/>
              <w:autoSpaceDN/>
              <w:bidi w:val="0"/>
              <w:adjustRightInd/>
              <w:snapToGrid/>
              <w:ind w:firstLine="42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bCs/>
                <w:smallCaps w:val="0"/>
                <w:color w:val="auto"/>
                <w:sz w:val="24"/>
                <w:szCs w:val="24"/>
                <w:highlight w:val="none"/>
                <w:lang w:val="en-US" w:eastAsia="zh-CN"/>
              </w:rPr>
              <w:t>4.</w:t>
            </w:r>
            <w:r>
              <w:rPr>
                <w:rFonts w:hint="default" w:ascii="Times New Roman" w:hAnsi="Times New Roman" w:eastAsia="宋体" w:cs="Times New Roman"/>
                <w:b/>
                <w:bCs/>
                <w:smallCaps w:val="0"/>
                <w:color w:val="auto"/>
                <w:sz w:val="24"/>
                <w:szCs w:val="24"/>
                <w:highlight w:val="none"/>
              </w:rPr>
              <w:t>与《水电建设项目环境影响评价文件审批原则（试行）》符合性</w:t>
            </w:r>
          </w:p>
        </w:tc>
      </w:tr>
    </w:tbl>
    <w:p w14:paraId="22E19F92">
      <w:pPr>
        <w:spacing w:line="360" w:lineRule="auto"/>
        <w:outlineLvl w:val="0"/>
        <w:rPr>
          <w:rFonts w:hint="default" w:ascii="Times New Roman" w:hAnsi="Times New Roman" w:cs="Times New Roman" w:eastAsiaTheme="minorEastAsia"/>
          <w:color w:val="auto"/>
          <w:sz w:val="30"/>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p>
    <w:p w14:paraId="24F62879">
      <w:pPr>
        <w:spacing w:line="360" w:lineRule="auto"/>
        <w:jc w:val="center"/>
        <w:rPr>
          <w:rFonts w:hint="default" w:ascii="Times New Roman" w:hAnsi="Times New Roman" w:cs="Times New Roman"/>
          <w:b/>
          <w:bCs/>
          <w:color w:val="auto"/>
          <w:kern w:val="0"/>
          <w:sz w:val="24"/>
          <w:szCs w:val="24"/>
        </w:rPr>
      </w:pPr>
      <w:bookmarkStart w:id="3" w:name="_Toc19121"/>
      <w:r>
        <w:rPr>
          <w:rFonts w:hint="default" w:ascii="Times New Roman" w:hAnsi="Times New Roman" w:cs="Times New Roman"/>
          <w:b/>
          <w:bCs/>
          <w:color w:val="auto"/>
          <w:kern w:val="0"/>
          <w:sz w:val="24"/>
          <w:szCs w:val="24"/>
        </w:rPr>
        <w:t>表1</w:t>
      </w:r>
      <w:r>
        <w:rPr>
          <w:rFonts w:hint="eastAsia" w:cs="Times New Roman"/>
          <w:b/>
          <w:bCs/>
          <w:color w:val="auto"/>
          <w:kern w:val="0"/>
          <w:sz w:val="24"/>
          <w:szCs w:val="24"/>
          <w:lang w:val="en-US" w:eastAsia="zh-CN"/>
        </w:rPr>
        <w:t>-5</w:t>
      </w:r>
      <w:r>
        <w:rPr>
          <w:rFonts w:hint="default" w:ascii="Times New Roman" w:hAnsi="Times New Roman" w:cs="Times New Roman"/>
          <w:b/>
          <w:bCs/>
          <w:color w:val="auto"/>
          <w:kern w:val="0"/>
          <w:sz w:val="24"/>
          <w:szCs w:val="24"/>
        </w:rPr>
        <w:t xml:space="preserve"> 本项目与《水电建设项目环境影响评价文件审批原则（试行）》的相符性</w:t>
      </w:r>
    </w:p>
    <w:tbl>
      <w:tblPr>
        <w:tblStyle w:val="24"/>
        <w:tblW w:w="142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6"/>
        <w:gridCol w:w="7255"/>
        <w:gridCol w:w="6267"/>
      </w:tblGrid>
      <w:tr w14:paraId="525B76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tblHeader/>
          <w:jc w:val="center"/>
        </w:trPr>
        <w:tc>
          <w:tcPr>
            <w:tcW w:w="696" w:type="dxa"/>
            <w:tcBorders>
              <w:top w:val="single" w:color="auto" w:sz="4" w:space="0"/>
              <w:left w:val="single" w:color="auto" w:sz="4" w:space="0"/>
              <w:bottom w:val="single" w:color="auto" w:sz="4" w:space="0"/>
              <w:right w:val="single" w:color="auto" w:sz="4" w:space="0"/>
            </w:tcBorders>
            <w:vAlign w:val="center"/>
          </w:tcPr>
          <w:p w14:paraId="1D5C250D">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序号</w:t>
            </w:r>
          </w:p>
        </w:tc>
        <w:tc>
          <w:tcPr>
            <w:tcW w:w="7255" w:type="dxa"/>
            <w:tcBorders>
              <w:top w:val="single" w:color="auto" w:sz="4" w:space="0"/>
              <w:left w:val="single" w:color="auto" w:sz="4" w:space="0"/>
              <w:bottom w:val="single" w:color="auto" w:sz="4" w:space="0"/>
              <w:right w:val="single" w:color="auto" w:sz="4" w:space="0"/>
            </w:tcBorders>
            <w:vAlign w:val="center"/>
          </w:tcPr>
          <w:p w14:paraId="0EB18E9E">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水电建设项目</w:t>
            </w:r>
            <w:r>
              <w:rPr>
                <w:rFonts w:hint="default" w:ascii="Times New Roman" w:hAnsi="Times New Roman" w:cs="Times New Roman"/>
                <w:color w:val="auto"/>
                <w:sz w:val="21"/>
                <w:szCs w:val="21"/>
              </w:rPr>
              <w:t>环境影响评价文件审批原则</w:t>
            </w:r>
          </w:p>
        </w:tc>
        <w:tc>
          <w:tcPr>
            <w:tcW w:w="6267" w:type="dxa"/>
            <w:tcBorders>
              <w:top w:val="single" w:color="auto" w:sz="4" w:space="0"/>
              <w:left w:val="single" w:color="auto" w:sz="4" w:space="0"/>
              <w:bottom w:val="single" w:color="auto" w:sz="4" w:space="0"/>
              <w:right w:val="single" w:color="auto" w:sz="4" w:space="0"/>
            </w:tcBorders>
            <w:vAlign w:val="center"/>
          </w:tcPr>
          <w:p w14:paraId="0313E630">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本项目与审批原则符合性分析</w:t>
            </w:r>
          </w:p>
        </w:tc>
      </w:tr>
      <w:tr w14:paraId="593AC9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5" w:hRule="atLeast"/>
          <w:jc w:val="center"/>
        </w:trPr>
        <w:tc>
          <w:tcPr>
            <w:tcW w:w="696" w:type="dxa"/>
            <w:tcBorders>
              <w:top w:val="single" w:color="auto" w:sz="4" w:space="0"/>
              <w:left w:val="single" w:color="auto" w:sz="4" w:space="0"/>
              <w:bottom w:val="single" w:color="auto" w:sz="4" w:space="0"/>
              <w:right w:val="single" w:color="auto" w:sz="4" w:space="0"/>
            </w:tcBorders>
            <w:vAlign w:val="center"/>
          </w:tcPr>
          <w:p w14:paraId="467478F1">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7255" w:type="dxa"/>
            <w:tcBorders>
              <w:top w:val="single" w:color="auto" w:sz="4" w:space="0"/>
              <w:left w:val="single" w:color="auto" w:sz="4" w:space="0"/>
              <w:bottom w:val="single" w:color="auto" w:sz="4" w:space="0"/>
              <w:right w:val="single" w:color="auto" w:sz="4" w:space="0"/>
            </w:tcBorders>
            <w:vAlign w:val="center"/>
          </w:tcPr>
          <w:p w14:paraId="296B9FAC">
            <w:pPr>
              <w:adjustRightInd w:val="0"/>
              <w:snapToGrid w:val="0"/>
              <w:ind w:firstLine="420" w:firstLineChars="0"/>
              <w:rPr>
                <w:rFonts w:hint="default" w:ascii="Times New Roman" w:hAnsi="Times New Roman" w:cs="Times New Roman"/>
                <w:color w:val="auto"/>
                <w:sz w:val="21"/>
                <w:szCs w:val="21"/>
              </w:rPr>
            </w:pPr>
            <w:r>
              <w:rPr>
                <w:rFonts w:hint="default" w:ascii="Times New Roman" w:hAnsi="Times New Roman" w:eastAsia="宋体" w:cs="Times New Roman"/>
                <w:b/>
                <w:bCs/>
                <w:color w:val="auto"/>
              </w:rPr>
              <w:t>第一条：</w:t>
            </w:r>
            <w:r>
              <w:rPr>
                <w:rFonts w:hint="default" w:ascii="Times New Roman" w:hAnsi="Times New Roman" w:eastAsia="宋体" w:cs="Times New Roman"/>
                <w:color w:val="auto"/>
              </w:rPr>
              <w:t>本原则适用于常规水电建设项目环境影响评价文件的审批，水利枢纽、航电枢纽、抽水蓄能电站等项目可以参照执行。</w:t>
            </w:r>
          </w:p>
        </w:tc>
        <w:tc>
          <w:tcPr>
            <w:tcW w:w="6267" w:type="dxa"/>
            <w:tcBorders>
              <w:top w:val="single" w:color="auto" w:sz="4" w:space="0"/>
              <w:left w:val="single" w:color="auto" w:sz="4" w:space="0"/>
              <w:bottom w:val="single" w:color="auto" w:sz="4" w:space="0"/>
              <w:right w:val="single" w:color="auto" w:sz="4" w:space="0"/>
            </w:tcBorders>
            <w:vAlign w:val="center"/>
          </w:tcPr>
          <w:p w14:paraId="49BB186B">
            <w:pPr>
              <w:adjustRightInd w:val="0"/>
              <w:snapToGrid w:val="0"/>
              <w:ind w:firstLine="420"/>
              <w:rPr>
                <w:rFonts w:hint="default" w:ascii="Times New Roman" w:hAnsi="Times New Roman" w:cs="Times New Roman"/>
                <w:color w:val="auto"/>
                <w:sz w:val="21"/>
                <w:szCs w:val="21"/>
              </w:rPr>
            </w:pPr>
            <w:r>
              <w:rPr>
                <w:rFonts w:hint="default" w:ascii="Times New Roman" w:hAnsi="Times New Roman" w:cs="Times New Roman"/>
                <w:color w:val="auto"/>
                <w:lang w:val="en-US" w:eastAsia="zh-CN"/>
              </w:rPr>
              <w:t>本项目为</w:t>
            </w:r>
            <w:r>
              <w:rPr>
                <w:rFonts w:hint="eastAsia" w:cs="Times New Roman"/>
                <w:color w:val="auto"/>
                <w:lang w:val="en-US" w:eastAsia="zh-CN"/>
              </w:rPr>
              <w:t>青年水库</w:t>
            </w:r>
            <w:r>
              <w:rPr>
                <w:rFonts w:hint="default" w:ascii="Times New Roman" w:hAnsi="Times New Roman" w:cs="Times New Roman"/>
                <w:color w:val="auto"/>
                <w:lang w:val="en-US" w:eastAsia="zh-CN"/>
              </w:rPr>
              <w:t>电站增效扩容工程，</w:t>
            </w:r>
            <w:r>
              <w:rPr>
                <w:rFonts w:hint="default" w:ascii="Times New Roman" w:hAnsi="Times New Roman" w:cs="Times New Roman"/>
                <w:color w:val="auto"/>
              </w:rPr>
              <w:t>与审批原则</w:t>
            </w:r>
            <w:r>
              <w:rPr>
                <w:rFonts w:hint="default" w:ascii="Times New Roman" w:hAnsi="Times New Roman" w:cs="Times New Roman"/>
                <w:color w:val="auto"/>
                <w:lang w:val="en-US" w:eastAsia="zh-CN"/>
              </w:rPr>
              <w:t>适用</w:t>
            </w:r>
            <w:r>
              <w:rPr>
                <w:rFonts w:hint="default" w:ascii="Times New Roman" w:hAnsi="Times New Roman" w:cs="Times New Roman"/>
                <w:color w:val="auto"/>
              </w:rPr>
              <w:t>条件相符合。</w:t>
            </w:r>
          </w:p>
        </w:tc>
      </w:tr>
      <w:tr w14:paraId="153C76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7" w:hRule="atLeast"/>
          <w:jc w:val="center"/>
        </w:trPr>
        <w:tc>
          <w:tcPr>
            <w:tcW w:w="696" w:type="dxa"/>
            <w:tcBorders>
              <w:top w:val="single" w:color="auto" w:sz="4" w:space="0"/>
              <w:left w:val="single" w:color="auto" w:sz="4" w:space="0"/>
              <w:bottom w:val="single" w:color="auto" w:sz="4" w:space="0"/>
              <w:right w:val="single" w:color="auto" w:sz="4" w:space="0"/>
            </w:tcBorders>
            <w:vAlign w:val="center"/>
          </w:tcPr>
          <w:p w14:paraId="79B3F782">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p>
        </w:tc>
        <w:tc>
          <w:tcPr>
            <w:tcW w:w="7255" w:type="dxa"/>
            <w:tcBorders>
              <w:top w:val="single" w:color="auto" w:sz="4" w:space="0"/>
              <w:left w:val="single" w:color="auto" w:sz="4" w:space="0"/>
              <w:bottom w:val="single" w:color="auto" w:sz="4" w:space="0"/>
              <w:right w:val="single" w:color="auto" w:sz="4" w:space="0"/>
            </w:tcBorders>
            <w:vAlign w:val="center"/>
          </w:tcPr>
          <w:p w14:paraId="7F568D6C">
            <w:pPr>
              <w:adjustRightInd w:val="0"/>
              <w:snapToGrid w:val="0"/>
              <w:ind w:firstLine="420" w:firstLineChars="0"/>
              <w:rPr>
                <w:rFonts w:hint="default" w:ascii="Times New Roman" w:hAnsi="Times New Roman" w:cs="Times New Roman"/>
                <w:color w:val="auto"/>
                <w:sz w:val="21"/>
                <w:szCs w:val="21"/>
              </w:rPr>
            </w:pPr>
            <w:r>
              <w:rPr>
                <w:rFonts w:hint="default" w:ascii="Times New Roman" w:hAnsi="Times New Roman" w:eastAsia="宋体" w:cs="Times New Roman"/>
                <w:b/>
                <w:bCs/>
                <w:color w:val="auto"/>
              </w:rPr>
              <w:t>第二条：</w:t>
            </w:r>
            <w:r>
              <w:rPr>
                <w:rFonts w:hint="default" w:ascii="Times New Roman" w:hAnsi="Times New Roman" w:eastAsia="宋体" w:cs="Times New Roman"/>
                <w:color w:val="auto"/>
              </w:rPr>
              <w:t>项目符合环境保护相关法律法规和政策，满足流域综合规划、水能资源开发规划等相关流域和行业规划及规划环评要求，梯级布局、开发任务、开发方式及时序、调节性能和工程规模等主要参数总体符合规划。</w:t>
            </w:r>
          </w:p>
        </w:tc>
        <w:tc>
          <w:tcPr>
            <w:tcW w:w="6267" w:type="dxa"/>
            <w:tcBorders>
              <w:top w:val="single" w:color="auto" w:sz="4" w:space="0"/>
              <w:left w:val="single" w:color="auto" w:sz="4" w:space="0"/>
              <w:bottom w:val="single" w:color="auto" w:sz="4" w:space="0"/>
              <w:right w:val="single" w:color="auto" w:sz="4" w:space="0"/>
            </w:tcBorders>
            <w:vAlign w:val="center"/>
          </w:tcPr>
          <w:p w14:paraId="11BE5332">
            <w:pPr>
              <w:adjustRightInd w:val="0"/>
              <w:snapToGrid w:val="0"/>
              <w:ind w:firstLine="42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本项目符合生态环境及资源相关法律法规和政策，与主体功能区规划、生态功能区划、生态环境保护规划等相协调。</w:t>
            </w:r>
          </w:p>
          <w:p w14:paraId="1BC58E15">
            <w:pPr>
              <w:adjustRightInd w:val="0"/>
              <w:snapToGrid w:val="0"/>
              <w:ind w:firstLine="420"/>
              <w:rPr>
                <w:rFonts w:hint="default" w:ascii="Times New Roman" w:hAnsi="Times New Roman" w:cs="Times New Roman"/>
                <w:color w:val="auto"/>
                <w:sz w:val="21"/>
                <w:szCs w:val="21"/>
              </w:rPr>
            </w:pPr>
            <w:r>
              <w:rPr>
                <w:rFonts w:hint="default" w:ascii="Times New Roman" w:hAnsi="Times New Roman" w:eastAsia="宋体" w:cs="Times New Roman"/>
                <w:color w:val="auto"/>
                <w:lang w:val="en-US" w:eastAsia="zh-CN"/>
              </w:rPr>
              <w:t>本次只是针对</w:t>
            </w:r>
            <w:r>
              <w:rPr>
                <w:rFonts w:hint="default" w:ascii="Times New Roman" w:hAnsi="Times New Roman" w:cs="Times New Roman"/>
                <w:color w:val="auto"/>
                <w:lang w:val="en-US" w:eastAsia="zh-CN"/>
              </w:rPr>
              <w:t>水电站出现问题</w:t>
            </w:r>
            <w:r>
              <w:rPr>
                <w:rFonts w:hint="default" w:ascii="Times New Roman" w:hAnsi="Times New Roman" w:eastAsia="宋体" w:cs="Times New Roman"/>
                <w:color w:val="auto"/>
                <w:lang w:val="en-US" w:eastAsia="zh-CN"/>
              </w:rPr>
              <w:t>的部位进行维修</w:t>
            </w:r>
            <w:r>
              <w:rPr>
                <w:rFonts w:hint="default" w:ascii="Times New Roman" w:hAnsi="Times New Roman" w:cs="Times New Roman"/>
                <w:color w:val="auto"/>
                <w:lang w:val="en-US" w:eastAsia="zh-CN"/>
              </w:rPr>
              <w:t>及更换设备</w:t>
            </w:r>
            <w:r>
              <w:rPr>
                <w:rFonts w:hint="default" w:ascii="Times New Roman" w:hAnsi="Times New Roman" w:eastAsia="宋体" w:cs="Times New Roman"/>
                <w:color w:val="auto"/>
                <w:lang w:val="en-US" w:eastAsia="zh-CN"/>
              </w:rPr>
              <w:t>，水库规模不改变，不增加取水量，不超出流域区域水资源利用上限。</w:t>
            </w:r>
          </w:p>
        </w:tc>
      </w:tr>
      <w:tr w14:paraId="626BAE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9" w:hRule="atLeast"/>
          <w:jc w:val="center"/>
        </w:trPr>
        <w:tc>
          <w:tcPr>
            <w:tcW w:w="696" w:type="dxa"/>
            <w:tcBorders>
              <w:top w:val="single" w:color="auto" w:sz="4" w:space="0"/>
              <w:left w:val="single" w:color="auto" w:sz="4" w:space="0"/>
              <w:bottom w:val="single" w:color="auto" w:sz="4" w:space="0"/>
              <w:right w:val="single" w:color="auto" w:sz="4" w:space="0"/>
            </w:tcBorders>
            <w:vAlign w:val="center"/>
          </w:tcPr>
          <w:p w14:paraId="202A72AC">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w:t>
            </w:r>
          </w:p>
        </w:tc>
        <w:tc>
          <w:tcPr>
            <w:tcW w:w="7255" w:type="dxa"/>
            <w:tcBorders>
              <w:top w:val="single" w:color="auto" w:sz="4" w:space="0"/>
              <w:left w:val="single" w:color="auto" w:sz="4" w:space="0"/>
              <w:bottom w:val="single" w:color="auto" w:sz="4" w:space="0"/>
              <w:right w:val="single" w:color="auto" w:sz="4" w:space="0"/>
            </w:tcBorders>
            <w:vAlign w:val="center"/>
          </w:tcPr>
          <w:p w14:paraId="7E0B289E">
            <w:pPr>
              <w:adjustRightInd w:val="0"/>
              <w:snapToGrid w:val="0"/>
              <w:ind w:firstLine="420" w:firstLineChars="0"/>
              <w:rPr>
                <w:rFonts w:hint="default" w:ascii="Times New Roman" w:hAnsi="Times New Roman" w:cs="Times New Roman"/>
                <w:color w:val="auto"/>
                <w:sz w:val="21"/>
                <w:szCs w:val="21"/>
              </w:rPr>
            </w:pPr>
            <w:r>
              <w:rPr>
                <w:rFonts w:hint="default" w:ascii="Times New Roman" w:hAnsi="Times New Roman" w:eastAsia="宋体" w:cs="Times New Roman"/>
                <w:b/>
                <w:bCs/>
                <w:color w:val="auto"/>
              </w:rPr>
              <w:t>第三条：</w:t>
            </w:r>
            <w:r>
              <w:rPr>
                <w:rFonts w:hint="default" w:ascii="Times New Roman" w:hAnsi="Times New Roman" w:eastAsia="宋体" w:cs="Times New Roman"/>
                <w:color w:val="auto"/>
              </w:rPr>
              <w:t>工程布局、施工布置和水库淹没原则上不占用自然保护区、风景名胜区、永久基本农田等法律法规明令禁止占用区域和已明确作为栖息地保护的河流和区域，与饮用水水源保护区保护要求相协调，且</w:t>
            </w:r>
            <w:r>
              <w:rPr>
                <w:rFonts w:hint="default" w:ascii="Times New Roman" w:hAnsi="Times New Roman" w:cs="Times New Roman"/>
                <w:color w:val="auto"/>
                <w:lang w:eastAsia="zh-CN"/>
              </w:rPr>
              <w:t>不会</w:t>
            </w:r>
            <w:r>
              <w:rPr>
                <w:rFonts w:hint="default" w:ascii="Times New Roman" w:hAnsi="Times New Roman" w:eastAsia="宋体" w:cs="Times New Roman"/>
                <w:color w:val="auto"/>
              </w:rPr>
              <w:t>对上述敏感区的生态系统结构、功能和主要保护对象产生重大不利影响。</w:t>
            </w:r>
          </w:p>
        </w:tc>
        <w:tc>
          <w:tcPr>
            <w:tcW w:w="6267" w:type="dxa"/>
            <w:tcBorders>
              <w:top w:val="single" w:color="auto" w:sz="4" w:space="0"/>
              <w:left w:val="single" w:color="auto" w:sz="4" w:space="0"/>
              <w:bottom w:val="single" w:color="auto" w:sz="4" w:space="0"/>
              <w:right w:val="single" w:color="auto" w:sz="4" w:space="0"/>
            </w:tcBorders>
            <w:vAlign w:val="center"/>
          </w:tcPr>
          <w:p w14:paraId="37588576">
            <w:pPr>
              <w:adjustRightInd w:val="0"/>
              <w:snapToGrid w:val="0"/>
              <w:ind w:firstLine="420"/>
              <w:rPr>
                <w:rFonts w:hint="default" w:ascii="Times New Roman" w:hAnsi="Times New Roman" w:eastAsia="宋体" w:cs="Times New Roman"/>
                <w:color w:val="auto"/>
                <w:sz w:val="21"/>
                <w:szCs w:val="21"/>
                <w:lang w:val="en-US" w:eastAsia="zh-CN"/>
              </w:rPr>
            </w:pPr>
            <w:r>
              <w:rPr>
                <w:rFonts w:hint="eastAsia"/>
                <w:color w:val="auto"/>
                <w:szCs w:val="21"/>
              </w:rPr>
              <w:t>工程选址选线、施工布置和水库淹没不占用自然保护区、风景名胜区等敏感区内法律法规禁止占用的区域和已明确作为栖息地保护区域，并与饮用水水源保护区的有关保护要求相协调</w:t>
            </w:r>
            <w:r>
              <w:rPr>
                <w:rFonts w:cs="Arial Unicode MS"/>
                <w:color w:val="auto"/>
                <w:kern w:val="0"/>
                <w:szCs w:val="30"/>
                <w:lang w:bidi="ar"/>
              </w:rPr>
              <w:t>，且不对上述敏感区的生态系统结构、功能和主要保护对象产生重大不利影响。</w:t>
            </w:r>
          </w:p>
        </w:tc>
      </w:tr>
      <w:tr w14:paraId="36656E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6" w:hRule="atLeast"/>
          <w:jc w:val="center"/>
        </w:trPr>
        <w:tc>
          <w:tcPr>
            <w:tcW w:w="696" w:type="dxa"/>
            <w:tcBorders>
              <w:top w:val="single" w:color="auto" w:sz="4" w:space="0"/>
              <w:left w:val="single" w:color="auto" w:sz="4" w:space="0"/>
              <w:bottom w:val="single" w:color="auto" w:sz="4" w:space="0"/>
              <w:right w:val="single" w:color="auto" w:sz="4" w:space="0"/>
            </w:tcBorders>
            <w:vAlign w:val="center"/>
          </w:tcPr>
          <w:p w14:paraId="166555F6">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w:t>
            </w:r>
          </w:p>
        </w:tc>
        <w:tc>
          <w:tcPr>
            <w:tcW w:w="7255" w:type="dxa"/>
            <w:tcBorders>
              <w:top w:val="single" w:color="auto" w:sz="4" w:space="0"/>
              <w:left w:val="single" w:color="auto" w:sz="4" w:space="0"/>
              <w:bottom w:val="single" w:color="auto" w:sz="4" w:space="0"/>
              <w:right w:val="single" w:color="auto" w:sz="4" w:space="0"/>
            </w:tcBorders>
            <w:vAlign w:val="center"/>
          </w:tcPr>
          <w:p w14:paraId="21C29EFF">
            <w:pPr>
              <w:adjustRightInd w:val="0"/>
              <w:snapToGrid w:val="0"/>
              <w:ind w:firstLine="420" w:firstLineChars="0"/>
              <w:rPr>
                <w:rFonts w:hint="default" w:ascii="Times New Roman" w:hAnsi="Times New Roman" w:eastAsia="宋体" w:cs="Times New Roman"/>
                <w:color w:val="auto"/>
              </w:rPr>
            </w:pPr>
            <w:r>
              <w:rPr>
                <w:rFonts w:hint="default" w:ascii="Times New Roman" w:hAnsi="Times New Roman" w:eastAsia="宋体" w:cs="Times New Roman"/>
                <w:b/>
                <w:bCs/>
                <w:color w:val="auto"/>
              </w:rPr>
              <w:t>第四条：</w:t>
            </w:r>
            <w:r>
              <w:rPr>
                <w:rFonts w:hint="default" w:ascii="Times New Roman" w:hAnsi="Times New Roman" w:eastAsia="宋体" w:cs="Times New Roman"/>
                <w:color w:val="auto"/>
              </w:rPr>
              <w:t>项目改变坝址下游水文情势且造成不利生态环境影响的，应提出生态流量泄放等生态调度措施，明确生态流量过程、泄放设施及在线监测设施和管理措施等内容。项目对水质造成不利影响的，应针对污染源治理、库底环境清理、库区水质保护、污水处理等提出对策措施。兼顾城乡供水任务的，应提出设置饮用水水源保护区、隔离防护等措施。存在下泄低温水、气体过饱和并带来不利生态环境影响的，应提出分层取水、优化泄洪工程形式或调度方式、管理等措施。</w:t>
            </w:r>
          </w:p>
          <w:p w14:paraId="08453C3E">
            <w:pPr>
              <w:adjustRightInd w:val="0"/>
              <w:snapToGrid w:val="0"/>
              <w:ind w:firstLine="420" w:firstLineChars="0"/>
              <w:rPr>
                <w:rFonts w:hint="default" w:ascii="Times New Roman" w:hAnsi="Times New Roman" w:cs="Times New Roman"/>
                <w:color w:val="auto"/>
                <w:sz w:val="21"/>
                <w:szCs w:val="21"/>
              </w:rPr>
            </w:pPr>
            <w:r>
              <w:rPr>
                <w:rFonts w:hint="default" w:ascii="Times New Roman" w:hAnsi="Times New Roman" w:eastAsia="宋体" w:cs="Times New Roman"/>
                <w:color w:val="auto"/>
              </w:rPr>
              <w:t>项目在采取上述措施后，相关河段水质应符合水环境功能区和水功能区要求，下泄水应满足坝址下游河道水生生态、水环境、景观、湿地等生态环境用水及下游生产、生活取水要求，不得造成脱水河段和对农灌、水生生物等造成重大不利影响。</w:t>
            </w:r>
          </w:p>
        </w:tc>
        <w:tc>
          <w:tcPr>
            <w:tcW w:w="6267" w:type="dxa"/>
            <w:tcBorders>
              <w:top w:val="single" w:color="auto" w:sz="4" w:space="0"/>
              <w:left w:val="single" w:color="auto" w:sz="4" w:space="0"/>
              <w:bottom w:val="single" w:color="auto" w:sz="4" w:space="0"/>
              <w:right w:val="single" w:color="auto" w:sz="4" w:space="0"/>
            </w:tcBorders>
            <w:vAlign w:val="center"/>
          </w:tcPr>
          <w:p w14:paraId="4481C7A7">
            <w:pPr>
              <w:ind w:firstLine="420"/>
              <w:rPr>
                <w:rFonts w:hint="default" w:ascii="Times New Roman" w:hAnsi="Times New Roman" w:eastAsia="宋体" w:cs="Times New Roman"/>
                <w:b w:val="0"/>
                <w:bCs/>
                <w:color w:val="auto"/>
                <w:sz w:val="21"/>
                <w:szCs w:val="21"/>
                <w:highlight w:val="none"/>
                <w:lang w:val="en-US" w:eastAsia="zh-CN"/>
              </w:rPr>
            </w:pPr>
            <w:r>
              <w:rPr>
                <w:rFonts w:hint="eastAsia" w:cs="Times New Roman"/>
                <w:color w:val="auto"/>
                <w:lang w:val="en-US" w:eastAsia="zh-CN"/>
              </w:rPr>
              <w:t>青年水库</w:t>
            </w:r>
            <w:r>
              <w:rPr>
                <w:rFonts w:hint="default" w:ascii="Times New Roman" w:hAnsi="Times New Roman" w:cs="Times New Roman"/>
                <w:color w:val="auto"/>
                <w:lang w:val="en-US" w:eastAsia="zh-CN"/>
              </w:rPr>
              <w:t>电站</w:t>
            </w:r>
            <w:r>
              <w:rPr>
                <w:rFonts w:hint="default" w:ascii="Times New Roman" w:hAnsi="Times New Roman" w:eastAsia="宋体" w:cs="Times New Roman"/>
                <w:color w:val="auto"/>
                <w:lang w:val="en-US" w:eastAsia="zh-CN"/>
              </w:rPr>
              <w:t>为已有工程，</w:t>
            </w:r>
            <w:r>
              <w:rPr>
                <w:rFonts w:hint="default" w:ascii="Times New Roman" w:hAnsi="Times New Roman" w:cs="Times New Roman"/>
                <w:color w:val="auto"/>
                <w:lang w:val="en-US" w:eastAsia="zh-CN"/>
              </w:rPr>
              <w:t>本次</w:t>
            </w:r>
            <w:r>
              <w:rPr>
                <w:rFonts w:hint="default" w:ascii="Times New Roman" w:hAnsi="Times New Roman" w:eastAsia="宋体" w:cs="Times New Roman"/>
                <w:b w:val="0"/>
                <w:bCs/>
                <w:color w:val="auto"/>
                <w:sz w:val="21"/>
                <w:szCs w:val="21"/>
                <w:highlight w:val="none"/>
                <w:lang w:val="en-US" w:eastAsia="zh-CN"/>
              </w:rPr>
              <w:t>更换电站水轮机和变压器</w:t>
            </w:r>
            <w:r>
              <w:rPr>
                <w:rFonts w:hint="default" w:ascii="Times New Roman" w:hAnsi="Times New Roman" w:eastAsia="宋体" w:cs="Times New Roman"/>
                <w:color w:val="auto"/>
                <w:lang w:val="en-US" w:eastAsia="zh-CN"/>
              </w:rPr>
              <w:t>，</w:t>
            </w:r>
            <w:r>
              <w:rPr>
                <w:rFonts w:hint="default" w:ascii="Times New Roman" w:hAnsi="Times New Roman" w:cs="Times New Roman"/>
                <w:color w:val="auto"/>
                <w:lang w:val="en-US" w:eastAsia="zh-CN"/>
              </w:rPr>
              <w:t>工程</w:t>
            </w:r>
            <w:r>
              <w:rPr>
                <w:rFonts w:hint="default" w:ascii="Times New Roman" w:hAnsi="Times New Roman" w:eastAsia="宋体" w:cs="Times New Roman"/>
                <w:color w:val="auto"/>
                <w:lang w:val="en-US" w:eastAsia="zh-CN"/>
              </w:rPr>
              <w:t>的任务、规模及调度运行方式均不发生改变。项目实施后，不会改变水库和下游河流水动力条件和水文情势。</w:t>
            </w:r>
            <w:r>
              <w:rPr>
                <w:rFonts w:hint="default" w:ascii="Times New Roman" w:hAnsi="Times New Roman" w:cs="Times New Roman"/>
                <w:color w:val="auto"/>
                <w:lang w:val="en-US" w:eastAsia="zh-CN"/>
              </w:rPr>
              <w:t>水库已</w:t>
            </w:r>
            <w:r>
              <w:rPr>
                <w:rFonts w:hint="default" w:ascii="Times New Roman" w:hAnsi="Times New Roman" w:eastAsia="宋体" w:cs="Times New Roman"/>
                <w:color w:val="auto"/>
                <w:lang w:val="en-US" w:eastAsia="zh-CN"/>
              </w:rPr>
              <w:t>按要求下泄生态流量，</w:t>
            </w:r>
            <w:r>
              <w:rPr>
                <w:rFonts w:hint="default" w:ascii="Times New Roman" w:hAnsi="Times New Roman" w:cs="Times New Roman"/>
                <w:color w:val="auto"/>
                <w:lang w:val="en-US" w:eastAsia="zh-CN"/>
              </w:rPr>
              <w:t>并</w:t>
            </w:r>
            <w:r>
              <w:rPr>
                <w:rFonts w:hint="default" w:ascii="Times New Roman" w:hAnsi="Times New Roman" w:eastAsia="宋体" w:cs="Times New Roman"/>
                <w:color w:val="auto"/>
                <w:lang w:val="en-US" w:eastAsia="zh-CN"/>
              </w:rPr>
              <w:t>设置生态流量监控设施</w:t>
            </w:r>
            <w:r>
              <w:rPr>
                <w:rFonts w:hint="default" w:ascii="Times New Roman" w:hAnsi="Times New Roman" w:cs="Times New Roman"/>
                <w:color w:val="auto"/>
                <w:lang w:val="en-US" w:eastAsia="zh-CN"/>
              </w:rPr>
              <w:t>。水电站发电属清洁生产，不会影响下游水体水质。水库不涉及城乡供水任务，不涉及</w:t>
            </w:r>
            <w:r>
              <w:rPr>
                <w:rFonts w:hint="default" w:ascii="Times New Roman" w:hAnsi="Times New Roman" w:eastAsia="宋体" w:cs="Times New Roman"/>
                <w:color w:val="auto"/>
              </w:rPr>
              <w:t>下泄低温</w:t>
            </w:r>
            <w:r>
              <w:rPr>
                <w:rFonts w:hint="default" w:ascii="Times New Roman" w:hAnsi="Times New Roman" w:eastAsia="宋体" w:cs="Times New Roman"/>
                <w:b w:val="0"/>
                <w:bCs/>
                <w:color w:val="auto"/>
                <w:sz w:val="21"/>
                <w:szCs w:val="21"/>
                <w:highlight w:val="none"/>
                <w:lang w:val="en-US" w:eastAsia="zh-CN"/>
              </w:rPr>
              <w:t>水、气体过饱和的不利影响。</w:t>
            </w:r>
          </w:p>
          <w:p w14:paraId="55332409">
            <w:pPr>
              <w:ind w:firstLine="420"/>
              <w:rPr>
                <w:rFonts w:hint="default" w:ascii="Times New Roman" w:hAnsi="Times New Roman" w:cs="Times New Roman"/>
                <w:lang w:val="en-US" w:eastAsia="zh-CN"/>
              </w:rPr>
            </w:pPr>
            <w:r>
              <w:rPr>
                <w:rFonts w:hint="default" w:ascii="Times New Roman" w:hAnsi="Times New Roman" w:eastAsia="宋体" w:cs="Times New Roman"/>
                <w:b w:val="0"/>
                <w:bCs/>
                <w:color w:val="auto"/>
                <w:sz w:val="21"/>
                <w:szCs w:val="21"/>
                <w:highlight w:val="none"/>
                <w:lang w:val="en-US" w:eastAsia="zh-CN"/>
              </w:rPr>
              <w:t>本次增效扩容工程针对各种可能产生的环境问题均提出并采取了相应的环保措施，对环境影响很小。</w:t>
            </w:r>
          </w:p>
        </w:tc>
      </w:tr>
      <w:tr w14:paraId="7CF0B2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3" w:hRule="atLeast"/>
          <w:jc w:val="center"/>
        </w:trPr>
        <w:tc>
          <w:tcPr>
            <w:tcW w:w="696" w:type="dxa"/>
            <w:tcBorders>
              <w:top w:val="single" w:color="auto" w:sz="4" w:space="0"/>
              <w:left w:val="single" w:color="auto" w:sz="4" w:space="0"/>
              <w:bottom w:val="single" w:color="auto" w:sz="4" w:space="0"/>
              <w:right w:val="single" w:color="auto" w:sz="4" w:space="0"/>
            </w:tcBorders>
            <w:vAlign w:val="center"/>
          </w:tcPr>
          <w:p w14:paraId="641A2F79">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w:t>
            </w:r>
          </w:p>
        </w:tc>
        <w:tc>
          <w:tcPr>
            <w:tcW w:w="7255" w:type="dxa"/>
            <w:tcBorders>
              <w:top w:val="single" w:color="auto" w:sz="4" w:space="0"/>
              <w:left w:val="single" w:color="auto" w:sz="4" w:space="0"/>
              <w:bottom w:val="single" w:color="auto" w:sz="4" w:space="0"/>
              <w:right w:val="single" w:color="auto" w:sz="4" w:space="0"/>
            </w:tcBorders>
            <w:vAlign w:val="center"/>
          </w:tcPr>
          <w:p w14:paraId="362905C0">
            <w:pPr>
              <w:adjustRightInd w:val="0"/>
              <w:snapToGrid w:val="0"/>
              <w:ind w:firstLine="420" w:firstLineChars="0"/>
              <w:rPr>
                <w:rFonts w:hint="default" w:ascii="Times New Roman" w:hAnsi="Times New Roman" w:eastAsia="宋体" w:cs="Times New Roman"/>
                <w:color w:val="auto"/>
              </w:rPr>
            </w:pPr>
            <w:r>
              <w:rPr>
                <w:rFonts w:hint="default" w:ascii="Times New Roman" w:hAnsi="Times New Roman" w:eastAsia="宋体" w:cs="Times New Roman"/>
                <w:b/>
                <w:bCs/>
                <w:color w:val="auto"/>
              </w:rPr>
              <w:t>第五条：</w:t>
            </w:r>
            <w:r>
              <w:rPr>
                <w:rFonts w:hint="default" w:ascii="Times New Roman" w:hAnsi="Times New Roman" w:eastAsia="宋体" w:cs="Times New Roman"/>
                <w:color w:val="auto"/>
              </w:rPr>
              <w:t>项目对鱼类等水生生物洄游、重要三场等生境、物种及资源量等造成不利影响的，应提出栖息地保护、水生生物通道、鱼类增殖放流等措施。其中，栖息地保护措施包括干（支）流生境保留、生态恢复（或重建）等，采用生境保留的应明确河段范围及保护措施。水生生物通道措施包括鱼道、升鱼机、集运鱼系统等，应明确过鱼对象、运行要求等内容，并落实设计。鱼类增殖放流措施应明确建设单位是责任主体，并包括鱼类增殖站地点、增殖放流对象、放流规模、放流地点等内容。</w:t>
            </w:r>
          </w:p>
          <w:p w14:paraId="1F8E8FE7">
            <w:pPr>
              <w:adjustRightInd w:val="0"/>
              <w:snapToGrid w:val="0"/>
              <w:ind w:firstLine="420" w:firstLineChars="0"/>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rPr>
              <w:t>项目在采取上述措施后，水生生物的生境、物种、资源量的损失以及阻隔影响等能够得到缓解和控制，不会造成原有珍稀濒危保护或重要经济水生生物在相关河段消失，不会对相关河段水生生态系统造成毁灭性不利影响。</w:t>
            </w:r>
          </w:p>
        </w:tc>
        <w:tc>
          <w:tcPr>
            <w:tcW w:w="6267" w:type="dxa"/>
            <w:tcBorders>
              <w:top w:val="single" w:color="auto" w:sz="4" w:space="0"/>
              <w:left w:val="single" w:color="auto" w:sz="4" w:space="0"/>
              <w:bottom w:val="single" w:color="auto" w:sz="4" w:space="0"/>
              <w:right w:val="single" w:color="auto" w:sz="4" w:space="0"/>
            </w:tcBorders>
            <w:vAlign w:val="center"/>
          </w:tcPr>
          <w:p w14:paraId="4F24E767">
            <w:pPr>
              <w:adjustRightInd w:val="0"/>
              <w:snapToGrid w:val="0"/>
              <w:ind w:firstLine="420"/>
              <w:rPr>
                <w:rFonts w:hint="default" w:ascii="Times New Roman" w:hAnsi="Times New Roman" w:cs="Times New Roman"/>
                <w:color w:val="auto"/>
                <w:lang w:eastAsia="zh-CN"/>
              </w:rPr>
            </w:pPr>
            <w:r>
              <w:rPr>
                <w:rFonts w:hint="eastAsia"/>
                <w:color w:val="auto"/>
                <w:kern w:val="0"/>
                <w:szCs w:val="21"/>
                <w:lang w:val="en-US" w:eastAsia="zh-CN"/>
              </w:rPr>
              <w:t>青年水库鱼类主要为鲤、鲫，坝址下游</w:t>
            </w:r>
            <w:r>
              <w:rPr>
                <w:rFonts w:hint="eastAsia"/>
                <w:color w:val="auto"/>
                <w:kern w:val="0"/>
                <w:szCs w:val="21"/>
              </w:rPr>
              <w:t>裴德河主要鱼类有青鱼、草鱼、鲢、鲶、黑龙江泥鳅、鲤、银鲫、洛氏鱥等常见种类为主，且主要分布在裴德河水库坝下</w:t>
            </w:r>
            <w:r>
              <w:rPr>
                <w:rFonts w:hint="eastAsia"/>
                <w:color w:val="auto"/>
                <w:kern w:val="0"/>
                <w:szCs w:val="21"/>
                <w:lang w:eastAsia="zh-CN"/>
              </w:rPr>
              <w:t>。</w:t>
            </w:r>
            <w:r>
              <w:rPr>
                <w:rFonts w:hint="eastAsia"/>
                <w:color w:val="auto"/>
                <w:kern w:val="0"/>
                <w:szCs w:val="21"/>
              </w:rPr>
              <w:t>据调查</w:t>
            </w:r>
            <w:r>
              <w:rPr>
                <w:rFonts w:hint="eastAsia" w:ascii="Times New Roman" w:hAnsi="Times New Roman" w:cs="Times New Roman"/>
                <w:color w:val="auto"/>
                <w:highlight w:val="none"/>
                <w:lang w:val="en-US" w:eastAsia="zh-CN"/>
              </w:rPr>
              <w:t>工程建设位置集中在拦河坝附近，且工程不涉水，环境影响</w:t>
            </w:r>
            <w:r>
              <w:rPr>
                <w:rFonts w:hint="default" w:ascii="Times New Roman" w:hAnsi="Times New Roman" w:cs="Times New Roman"/>
                <w:color w:val="auto"/>
                <w:highlight w:val="none"/>
                <w:lang w:val="en-US" w:eastAsia="zh-CN"/>
              </w:rPr>
              <w:t>不涉及重要经济鱼类“三场”，不涉及</w:t>
            </w:r>
            <w:r>
              <w:rPr>
                <w:rFonts w:hint="default" w:ascii="Times New Roman" w:hAnsi="Times New Roman" w:eastAsia="宋体" w:cs="Times New Roman"/>
                <w:color w:val="auto"/>
                <w:highlight w:val="none"/>
                <w:lang w:val="en-US" w:eastAsia="zh-CN"/>
              </w:rPr>
              <w:t>珍稀濒危鱼类“三场”一通道。本次增效扩容改造工程不加高拦河坝，不新增淹没区，增效扩容后水库及坝下河段的水文情势与增效扩容前基本一致，不会对</w:t>
            </w:r>
            <w:r>
              <w:rPr>
                <w:rFonts w:hint="default" w:ascii="Times New Roman" w:hAnsi="Times New Roman" w:cs="Times New Roman"/>
                <w:color w:val="auto"/>
                <w:highlight w:val="none"/>
                <w:lang w:val="en-US" w:eastAsia="zh-CN"/>
              </w:rPr>
              <w:t>库区及下游</w:t>
            </w:r>
            <w:r>
              <w:rPr>
                <w:rFonts w:hint="default" w:ascii="Times New Roman" w:hAnsi="Times New Roman" w:eastAsia="宋体" w:cs="Times New Roman"/>
                <w:color w:val="auto"/>
                <w:highlight w:val="none"/>
                <w:lang w:val="en-US" w:eastAsia="zh-CN"/>
              </w:rPr>
              <w:t>河段水生生态系统造成不利影响</w:t>
            </w:r>
            <w:r>
              <w:rPr>
                <w:rFonts w:hint="default" w:ascii="Times New Roman" w:hAnsi="Times New Roman" w:cs="Times New Roman"/>
                <w:color w:val="auto"/>
                <w:highlight w:val="none"/>
                <w:lang w:val="en-US" w:eastAsia="zh-CN"/>
              </w:rPr>
              <w:t>，</w:t>
            </w:r>
          </w:p>
        </w:tc>
      </w:tr>
      <w:tr w14:paraId="7F54AE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9" w:hRule="atLeast"/>
          <w:jc w:val="center"/>
        </w:trPr>
        <w:tc>
          <w:tcPr>
            <w:tcW w:w="696" w:type="dxa"/>
            <w:tcBorders>
              <w:top w:val="single" w:color="auto" w:sz="4" w:space="0"/>
              <w:left w:val="single" w:color="auto" w:sz="4" w:space="0"/>
              <w:bottom w:val="single" w:color="auto" w:sz="4" w:space="0"/>
              <w:right w:val="single" w:color="auto" w:sz="4" w:space="0"/>
            </w:tcBorders>
            <w:vAlign w:val="center"/>
          </w:tcPr>
          <w:p w14:paraId="10ADA679">
            <w:pPr>
              <w:adjustRightInd w:val="0"/>
              <w:snapToGrid w:val="0"/>
              <w:jc w:val="center"/>
              <w:rPr>
                <w:rFonts w:hint="default" w:ascii="Times New Roman" w:hAnsi="Times New Roman" w:cs="Times New Roman"/>
                <w:color w:val="auto"/>
                <w:sz w:val="21"/>
                <w:szCs w:val="21"/>
                <w:highlight w:val="yellow"/>
              </w:rPr>
            </w:pPr>
            <w:r>
              <w:rPr>
                <w:rFonts w:hint="default" w:ascii="Times New Roman" w:hAnsi="Times New Roman" w:cs="Times New Roman"/>
                <w:color w:val="auto"/>
                <w:sz w:val="21"/>
                <w:szCs w:val="21"/>
                <w:highlight w:val="none"/>
              </w:rPr>
              <w:t>6</w:t>
            </w:r>
          </w:p>
        </w:tc>
        <w:tc>
          <w:tcPr>
            <w:tcW w:w="7255" w:type="dxa"/>
            <w:tcBorders>
              <w:top w:val="single" w:color="auto" w:sz="4" w:space="0"/>
              <w:left w:val="single" w:color="auto" w:sz="4" w:space="0"/>
              <w:bottom w:val="single" w:color="auto" w:sz="4" w:space="0"/>
              <w:right w:val="single" w:color="auto" w:sz="4" w:space="0"/>
            </w:tcBorders>
            <w:vAlign w:val="center"/>
          </w:tcPr>
          <w:p w14:paraId="1C2BA03D">
            <w:pPr>
              <w:adjustRightInd w:val="0"/>
              <w:snapToGrid w:val="0"/>
              <w:ind w:firstLine="420" w:firstLineChars="0"/>
              <w:rPr>
                <w:rFonts w:hint="default" w:ascii="Times New Roman" w:hAnsi="Times New Roman" w:eastAsia="宋体" w:cs="Times New Roman"/>
                <w:color w:val="auto"/>
              </w:rPr>
            </w:pPr>
            <w:r>
              <w:rPr>
                <w:rFonts w:hint="default" w:ascii="Times New Roman" w:hAnsi="Times New Roman" w:eastAsia="宋体" w:cs="Times New Roman"/>
                <w:b/>
                <w:bCs/>
                <w:color w:val="auto"/>
              </w:rPr>
              <w:t>第六条：</w:t>
            </w:r>
            <w:r>
              <w:rPr>
                <w:rFonts w:hint="default" w:ascii="Times New Roman" w:hAnsi="Times New Roman" w:eastAsia="宋体" w:cs="Times New Roman"/>
                <w:color w:val="auto"/>
              </w:rPr>
              <w:t>项目对珍稀濒危等保护植物造成影响的，应采取工程防护、异地移栽等措施。项目对珍稀濒危等野生保护动物造成影响的，应提出救助、构建动物廊道或类似生境等措施。项目涉及风景名胜区等环境敏感区并对景观产生影响的，应提出优化工程设计、景观塑造等措施。项目建设带来地下水位变化导致次生生态环境影响的，应提出针对性措施。</w:t>
            </w:r>
          </w:p>
          <w:p w14:paraId="68C168D2">
            <w:pPr>
              <w:adjustRightInd w:val="0"/>
              <w:snapToGrid w:val="0"/>
              <w:ind w:firstLine="420" w:firstLineChars="0"/>
              <w:rPr>
                <w:rFonts w:hint="default" w:ascii="Times New Roman" w:hAnsi="Times New Roman" w:cs="Times New Roman"/>
                <w:color w:val="auto"/>
                <w:sz w:val="21"/>
                <w:szCs w:val="21"/>
              </w:rPr>
            </w:pPr>
            <w:r>
              <w:rPr>
                <w:rFonts w:hint="default" w:ascii="Times New Roman" w:hAnsi="Times New Roman" w:eastAsia="宋体" w:cs="Times New Roman"/>
                <w:color w:val="auto"/>
              </w:rPr>
              <w:t>项目在采取上述措施后，陆生动植物的生境、物种、资源量的损失以及阻隔影响、次生生态环境影响等能够得到缓解和控制，与风景名胜区等景观协调，不会造成原有珍稀濒危保护动植物在相关区域消失，不会对陆生生态系统造成毁灭性不利影响。</w:t>
            </w:r>
          </w:p>
        </w:tc>
        <w:tc>
          <w:tcPr>
            <w:tcW w:w="6267" w:type="dxa"/>
            <w:tcBorders>
              <w:top w:val="single" w:color="auto" w:sz="4" w:space="0"/>
              <w:left w:val="single" w:color="auto" w:sz="4" w:space="0"/>
              <w:bottom w:val="single" w:color="auto" w:sz="4" w:space="0"/>
              <w:right w:val="single" w:color="auto" w:sz="4" w:space="0"/>
            </w:tcBorders>
            <w:vAlign w:val="center"/>
          </w:tcPr>
          <w:p w14:paraId="0C7AF649">
            <w:pPr>
              <w:adjustRightInd w:val="0"/>
              <w:snapToGrid w:val="0"/>
              <w:ind w:firstLine="42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0"/>
                <w:szCs w:val="21"/>
                <w:lang w:val="en-US" w:eastAsia="zh-CN"/>
              </w:rPr>
              <w:t>工程施工布置均位于原</w:t>
            </w:r>
            <w:r>
              <w:rPr>
                <w:rFonts w:hint="default" w:ascii="Times New Roman" w:hAnsi="Times New Roman" w:cs="Times New Roman"/>
                <w:color w:val="auto"/>
                <w:kern w:val="0"/>
                <w:szCs w:val="21"/>
                <w:lang w:val="en-US" w:eastAsia="zh-CN"/>
              </w:rPr>
              <w:t>工程</w:t>
            </w:r>
            <w:r>
              <w:rPr>
                <w:rFonts w:hint="default" w:ascii="Times New Roman" w:hAnsi="Times New Roman" w:eastAsia="宋体" w:cs="Times New Roman"/>
                <w:color w:val="auto"/>
                <w:kern w:val="0"/>
                <w:szCs w:val="21"/>
                <w:lang w:val="en-US" w:eastAsia="zh-CN"/>
              </w:rPr>
              <w:t>建设范围内，不涉及新增永久用地和临时用地</w:t>
            </w:r>
            <w:r>
              <w:rPr>
                <w:rFonts w:hint="default" w:ascii="Times New Roman" w:hAnsi="Times New Roman" w:cs="Times New Roman"/>
                <w:color w:val="auto"/>
                <w:kern w:val="0"/>
                <w:szCs w:val="21"/>
                <w:lang w:val="en-US" w:eastAsia="zh-CN"/>
              </w:rPr>
              <w:t>。</w:t>
            </w:r>
            <w:r>
              <w:rPr>
                <w:rFonts w:hint="default" w:ascii="Times New Roman" w:hAnsi="Times New Roman" w:eastAsia="宋体" w:cs="Times New Roman"/>
                <w:color w:val="auto"/>
                <w:kern w:val="0"/>
                <w:szCs w:val="21"/>
                <w:lang w:val="en-US" w:eastAsia="zh-CN"/>
              </w:rPr>
              <w:t>工程影响区域植被</w:t>
            </w:r>
            <w:r>
              <w:rPr>
                <w:rFonts w:hint="default" w:ascii="Times New Roman" w:hAnsi="Times New Roman" w:eastAsia="宋体" w:cs="Times New Roman"/>
                <w:color w:val="auto"/>
                <w:kern w:val="0"/>
                <w:szCs w:val="21"/>
              </w:rPr>
              <w:t>主要</w:t>
            </w:r>
            <w:r>
              <w:rPr>
                <w:rFonts w:hint="default" w:ascii="Times New Roman" w:hAnsi="Times New Roman" w:eastAsia="宋体" w:cs="Times New Roman"/>
                <w:color w:val="auto"/>
                <w:kern w:val="0"/>
                <w:szCs w:val="21"/>
                <w:lang w:val="en-US" w:eastAsia="zh-CN"/>
              </w:rPr>
              <w:t>为</w:t>
            </w:r>
            <w:r>
              <w:rPr>
                <w:rFonts w:hint="default" w:ascii="Times New Roman" w:hAnsi="Times New Roman" w:cs="Times New Roman"/>
                <w:color w:val="auto"/>
                <w:lang w:val="en-US" w:eastAsia="zh-CN"/>
              </w:rPr>
              <w:t>农田作物和人工林</w:t>
            </w:r>
            <w:r>
              <w:rPr>
                <w:rFonts w:hint="default" w:ascii="Times New Roman" w:hAnsi="Times New Roman" w:eastAsia="宋体" w:cs="Times New Roman"/>
                <w:color w:val="auto"/>
                <w:kern w:val="0"/>
                <w:szCs w:val="21"/>
              </w:rPr>
              <w:t>，都属于周边地区的常见</w:t>
            </w:r>
            <w:r>
              <w:rPr>
                <w:rFonts w:hint="default" w:ascii="Times New Roman" w:hAnsi="Times New Roman" w:eastAsia="宋体" w:cs="Times New Roman"/>
                <w:color w:val="auto"/>
                <w:kern w:val="0"/>
                <w:szCs w:val="21"/>
                <w:lang w:val="en-US" w:eastAsia="zh-CN"/>
              </w:rPr>
              <w:t>植被</w:t>
            </w:r>
            <w:r>
              <w:rPr>
                <w:rFonts w:hint="default" w:ascii="Times New Roman" w:hAnsi="Times New Roman" w:eastAsia="宋体" w:cs="Times New Roman"/>
                <w:color w:val="auto"/>
                <w:kern w:val="0"/>
                <w:szCs w:val="21"/>
              </w:rPr>
              <w:t>，并非特有类型。</w:t>
            </w:r>
            <w:r>
              <w:rPr>
                <w:rFonts w:hint="default" w:ascii="Times New Roman" w:hAnsi="Times New Roman" w:eastAsia="宋体" w:cs="Times New Roman"/>
                <w:color w:val="auto"/>
                <w:kern w:val="0"/>
                <w:szCs w:val="21"/>
                <w:lang w:val="en-US" w:eastAsia="zh-CN"/>
              </w:rPr>
              <w:t>本</w:t>
            </w:r>
            <w:r>
              <w:rPr>
                <w:rFonts w:hint="default" w:ascii="Times New Roman" w:hAnsi="Times New Roman" w:cs="Times New Roman"/>
                <w:color w:val="auto"/>
                <w:kern w:val="0"/>
                <w:szCs w:val="21"/>
                <w:lang w:val="en-US" w:eastAsia="zh-CN"/>
              </w:rPr>
              <w:t>次</w:t>
            </w:r>
            <w:r>
              <w:rPr>
                <w:rFonts w:hint="default" w:ascii="Times New Roman" w:hAnsi="Times New Roman" w:eastAsia="宋体" w:cs="Times New Roman"/>
                <w:color w:val="auto"/>
                <w:kern w:val="0"/>
                <w:szCs w:val="21"/>
                <w:lang w:val="en-US" w:eastAsia="zh-CN"/>
              </w:rPr>
              <w:t>环评针对可能产生的环境影响，均提出了对应</w:t>
            </w:r>
            <w:r>
              <w:rPr>
                <w:rFonts w:hint="default" w:ascii="Times New Roman" w:hAnsi="Times New Roman" w:cs="Times New Roman"/>
                <w:color w:val="auto"/>
                <w:kern w:val="0"/>
                <w:szCs w:val="21"/>
                <w:lang w:val="en-US" w:eastAsia="zh-CN"/>
              </w:rPr>
              <w:t>的环保措施，工程建设对陆生生态系统影响很小。</w:t>
            </w:r>
          </w:p>
        </w:tc>
      </w:tr>
      <w:tr w14:paraId="3EBF77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82" w:hRule="atLeast"/>
          <w:jc w:val="center"/>
        </w:trPr>
        <w:tc>
          <w:tcPr>
            <w:tcW w:w="696" w:type="dxa"/>
            <w:tcBorders>
              <w:top w:val="single" w:color="auto" w:sz="4" w:space="0"/>
              <w:left w:val="single" w:color="auto" w:sz="4" w:space="0"/>
              <w:bottom w:val="single" w:color="auto" w:sz="4" w:space="0"/>
              <w:right w:val="single" w:color="auto" w:sz="4" w:space="0"/>
            </w:tcBorders>
            <w:vAlign w:val="center"/>
          </w:tcPr>
          <w:p w14:paraId="11537167">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w:t>
            </w:r>
          </w:p>
        </w:tc>
        <w:tc>
          <w:tcPr>
            <w:tcW w:w="7255" w:type="dxa"/>
            <w:tcBorders>
              <w:top w:val="single" w:color="auto" w:sz="4" w:space="0"/>
              <w:left w:val="single" w:color="auto" w:sz="4" w:space="0"/>
              <w:bottom w:val="single" w:color="auto" w:sz="4" w:space="0"/>
              <w:right w:val="single" w:color="auto" w:sz="4" w:space="0"/>
            </w:tcBorders>
            <w:vAlign w:val="center"/>
          </w:tcPr>
          <w:p w14:paraId="6B8BAB31">
            <w:pPr>
              <w:adjustRightInd w:val="0"/>
              <w:snapToGrid w:val="0"/>
              <w:ind w:firstLine="420" w:firstLineChars="0"/>
              <w:rPr>
                <w:rFonts w:hint="default" w:ascii="Times New Roman" w:hAnsi="Times New Roman" w:eastAsia="宋体" w:cs="Times New Roman"/>
                <w:color w:val="auto"/>
              </w:rPr>
            </w:pPr>
            <w:r>
              <w:rPr>
                <w:rFonts w:hint="default" w:ascii="Times New Roman" w:hAnsi="Times New Roman" w:eastAsia="宋体" w:cs="Times New Roman"/>
                <w:b/>
                <w:bCs/>
                <w:color w:val="auto"/>
              </w:rPr>
              <w:t>第七条：</w:t>
            </w:r>
            <w:r>
              <w:rPr>
                <w:rFonts w:hint="default" w:ascii="Times New Roman" w:hAnsi="Times New Roman" w:eastAsia="宋体" w:cs="Times New Roman"/>
                <w:color w:val="auto"/>
              </w:rPr>
              <w:t>项目施工组织方案具有环境合理性，对弃土（渣）场等应提出防治水土流失和施工迹地生态恢复等措施。对施工期各类废（污）水、废气、噪声、固体废物等提出了防治或处置措施，符合环境保护相关标准和要求。</w:t>
            </w:r>
          </w:p>
          <w:p w14:paraId="2E282512">
            <w:pPr>
              <w:adjustRightInd w:val="0"/>
              <w:snapToGrid w:val="0"/>
              <w:ind w:firstLine="420" w:firstLineChars="0"/>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rPr>
              <w:t>项目在采取上述措施后，施工过</w:t>
            </w:r>
            <w:r>
              <w:rPr>
                <w:rFonts w:hint="default" w:ascii="Times New Roman" w:hAnsi="Times New Roman" w:cs="Times New Roman"/>
                <w:color w:val="auto"/>
                <w:lang w:eastAsia="zh-CN"/>
              </w:rPr>
              <w:t>程中</w:t>
            </w:r>
            <w:r>
              <w:rPr>
                <w:rFonts w:hint="default" w:ascii="Times New Roman" w:hAnsi="Times New Roman" w:eastAsia="宋体" w:cs="Times New Roman"/>
                <w:color w:val="auto"/>
              </w:rPr>
              <w:t>环境影响得到缓解和控制，不对周围生态环境和敏感目标产生重大不利影响。</w:t>
            </w:r>
          </w:p>
        </w:tc>
        <w:tc>
          <w:tcPr>
            <w:tcW w:w="6267" w:type="dxa"/>
            <w:tcBorders>
              <w:top w:val="single" w:color="auto" w:sz="4" w:space="0"/>
              <w:left w:val="single" w:color="auto" w:sz="4" w:space="0"/>
              <w:bottom w:val="single" w:color="auto" w:sz="4" w:space="0"/>
              <w:right w:val="single" w:color="auto" w:sz="4" w:space="0"/>
            </w:tcBorders>
            <w:vAlign w:val="center"/>
          </w:tcPr>
          <w:p w14:paraId="306FE0D6">
            <w:pPr>
              <w:adjustRightInd w:val="0"/>
              <w:snapToGrid w:val="0"/>
              <w:ind w:firstLine="420"/>
              <w:rPr>
                <w:rFonts w:hint="default" w:ascii="Times New Roman" w:hAnsi="Times New Roman" w:eastAsia="宋体" w:cs="Times New Roman"/>
                <w:color w:val="auto"/>
                <w:lang w:val="en-US" w:eastAsia="zh-CN"/>
              </w:rPr>
            </w:pPr>
            <w:r>
              <w:rPr>
                <w:rFonts w:hint="default" w:ascii="Times New Roman" w:hAnsi="Times New Roman" w:cs="Times New Roman"/>
                <w:color w:val="auto"/>
                <w:highlight w:val="none"/>
                <w:lang w:val="en-US" w:eastAsia="zh-CN"/>
              </w:rPr>
              <w:t>项目实施全部在工程原址上进行，无新增永久占地，未设置施工营地，施工人员生活均利用当地现有村屯房屋解决。</w:t>
            </w:r>
            <w:r>
              <w:rPr>
                <w:rFonts w:hint="default" w:ascii="Times New Roman" w:hAnsi="Times New Roman" w:cs="Times New Roman"/>
                <w:color w:val="auto"/>
                <w:sz w:val="21"/>
                <w:szCs w:val="21"/>
                <w:lang w:val="en-US" w:eastAsia="zh-CN"/>
              </w:rPr>
              <w:t>施工人员</w:t>
            </w:r>
            <w:r>
              <w:rPr>
                <w:rFonts w:hint="default" w:ascii="Times New Roman" w:hAnsi="Times New Roman" w:cs="Times New Roman"/>
                <w:color w:val="auto"/>
                <w:sz w:val="21"/>
                <w:szCs w:val="21"/>
              </w:rPr>
              <w:t>生活污水定期清淘，外运堆肥</w:t>
            </w:r>
            <w:r>
              <w:rPr>
                <w:rFonts w:hint="default" w:ascii="Times New Roman" w:hAnsi="Times New Roman" w:cs="Times New Roman"/>
                <w:color w:val="auto"/>
                <w:highlight w:val="none"/>
                <w:lang w:val="en-US" w:eastAsia="zh-CN"/>
              </w:rPr>
              <w:t>，扬尘采取洒水抑尘，采用低噪声设备等措施，符合环境保护相关要求。</w:t>
            </w:r>
          </w:p>
          <w:p w14:paraId="1F8C88EE">
            <w:pPr>
              <w:adjustRightInd w:val="0"/>
              <w:snapToGrid w:val="0"/>
              <w:ind w:firstLine="420"/>
              <w:rPr>
                <w:rFonts w:hint="default" w:ascii="Times New Roman" w:hAnsi="Times New Roman" w:cs="Times New Roman"/>
                <w:color w:val="auto"/>
                <w:sz w:val="21"/>
                <w:szCs w:val="21"/>
              </w:rPr>
            </w:pPr>
            <w:r>
              <w:rPr>
                <w:rFonts w:hint="default" w:ascii="Times New Roman" w:hAnsi="Times New Roman" w:eastAsia="宋体" w:cs="Times New Roman"/>
                <w:color w:val="auto"/>
              </w:rPr>
              <w:t>项目施工期间，已全面落实各项环境保护措施，且所有措施均严格按照既</w:t>
            </w:r>
            <w:r>
              <w:rPr>
                <w:rFonts w:hint="default" w:ascii="Times New Roman" w:hAnsi="Times New Roman" w:eastAsia="宋体" w:cs="Times New Roman"/>
                <w:color w:val="auto"/>
                <w:highlight w:val="none"/>
                <w:lang w:val="en-US" w:eastAsia="zh-CN"/>
              </w:rPr>
              <w:t>定要求执行到位。项目施工未对周边大气、水、声环境及生态保护目标造成重大不利影响，周边环境质量维持在原有水平或符合相关环保标准要求，</w:t>
            </w:r>
          </w:p>
        </w:tc>
      </w:tr>
      <w:tr w14:paraId="48EDCC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7" w:hRule="atLeast"/>
          <w:jc w:val="center"/>
        </w:trPr>
        <w:tc>
          <w:tcPr>
            <w:tcW w:w="696" w:type="dxa"/>
            <w:tcBorders>
              <w:top w:val="single" w:color="auto" w:sz="4" w:space="0"/>
              <w:left w:val="single" w:color="auto" w:sz="4" w:space="0"/>
              <w:bottom w:val="single" w:color="auto" w:sz="4" w:space="0"/>
              <w:right w:val="single" w:color="auto" w:sz="4" w:space="0"/>
            </w:tcBorders>
            <w:vAlign w:val="center"/>
          </w:tcPr>
          <w:p w14:paraId="6C311E67">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w:t>
            </w:r>
          </w:p>
        </w:tc>
        <w:tc>
          <w:tcPr>
            <w:tcW w:w="7255" w:type="dxa"/>
            <w:tcBorders>
              <w:top w:val="single" w:color="auto" w:sz="4" w:space="0"/>
              <w:left w:val="single" w:color="auto" w:sz="4" w:space="0"/>
              <w:bottom w:val="single" w:color="auto" w:sz="4" w:space="0"/>
              <w:right w:val="single" w:color="auto" w:sz="4" w:space="0"/>
            </w:tcBorders>
            <w:vAlign w:val="center"/>
          </w:tcPr>
          <w:p w14:paraId="452FE8CC">
            <w:pPr>
              <w:adjustRightInd w:val="0"/>
              <w:snapToGrid w:val="0"/>
              <w:ind w:firstLine="420" w:firstLineChars="0"/>
              <w:rPr>
                <w:rFonts w:hint="default" w:ascii="Times New Roman" w:hAnsi="Times New Roman" w:eastAsia="宋体" w:cs="Times New Roman"/>
                <w:color w:val="auto"/>
              </w:rPr>
            </w:pPr>
            <w:r>
              <w:rPr>
                <w:rFonts w:hint="default" w:ascii="Times New Roman" w:hAnsi="Times New Roman" w:eastAsia="宋体" w:cs="Times New Roman"/>
                <w:b/>
                <w:bCs/>
                <w:color w:val="auto"/>
              </w:rPr>
              <w:t>第八条：</w:t>
            </w:r>
            <w:r>
              <w:rPr>
                <w:rFonts w:hint="default" w:ascii="Times New Roman" w:hAnsi="Times New Roman" w:eastAsia="宋体" w:cs="Times New Roman"/>
                <w:color w:val="auto"/>
              </w:rPr>
              <w:t>项目移民安置涉及的农业土地开垦、安置区、迁建企业、复建工程等安置建设方式和选址具有环境合理性，对环境造成不利影响的，应提出生态保护、污水处理与垃圾处置等措施。针对城（集）镇迁建及配套环保设施、重大交通复建工程、重要水利工程、污染型企业迁建等重大移民安置工程，应提出单独开展环境影响评价要求。</w:t>
            </w:r>
          </w:p>
          <w:p w14:paraId="1321238D">
            <w:pPr>
              <w:adjustRightInd w:val="0"/>
              <w:snapToGrid w:val="0"/>
              <w:ind w:firstLine="420" w:firstLineChars="0"/>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rPr>
              <w:t>项目在采取上述措施后，移民安置环境影响得到缓解和控制。</w:t>
            </w:r>
          </w:p>
        </w:tc>
        <w:tc>
          <w:tcPr>
            <w:tcW w:w="6267" w:type="dxa"/>
            <w:tcBorders>
              <w:top w:val="single" w:color="auto" w:sz="4" w:space="0"/>
              <w:left w:val="single" w:color="auto" w:sz="4" w:space="0"/>
              <w:bottom w:val="single" w:color="auto" w:sz="4" w:space="0"/>
              <w:right w:val="single" w:color="auto" w:sz="4" w:space="0"/>
            </w:tcBorders>
            <w:vAlign w:val="center"/>
          </w:tcPr>
          <w:p w14:paraId="201C50F9">
            <w:pPr>
              <w:adjustRightInd w:val="0"/>
              <w:snapToGrid w:val="0"/>
              <w:ind w:firstLine="420"/>
              <w:rPr>
                <w:rFonts w:hint="default" w:ascii="Times New Roman" w:hAnsi="Times New Roman" w:cs="Times New Roman"/>
                <w:color w:val="auto"/>
                <w:sz w:val="21"/>
                <w:szCs w:val="21"/>
              </w:rPr>
            </w:pPr>
            <w:r>
              <w:rPr>
                <w:rFonts w:hint="default" w:ascii="Times New Roman" w:hAnsi="Times New Roman" w:cs="Times New Roman"/>
                <w:color w:val="auto"/>
              </w:rPr>
              <w:t>本项目不涉及移民安置。</w:t>
            </w:r>
          </w:p>
        </w:tc>
      </w:tr>
      <w:tr w14:paraId="29A6B0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0" w:hRule="atLeast"/>
          <w:jc w:val="center"/>
        </w:trPr>
        <w:tc>
          <w:tcPr>
            <w:tcW w:w="696" w:type="dxa"/>
            <w:tcBorders>
              <w:top w:val="single" w:color="auto" w:sz="4" w:space="0"/>
              <w:left w:val="single" w:color="auto" w:sz="4" w:space="0"/>
              <w:bottom w:val="single" w:color="auto" w:sz="4" w:space="0"/>
              <w:right w:val="single" w:color="auto" w:sz="4" w:space="0"/>
            </w:tcBorders>
            <w:vAlign w:val="center"/>
          </w:tcPr>
          <w:p w14:paraId="1F5518C0">
            <w:pPr>
              <w:adjustRightInd w:val="0"/>
              <w:snapToGrid w:val="0"/>
              <w:jc w:val="center"/>
              <w:rPr>
                <w:rFonts w:hint="default" w:ascii="Times New Roman" w:hAnsi="Times New Roman" w:cs="Times New Roman"/>
                <w:color w:val="auto"/>
                <w:sz w:val="21"/>
                <w:szCs w:val="21"/>
                <w:highlight w:val="yellow"/>
              </w:rPr>
            </w:pPr>
            <w:r>
              <w:rPr>
                <w:rFonts w:hint="default" w:ascii="Times New Roman" w:hAnsi="Times New Roman" w:cs="Times New Roman"/>
                <w:color w:val="auto"/>
                <w:sz w:val="21"/>
                <w:szCs w:val="21"/>
                <w:highlight w:val="none"/>
              </w:rPr>
              <w:t>9</w:t>
            </w:r>
          </w:p>
        </w:tc>
        <w:tc>
          <w:tcPr>
            <w:tcW w:w="7255" w:type="dxa"/>
            <w:tcBorders>
              <w:top w:val="single" w:color="auto" w:sz="4" w:space="0"/>
              <w:left w:val="single" w:color="auto" w:sz="4" w:space="0"/>
              <w:bottom w:val="single" w:color="auto" w:sz="4" w:space="0"/>
              <w:right w:val="single" w:color="auto" w:sz="4" w:space="0"/>
            </w:tcBorders>
            <w:vAlign w:val="center"/>
          </w:tcPr>
          <w:p w14:paraId="40EC1A93">
            <w:pPr>
              <w:adjustRightInd w:val="0"/>
              <w:snapToGrid w:val="0"/>
              <w:ind w:firstLine="420" w:firstLineChars="0"/>
              <w:rPr>
                <w:rFonts w:hint="default" w:ascii="Times New Roman" w:hAnsi="Times New Roman" w:cs="Times New Roman"/>
                <w:color w:val="auto"/>
                <w:sz w:val="21"/>
                <w:szCs w:val="21"/>
              </w:rPr>
            </w:pPr>
            <w:r>
              <w:rPr>
                <w:rFonts w:hint="default" w:ascii="Times New Roman" w:hAnsi="Times New Roman" w:eastAsia="宋体" w:cs="Times New Roman"/>
                <w:b/>
                <w:bCs/>
                <w:color w:val="auto"/>
              </w:rPr>
              <w:t>第九条：</w:t>
            </w:r>
            <w:r>
              <w:rPr>
                <w:rFonts w:hint="default" w:ascii="Times New Roman" w:hAnsi="Times New Roman" w:eastAsia="宋体" w:cs="Times New Roman"/>
                <w:color w:val="auto"/>
              </w:rPr>
              <w:t>项目存在外来物种入侵或扩散、相关河段水体可能受到污染或产生富营养化等环境风险的，应提出针对性风险防范措施和环境应急预案编制要求。</w:t>
            </w:r>
          </w:p>
        </w:tc>
        <w:tc>
          <w:tcPr>
            <w:tcW w:w="6267" w:type="dxa"/>
            <w:tcBorders>
              <w:top w:val="single" w:color="auto" w:sz="4" w:space="0"/>
              <w:left w:val="single" w:color="auto" w:sz="4" w:space="0"/>
              <w:bottom w:val="single" w:color="auto" w:sz="4" w:space="0"/>
              <w:right w:val="single" w:color="auto" w:sz="4" w:space="0"/>
            </w:tcBorders>
            <w:vAlign w:val="center"/>
          </w:tcPr>
          <w:p w14:paraId="2EFA7D4C">
            <w:pPr>
              <w:adjustRightInd w:val="0"/>
              <w:snapToGrid w:val="0"/>
              <w:ind w:firstLine="420" w:firstLineChars="0"/>
              <w:rPr>
                <w:rFonts w:hint="default" w:ascii="Times New Roman" w:hAnsi="Times New Roman" w:cs="Times New Roman"/>
                <w:color w:val="auto"/>
                <w:sz w:val="21"/>
                <w:szCs w:val="21"/>
                <w:lang w:val="en-US"/>
              </w:rPr>
            </w:pPr>
            <w:r>
              <w:rPr>
                <w:rFonts w:hint="default" w:ascii="Times New Roman" w:hAnsi="Times New Roman" w:cs="Times New Roman"/>
                <w:color w:val="auto"/>
                <w:kern w:val="0"/>
                <w:szCs w:val="21"/>
                <w:lang w:val="en-US" w:eastAsia="zh-CN"/>
              </w:rPr>
              <w:t>本项目不涉及环境风险</w:t>
            </w:r>
            <w:r>
              <w:rPr>
                <w:rFonts w:hint="default" w:ascii="Times New Roman" w:hAnsi="Times New Roman" w:eastAsia="宋体" w:cs="Times New Roman"/>
                <w:bCs/>
                <w:color w:val="auto"/>
                <w:sz w:val="21"/>
                <w:szCs w:val="21"/>
                <w:highlight w:val="none"/>
                <w:lang w:val="en-US" w:eastAsia="zh-CN"/>
              </w:rPr>
              <w:t>。</w:t>
            </w:r>
          </w:p>
        </w:tc>
      </w:tr>
      <w:tr w14:paraId="398770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7" w:hRule="atLeast"/>
          <w:jc w:val="center"/>
        </w:trPr>
        <w:tc>
          <w:tcPr>
            <w:tcW w:w="696" w:type="dxa"/>
            <w:tcBorders>
              <w:top w:val="single" w:color="auto" w:sz="4" w:space="0"/>
              <w:left w:val="single" w:color="auto" w:sz="4" w:space="0"/>
              <w:bottom w:val="single" w:color="auto" w:sz="4" w:space="0"/>
              <w:right w:val="single" w:color="auto" w:sz="4" w:space="0"/>
            </w:tcBorders>
            <w:vAlign w:val="center"/>
          </w:tcPr>
          <w:p w14:paraId="2AE50570">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w:t>
            </w:r>
          </w:p>
        </w:tc>
        <w:tc>
          <w:tcPr>
            <w:tcW w:w="7255" w:type="dxa"/>
            <w:tcBorders>
              <w:top w:val="single" w:color="auto" w:sz="4" w:space="0"/>
              <w:left w:val="single" w:color="auto" w:sz="4" w:space="0"/>
              <w:bottom w:val="single" w:color="auto" w:sz="4" w:space="0"/>
              <w:right w:val="single" w:color="auto" w:sz="4" w:space="0"/>
            </w:tcBorders>
            <w:vAlign w:val="center"/>
          </w:tcPr>
          <w:p w14:paraId="5593C2D3">
            <w:pPr>
              <w:adjustRightInd w:val="0"/>
              <w:snapToGrid w:val="0"/>
              <w:ind w:firstLine="420" w:firstLineChars="0"/>
              <w:rPr>
                <w:rFonts w:hint="default" w:ascii="Times New Roman" w:hAnsi="Times New Roman" w:cs="Times New Roman"/>
                <w:color w:val="auto"/>
                <w:sz w:val="21"/>
                <w:szCs w:val="21"/>
              </w:rPr>
            </w:pPr>
            <w:r>
              <w:rPr>
                <w:rFonts w:hint="default" w:ascii="Times New Roman" w:hAnsi="Times New Roman" w:eastAsia="宋体" w:cs="Times New Roman"/>
                <w:b/>
                <w:bCs/>
                <w:color w:val="auto"/>
              </w:rPr>
              <w:t>第十条：</w:t>
            </w:r>
            <w:r>
              <w:rPr>
                <w:rFonts w:hint="default" w:ascii="Times New Roman" w:hAnsi="Times New Roman" w:eastAsia="宋体" w:cs="Times New Roman"/>
                <w:color w:val="auto"/>
              </w:rPr>
              <w:t>项目为改、扩建的，应全面梳理现有工程存在的环境问题，提出全面有效的整改方案。</w:t>
            </w:r>
          </w:p>
        </w:tc>
        <w:tc>
          <w:tcPr>
            <w:tcW w:w="6267" w:type="dxa"/>
            <w:tcBorders>
              <w:top w:val="single" w:color="auto" w:sz="4" w:space="0"/>
              <w:left w:val="single" w:color="auto" w:sz="4" w:space="0"/>
              <w:bottom w:val="single" w:color="auto" w:sz="4" w:space="0"/>
              <w:right w:val="single" w:color="auto" w:sz="4" w:space="0"/>
            </w:tcBorders>
            <w:vAlign w:val="center"/>
          </w:tcPr>
          <w:p w14:paraId="75929939">
            <w:pPr>
              <w:adjustRightInd w:val="0"/>
              <w:snapToGrid w:val="0"/>
              <w:ind w:firstLine="420" w:firstLineChars="0"/>
              <w:rPr>
                <w:rFonts w:hint="default" w:ascii="Times New Roman" w:hAnsi="Times New Roman" w:cs="Times New Roman"/>
                <w:color w:val="auto"/>
                <w:sz w:val="21"/>
                <w:szCs w:val="21"/>
                <w:lang w:val="en-US"/>
              </w:rPr>
            </w:pPr>
            <w:r>
              <w:rPr>
                <w:rFonts w:hint="default" w:ascii="Times New Roman" w:hAnsi="Times New Roman" w:cs="Times New Roman"/>
                <w:color w:val="auto"/>
                <w:highlight w:val="none"/>
              </w:rPr>
              <w:t>本</w:t>
            </w:r>
            <w:r>
              <w:rPr>
                <w:rFonts w:hint="default" w:ascii="Times New Roman" w:hAnsi="Times New Roman" w:cs="Times New Roman"/>
                <w:color w:val="auto"/>
                <w:highlight w:val="none"/>
                <w:lang w:val="en-US" w:eastAsia="zh-CN"/>
              </w:rPr>
              <w:t>次</w:t>
            </w:r>
            <w:r>
              <w:rPr>
                <w:rFonts w:hint="default" w:ascii="Times New Roman" w:hAnsi="Times New Roman" w:cs="Times New Roman"/>
                <w:color w:val="auto"/>
                <w:highlight w:val="none"/>
              </w:rPr>
              <w:t>梳理了现有工程的环境问题，</w:t>
            </w:r>
            <w:r>
              <w:rPr>
                <w:rFonts w:hint="default" w:ascii="Times New Roman" w:hAnsi="Times New Roman" w:cs="Times New Roman"/>
                <w:color w:val="auto"/>
                <w:highlight w:val="none"/>
                <w:lang w:val="en-US" w:eastAsia="zh-CN"/>
              </w:rPr>
              <w:t>电站发电效率下降严重，浪费水能资源。通过本次工程建设可通过优化现有用水的利用效率实现增效，避免了水能资源的浪费。</w:t>
            </w:r>
          </w:p>
        </w:tc>
      </w:tr>
      <w:tr w14:paraId="1CD7D6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6" w:hRule="atLeast"/>
          <w:jc w:val="center"/>
        </w:trPr>
        <w:tc>
          <w:tcPr>
            <w:tcW w:w="696" w:type="dxa"/>
            <w:tcBorders>
              <w:top w:val="single" w:color="auto" w:sz="4" w:space="0"/>
              <w:left w:val="single" w:color="auto" w:sz="4" w:space="0"/>
              <w:bottom w:val="single" w:color="auto" w:sz="4" w:space="0"/>
              <w:right w:val="single" w:color="auto" w:sz="4" w:space="0"/>
            </w:tcBorders>
            <w:vAlign w:val="center"/>
          </w:tcPr>
          <w:p w14:paraId="7A8910D8">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11</w:t>
            </w:r>
          </w:p>
        </w:tc>
        <w:tc>
          <w:tcPr>
            <w:tcW w:w="7255" w:type="dxa"/>
            <w:tcBorders>
              <w:top w:val="single" w:color="auto" w:sz="4" w:space="0"/>
              <w:left w:val="single" w:color="auto" w:sz="4" w:space="0"/>
              <w:bottom w:val="single" w:color="auto" w:sz="4" w:space="0"/>
              <w:right w:val="single" w:color="auto" w:sz="4" w:space="0"/>
            </w:tcBorders>
            <w:vAlign w:val="center"/>
          </w:tcPr>
          <w:p w14:paraId="35457C5C">
            <w:pPr>
              <w:adjustRightInd w:val="0"/>
              <w:snapToGrid w:val="0"/>
              <w:ind w:firstLine="420" w:firstLineChars="0"/>
              <w:rPr>
                <w:rFonts w:hint="default" w:ascii="Times New Roman" w:hAnsi="Times New Roman" w:cs="Times New Roman"/>
                <w:color w:val="auto"/>
                <w:sz w:val="21"/>
                <w:szCs w:val="21"/>
              </w:rPr>
            </w:pPr>
            <w:r>
              <w:rPr>
                <w:rFonts w:hint="default" w:ascii="Times New Roman" w:hAnsi="Times New Roman" w:eastAsia="宋体" w:cs="Times New Roman"/>
                <w:b/>
                <w:bCs/>
                <w:color w:val="auto"/>
              </w:rPr>
              <w:t>第十一条：</w:t>
            </w:r>
            <w:r>
              <w:rPr>
                <w:rFonts w:hint="default" w:ascii="Times New Roman" w:hAnsi="Times New Roman" w:eastAsia="宋体" w:cs="Times New Roman"/>
                <w:color w:val="auto"/>
              </w:rPr>
              <w:t>按相关导则及规定要求，制定生态、水环境等监测计划，并提出根据监测评估结果开展环境影响后评价或优化环境保护措施的要求。根据项目环境保护管理需要和相关规定，应提出必要的环境保护设计、施工期环境监理、运行期环境管理、开展相关科学研究等要求和相关保障措施。</w:t>
            </w:r>
          </w:p>
        </w:tc>
        <w:tc>
          <w:tcPr>
            <w:tcW w:w="6267" w:type="dxa"/>
            <w:tcBorders>
              <w:top w:val="single" w:color="auto" w:sz="4" w:space="0"/>
              <w:left w:val="single" w:color="auto" w:sz="4" w:space="0"/>
              <w:bottom w:val="single" w:color="auto" w:sz="4" w:space="0"/>
              <w:right w:val="single" w:color="auto" w:sz="4" w:space="0"/>
            </w:tcBorders>
            <w:vAlign w:val="center"/>
          </w:tcPr>
          <w:p w14:paraId="78F37083">
            <w:pPr>
              <w:adjustRightInd w:val="0"/>
              <w:snapToGrid w:val="0"/>
              <w:ind w:firstLine="420" w:firstLineChars="0"/>
              <w:rPr>
                <w:rFonts w:hint="default" w:ascii="Times New Roman" w:hAnsi="Times New Roman" w:cs="Times New Roman"/>
                <w:color w:val="auto"/>
                <w:sz w:val="21"/>
                <w:szCs w:val="21"/>
              </w:rPr>
            </w:pPr>
            <w:r>
              <w:rPr>
                <w:rFonts w:hint="default" w:ascii="Times New Roman" w:hAnsi="Times New Roman" w:cs="Times New Roman"/>
                <w:color w:val="auto"/>
                <w:lang w:val="en-US" w:eastAsia="zh-CN"/>
              </w:rPr>
              <w:t>已提出了运行期环境管理要求，制定运行期水环境、厂界噪声监测计划</w:t>
            </w:r>
            <w:r>
              <w:rPr>
                <w:rFonts w:hint="default" w:ascii="Times New Roman" w:hAnsi="Times New Roman" w:cs="Times New Roman"/>
                <w:color w:val="auto"/>
              </w:rPr>
              <w:t>。</w:t>
            </w:r>
          </w:p>
        </w:tc>
      </w:tr>
      <w:tr w14:paraId="029960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5" w:hRule="atLeast"/>
          <w:jc w:val="center"/>
        </w:trPr>
        <w:tc>
          <w:tcPr>
            <w:tcW w:w="696" w:type="dxa"/>
            <w:tcBorders>
              <w:top w:val="single" w:color="auto" w:sz="4" w:space="0"/>
              <w:left w:val="single" w:color="auto" w:sz="4" w:space="0"/>
              <w:bottom w:val="single" w:color="auto" w:sz="4" w:space="0"/>
              <w:right w:val="single" w:color="auto" w:sz="4" w:space="0"/>
            </w:tcBorders>
            <w:vAlign w:val="center"/>
          </w:tcPr>
          <w:p w14:paraId="66E60597">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w:t>
            </w:r>
          </w:p>
        </w:tc>
        <w:tc>
          <w:tcPr>
            <w:tcW w:w="7255" w:type="dxa"/>
            <w:tcBorders>
              <w:top w:val="single" w:color="auto" w:sz="4" w:space="0"/>
              <w:left w:val="single" w:color="auto" w:sz="4" w:space="0"/>
              <w:bottom w:val="single" w:color="auto" w:sz="4" w:space="0"/>
              <w:right w:val="single" w:color="auto" w:sz="4" w:space="0"/>
            </w:tcBorders>
            <w:vAlign w:val="center"/>
          </w:tcPr>
          <w:p w14:paraId="20B635B2">
            <w:pPr>
              <w:adjustRightInd w:val="0"/>
              <w:snapToGrid w:val="0"/>
              <w:ind w:firstLine="420" w:firstLineChars="0"/>
              <w:rPr>
                <w:rFonts w:hint="default" w:ascii="Times New Roman" w:hAnsi="Times New Roman" w:cs="Times New Roman"/>
                <w:color w:val="auto"/>
                <w:sz w:val="21"/>
                <w:szCs w:val="21"/>
              </w:rPr>
            </w:pPr>
            <w:r>
              <w:rPr>
                <w:rFonts w:hint="default" w:ascii="Times New Roman" w:hAnsi="Times New Roman" w:eastAsia="宋体" w:cs="Times New Roman"/>
                <w:b/>
                <w:bCs/>
                <w:color w:val="auto"/>
              </w:rPr>
              <w:t>第十二条：</w:t>
            </w:r>
            <w:r>
              <w:rPr>
                <w:rFonts w:hint="default" w:ascii="Times New Roman" w:hAnsi="Times New Roman" w:eastAsia="宋体" w:cs="Times New Roman"/>
                <w:color w:val="auto"/>
              </w:rPr>
              <w:t>对环境保护措施进行了深入论证，明确措施实施的责任主体、投资、进度和预期效果等，确保科学有效、安全可行、绿色协调。</w:t>
            </w:r>
          </w:p>
        </w:tc>
        <w:tc>
          <w:tcPr>
            <w:tcW w:w="6267" w:type="dxa"/>
            <w:tcBorders>
              <w:top w:val="single" w:color="auto" w:sz="4" w:space="0"/>
              <w:left w:val="single" w:color="auto" w:sz="4" w:space="0"/>
              <w:bottom w:val="single" w:color="auto" w:sz="4" w:space="0"/>
              <w:right w:val="single" w:color="auto" w:sz="4" w:space="0"/>
            </w:tcBorders>
            <w:vAlign w:val="center"/>
          </w:tcPr>
          <w:p w14:paraId="7760141E">
            <w:pPr>
              <w:adjustRightInd w:val="0"/>
              <w:snapToGrid w:val="0"/>
              <w:ind w:firstLine="420" w:firstLineChars="0"/>
              <w:rPr>
                <w:rFonts w:hint="default" w:ascii="Times New Roman" w:hAnsi="Times New Roman" w:cs="Times New Roman"/>
                <w:color w:val="auto"/>
                <w:sz w:val="21"/>
                <w:szCs w:val="21"/>
              </w:rPr>
            </w:pPr>
            <w:r>
              <w:rPr>
                <w:rFonts w:hint="default" w:ascii="Times New Roman" w:hAnsi="Times New Roman" w:cs="Times New Roman"/>
                <w:color w:val="auto"/>
              </w:rPr>
              <w:t>本项目对环境保护措施进行了深入论证，具有明确的责任主体、投资、时间节点和预期效果等。</w:t>
            </w:r>
          </w:p>
        </w:tc>
      </w:tr>
      <w:tr w14:paraId="1B93D8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8" w:hRule="atLeast"/>
          <w:jc w:val="center"/>
        </w:trPr>
        <w:tc>
          <w:tcPr>
            <w:tcW w:w="696" w:type="dxa"/>
            <w:tcBorders>
              <w:top w:val="single" w:color="auto" w:sz="4" w:space="0"/>
              <w:left w:val="single" w:color="auto" w:sz="4" w:space="0"/>
              <w:bottom w:val="single" w:color="auto" w:sz="4" w:space="0"/>
              <w:right w:val="single" w:color="auto" w:sz="4" w:space="0"/>
            </w:tcBorders>
            <w:vAlign w:val="center"/>
          </w:tcPr>
          <w:p w14:paraId="10A7AB40">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13</w:t>
            </w:r>
          </w:p>
        </w:tc>
        <w:tc>
          <w:tcPr>
            <w:tcW w:w="7255" w:type="dxa"/>
            <w:tcBorders>
              <w:top w:val="single" w:color="auto" w:sz="4" w:space="0"/>
              <w:left w:val="single" w:color="auto" w:sz="4" w:space="0"/>
              <w:bottom w:val="single" w:color="auto" w:sz="4" w:space="0"/>
              <w:right w:val="single" w:color="auto" w:sz="4" w:space="0"/>
            </w:tcBorders>
            <w:vAlign w:val="center"/>
          </w:tcPr>
          <w:p w14:paraId="58A8AEDB">
            <w:pPr>
              <w:adjustRightInd w:val="0"/>
              <w:snapToGrid w:val="0"/>
              <w:ind w:firstLine="420" w:firstLineChars="0"/>
              <w:rPr>
                <w:rFonts w:hint="default" w:ascii="Times New Roman" w:hAnsi="Times New Roman" w:cs="Times New Roman"/>
                <w:color w:val="auto"/>
                <w:sz w:val="21"/>
                <w:szCs w:val="21"/>
              </w:rPr>
            </w:pPr>
            <w:r>
              <w:rPr>
                <w:rFonts w:hint="default" w:ascii="Times New Roman" w:hAnsi="Times New Roman" w:eastAsia="宋体" w:cs="Times New Roman"/>
                <w:b/>
                <w:bCs/>
                <w:color w:val="auto"/>
              </w:rPr>
              <w:t>第十三条：</w:t>
            </w:r>
            <w:r>
              <w:rPr>
                <w:rFonts w:hint="default" w:ascii="Times New Roman" w:hAnsi="Times New Roman" w:eastAsia="宋体" w:cs="Times New Roman"/>
                <w:color w:val="auto"/>
              </w:rPr>
              <w:t>按相关规定开展了信息公开和公众参与。</w:t>
            </w:r>
          </w:p>
        </w:tc>
        <w:tc>
          <w:tcPr>
            <w:tcW w:w="6267" w:type="dxa"/>
            <w:tcBorders>
              <w:top w:val="single" w:color="auto" w:sz="4" w:space="0"/>
              <w:left w:val="single" w:color="auto" w:sz="4" w:space="0"/>
              <w:bottom w:val="single" w:color="auto" w:sz="4" w:space="0"/>
              <w:right w:val="single" w:color="auto" w:sz="4" w:space="0"/>
            </w:tcBorders>
            <w:vAlign w:val="center"/>
          </w:tcPr>
          <w:p w14:paraId="628D9A58">
            <w:pPr>
              <w:adjustRightInd w:val="0"/>
              <w:snapToGrid w:val="0"/>
              <w:ind w:firstLine="420" w:firstLineChars="0"/>
              <w:rPr>
                <w:rFonts w:hint="default" w:ascii="Times New Roman" w:hAnsi="Times New Roman" w:cs="Times New Roman"/>
                <w:color w:val="auto"/>
                <w:sz w:val="21"/>
                <w:szCs w:val="21"/>
              </w:rPr>
            </w:pPr>
            <w:r>
              <w:rPr>
                <w:rFonts w:hint="default" w:ascii="Times New Roman" w:hAnsi="Times New Roman" w:cs="Times New Roman"/>
                <w:color w:val="auto"/>
              </w:rPr>
              <w:t>环境影响报告表无需开展信息公开和公众参与。</w:t>
            </w:r>
          </w:p>
        </w:tc>
      </w:tr>
    </w:tbl>
    <w:p w14:paraId="7E50D5DF">
      <w:pPr>
        <w:pStyle w:val="21"/>
        <w:jc w:val="center"/>
        <w:outlineLvl w:val="0"/>
        <w:rPr>
          <w:rFonts w:hint="default" w:ascii="Times New Roman" w:hAnsi="Times New Roman" w:eastAsia="黑体" w:cs="Times New Roman"/>
          <w:snapToGrid w:val="0"/>
          <w:color w:val="auto"/>
          <w:sz w:val="30"/>
          <w:szCs w:val="30"/>
        </w:rPr>
        <w:sectPr>
          <w:footerReference r:id="rId6" w:type="default"/>
          <w:pgSz w:w="16838" w:h="11906" w:orient="landscape"/>
          <w:pgMar w:top="1800" w:right="1440" w:bottom="1800" w:left="1440" w:header="851" w:footer="1077" w:gutter="0"/>
          <w:pgBorders>
            <w:top w:val="none" w:sz="0" w:space="0"/>
            <w:left w:val="none" w:sz="0" w:space="0"/>
            <w:bottom w:val="none" w:sz="0" w:space="0"/>
            <w:right w:val="none" w:sz="0" w:space="0"/>
          </w:pgBorders>
          <w:pgNumType w:fmt="decimal"/>
          <w:cols w:space="425" w:num="1"/>
          <w:docGrid w:linePitch="312" w:charSpace="0"/>
        </w:sectPr>
      </w:pPr>
    </w:p>
    <w:p w14:paraId="6B160245">
      <w:pPr>
        <w:pStyle w:val="21"/>
        <w:jc w:val="center"/>
        <w:outlineLvl w:val="0"/>
        <w:rPr>
          <w:rFonts w:hint="default" w:ascii="Times New Roman" w:hAnsi="Times New Roman" w:eastAsia="黑体" w:cs="Times New Roman"/>
          <w:snapToGrid w:val="0"/>
          <w:color w:val="auto"/>
          <w:sz w:val="30"/>
          <w:szCs w:val="30"/>
        </w:rPr>
      </w:pPr>
      <w:r>
        <w:rPr>
          <w:rFonts w:hint="default" w:ascii="Times New Roman" w:hAnsi="Times New Roman" w:eastAsia="黑体" w:cs="Times New Roman"/>
          <w:snapToGrid w:val="0"/>
          <w:color w:val="auto"/>
          <w:sz w:val="30"/>
          <w:szCs w:val="30"/>
        </w:rPr>
        <w:t>二、建设内容</w:t>
      </w:r>
      <w:bookmarkEnd w:id="3"/>
    </w:p>
    <w:tbl>
      <w:tblPr>
        <w:tblStyle w:val="24"/>
        <w:tblW w:w="914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85"/>
        <w:gridCol w:w="8355"/>
      </w:tblGrid>
      <w:tr w14:paraId="34B9F97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5" w:hRule="atLeast"/>
          <w:jc w:val="center"/>
        </w:trPr>
        <w:tc>
          <w:tcPr>
            <w:tcW w:w="785" w:type="dxa"/>
            <w:vAlign w:val="center"/>
          </w:tcPr>
          <w:p w14:paraId="3E72915E">
            <w:pPr>
              <w:adjustRightInd w:val="0"/>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 w:val="24"/>
                <w:szCs w:val="24"/>
              </w:rPr>
              <w:t>地理位置</w:t>
            </w:r>
          </w:p>
        </w:tc>
        <w:tc>
          <w:tcPr>
            <w:tcW w:w="8355" w:type="dxa"/>
            <w:vAlign w:val="center"/>
          </w:tcPr>
          <w:p w14:paraId="4B3D3546">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jc w:val="both"/>
              <w:textAlignment w:val="auto"/>
              <w:rPr>
                <w:rFonts w:hint="default" w:ascii="Times New Roman" w:hAnsi="Times New Roman" w:cs="Times New Roman"/>
                <w:color w:val="auto"/>
                <w:szCs w:val="21"/>
                <w:lang w:val="en-US"/>
              </w:rPr>
            </w:pPr>
            <w:r>
              <w:rPr>
                <w:rFonts w:hint="eastAsia" w:cs="Times New Roman" w:eastAsiaTheme="minorEastAsia"/>
                <w:color w:val="auto"/>
                <w:sz w:val="24"/>
                <w:szCs w:val="24"/>
                <w:highlight w:val="none"/>
                <w:lang w:val="en-US" w:eastAsia="zh-CN"/>
              </w:rPr>
              <w:t>青年水库</w:t>
            </w:r>
            <w:r>
              <w:rPr>
                <w:rFonts w:hint="default" w:ascii="Times New Roman" w:hAnsi="Times New Roman" w:cs="Times New Roman" w:eastAsiaTheme="minorEastAsia"/>
                <w:color w:val="auto"/>
                <w:sz w:val="24"/>
                <w:szCs w:val="24"/>
                <w:highlight w:val="none"/>
                <w:lang w:val="en-US" w:eastAsia="zh-CN"/>
              </w:rPr>
              <w:t>电站位于</w:t>
            </w:r>
            <w:r>
              <w:rPr>
                <w:rFonts w:hint="eastAsia"/>
                <w:kern w:val="0"/>
                <w:sz w:val="24"/>
                <w:szCs w:val="24"/>
              </w:rPr>
              <w:t>密山市西北</w:t>
            </w:r>
            <w:r>
              <w:rPr>
                <w:kern w:val="0"/>
                <w:sz w:val="24"/>
                <w:szCs w:val="24"/>
              </w:rPr>
              <w:t>，</w:t>
            </w:r>
            <w:r>
              <w:rPr>
                <w:rFonts w:hint="eastAsia"/>
                <w:kern w:val="0"/>
                <w:sz w:val="24"/>
                <w:szCs w:val="24"/>
              </w:rPr>
              <w:t>水库以上集水面积为1138km</w:t>
            </w:r>
            <w:r>
              <w:rPr>
                <w:rFonts w:hint="eastAsia"/>
                <w:kern w:val="0"/>
                <w:sz w:val="24"/>
                <w:szCs w:val="24"/>
                <w:vertAlign w:val="superscript"/>
              </w:rPr>
              <w:t>2</w:t>
            </w:r>
            <w:r>
              <w:rPr>
                <w:rFonts w:hint="eastAsia"/>
                <w:kern w:val="0"/>
                <w:sz w:val="24"/>
                <w:szCs w:val="24"/>
              </w:rPr>
              <w:t>，占裴德里河流域面积的80%。流域呈扇形，水系发达，主河为金沙河，另外还有裴德里河，裴德河、二部沟等支流。</w:t>
            </w:r>
            <w:r>
              <w:rPr>
                <w:kern w:val="0"/>
                <w:sz w:val="24"/>
                <w:szCs w:val="24"/>
              </w:rPr>
              <w:t>工程中心点坐标为东经131度49分9.74秒，北纬45度38分25.61秒。</w:t>
            </w:r>
            <w:r>
              <w:rPr>
                <w:sz w:val="24"/>
                <w:szCs w:val="24"/>
              </w:rPr>
              <w:t>工程地理位置详见附图1。</w:t>
            </w:r>
          </w:p>
        </w:tc>
      </w:tr>
      <w:tr w14:paraId="36C9A0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36" w:hRule="atLeast"/>
          <w:jc w:val="center"/>
        </w:trPr>
        <w:tc>
          <w:tcPr>
            <w:tcW w:w="785" w:type="dxa"/>
            <w:vAlign w:val="center"/>
          </w:tcPr>
          <w:p w14:paraId="5C3F73DF">
            <w:pPr>
              <w:adjustRightInd w:val="0"/>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 w:val="24"/>
                <w:szCs w:val="24"/>
              </w:rPr>
              <w:t>项目组成及规模</w:t>
            </w:r>
          </w:p>
        </w:tc>
        <w:tc>
          <w:tcPr>
            <w:tcW w:w="8355" w:type="dxa"/>
            <w:vAlign w:val="center"/>
          </w:tcPr>
          <w:p w14:paraId="607D7198">
            <w:pPr>
              <w:spacing w:beforeLines="50" w:line="360" w:lineRule="auto"/>
              <w:ind w:firstLine="482" w:firstLineChars="200"/>
              <w:rPr>
                <w:rFonts w:hint="default" w:ascii="Times New Roman" w:hAnsi="Times New Roman" w:cs="Times New Roman"/>
                <w:b/>
                <w:color w:val="auto"/>
                <w:sz w:val="24"/>
                <w:szCs w:val="24"/>
                <w:lang w:val="en-US" w:eastAsia="zh-CN"/>
              </w:rPr>
            </w:pPr>
            <w:r>
              <w:rPr>
                <w:rFonts w:hint="default" w:ascii="Times New Roman" w:hAnsi="Times New Roman" w:cs="Times New Roman"/>
                <w:b/>
                <w:color w:val="auto"/>
                <w:sz w:val="24"/>
                <w:szCs w:val="24"/>
                <w:lang w:val="en-US" w:eastAsia="zh-CN"/>
              </w:rPr>
              <w:t>1.项目由来</w:t>
            </w:r>
          </w:p>
          <w:p w14:paraId="3799FBD5">
            <w:pPr>
              <w:spacing w:line="360" w:lineRule="auto"/>
              <w:ind w:firstLine="482"/>
              <w:rPr>
                <w:rFonts w:eastAsiaTheme="minorEastAsia"/>
                <w:color w:val="auto"/>
                <w:sz w:val="24"/>
                <w:szCs w:val="24"/>
              </w:rPr>
            </w:pPr>
            <w:r>
              <w:rPr>
                <w:rFonts w:hint="eastAsia"/>
                <w:color w:val="auto"/>
                <w:kern w:val="0"/>
                <w:sz w:val="24"/>
                <w:szCs w:val="24"/>
              </w:rPr>
              <w:t>青年水库是一座集灌溉、防洪、发电、养鱼等综合作用的大（Ⅱ）型水库工程。青年水库和下游堤防共同承担下游农田和虎密铁路桥、公路桥的防洪任务，为青年灌区灌溉供水，并结合灌溉供水发电。</w:t>
            </w:r>
            <w:r>
              <w:rPr>
                <w:rFonts w:eastAsiaTheme="minorEastAsia"/>
                <w:color w:val="auto"/>
                <w:sz w:val="24"/>
                <w:szCs w:val="24"/>
              </w:rPr>
              <w:t>青年水库始建于1958年，1960年停建，1964年4月18日由东北农垦总局移交给黑龙江省水利厅。</w:t>
            </w:r>
          </w:p>
          <w:p w14:paraId="4B880DA6">
            <w:pPr>
              <w:pStyle w:val="77"/>
              <w:ind w:firstLine="480"/>
              <w:rPr>
                <w:color w:val="auto"/>
                <w:sz w:val="24"/>
                <w:szCs w:val="24"/>
              </w:rPr>
            </w:pPr>
            <w:r>
              <w:rPr>
                <w:rFonts w:eastAsiaTheme="minorEastAsia"/>
                <w:color w:val="auto"/>
                <w:sz w:val="24"/>
                <w:szCs w:val="24"/>
              </w:rPr>
              <w:t>1972年12月1日经水电部（72）水电字第80号文件批准初步设计。续建工程于1973年6月11日开工，黑龙江省水利勘测设计院承担了设计任务。密山县青年水库建设指挥部、黑龙江省水利第四工程处、原东北农垦总局等单位共同参加建设。1977年10月1日竣工，1978年11月黑龙江省建委组织有关单位进行了验收工作。</w:t>
            </w:r>
            <w:r>
              <w:rPr>
                <w:rFonts w:hint="eastAsia"/>
                <w:color w:val="auto"/>
                <w:sz w:val="24"/>
                <w:szCs w:val="24"/>
              </w:rPr>
              <w:t>电站装机容量</w:t>
            </w:r>
            <w:r>
              <w:rPr>
                <w:rFonts w:hint="eastAsia"/>
                <w:color w:val="auto"/>
                <w:sz w:val="24"/>
                <w:szCs w:val="24"/>
                <w:lang w:val="en-US" w:eastAsia="zh-CN"/>
              </w:rPr>
              <w:t>72</w:t>
            </w:r>
            <w:r>
              <w:rPr>
                <w:color w:val="auto"/>
                <w:sz w:val="24"/>
                <w:szCs w:val="24"/>
              </w:rPr>
              <w:t>0</w:t>
            </w:r>
            <w:r>
              <w:rPr>
                <w:rFonts w:hint="eastAsia"/>
                <w:color w:val="auto"/>
                <w:sz w:val="24"/>
                <w:szCs w:val="24"/>
                <w:lang w:eastAsia="zh-CN"/>
              </w:rPr>
              <w:t>kW</w:t>
            </w:r>
            <w:r>
              <w:rPr>
                <w:rFonts w:hint="eastAsia"/>
                <w:color w:val="auto"/>
                <w:sz w:val="24"/>
                <w:szCs w:val="24"/>
              </w:rPr>
              <w:t>，</w:t>
            </w:r>
            <w:r>
              <w:rPr>
                <w:rFonts w:hint="eastAsia"/>
                <w:color w:val="auto"/>
                <w:sz w:val="24"/>
                <w:szCs w:val="24"/>
                <w:lang w:val="en-US" w:eastAsia="zh-CN"/>
              </w:rPr>
              <w:t>现状</w:t>
            </w:r>
            <w:r>
              <w:rPr>
                <w:rFonts w:hint="eastAsia"/>
                <w:color w:val="auto"/>
                <w:sz w:val="24"/>
                <w:szCs w:val="24"/>
              </w:rPr>
              <w:t>多年平均年发电量</w:t>
            </w:r>
            <w:r>
              <w:rPr>
                <w:rFonts w:hint="eastAsia"/>
                <w:color w:val="auto"/>
                <w:sz w:val="24"/>
                <w:szCs w:val="24"/>
                <w:lang w:val="en-US" w:eastAsia="zh-CN"/>
              </w:rPr>
              <w:t>45</w:t>
            </w:r>
            <w:r>
              <w:rPr>
                <w:rFonts w:hint="eastAsia"/>
                <w:color w:val="auto"/>
                <w:sz w:val="24"/>
                <w:szCs w:val="24"/>
              </w:rPr>
              <w:t>×10</w:t>
            </w:r>
            <w:r>
              <w:rPr>
                <w:rFonts w:hint="eastAsia"/>
                <w:color w:val="auto"/>
                <w:sz w:val="24"/>
                <w:szCs w:val="24"/>
                <w:vertAlign w:val="superscript"/>
              </w:rPr>
              <w:t>4</w:t>
            </w:r>
            <w:r>
              <w:rPr>
                <w:rFonts w:hint="eastAsia"/>
                <w:color w:val="auto"/>
                <w:sz w:val="24"/>
                <w:szCs w:val="24"/>
                <w:lang w:eastAsia="zh-CN"/>
              </w:rPr>
              <w:t>kW</w:t>
            </w:r>
            <w:r>
              <w:rPr>
                <w:rFonts w:hint="eastAsia" w:cs="宋体"/>
                <w:color w:val="auto"/>
                <w:sz w:val="24"/>
                <w:szCs w:val="24"/>
              </w:rPr>
              <w:t>.</w:t>
            </w:r>
            <w:r>
              <w:rPr>
                <w:rFonts w:hint="eastAsia"/>
                <w:color w:val="auto"/>
                <w:sz w:val="24"/>
                <w:szCs w:val="24"/>
              </w:rPr>
              <w:t>h。</w:t>
            </w:r>
            <w:r>
              <w:rPr>
                <w:color w:val="auto"/>
                <w:sz w:val="24"/>
                <w:szCs w:val="24"/>
              </w:rPr>
              <w:t xml:space="preserve"> </w:t>
            </w:r>
          </w:p>
          <w:p w14:paraId="25A329F7">
            <w:pPr>
              <w:keepNext w:val="0"/>
              <w:keepLines w:val="0"/>
              <w:pageBreakBefore w:val="0"/>
              <w:widowControl w:val="0"/>
              <w:kinsoku/>
              <w:wordWrap w:val="0"/>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cs="Times New Roman"/>
                <w:color w:val="auto"/>
                <w:sz w:val="24"/>
                <w:szCs w:val="24"/>
                <w:highlight w:val="none"/>
              </w:rPr>
              <w:t>2012年9月10日，黑龙江省水利厅以（黑水发[2012]613号）《黑龙江省水利厅关于密山市青年水库电站增效扩容改造工程项目初步设计报告的批复》对《密山市青年水库电站增效扩容改造工程项目初步设计报告》进行批复。</w:t>
            </w:r>
            <w:r>
              <w:rPr>
                <w:rFonts w:hint="default" w:ascii="Times New Roman" w:hAnsi="Times New Roman" w:cs="Times New Roman"/>
                <w:color w:val="auto"/>
                <w:sz w:val="24"/>
                <w:szCs w:val="24"/>
                <w:highlight w:val="none"/>
                <w:lang w:val="en-US" w:eastAsia="zh-CN"/>
              </w:rPr>
              <w:t>工程开工</w:t>
            </w:r>
            <w:r>
              <w:rPr>
                <w:rFonts w:hint="default" w:ascii="Times New Roman" w:hAnsi="Times New Roman" w:eastAsia="宋体" w:cs="Times New Roman"/>
                <w:color w:val="auto"/>
                <w:sz w:val="24"/>
                <w:szCs w:val="24"/>
                <w:highlight w:val="none"/>
              </w:rPr>
              <w:t>时间为</w:t>
            </w:r>
            <w:r>
              <w:rPr>
                <w:rFonts w:hint="default" w:ascii="Times New Roman" w:hAnsi="Times New Roman" w:eastAsia="宋体" w:cs="Times New Roman"/>
                <w:bCs/>
                <w:color w:val="auto"/>
                <w:sz w:val="24"/>
                <w:szCs w:val="24"/>
                <w:highlight w:val="none"/>
                <w:lang w:val="en-US" w:eastAsia="zh-CN"/>
              </w:rPr>
              <w:t>2014年9</w:t>
            </w:r>
            <w:r>
              <w:rPr>
                <w:rFonts w:hint="default" w:ascii="Times New Roman" w:hAnsi="Times New Roman" w:cs="Times New Roman"/>
                <w:bCs/>
                <w:color w:val="auto"/>
                <w:sz w:val="24"/>
                <w:szCs w:val="24"/>
                <w:highlight w:val="none"/>
                <w:lang w:val="en-US" w:eastAsia="zh-CN"/>
              </w:rPr>
              <w:t>月</w:t>
            </w:r>
            <w:r>
              <w:rPr>
                <w:rFonts w:hint="default" w:ascii="Times New Roman" w:hAnsi="Times New Roman" w:eastAsia="宋体" w:cs="Times New Roman"/>
                <w:bCs/>
                <w:color w:val="auto"/>
                <w:sz w:val="24"/>
                <w:szCs w:val="24"/>
                <w:highlight w:val="none"/>
                <w:lang w:val="en-US" w:eastAsia="zh-CN"/>
              </w:rPr>
              <w:t>，</w:t>
            </w:r>
            <w:r>
              <w:rPr>
                <w:rFonts w:hint="default" w:ascii="Times New Roman" w:hAnsi="Times New Roman" w:eastAsia="宋体" w:cs="Times New Roman"/>
                <w:color w:val="auto"/>
                <w:sz w:val="24"/>
                <w:szCs w:val="24"/>
                <w:highlight w:val="none"/>
              </w:rPr>
              <w:t>改造完成时间为</w:t>
            </w:r>
            <w:r>
              <w:rPr>
                <w:rFonts w:hint="default" w:ascii="Times New Roman" w:hAnsi="Times New Roman" w:eastAsia="宋体" w:cs="Times New Roman"/>
                <w:bCs/>
                <w:color w:val="auto"/>
                <w:sz w:val="24"/>
                <w:szCs w:val="24"/>
                <w:highlight w:val="none"/>
                <w:lang w:val="en-US" w:eastAsia="zh-CN"/>
              </w:rPr>
              <w:t>2015年10月</w:t>
            </w:r>
            <w:r>
              <w:rPr>
                <w:rFonts w:hint="default" w:ascii="Times New Roman" w:hAnsi="Times New Roman" w:eastAsia="宋体"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增效扩容改造后总装机容量</w:t>
            </w:r>
            <w:r>
              <w:rPr>
                <w:rFonts w:hint="eastAsia" w:cs="Times New Roman"/>
                <w:color w:val="auto"/>
                <w:sz w:val="24"/>
                <w:szCs w:val="24"/>
                <w:highlight w:val="none"/>
                <w:lang w:val="en-US" w:eastAsia="zh-CN"/>
              </w:rPr>
              <w:t>变</w:t>
            </w:r>
            <w:r>
              <w:rPr>
                <w:rFonts w:hint="default" w:ascii="Times New Roman" w:hAnsi="Times New Roman" w:cs="Times New Roman"/>
                <w:color w:val="auto"/>
                <w:sz w:val="24"/>
                <w:szCs w:val="24"/>
                <w:highlight w:val="none"/>
                <w:lang w:val="en-US" w:eastAsia="zh-CN"/>
              </w:rPr>
              <w:t>为</w:t>
            </w:r>
            <w:r>
              <w:rPr>
                <w:rFonts w:hint="eastAsia" w:cs="Times New Roman"/>
                <w:color w:val="auto"/>
                <w:sz w:val="24"/>
                <w:szCs w:val="24"/>
                <w:highlight w:val="none"/>
                <w:lang w:val="en-US" w:eastAsia="zh-CN"/>
              </w:rPr>
              <w:t>8</w:t>
            </w:r>
            <w:r>
              <w:rPr>
                <w:rFonts w:hint="default" w:ascii="Times New Roman" w:hAnsi="Times New Roman" w:eastAsia="宋体" w:cs="Times New Roman"/>
                <w:color w:val="auto"/>
                <w:sz w:val="24"/>
                <w:szCs w:val="24"/>
                <w:highlight w:val="none"/>
              </w:rPr>
              <w:t>00</w:t>
            </w:r>
            <w:r>
              <w:rPr>
                <w:rFonts w:hint="eastAsia" w:cs="Times New Roman"/>
                <w:color w:val="auto"/>
                <w:sz w:val="24"/>
                <w:szCs w:val="24"/>
                <w:highlight w:val="none"/>
                <w:lang w:eastAsia="zh-CN"/>
              </w:rPr>
              <w:t>kW</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多</w:t>
            </w:r>
            <w:r>
              <w:rPr>
                <w:rFonts w:hint="default" w:ascii="Times New Roman" w:hAnsi="Times New Roman" w:eastAsia="宋体" w:cs="Times New Roman"/>
                <w:color w:val="auto"/>
                <w:sz w:val="24"/>
                <w:szCs w:val="24"/>
                <w:highlight w:val="none"/>
              </w:rPr>
              <w:t>年平均发电量1</w:t>
            </w:r>
            <w:r>
              <w:rPr>
                <w:rFonts w:hint="eastAsia" w:cs="Times New Roman"/>
                <w:color w:val="auto"/>
                <w:sz w:val="24"/>
                <w:szCs w:val="24"/>
                <w:highlight w:val="none"/>
                <w:lang w:val="en-US" w:eastAsia="zh-CN"/>
              </w:rPr>
              <w:t>01.62</w:t>
            </w:r>
            <w:r>
              <w:rPr>
                <w:rFonts w:hint="default" w:ascii="Times New Roman" w:hAnsi="Times New Roman" w:eastAsia="宋体" w:cs="Times New Roman"/>
                <w:color w:val="auto"/>
                <w:sz w:val="24"/>
                <w:szCs w:val="24"/>
                <w:highlight w:val="none"/>
              </w:rPr>
              <w:t>×10</w:t>
            </w:r>
            <w:r>
              <w:rPr>
                <w:rFonts w:hint="default" w:ascii="Times New Roman" w:hAnsi="Times New Roman" w:eastAsia="宋体" w:cs="Times New Roman"/>
                <w:color w:val="auto"/>
                <w:sz w:val="24"/>
                <w:szCs w:val="24"/>
                <w:highlight w:val="none"/>
                <w:vertAlign w:val="superscript"/>
              </w:rPr>
              <w:t>4</w:t>
            </w:r>
            <w:r>
              <w:rPr>
                <w:rFonts w:hint="eastAsia" w:cs="Times New Roman"/>
                <w:color w:val="auto"/>
                <w:sz w:val="24"/>
                <w:szCs w:val="24"/>
                <w:highlight w:val="none"/>
                <w:lang w:eastAsia="zh-CN"/>
              </w:rPr>
              <w:t>kW</w:t>
            </w:r>
            <w:r>
              <w:rPr>
                <w:rFonts w:hint="default" w:ascii="Times New Roman" w:hAnsi="Times New Roman" w:cs="Times New Roman"/>
                <w:color w:val="auto"/>
                <w:sz w:val="24"/>
                <w:szCs w:val="24"/>
                <w:highlight w:val="none"/>
                <w:lang w:eastAsia="zh-CN"/>
              </w:rPr>
              <w:t>·h</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增加年发电量5</w:t>
            </w:r>
            <w:r>
              <w:rPr>
                <w:rFonts w:hint="eastAsia" w:cs="Times New Roman"/>
                <w:color w:val="auto"/>
                <w:sz w:val="24"/>
                <w:szCs w:val="24"/>
                <w:highlight w:val="none"/>
                <w:lang w:val="en-US" w:eastAsia="zh-CN"/>
              </w:rPr>
              <w:t>6.62</w:t>
            </w:r>
            <w:r>
              <w:rPr>
                <w:rFonts w:hint="default" w:ascii="Times New Roman" w:hAnsi="Times New Roman" w:eastAsia="宋体" w:cs="Times New Roman"/>
                <w:color w:val="auto"/>
                <w:sz w:val="24"/>
                <w:szCs w:val="24"/>
                <w:highlight w:val="none"/>
              </w:rPr>
              <w:t>×10</w:t>
            </w:r>
            <w:r>
              <w:rPr>
                <w:rFonts w:hint="default" w:ascii="Times New Roman" w:hAnsi="Times New Roman" w:eastAsia="宋体" w:cs="Times New Roman"/>
                <w:color w:val="auto"/>
                <w:sz w:val="24"/>
                <w:szCs w:val="24"/>
                <w:highlight w:val="none"/>
                <w:vertAlign w:val="superscript"/>
              </w:rPr>
              <w:t>4</w:t>
            </w:r>
            <w:r>
              <w:rPr>
                <w:rFonts w:hint="eastAsia" w:cs="Times New Roman"/>
                <w:color w:val="auto"/>
                <w:sz w:val="24"/>
                <w:szCs w:val="24"/>
                <w:highlight w:val="none"/>
                <w:lang w:eastAsia="zh-CN"/>
              </w:rPr>
              <w:t>kW</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h。</w:t>
            </w:r>
          </w:p>
          <w:p w14:paraId="7278168F">
            <w:pPr>
              <w:keepNext w:val="0"/>
              <w:keepLines w:val="0"/>
              <w:pageBreakBefore w:val="0"/>
              <w:widowControl w:val="0"/>
              <w:kinsoku/>
              <w:wordWrap w:val="0"/>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rPr>
              <w:t>20</w:t>
            </w:r>
            <w:r>
              <w:rPr>
                <w:rFonts w:hint="eastAsia" w:ascii="Times New Roman" w:hAnsi="Times New Roman" w:cs="Times New Roman"/>
                <w:color w:val="auto"/>
                <w:sz w:val="24"/>
                <w:szCs w:val="24"/>
                <w:highlight w:val="none"/>
                <w:lang w:val="en-US" w:eastAsia="zh-CN"/>
              </w:rPr>
              <w:t>22</w:t>
            </w:r>
            <w:r>
              <w:rPr>
                <w:rFonts w:hint="default" w:ascii="Times New Roman" w:hAnsi="Times New Roman" w:cs="Times New Roman"/>
                <w:color w:val="auto"/>
                <w:sz w:val="24"/>
                <w:szCs w:val="24"/>
                <w:highlight w:val="none"/>
              </w:rPr>
              <w:t>年</w:t>
            </w:r>
            <w:r>
              <w:rPr>
                <w:rFonts w:hint="eastAsia" w:cs="Times New Roman"/>
                <w:color w:val="auto"/>
                <w:sz w:val="24"/>
                <w:szCs w:val="24"/>
                <w:highlight w:val="none"/>
                <w:lang w:val="en-US" w:eastAsia="zh-CN"/>
              </w:rPr>
              <w:t>1</w:t>
            </w:r>
            <w:r>
              <w:rPr>
                <w:rFonts w:hint="default" w:ascii="Times New Roman" w:hAnsi="Times New Roman" w:cs="Times New Roman"/>
                <w:color w:val="auto"/>
                <w:sz w:val="24"/>
                <w:szCs w:val="24"/>
                <w:highlight w:val="none"/>
              </w:rPr>
              <w:t>月，黑龙江省水利水电勘测设计研究院编制完成《</w:t>
            </w:r>
            <w:r>
              <w:rPr>
                <w:rFonts w:hint="default" w:ascii="Times New Roman" w:hAnsi="Times New Roman" w:cs="Times New Roman"/>
                <w:color w:val="auto"/>
                <w:sz w:val="24"/>
                <w:szCs w:val="24"/>
                <w:highlight w:val="none"/>
                <w:lang w:val="en-US" w:eastAsia="zh-CN"/>
              </w:rPr>
              <w:t>密山市青年水库除险加固工程项目可行性研究报告</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本次除险加固是在现状基础上对土坝、溢洪道和输水洞等建筑物主体结构进行修补和完善大坝防渗系统，</w:t>
            </w:r>
            <w:r>
              <w:rPr>
                <w:rFonts w:hint="default" w:ascii="Times New Roman" w:hAnsi="Times New Roman" w:cs="Times New Roman"/>
                <w:color w:val="auto"/>
                <w:sz w:val="24"/>
                <w:szCs w:val="24"/>
                <w:highlight w:val="none"/>
              </w:rPr>
              <w:t>消除</w:t>
            </w:r>
            <w:r>
              <w:rPr>
                <w:rFonts w:hint="default" w:ascii="Times New Roman" w:hAnsi="Times New Roman" w:cs="Times New Roman"/>
                <w:color w:val="auto"/>
                <w:sz w:val="24"/>
                <w:szCs w:val="24"/>
                <w:highlight w:val="none"/>
                <w:lang w:val="en-US" w:eastAsia="zh-CN"/>
              </w:rPr>
              <w:t>水库安全</w:t>
            </w:r>
            <w:r>
              <w:rPr>
                <w:rFonts w:hint="default" w:ascii="Times New Roman" w:hAnsi="Times New Roman" w:cs="Times New Roman"/>
                <w:color w:val="auto"/>
                <w:sz w:val="24"/>
                <w:szCs w:val="24"/>
                <w:highlight w:val="none"/>
              </w:rPr>
              <w:t>隐患</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使得水库正常运行</w:t>
            </w:r>
            <w:r>
              <w:rPr>
                <w:rFonts w:hint="default"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202</w:t>
            </w:r>
            <w:r>
              <w:rPr>
                <w:rFonts w:hint="eastAsia"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年</w:t>
            </w:r>
            <w:r>
              <w:rPr>
                <w:rFonts w:hint="eastAsia" w:cs="Times New Roman"/>
                <w:color w:val="auto"/>
                <w:sz w:val="24"/>
                <w:szCs w:val="24"/>
                <w:highlight w:val="none"/>
                <w:lang w:val="en-US" w:eastAsia="zh-CN"/>
              </w:rPr>
              <w:t>3</w:t>
            </w:r>
            <w:r>
              <w:rPr>
                <w:rFonts w:hint="default" w:ascii="Times New Roman" w:hAnsi="Times New Roman" w:cs="Times New Roman"/>
                <w:color w:val="auto"/>
                <w:sz w:val="24"/>
                <w:szCs w:val="24"/>
                <w:highlight w:val="none"/>
              </w:rPr>
              <w:t>月，</w:t>
            </w:r>
            <w:r>
              <w:rPr>
                <w:rFonts w:hint="eastAsia" w:cs="Times New Roman"/>
                <w:color w:val="auto"/>
                <w:sz w:val="24"/>
                <w:szCs w:val="24"/>
                <w:highlight w:val="none"/>
                <w:lang w:val="en-US" w:eastAsia="zh-CN"/>
              </w:rPr>
              <w:t>密山市</w:t>
            </w:r>
            <w:r>
              <w:rPr>
                <w:rFonts w:hint="default" w:ascii="Times New Roman" w:hAnsi="Times New Roman" w:cs="Times New Roman"/>
                <w:color w:val="auto"/>
                <w:sz w:val="24"/>
                <w:szCs w:val="24"/>
                <w:highlight w:val="none"/>
                <w:lang w:val="en-US" w:eastAsia="zh-CN"/>
              </w:rPr>
              <w:t>水务局以</w:t>
            </w:r>
            <w:r>
              <w:rPr>
                <w:rFonts w:hint="eastAsia" w:cs="Times New Roman"/>
                <w:color w:val="auto"/>
                <w:sz w:val="24"/>
                <w:szCs w:val="24"/>
                <w:highlight w:val="none"/>
                <w:lang w:val="en-US" w:eastAsia="zh-CN"/>
              </w:rPr>
              <w:t>密</w:t>
            </w:r>
            <w:r>
              <w:rPr>
                <w:rFonts w:hint="default" w:ascii="Times New Roman" w:hAnsi="Times New Roman" w:cs="Times New Roman"/>
                <w:color w:val="auto"/>
                <w:sz w:val="24"/>
                <w:szCs w:val="24"/>
                <w:highlight w:val="none"/>
                <w:lang w:val="en-US" w:eastAsia="zh-CN"/>
              </w:rPr>
              <w:t>水政发〔202</w:t>
            </w:r>
            <w:r>
              <w:rPr>
                <w:rFonts w:hint="eastAsia" w:cs="Times New Roman"/>
                <w:color w:val="auto"/>
                <w:sz w:val="24"/>
                <w:szCs w:val="24"/>
                <w:highlight w:val="none"/>
                <w:lang w:val="en-US" w:eastAsia="zh-CN"/>
              </w:rPr>
              <w:t>2</w:t>
            </w:r>
            <w:r>
              <w:rPr>
                <w:rFonts w:hint="default" w:ascii="Times New Roman" w:hAnsi="Times New Roman" w:cs="Times New Roman"/>
                <w:color w:val="auto"/>
                <w:sz w:val="24"/>
                <w:szCs w:val="24"/>
                <w:highlight w:val="none"/>
                <w:lang w:val="en-US" w:eastAsia="zh-CN"/>
              </w:rPr>
              <w:t>〕1</w:t>
            </w:r>
            <w:r>
              <w:rPr>
                <w:rFonts w:hint="eastAsia" w:cs="Times New Roman"/>
                <w:color w:val="auto"/>
                <w:sz w:val="24"/>
                <w:szCs w:val="24"/>
                <w:highlight w:val="none"/>
                <w:lang w:val="en-US" w:eastAsia="zh-CN"/>
              </w:rPr>
              <w:t>0</w:t>
            </w:r>
            <w:r>
              <w:rPr>
                <w:rFonts w:hint="default" w:ascii="Times New Roman" w:hAnsi="Times New Roman" w:cs="Times New Roman"/>
                <w:color w:val="auto"/>
                <w:sz w:val="24"/>
                <w:szCs w:val="24"/>
                <w:highlight w:val="none"/>
                <w:lang w:val="en-US" w:eastAsia="zh-CN"/>
              </w:rPr>
              <w:t>号文对</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初步设计报告</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进行批复</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202</w:t>
            </w:r>
            <w:r>
              <w:rPr>
                <w:rFonts w:hint="eastAsia"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年</w:t>
            </w:r>
            <w:r>
              <w:rPr>
                <w:rFonts w:hint="eastAsia" w:cs="Times New Roman"/>
                <w:color w:val="auto"/>
                <w:sz w:val="24"/>
                <w:szCs w:val="24"/>
                <w:highlight w:val="none"/>
                <w:lang w:val="en-US" w:eastAsia="zh-CN"/>
              </w:rPr>
              <w:t>7</w:t>
            </w:r>
            <w:r>
              <w:rPr>
                <w:rFonts w:hint="default" w:ascii="Times New Roman" w:hAnsi="Times New Roman" w:cs="Times New Roman"/>
                <w:color w:val="auto"/>
                <w:sz w:val="24"/>
                <w:szCs w:val="24"/>
                <w:highlight w:val="none"/>
              </w:rPr>
              <w:t>月，黑龙江省水利水电勘测设计研究院编制完成《黑龙江省密山市青年水库除险加固工程建设项目环境影响报告表》；202</w:t>
            </w:r>
            <w:r>
              <w:rPr>
                <w:rFonts w:hint="eastAsia"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年</w:t>
            </w:r>
            <w:r>
              <w:rPr>
                <w:rFonts w:hint="eastAsia" w:cs="Times New Roman"/>
                <w:color w:val="auto"/>
                <w:sz w:val="24"/>
                <w:szCs w:val="24"/>
                <w:highlight w:val="none"/>
                <w:lang w:val="en-US" w:eastAsia="zh-CN"/>
              </w:rPr>
              <w:t>8</w:t>
            </w:r>
            <w:r>
              <w:rPr>
                <w:rFonts w:hint="default" w:ascii="Times New Roman" w:hAnsi="Times New Roman" w:cs="Times New Roman"/>
                <w:color w:val="auto"/>
                <w:sz w:val="24"/>
                <w:szCs w:val="24"/>
                <w:highlight w:val="none"/>
              </w:rPr>
              <w:t>月，</w:t>
            </w:r>
            <w:r>
              <w:rPr>
                <w:rFonts w:hint="eastAsia" w:cs="Times New Roman"/>
                <w:color w:val="auto"/>
                <w:sz w:val="24"/>
                <w:szCs w:val="24"/>
                <w:highlight w:val="none"/>
                <w:lang w:val="en-US" w:eastAsia="zh-CN"/>
              </w:rPr>
              <w:t>密山</w:t>
            </w:r>
            <w:r>
              <w:rPr>
                <w:rFonts w:hint="default" w:ascii="Times New Roman" w:hAnsi="Times New Roman" w:cs="Times New Roman"/>
                <w:color w:val="auto"/>
                <w:sz w:val="24"/>
                <w:szCs w:val="24"/>
                <w:highlight w:val="none"/>
                <w:lang w:val="en-US" w:eastAsia="zh-CN"/>
              </w:rPr>
              <w:t>市生态环境局以</w:t>
            </w:r>
            <w:r>
              <w:rPr>
                <w:rFonts w:hint="eastAsia" w:cs="Times New Roman"/>
                <w:color w:val="auto"/>
                <w:sz w:val="24"/>
                <w:szCs w:val="24"/>
                <w:highlight w:val="none"/>
                <w:lang w:val="en-US" w:eastAsia="zh-CN"/>
              </w:rPr>
              <w:t>密</w:t>
            </w:r>
            <w:r>
              <w:rPr>
                <w:rFonts w:hint="default" w:ascii="Times New Roman" w:hAnsi="Times New Roman" w:cs="Times New Roman"/>
                <w:color w:val="auto"/>
                <w:sz w:val="24"/>
                <w:szCs w:val="24"/>
                <w:highlight w:val="none"/>
                <w:lang w:val="en-US" w:eastAsia="zh-CN"/>
              </w:rPr>
              <w:t>环建审〔202</w:t>
            </w:r>
            <w:r>
              <w:rPr>
                <w:rFonts w:hint="eastAsia" w:cs="Times New Roman"/>
                <w:color w:val="auto"/>
                <w:sz w:val="24"/>
                <w:szCs w:val="24"/>
                <w:highlight w:val="none"/>
                <w:lang w:val="en-US" w:eastAsia="zh-CN"/>
              </w:rPr>
              <w:t>2</w:t>
            </w:r>
            <w:r>
              <w:rPr>
                <w:rFonts w:hint="default" w:ascii="Times New Roman" w:hAnsi="Times New Roman" w:cs="Times New Roman"/>
                <w:color w:val="auto"/>
                <w:sz w:val="24"/>
                <w:szCs w:val="24"/>
                <w:highlight w:val="none"/>
                <w:lang w:val="en-US" w:eastAsia="zh-CN"/>
              </w:rPr>
              <w:t>〕1</w:t>
            </w:r>
            <w:r>
              <w:rPr>
                <w:rFonts w:hint="eastAsia" w:cs="Times New Roman"/>
                <w:color w:val="auto"/>
                <w:sz w:val="24"/>
                <w:szCs w:val="24"/>
                <w:highlight w:val="none"/>
                <w:lang w:val="en-US" w:eastAsia="zh-CN"/>
              </w:rPr>
              <w:t>4</w:t>
            </w:r>
            <w:r>
              <w:rPr>
                <w:rFonts w:hint="default" w:ascii="Times New Roman" w:hAnsi="Times New Roman" w:cs="Times New Roman"/>
                <w:color w:val="auto"/>
                <w:sz w:val="24"/>
                <w:szCs w:val="24"/>
                <w:highlight w:val="none"/>
                <w:lang w:val="en-US" w:eastAsia="zh-CN"/>
              </w:rPr>
              <w:t>号文对</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环境影响报告表</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进行批复</w:t>
            </w:r>
            <w:r>
              <w:rPr>
                <w:rFonts w:hint="default"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eastAsia="zh-CN"/>
              </w:rPr>
              <w:t>青年水库</w:t>
            </w:r>
            <w:r>
              <w:rPr>
                <w:rFonts w:hint="default" w:ascii="Times New Roman" w:hAnsi="Times New Roman" w:cs="Times New Roman"/>
                <w:color w:val="auto"/>
                <w:sz w:val="24"/>
                <w:szCs w:val="24"/>
                <w:highlight w:val="none"/>
              </w:rPr>
              <w:t>除险加固工程</w:t>
            </w:r>
            <w:r>
              <w:rPr>
                <w:rFonts w:hint="default" w:ascii="Times New Roman" w:hAnsi="Times New Roman" w:cs="Times New Roman"/>
                <w:color w:val="auto"/>
                <w:sz w:val="24"/>
                <w:szCs w:val="24"/>
                <w:highlight w:val="none"/>
                <w:lang w:val="en-US" w:eastAsia="zh-CN"/>
              </w:rPr>
              <w:t>于202</w:t>
            </w:r>
            <w:r>
              <w:rPr>
                <w:rFonts w:hint="eastAsia" w:cs="Times New Roman"/>
                <w:color w:val="auto"/>
                <w:sz w:val="24"/>
                <w:szCs w:val="24"/>
                <w:highlight w:val="none"/>
                <w:lang w:val="en-US" w:eastAsia="zh-CN"/>
              </w:rPr>
              <w:t>2</w:t>
            </w:r>
            <w:r>
              <w:rPr>
                <w:rFonts w:hint="default" w:ascii="Times New Roman" w:hAnsi="Times New Roman" w:cs="Times New Roman"/>
                <w:color w:val="auto"/>
                <w:sz w:val="24"/>
                <w:szCs w:val="24"/>
                <w:highlight w:val="none"/>
                <w:lang w:val="en-US" w:eastAsia="zh-CN"/>
              </w:rPr>
              <w:t>年</w:t>
            </w:r>
            <w:r>
              <w:rPr>
                <w:rFonts w:hint="eastAsia" w:cs="Times New Roman"/>
                <w:color w:val="auto"/>
                <w:sz w:val="24"/>
                <w:szCs w:val="24"/>
                <w:highlight w:val="none"/>
                <w:lang w:val="en-US" w:eastAsia="zh-CN"/>
              </w:rPr>
              <w:t>11</w:t>
            </w:r>
            <w:r>
              <w:rPr>
                <w:rFonts w:hint="default" w:ascii="Times New Roman" w:hAnsi="Times New Roman" w:cs="Times New Roman"/>
                <w:color w:val="auto"/>
                <w:sz w:val="24"/>
                <w:szCs w:val="24"/>
                <w:highlight w:val="none"/>
                <w:lang w:val="en-US" w:eastAsia="zh-CN"/>
              </w:rPr>
              <w:t>月开工</w:t>
            </w:r>
            <w:r>
              <w:rPr>
                <w:rFonts w:hint="eastAsia"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《中华人民共和国环境影响评价法》（中华人民共和国主席令第七十七号）自2003年9月1日起施行，2018年12月29日修订施行，需对2003年9月1日后企业开展的项目进行环境影响评价，即2012年开展的</w:t>
            </w:r>
            <w:r>
              <w:rPr>
                <w:rFonts w:hint="eastAsia" w:cs="Times New Roman"/>
                <w:color w:val="auto"/>
                <w:sz w:val="24"/>
                <w:szCs w:val="24"/>
                <w:highlight w:val="none"/>
                <w:lang w:val="en-US" w:eastAsia="zh-CN"/>
              </w:rPr>
              <w:t>密山市</w:t>
            </w:r>
            <w:r>
              <w:rPr>
                <w:rFonts w:hint="eastAsia" w:ascii="Times New Roman" w:hAnsi="Times New Roman" w:cs="Times New Roman"/>
                <w:color w:val="auto"/>
                <w:sz w:val="24"/>
                <w:szCs w:val="24"/>
                <w:highlight w:val="none"/>
                <w:lang w:val="en-US" w:eastAsia="zh-CN"/>
              </w:rPr>
              <w:t>青年水库</w:t>
            </w:r>
            <w:r>
              <w:rPr>
                <w:rFonts w:hint="default" w:ascii="Times New Roman" w:hAnsi="Times New Roman" w:cs="Times New Roman"/>
                <w:color w:val="auto"/>
                <w:sz w:val="24"/>
                <w:szCs w:val="24"/>
                <w:highlight w:val="none"/>
                <w:lang w:val="en-US" w:eastAsia="zh-CN"/>
              </w:rPr>
              <w:t>电站增效扩容改造工程。依据《建设项目环境影响评价分类管理名录（2021年版）》，本项目属于“四十一、电力、热力生产和供应业，88水力发电，其他”，应当编制环境影响报告表。</w:t>
            </w:r>
          </w:p>
          <w:p w14:paraId="29756AFB">
            <w:pPr>
              <w:spacing w:line="360" w:lineRule="auto"/>
              <w:ind w:firstLine="482" w:firstLineChars="200"/>
              <w:rPr>
                <w:rFonts w:hint="default" w:ascii="Times New Roman" w:hAnsi="Times New Roman" w:cs="Times New Roman"/>
                <w:b/>
                <w:bCs/>
                <w:i w:val="0"/>
                <w:iCs w:val="0"/>
                <w:color w:val="auto"/>
                <w:sz w:val="24"/>
                <w:szCs w:val="24"/>
                <w:highlight w:val="none"/>
                <w:lang w:val="en-US" w:eastAsia="zh-CN"/>
              </w:rPr>
            </w:pPr>
            <w:r>
              <w:rPr>
                <w:rFonts w:hint="default" w:ascii="Times New Roman" w:hAnsi="Times New Roman" w:cs="Times New Roman"/>
                <w:b/>
                <w:bCs/>
                <w:i w:val="0"/>
                <w:iCs w:val="0"/>
                <w:color w:val="auto"/>
                <w:sz w:val="24"/>
                <w:szCs w:val="24"/>
                <w:highlight w:val="none"/>
                <w:lang w:val="en-US" w:eastAsia="zh-CN"/>
              </w:rPr>
              <w:t>2.原有工程概况</w:t>
            </w:r>
          </w:p>
          <w:p w14:paraId="17F6CBA0">
            <w:pPr>
              <w:spacing w:line="360" w:lineRule="auto"/>
              <w:ind w:firstLine="480" w:firstLineChars="200"/>
              <w:rPr>
                <w:rFonts w:hint="default" w:ascii="Times New Roman" w:hAnsi="Times New Roman" w:eastAsia="宋体" w:cs="Times New Roman"/>
                <w:snapToGrid w:val="0"/>
                <w:color w:val="auto"/>
                <w:sz w:val="24"/>
                <w:szCs w:val="24"/>
                <w:highlight w:val="none"/>
                <w:lang w:val="en-US" w:eastAsia="zh-CN"/>
              </w:rPr>
            </w:pPr>
            <w:r>
              <w:rPr>
                <w:rFonts w:hint="default" w:ascii="Times New Roman" w:hAnsi="Times New Roman" w:eastAsia="宋体" w:cs="Times New Roman"/>
                <w:snapToGrid w:val="0"/>
                <w:color w:val="auto"/>
                <w:sz w:val="24"/>
                <w:szCs w:val="24"/>
                <w:highlight w:val="none"/>
                <w:lang w:val="en-US" w:eastAsia="zh-CN"/>
              </w:rPr>
              <w:t>青年水库电站是青年水库的枢纽工程之一，电站于1958年动工兴建，1960年停建，1973年续建，1978年竣工验收并投产发电。电站枢纽建筑物包括输水洞，厂房及尾水渠3部分，电站为坝后式，利用埋管在坝下的输水洞埋管从水库取水。电站发电主要利用灌溉期水量发电，发电保证率P=80%。青年水库电站于1982年经鸡西电业局同意已并入国家电网。</w:t>
            </w:r>
          </w:p>
          <w:p w14:paraId="534CE76F">
            <w:pPr>
              <w:spacing w:line="360" w:lineRule="auto"/>
              <w:ind w:firstLine="480" w:firstLineChars="200"/>
              <w:rPr>
                <w:color w:val="auto"/>
                <w:sz w:val="24"/>
              </w:rPr>
            </w:pPr>
            <w:r>
              <w:rPr>
                <w:rFonts w:hint="default" w:ascii="Times New Roman" w:hAnsi="Times New Roman" w:eastAsia="宋体" w:cs="Times New Roman"/>
                <w:snapToGrid w:val="0"/>
                <w:color w:val="auto"/>
                <w:sz w:val="24"/>
                <w:szCs w:val="24"/>
                <w:highlight w:val="none"/>
                <w:lang w:val="en-US" w:eastAsia="zh-CN"/>
              </w:rPr>
              <w:t>青年水库总库容4.01</w:t>
            </w:r>
            <w:r>
              <w:rPr>
                <w:color w:val="auto"/>
                <w:sz w:val="24"/>
              </w:rPr>
              <w:t>×</w:t>
            </w:r>
            <w:r>
              <w:rPr>
                <w:rFonts w:hint="default" w:ascii="Times New Roman" w:hAnsi="Times New Roman" w:eastAsia="宋体" w:cs="Times New Roman"/>
                <w:snapToGrid w:val="0"/>
                <w:color w:val="auto"/>
                <w:sz w:val="24"/>
                <w:szCs w:val="24"/>
                <w:highlight w:val="none"/>
                <w:lang w:val="en-US" w:eastAsia="zh-CN"/>
              </w:rPr>
              <w:t>10</w:t>
            </w:r>
            <w:r>
              <w:rPr>
                <w:rFonts w:hint="eastAsia" w:cs="Times New Roman"/>
                <w:snapToGrid w:val="0"/>
                <w:color w:val="auto"/>
                <w:sz w:val="24"/>
                <w:szCs w:val="24"/>
                <w:highlight w:val="none"/>
                <w:vertAlign w:val="superscript"/>
                <w:lang w:val="en-US" w:eastAsia="zh-CN"/>
              </w:rPr>
              <w:t>8</w:t>
            </w:r>
            <w:r>
              <w:rPr>
                <w:rFonts w:hint="default" w:ascii="Times New Roman" w:hAnsi="Times New Roman" w:eastAsia="宋体" w:cs="Times New Roman"/>
                <w:snapToGrid w:val="0"/>
                <w:color w:val="auto"/>
                <w:sz w:val="24"/>
                <w:szCs w:val="24"/>
                <w:highlight w:val="none"/>
                <w:lang w:val="en-US" w:eastAsia="zh-CN"/>
              </w:rPr>
              <w:t>m</w:t>
            </w:r>
            <w:r>
              <w:rPr>
                <w:rFonts w:hint="eastAsia" w:cs="Times New Roman"/>
                <w:snapToGrid w:val="0"/>
                <w:color w:val="auto"/>
                <w:sz w:val="24"/>
                <w:szCs w:val="24"/>
                <w:highlight w:val="none"/>
                <w:vertAlign w:val="superscript"/>
                <w:lang w:val="en-US" w:eastAsia="zh-CN"/>
              </w:rPr>
              <w:t>3</w:t>
            </w:r>
            <w:r>
              <w:rPr>
                <w:rFonts w:hint="default" w:ascii="Times New Roman" w:hAnsi="Times New Roman" w:eastAsia="宋体" w:cs="Times New Roman"/>
                <w:snapToGrid w:val="0"/>
                <w:color w:val="auto"/>
                <w:sz w:val="24"/>
                <w:szCs w:val="24"/>
                <w:highlight w:val="none"/>
                <w:lang w:val="en-US" w:eastAsia="zh-CN"/>
              </w:rPr>
              <w:t>，防洪库容1.32</w:t>
            </w:r>
            <w:r>
              <w:rPr>
                <w:color w:val="auto"/>
                <w:sz w:val="24"/>
              </w:rPr>
              <w:t>×</w:t>
            </w:r>
            <w:r>
              <w:rPr>
                <w:rFonts w:hint="default" w:ascii="Times New Roman" w:hAnsi="Times New Roman" w:eastAsia="宋体" w:cs="Times New Roman"/>
                <w:snapToGrid w:val="0"/>
                <w:color w:val="auto"/>
                <w:sz w:val="24"/>
                <w:szCs w:val="24"/>
                <w:highlight w:val="none"/>
                <w:lang w:val="en-US" w:eastAsia="zh-CN"/>
              </w:rPr>
              <w:t>10</w:t>
            </w:r>
            <w:r>
              <w:rPr>
                <w:rFonts w:hint="eastAsia" w:cs="Times New Roman"/>
                <w:snapToGrid w:val="0"/>
                <w:color w:val="auto"/>
                <w:sz w:val="24"/>
                <w:szCs w:val="24"/>
                <w:highlight w:val="none"/>
                <w:vertAlign w:val="superscript"/>
                <w:lang w:val="en-US" w:eastAsia="zh-CN"/>
              </w:rPr>
              <w:t>8</w:t>
            </w:r>
            <w:r>
              <w:rPr>
                <w:rFonts w:hint="default" w:ascii="Times New Roman" w:hAnsi="Times New Roman" w:eastAsia="宋体" w:cs="Times New Roman"/>
                <w:snapToGrid w:val="0"/>
                <w:color w:val="auto"/>
                <w:sz w:val="24"/>
                <w:szCs w:val="24"/>
                <w:highlight w:val="none"/>
                <w:lang w:val="en-US" w:eastAsia="zh-CN"/>
              </w:rPr>
              <w:t>m</w:t>
            </w:r>
            <w:r>
              <w:rPr>
                <w:rFonts w:hint="eastAsia" w:cs="Times New Roman"/>
                <w:snapToGrid w:val="0"/>
                <w:color w:val="auto"/>
                <w:sz w:val="24"/>
                <w:szCs w:val="24"/>
                <w:highlight w:val="none"/>
                <w:vertAlign w:val="superscript"/>
                <w:lang w:val="en-US" w:eastAsia="zh-CN"/>
              </w:rPr>
              <w:t>3</w:t>
            </w:r>
            <w:r>
              <w:rPr>
                <w:rFonts w:hint="default" w:ascii="Times New Roman" w:hAnsi="Times New Roman" w:eastAsia="宋体" w:cs="Times New Roman"/>
                <w:snapToGrid w:val="0"/>
                <w:color w:val="auto"/>
                <w:sz w:val="24"/>
                <w:szCs w:val="24"/>
                <w:highlight w:val="none"/>
                <w:lang w:val="en-US" w:eastAsia="zh-CN"/>
              </w:rPr>
              <w:t>，多年平均径流量</w:t>
            </w:r>
            <w:r>
              <w:rPr>
                <w:rFonts w:hint="eastAsia" w:cs="Times New Roman"/>
                <w:snapToGrid w:val="0"/>
                <w:color w:val="auto"/>
                <w:sz w:val="24"/>
                <w:szCs w:val="24"/>
                <w:highlight w:val="none"/>
                <w:lang w:val="en-US" w:eastAsia="zh-CN"/>
              </w:rPr>
              <w:t>3.96</w:t>
            </w:r>
            <w:r>
              <w:rPr>
                <w:color w:val="auto"/>
                <w:sz w:val="24"/>
              </w:rPr>
              <w:t>×</w:t>
            </w:r>
            <w:r>
              <w:rPr>
                <w:rFonts w:hint="default" w:ascii="Times New Roman" w:hAnsi="Times New Roman" w:eastAsia="宋体" w:cs="Times New Roman"/>
                <w:snapToGrid w:val="0"/>
                <w:color w:val="auto"/>
                <w:sz w:val="24"/>
                <w:szCs w:val="24"/>
                <w:highlight w:val="none"/>
                <w:lang w:val="en-US" w:eastAsia="zh-CN"/>
              </w:rPr>
              <w:t>m</w:t>
            </w:r>
            <w:r>
              <w:rPr>
                <w:rFonts w:hint="eastAsia" w:cs="Times New Roman"/>
                <w:snapToGrid w:val="0"/>
                <w:color w:val="auto"/>
                <w:sz w:val="24"/>
                <w:szCs w:val="24"/>
                <w:highlight w:val="none"/>
                <w:vertAlign w:val="superscript"/>
                <w:lang w:val="en-US" w:eastAsia="zh-CN"/>
              </w:rPr>
              <w:t>3</w:t>
            </w:r>
            <w:r>
              <w:rPr>
                <w:rFonts w:hint="eastAsia" w:cs="Times New Roman"/>
                <w:snapToGrid w:val="0"/>
                <w:color w:val="auto"/>
                <w:sz w:val="24"/>
                <w:szCs w:val="24"/>
                <w:highlight w:val="none"/>
                <w:vertAlign w:val="baseline"/>
                <w:lang w:val="en-US" w:eastAsia="zh-CN"/>
              </w:rPr>
              <w:t>/s</w:t>
            </w:r>
            <w:r>
              <w:rPr>
                <w:rFonts w:hint="default" w:ascii="Times New Roman" w:hAnsi="Times New Roman" w:eastAsia="宋体" w:cs="Times New Roman"/>
                <w:snapToGrid w:val="0"/>
                <w:color w:val="auto"/>
                <w:sz w:val="24"/>
                <w:szCs w:val="24"/>
                <w:highlight w:val="none"/>
                <w:lang w:val="en-US" w:eastAsia="zh-CN"/>
              </w:rPr>
              <w:t>，设计标准为100年一遇设计，2000年一遇校核。</w:t>
            </w:r>
            <w:r>
              <w:rPr>
                <w:rFonts w:hint="eastAsia" w:eastAsiaTheme="minorEastAsia"/>
                <w:color w:val="auto"/>
                <w:sz w:val="24"/>
              </w:rPr>
              <w:t>青年</w:t>
            </w:r>
            <w:r>
              <w:rPr>
                <w:rFonts w:eastAsiaTheme="minorEastAsia"/>
                <w:color w:val="auto"/>
                <w:sz w:val="24"/>
              </w:rPr>
              <w:t>水库是一座以灌溉为主，结合防洪发电、养殖等综合利用的大（2）型水库。 工程等别为II等，主要建筑物级别为2级。水库设计洪水标准为100年一遇设计，下游防洪</w:t>
            </w:r>
            <w:r>
              <w:rPr>
                <w:color w:val="auto"/>
                <w:sz w:val="24"/>
              </w:rPr>
              <w:t>保护对象为裴德镇、兴凯镇、和平乡以及密虎铁路、密虎公路和建鸡高速公路等基础设施。</w:t>
            </w:r>
          </w:p>
          <w:p w14:paraId="3970905A">
            <w:pPr>
              <w:spacing w:line="360" w:lineRule="auto"/>
              <w:ind w:firstLine="480" w:firstLineChars="200"/>
              <w:rPr>
                <w:color w:val="auto"/>
                <w:sz w:val="24"/>
              </w:rPr>
            </w:pPr>
            <w:r>
              <w:rPr>
                <w:rFonts w:hint="eastAsia"/>
                <w:color w:val="auto"/>
                <w:sz w:val="24"/>
              </w:rPr>
              <w:t>现状</w:t>
            </w:r>
            <w:r>
              <w:rPr>
                <w:color w:val="auto"/>
                <w:sz w:val="24"/>
              </w:rPr>
              <w:t>枢纽工程由土坝、溢洪道、输水洞及电站组成。土坝为粘土均质坝，坝长1750m，最大坝高15.2m。溢洪道位于土坝左肩，有闸控泄实用堰，堰顶高程121.50m。输水洞为坝下埋管，两孔方涵，断面为2m×2m，其中一孔在出口处设分岔管，与电站厂房相连，洞进口底高程117.50m。</w:t>
            </w:r>
          </w:p>
          <w:p w14:paraId="22CB2358">
            <w:pPr>
              <w:spacing w:line="360" w:lineRule="auto"/>
              <w:ind w:firstLine="480" w:firstLineChars="200"/>
              <w:rPr>
                <w:rFonts w:hint="default" w:ascii="Times New Roman" w:hAnsi="Times New Roman" w:eastAsia="宋体" w:cs="Times New Roman"/>
                <w:snapToGrid w:val="0"/>
                <w:color w:val="auto"/>
                <w:sz w:val="24"/>
                <w:szCs w:val="24"/>
                <w:highlight w:val="none"/>
                <w:lang w:val="en-US" w:eastAsia="zh-CN"/>
              </w:rPr>
            </w:pPr>
            <w:r>
              <w:rPr>
                <w:rFonts w:hint="eastAsia"/>
                <w:color w:val="auto"/>
                <w:sz w:val="24"/>
                <w:lang w:val="en-US" w:eastAsia="zh-CN"/>
              </w:rPr>
              <w:t>青年水库</w:t>
            </w:r>
            <w:r>
              <w:rPr>
                <w:color w:val="auto"/>
                <w:sz w:val="24"/>
              </w:rPr>
              <w:t>电站为坝后式，</w:t>
            </w:r>
            <w:r>
              <w:rPr>
                <w:rFonts w:hint="default" w:ascii="Times New Roman" w:hAnsi="Times New Roman" w:eastAsia="宋体" w:cs="Times New Roman"/>
                <w:snapToGrid w:val="0"/>
                <w:color w:val="auto"/>
                <w:sz w:val="24"/>
                <w:szCs w:val="24"/>
                <w:highlight w:val="none"/>
                <w:lang w:val="en-US" w:eastAsia="zh-CN"/>
              </w:rPr>
              <w:t>青年水库电站总装机容量720</w:t>
            </w:r>
            <w:r>
              <w:rPr>
                <w:rFonts w:hint="eastAsia" w:cs="Times New Roman"/>
                <w:snapToGrid w:val="0"/>
                <w:color w:val="auto"/>
                <w:sz w:val="24"/>
                <w:szCs w:val="24"/>
                <w:highlight w:val="none"/>
                <w:lang w:val="en-US" w:eastAsia="zh-CN"/>
              </w:rPr>
              <w:t>kW</w:t>
            </w:r>
            <w:r>
              <w:rPr>
                <w:rFonts w:hint="default" w:ascii="Times New Roman" w:hAnsi="Times New Roman" w:eastAsia="宋体" w:cs="Times New Roman"/>
                <w:snapToGrid w:val="0"/>
                <w:color w:val="auto"/>
                <w:sz w:val="24"/>
                <w:szCs w:val="24"/>
                <w:highlight w:val="none"/>
                <w:lang w:val="en-US" w:eastAsia="zh-CN"/>
              </w:rPr>
              <w:t>，</w:t>
            </w:r>
            <w:r>
              <w:rPr>
                <w:rFonts w:hint="eastAsia" w:cs="Times New Roman"/>
                <w:snapToGrid w:val="0"/>
                <w:color w:val="auto"/>
                <w:sz w:val="24"/>
                <w:szCs w:val="24"/>
                <w:highlight w:val="none"/>
                <w:lang w:val="en-US" w:eastAsia="zh-CN"/>
              </w:rPr>
              <w:t>年</w:t>
            </w:r>
            <w:r>
              <w:rPr>
                <w:rFonts w:hint="default" w:ascii="Times New Roman" w:hAnsi="Times New Roman" w:eastAsia="宋体" w:cs="Times New Roman"/>
                <w:snapToGrid w:val="0"/>
                <w:color w:val="auto"/>
                <w:sz w:val="24"/>
                <w:szCs w:val="24"/>
                <w:highlight w:val="none"/>
                <w:lang w:val="en-US" w:eastAsia="zh-CN"/>
              </w:rPr>
              <w:t xml:space="preserve">发电量 </w:t>
            </w:r>
            <w:r>
              <w:rPr>
                <w:rFonts w:hint="eastAsia" w:cs="Times New Roman"/>
                <w:snapToGrid w:val="0"/>
                <w:color w:val="auto"/>
                <w:sz w:val="24"/>
                <w:szCs w:val="24"/>
                <w:highlight w:val="none"/>
                <w:lang w:val="en-US" w:eastAsia="zh-CN"/>
              </w:rPr>
              <w:t>56.6</w:t>
            </w:r>
            <w:r>
              <w:rPr>
                <w:color w:val="auto"/>
                <w:sz w:val="24"/>
              </w:rPr>
              <w:t>×</w:t>
            </w:r>
            <w:r>
              <w:rPr>
                <w:rFonts w:hint="default" w:ascii="Times New Roman" w:hAnsi="Times New Roman" w:eastAsia="宋体" w:cs="Times New Roman"/>
                <w:snapToGrid w:val="0"/>
                <w:color w:val="auto"/>
                <w:sz w:val="24"/>
                <w:szCs w:val="24"/>
                <w:highlight w:val="none"/>
                <w:lang w:val="en-US" w:eastAsia="zh-CN"/>
              </w:rPr>
              <w:t>10</w:t>
            </w:r>
            <w:r>
              <w:rPr>
                <w:rFonts w:hint="eastAsia" w:cs="Times New Roman"/>
                <w:snapToGrid w:val="0"/>
                <w:color w:val="auto"/>
                <w:sz w:val="24"/>
                <w:szCs w:val="24"/>
                <w:highlight w:val="none"/>
                <w:vertAlign w:val="superscript"/>
                <w:lang w:val="en-US" w:eastAsia="zh-CN"/>
              </w:rPr>
              <w:t>4</w:t>
            </w:r>
            <w:r>
              <w:rPr>
                <w:rFonts w:hint="eastAsia" w:cs="Times New Roman"/>
                <w:snapToGrid w:val="0"/>
                <w:color w:val="auto"/>
                <w:sz w:val="24"/>
                <w:szCs w:val="24"/>
                <w:highlight w:val="none"/>
                <w:lang w:val="en-US" w:eastAsia="zh-CN"/>
              </w:rPr>
              <w:t>kW</w:t>
            </w:r>
            <w:r>
              <w:rPr>
                <w:rFonts w:hint="default" w:ascii="Times New Roman" w:hAnsi="Times New Roman" w:eastAsia="宋体" w:cs="Times New Roman"/>
                <w:snapToGrid w:val="0"/>
                <w:color w:val="auto"/>
                <w:sz w:val="24"/>
                <w:szCs w:val="24"/>
                <w:highlight w:val="none"/>
                <w:lang w:val="en-US" w:eastAsia="zh-CN"/>
              </w:rPr>
              <w:t>h，由于上库水位较低，实际平均发电量只有40-45</w:t>
            </w:r>
            <w:r>
              <w:rPr>
                <w:color w:val="auto"/>
                <w:sz w:val="24"/>
              </w:rPr>
              <w:t>×</w:t>
            </w:r>
            <w:r>
              <w:rPr>
                <w:rFonts w:hint="default" w:ascii="Times New Roman" w:hAnsi="Times New Roman" w:eastAsia="宋体" w:cs="Times New Roman"/>
                <w:snapToGrid w:val="0"/>
                <w:color w:val="auto"/>
                <w:sz w:val="24"/>
                <w:szCs w:val="24"/>
                <w:highlight w:val="none"/>
                <w:lang w:val="en-US" w:eastAsia="zh-CN"/>
              </w:rPr>
              <w:t>10</w:t>
            </w:r>
            <w:r>
              <w:rPr>
                <w:rFonts w:hint="eastAsia" w:cs="Times New Roman"/>
                <w:snapToGrid w:val="0"/>
                <w:color w:val="auto"/>
                <w:sz w:val="24"/>
                <w:szCs w:val="24"/>
                <w:highlight w:val="none"/>
                <w:vertAlign w:val="superscript"/>
                <w:lang w:val="en-US" w:eastAsia="zh-CN"/>
              </w:rPr>
              <w:t>4</w:t>
            </w:r>
            <w:r>
              <w:rPr>
                <w:rFonts w:hint="eastAsia" w:cs="Times New Roman"/>
                <w:snapToGrid w:val="0"/>
                <w:color w:val="auto"/>
                <w:sz w:val="24"/>
                <w:szCs w:val="24"/>
                <w:highlight w:val="none"/>
                <w:lang w:val="en-US" w:eastAsia="zh-CN"/>
              </w:rPr>
              <w:t>kW</w:t>
            </w:r>
            <w:r>
              <w:rPr>
                <w:rFonts w:hint="default" w:ascii="Times New Roman" w:hAnsi="Times New Roman" w:eastAsia="宋体" w:cs="Times New Roman"/>
                <w:snapToGrid w:val="0"/>
                <w:color w:val="auto"/>
                <w:sz w:val="24"/>
                <w:szCs w:val="24"/>
                <w:highlight w:val="none"/>
                <w:lang w:val="en-US" w:eastAsia="zh-CN"/>
              </w:rPr>
              <w:t>h。因此机组不能满出力发电，在20多年的运行过程中，出力只达到30%左右。</w:t>
            </w:r>
          </w:p>
          <w:p w14:paraId="10645A7B">
            <w:pPr>
              <w:spacing w:line="360" w:lineRule="auto"/>
              <w:ind w:firstLine="482" w:firstLineChars="200"/>
              <w:rPr>
                <w:rFonts w:hint="default" w:ascii="Times New Roman" w:hAnsi="Times New Roman" w:cs="Times New Roman"/>
                <w:b/>
                <w:bCs/>
                <w:i w:val="0"/>
                <w:iCs w:val="0"/>
                <w:color w:val="auto"/>
                <w:sz w:val="24"/>
                <w:szCs w:val="24"/>
                <w:highlight w:val="none"/>
                <w:lang w:val="en-US" w:eastAsia="zh-CN"/>
              </w:rPr>
            </w:pPr>
            <w:r>
              <w:rPr>
                <w:rFonts w:hint="default" w:ascii="Times New Roman" w:hAnsi="Times New Roman" w:cs="Times New Roman"/>
                <w:b/>
                <w:bCs/>
                <w:i w:val="0"/>
                <w:iCs w:val="0"/>
                <w:color w:val="auto"/>
                <w:sz w:val="24"/>
                <w:szCs w:val="24"/>
                <w:highlight w:val="none"/>
                <w:lang w:val="en-US" w:eastAsia="zh-CN"/>
              </w:rPr>
              <w:t>3.</w:t>
            </w:r>
            <w:r>
              <w:rPr>
                <w:rFonts w:hint="eastAsia" w:cs="Times New Roman"/>
                <w:b/>
                <w:bCs/>
                <w:i w:val="0"/>
                <w:iCs w:val="0"/>
                <w:color w:val="auto"/>
                <w:sz w:val="24"/>
                <w:szCs w:val="24"/>
                <w:highlight w:val="none"/>
                <w:lang w:val="en-US" w:eastAsia="zh-CN"/>
              </w:rPr>
              <w:t>本次</w:t>
            </w:r>
            <w:r>
              <w:rPr>
                <w:rFonts w:hint="default" w:ascii="Times New Roman" w:hAnsi="Times New Roman" w:cs="Times New Roman"/>
                <w:b/>
                <w:bCs/>
                <w:i w:val="0"/>
                <w:iCs w:val="0"/>
                <w:color w:val="auto"/>
                <w:sz w:val="24"/>
                <w:szCs w:val="24"/>
                <w:highlight w:val="none"/>
                <w:lang w:val="en-US" w:eastAsia="zh-CN"/>
              </w:rPr>
              <w:t>增效扩容改造工程概况</w:t>
            </w:r>
          </w:p>
          <w:p w14:paraId="515D042F">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本次增效扩容改造不增高大坝，不扩建厂房，不改变水库设计水文特征</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仅对原有水工建筑物进行加固及局部改造、对原水轮发电机组设备进行拆除更换，并更换相应的闸门及电气设备。扩容改造后，</w:t>
            </w:r>
            <w:r>
              <w:rPr>
                <w:rFonts w:hint="default" w:ascii="Times New Roman" w:hAnsi="Times New Roman" w:cs="Times New Roman"/>
                <w:color w:val="auto"/>
                <w:sz w:val="24"/>
                <w:szCs w:val="24"/>
                <w:highlight w:val="none"/>
                <w:lang w:val="en-US" w:eastAsia="zh-CN"/>
              </w:rPr>
              <w:t>总装机容量</w:t>
            </w:r>
            <w:r>
              <w:rPr>
                <w:rFonts w:hint="eastAsia" w:cs="Times New Roman"/>
                <w:color w:val="auto"/>
                <w:sz w:val="24"/>
                <w:szCs w:val="24"/>
                <w:highlight w:val="none"/>
                <w:lang w:val="en-US" w:eastAsia="zh-CN"/>
              </w:rPr>
              <w:t>增加为800kW</w:t>
            </w:r>
            <w:r>
              <w:rPr>
                <w:rFonts w:hint="default" w:ascii="Times New Roman" w:hAnsi="Times New Roman"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增容后年发电量为</w:t>
            </w:r>
            <w:r>
              <w:rPr>
                <w:rFonts w:hint="default" w:ascii="Times New Roman" w:hAnsi="Times New Roman" w:cs="Times New Roman"/>
                <w:snapToGrid w:val="0"/>
                <w:color w:val="auto"/>
                <w:sz w:val="24"/>
                <w:szCs w:val="24"/>
              </w:rPr>
              <w:t>1</w:t>
            </w:r>
            <w:r>
              <w:rPr>
                <w:rFonts w:hint="eastAsia" w:cs="Times New Roman"/>
                <w:snapToGrid w:val="0"/>
                <w:color w:val="auto"/>
                <w:sz w:val="24"/>
                <w:szCs w:val="24"/>
                <w:lang w:val="en-US" w:eastAsia="zh-CN"/>
              </w:rPr>
              <w:t>01.62</w:t>
            </w:r>
            <w:r>
              <w:rPr>
                <w:rFonts w:hint="default" w:ascii="Times New Roman" w:hAnsi="Times New Roman" w:cs="Times New Roman"/>
                <w:snapToGrid w:val="0"/>
                <w:color w:val="auto"/>
                <w:sz w:val="24"/>
                <w:szCs w:val="24"/>
              </w:rPr>
              <w:t>×10</w:t>
            </w:r>
            <w:r>
              <w:rPr>
                <w:rFonts w:hint="default" w:ascii="Times New Roman" w:hAnsi="Times New Roman" w:cs="Times New Roman"/>
                <w:snapToGrid w:val="0"/>
                <w:color w:val="auto"/>
                <w:sz w:val="24"/>
                <w:szCs w:val="24"/>
                <w:vertAlign w:val="superscript"/>
              </w:rPr>
              <w:t>4</w:t>
            </w:r>
            <w:r>
              <w:rPr>
                <w:rFonts w:hint="eastAsia" w:cs="Times New Roman"/>
                <w:color w:val="auto"/>
                <w:sz w:val="24"/>
                <w:szCs w:val="24"/>
                <w:highlight w:val="none"/>
                <w:lang w:eastAsia="zh-CN"/>
              </w:rPr>
              <w:t>kW</w:t>
            </w:r>
            <w:r>
              <w:rPr>
                <w:rFonts w:hint="default" w:ascii="Times New Roman" w:hAnsi="Times New Roman" w:eastAsia="宋体" w:cs="Times New Roman"/>
                <w:color w:val="auto"/>
                <w:sz w:val="24"/>
                <w:szCs w:val="24"/>
                <w:highlight w:val="none"/>
              </w:rPr>
              <w:t>·h，</w:t>
            </w:r>
            <w:r>
              <w:rPr>
                <w:rFonts w:hint="eastAsia" w:cs="Times New Roman"/>
                <w:color w:val="auto"/>
                <w:sz w:val="24"/>
                <w:szCs w:val="24"/>
                <w:highlight w:val="none"/>
                <w:lang w:val="en-US" w:eastAsia="zh-CN"/>
              </w:rPr>
              <w:t>机组效率增加为80.9%</w:t>
            </w:r>
            <w:r>
              <w:rPr>
                <w:rFonts w:hint="default" w:ascii="Times New Roman" w:hAnsi="Times New Roman" w:eastAsia="宋体" w:cs="Times New Roman"/>
                <w:color w:val="auto"/>
                <w:sz w:val="24"/>
                <w:szCs w:val="24"/>
                <w:highlight w:val="none"/>
              </w:rPr>
              <w:t>。</w:t>
            </w:r>
            <w:r>
              <w:rPr>
                <w:rFonts w:hint="eastAsia" w:cs="Times New Roman"/>
                <w:color w:val="auto"/>
                <w:sz w:val="24"/>
                <w:szCs w:val="24"/>
                <w:highlight w:val="none"/>
                <w:lang w:val="en-US" w:eastAsia="zh-CN"/>
              </w:rPr>
              <w:t>青年水库</w:t>
            </w:r>
            <w:r>
              <w:rPr>
                <w:rFonts w:hint="default" w:ascii="Times New Roman" w:hAnsi="Times New Roman" w:eastAsia="宋体" w:cs="Times New Roman"/>
                <w:color w:val="auto"/>
                <w:sz w:val="24"/>
                <w:szCs w:val="24"/>
                <w:highlight w:val="none"/>
              </w:rPr>
              <w:t>电站增效扩容改造</w:t>
            </w:r>
            <w:r>
              <w:rPr>
                <w:rFonts w:hint="default" w:ascii="Times New Roman" w:hAnsi="Times New Roman" w:cs="Times New Roman"/>
                <w:color w:val="auto"/>
                <w:sz w:val="24"/>
                <w:szCs w:val="24"/>
                <w:highlight w:val="none"/>
                <w:lang w:eastAsia="zh-CN"/>
              </w:rPr>
              <w:t>工程</w:t>
            </w:r>
            <w:r>
              <w:rPr>
                <w:rFonts w:hint="default" w:ascii="Times New Roman" w:hAnsi="Times New Roman" w:eastAsia="宋体" w:cs="Times New Roman"/>
                <w:color w:val="auto"/>
                <w:sz w:val="24"/>
                <w:szCs w:val="24"/>
                <w:highlight w:val="none"/>
              </w:rPr>
              <w:t>组成</w:t>
            </w:r>
            <w:r>
              <w:rPr>
                <w:rFonts w:hint="default" w:ascii="Times New Roman" w:hAnsi="Times New Roman" w:eastAsia="宋体" w:cs="Times New Roman"/>
                <w:color w:val="auto"/>
                <w:sz w:val="24"/>
                <w:szCs w:val="24"/>
                <w:highlight w:val="none"/>
                <w:lang w:val="en-US" w:eastAsia="zh-CN"/>
              </w:rPr>
              <w:t>表</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工程特性表见表2-1及表2-2。</w:t>
            </w:r>
          </w:p>
          <w:p w14:paraId="36C9F6A1">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（1）建筑物改造</w:t>
            </w:r>
          </w:p>
          <w:p w14:paraId="23177E5A">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厂房维修和机电设备改造相关建筑构件加固改建方案。更换2扇防火门和36扇塑钢窗</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外墙采用防冻瓷砖装饰</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内墙修补裂缝并粉刷装饰</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地面采用水磨石铺面，房顶改为彩钢板</w:t>
            </w:r>
            <w:r>
              <w:rPr>
                <w:rFonts w:hint="eastAsia" w:cs="Times New Roman"/>
                <w:color w:val="auto"/>
                <w:sz w:val="24"/>
                <w:szCs w:val="24"/>
                <w:highlight w:val="none"/>
                <w:lang w:val="en-US" w:eastAsia="zh-CN"/>
              </w:rPr>
              <w:t>。</w:t>
            </w:r>
          </w:p>
          <w:p w14:paraId="60E25A5E">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（2）机组设备改造</w:t>
            </w:r>
          </w:p>
          <w:p w14:paraId="3CF02BF8">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将原2台单机200kW的</w:t>
            </w:r>
            <w:r>
              <w:rPr>
                <w:rFonts w:hint="default" w:ascii="Times New Roman" w:hAnsi="Times New Roman" w:eastAsia="宋体" w:cs="Times New Roman"/>
                <w:color w:val="auto"/>
                <w:sz w:val="24"/>
                <w:szCs w:val="24"/>
                <w:highlight w:val="none"/>
                <w:lang w:val="en-US" w:eastAsia="zh-CN"/>
              </w:rPr>
              <w:t>ZD661-LH-80水轮机转轮更换为ZDT03型转轮</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原2台单机200</w:t>
            </w:r>
            <w:r>
              <w:rPr>
                <w:rFonts w:hint="eastAsia" w:cs="Times New Roman"/>
                <w:color w:val="auto"/>
                <w:sz w:val="24"/>
                <w:szCs w:val="24"/>
                <w:highlight w:val="none"/>
                <w:lang w:val="en-US" w:eastAsia="zh-CN"/>
              </w:rPr>
              <w:t>kW</w:t>
            </w:r>
            <w:r>
              <w:rPr>
                <w:rFonts w:hint="default" w:ascii="Times New Roman" w:hAnsi="Times New Roman" w:eastAsia="宋体" w:cs="Times New Roman"/>
                <w:color w:val="auto"/>
                <w:sz w:val="24"/>
                <w:szCs w:val="24"/>
                <w:highlight w:val="none"/>
                <w:lang w:val="en-US" w:eastAsia="zh-CN"/>
              </w:rPr>
              <w:t>，原2台配套TSN-99/27-14发电机更换为SF200-16/990发电机，单机容量200</w:t>
            </w:r>
            <w:r>
              <w:rPr>
                <w:rFonts w:hint="eastAsia" w:cs="Times New Roman"/>
                <w:color w:val="auto"/>
                <w:sz w:val="24"/>
                <w:szCs w:val="24"/>
                <w:highlight w:val="none"/>
                <w:lang w:val="en-US" w:eastAsia="zh-CN"/>
              </w:rPr>
              <w:t>kW</w:t>
            </w:r>
            <w:r>
              <w:rPr>
                <w:rFonts w:hint="default" w:ascii="Times New Roman" w:hAnsi="Times New Roman" w:eastAsia="宋体" w:cs="Times New Roman"/>
                <w:color w:val="auto"/>
                <w:sz w:val="24"/>
                <w:szCs w:val="24"/>
                <w:highlight w:val="none"/>
                <w:lang w:val="en-US" w:eastAsia="zh-CN"/>
              </w:rPr>
              <w:t>不变。</w:t>
            </w:r>
          </w:p>
          <w:p w14:paraId="59B8D441">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原1台320</w:t>
            </w:r>
            <w:r>
              <w:rPr>
                <w:rFonts w:hint="eastAsia" w:cs="Times New Roman"/>
                <w:color w:val="auto"/>
                <w:sz w:val="24"/>
                <w:szCs w:val="24"/>
                <w:highlight w:val="none"/>
                <w:lang w:val="en-US" w:eastAsia="zh-CN"/>
              </w:rPr>
              <w:t>kW</w:t>
            </w:r>
            <w:r>
              <w:rPr>
                <w:rFonts w:hint="default" w:ascii="Times New Roman" w:hAnsi="Times New Roman" w:eastAsia="宋体" w:cs="Times New Roman"/>
                <w:color w:val="auto"/>
                <w:sz w:val="24"/>
                <w:szCs w:val="24"/>
                <w:highlight w:val="none"/>
                <w:lang w:val="en-US" w:eastAsia="zh-CN"/>
              </w:rPr>
              <w:t>的ZD661-LH-100水轮机转轮更换为ZDJP502型转轮，原1台配套TSN-99/37-12发电机更换为SF400-14/990发电机，单机容量增加至400</w:t>
            </w:r>
            <w:r>
              <w:rPr>
                <w:rFonts w:hint="eastAsia" w:cs="Times New Roman"/>
                <w:color w:val="auto"/>
                <w:sz w:val="24"/>
                <w:szCs w:val="24"/>
                <w:highlight w:val="none"/>
                <w:lang w:val="en-US" w:eastAsia="zh-CN"/>
              </w:rPr>
              <w:t>kW</w:t>
            </w:r>
            <w:r>
              <w:rPr>
                <w:rFonts w:hint="default" w:ascii="Times New Roman" w:hAnsi="Times New Roman" w:eastAsia="宋体" w:cs="Times New Roman"/>
                <w:color w:val="auto"/>
                <w:sz w:val="24"/>
                <w:szCs w:val="24"/>
                <w:highlight w:val="none"/>
                <w:lang w:val="en-US" w:eastAsia="zh-CN"/>
              </w:rPr>
              <w:t>。电站总装机由720千瓦增加至800</w:t>
            </w:r>
            <w:r>
              <w:rPr>
                <w:rFonts w:hint="eastAsia" w:cs="Times New Roman"/>
                <w:color w:val="auto"/>
                <w:sz w:val="24"/>
                <w:szCs w:val="24"/>
                <w:highlight w:val="none"/>
                <w:lang w:val="en-US" w:eastAsia="zh-CN"/>
              </w:rPr>
              <w:t xml:space="preserve">kW。额定电压：400/230V。 </w:t>
            </w:r>
          </w:p>
          <w:p w14:paraId="3D70AF5D">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（3）电气设备改造</w:t>
            </w:r>
          </w:p>
          <w:p w14:paraId="2F3706EA">
            <w:pPr>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主变压器由SJL1-1000/10型更换为S11-1000/10节能型变压器；维修改造</w:t>
            </w:r>
          </w:p>
          <w:p w14:paraId="3FA3BADF">
            <w:pPr>
              <w:spacing w:line="360" w:lineRule="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rPr>
              <w:t>出线高压开关柜和电压互感柜等电气设备。</w:t>
            </w:r>
          </w:p>
          <w:p w14:paraId="7260464C">
            <w:pPr>
              <w:pStyle w:val="54"/>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default" w:ascii="Times New Roman" w:hAnsi="Times New Roman" w:eastAsia="宋体" w:cs="Times New Roman"/>
                <w:b/>
                <w:color w:val="auto"/>
                <w:sz w:val="24"/>
                <w:szCs w:val="24"/>
                <w:highlight w:val="none"/>
              </w:rPr>
            </w:pPr>
          </w:p>
          <w:p w14:paraId="2C069364">
            <w:pPr>
              <w:pStyle w:val="54"/>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default" w:ascii="Times New Roman" w:hAnsi="Times New Roman" w:eastAsia="宋体" w:cs="Times New Roman"/>
                <w:b/>
                <w:color w:val="auto"/>
                <w:sz w:val="24"/>
                <w:szCs w:val="24"/>
                <w:highlight w:val="none"/>
              </w:rPr>
            </w:pPr>
          </w:p>
          <w:p w14:paraId="4ED256D7">
            <w:pPr>
              <w:pStyle w:val="54"/>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default" w:ascii="Times New Roman" w:hAnsi="Times New Roman" w:eastAsia="宋体" w:cs="Times New Roman"/>
                <w:b/>
                <w:color w:val="auto"/>
                <w:sz w:val="24"/>
                <w:szCs w:val="24"/>
                <w:highlight w:val="none"/>
              </w:rPr>
            </w:pPr>
          </w:p>
          <w:p w14:paraId="5CD6EE87">
            <w:pPr>
              <w:pStyle w:val="54"/>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default" w:ascii="Times New Roman" w:hAnsi="Times New Roman" w:eastAsia="宋体" w:cs="Times New Roman"/>
                <w:b/>
                <w:color w:val="auto"/>
                <w:sz w:val="24"/>
                <w:szCs w:val="24"/>
                <w:highlight w:val="none"/>
              </w:rPr>
            </w:pPr>
          </w:p>
          <w:p w14:paraId="668F96BE">
            <w:pPr>
              <w:rPr>
                <w:rFonts w:hint="default" w:ascii="Times New Roman" w:hAnsi="Times New Roman" w:eastAsia="宋体" w:cs="Times New Roman"/>
                <w:b/>
                <w:color w:val="auto"/>
                <w:sz w:val="24"/>
                <w:szCs w:val="24"/>
                <w:highlight w:val="none"/>
              </w:rPr>
            </w:pPr>
          </w:p>
          <w:p w14:paraId="627C5F4B">
            <w:pPr>
              <w:rPr>
                <w:rFonts w:hint="default" w:ascii="Times New Roman" w:hAnsi="Times New Roman" w:eastAsia="宋体" w:cs="Times New Roman"/>
                <w:b/>
                <w:color w:val="auto"/>
                <w:sz w:val="24"/>
                <w:szCs w:val="24"/>
                <w:highlight w:val="none"/>
              </w:rPr>
            </w:pPr>
          </w:p>
          <w:p w14:paraId="4B655568">
            <w:pPr>
              <w:rPr>
                <w:rFonts w:hint="default" w:ascii="Times New Roman" w:hAnsi="Times New Roman" w:eastAsia="宋体" w:cs="Times New Roman"/>
                <w:b/>
                <w:color w:val="auto"/>
                <w:sz w:val="24"/>
                <w:szCs w:val="24"/>
                <w:highlight w:val="none"/>
              </w:rPr>
            </w:pPr>
          </w:p>
          <w:p w14:paraId="15938181">
            <w:pPr>
              <w:rPr>
                <w:rFonts w:hint="default" w:ascii="Times New Roman" w:hAnsi="Times New Roman" w:eastAsia="宋体" w:cs="Times New Roman"/>
                <w:b/>
                <w:color w:val="auto"/>
                <w:sz w:val="24"/>
                <w:szCs w:val="24"/>
                <w:highlight w:val="none"/>
              </w:rPr>
            </w:pPr>
          </w:p>
          <w:p w14:paraId="2EABB64C">
            <w:pPr>
              <w:rPr>
                <w:rFonts w:hint="default" w:ascii="Times New Roman" w:hAnsi="Times New Roman" w:eastAsia="宋体" w:cs="Times New Roman"/>
                <w:b/>
                <w:color w:val="auto"/>
                <w:sz w:val="24"/>
                <w:szCs w:val="24"/>
                <w:highlight w:val="none"/>
              </w:rPr>
            </w:pPr>
          </w:p>
          <w:p w14:paraId="49C6FA39">
            <w:pPr>
              <w:rPr>
                <w:rFonts w:hint="default" w:ascii="Times New Roman" w:hAnsi="Times New Roman" w:eastAsia="宋体" w:cs="Times New Roman"/>
                <w:b/>
                <w:color w:val="auto"/>
                <w:sz w:val="24"/>
                <w:szCs w:val="24"/>
                <w:highlight w:val="none"/>
              </w:rPr>
            </w:pPr>
          </w:p>
          <w:p w14:paraId="5DFAD4C5">
            <w:pPr>
              <w:rPr>
                <w:rFonts w:hint="default" w:ascii="Times New Roman" w:hAnsi="Times New Roman" w:eastAsia="宋体" w:cs="Times New Roman"/>
                <w:b/>
                <w:color w:val="auto"/>
                <w:sz w:val="24"/>
                <w:szCs w:val="24"/>
                <w:highlight w:val="none"/>
              </w:rPr>
            </w:pPr>
          </w:p>
          <w:p w14:paraId="69EA74DA">
            <w:pPr>
              <w:rPr>
                <w:rFonts w:hint="default" w:ascii="Times New Roman" w:hAnsi="Times New Roman" w:eastAsia="宋体" w:cs="Times New Roman"/>
                <w:b/>
                <w:color w:val="auto"/>
                <w:sz w:val="24"/>
                <w:szCs w:val="24"/>
                <w:highlight w:val="none"/>
              </w:rPr>
            </w:pPr>
          </w:p>
          <w:p w14:paraId="457A7684">
            <w:pPr>
              <w:rPr>
                <w:rFonts w:hint="default" w:ascii="Times New Roman" w:hAnsi="Times New Roman" w:eastAsia="宋体" w:cs="Times New Roman"/>
                <w:b/>
                <w:color w:val="auto"/>
                <w:sz w:val="24"/>
                <w:szCs w:val="24"/>
                <w:highlight w:val="none"/>
              </w:rPr>
            </w:pPr>
          </w:p>
          <w:p w14:paraId="7A75FF53">
            <w:pPr>
              <w:rPr>
                <w:rFonts w:hint="default" w:ascii="Times New Roman" w:hAnsi="Times New Roman" w:eastAsia="宋体" w:cs="Times New Roman"/>
                <w:b/>
                <w:color w:val="auto"/>
                <w:sz w:val="24"/>
                <w:szCs w:val="24"/>
                <w:highlight w:val="none"/>
              </w:rPr>
            </w:pPr>
          </w:p>
          <w:p w14:paraId="5B0D8F79">
            <w:pPr>
              <w:rPr>
                <w:rFonts w:hint="default" w:ascii="Times New Roman" w:hAnsi="Times New Roman" w:eastAsia="宋体" w:cs="Times New Roman"/>
                <w:b/>
                <w:color w:val="auto"/>
                <w:sz w:val="24"/>
                <w:szCs w:val="24"/>
                <w:highlight w:val="none"/>
              </w:rPr>
            </w:pPr>
          </w:p>
          <w:p w14:paraId="68F3CF17">
            <w:pPr>
              <w:rPr>
                <w:rFonts w:hint="default" w:ascii="Times New Roman" w:hAnsi="Times New Roman" w:eastAsia="宋体" w:cs="Times New Roman"/>
                <w:b/>
                <w:color w:val="auto"/>
                <w:sz w:val="24"/>
                <w:szCs w:val="24"/>
                <w:highlight w:val="none"/>
              </w:rPr>
            </w:pPr>
          </w:p>
          <w:p w14:paraId="079B5301">
            <w:pPr>
              <w:rPr>
                <w:rFonts w:hint="default" w:ascii="Times New Roman" w:hAnsi="Times New Roman" w:eastAsia="宋体" w:cs="Times New Roman"/>
                <w:b/>
                <w:color w:val="auto"/>
                <w:sz w:val="24"/>
                <w:szCs w:val="24"/>
                <w:highlight w:val="none"/>
              </w:rPr>
            </w:pPr>
          </w:p>
          <w:p w14:paraId="5058070B">
            <w:pPr>
              <w:rPr>
                <w:rFonts w:hint="default" w:ascii="Times New Roman" w:hAnsi="Times New Roman" w:eastAsia="宋体" w:cs="Times New Roman"/>
                <w:b/>
                <w:color w:val="auto"/>
                <w:sz w:val="24"/>
                <w:szCs w:val="24"/>
                <w:highlight w:val="none"/>
              </w:rPr>
            </w:pPr>
          </w:p>
          <w:p w14:paraId="39DD5713">
            <w:pPr>
              <w:pStyle w:val="54"/>
              <w:keepNext w:val="0"/>
              <w:keepLines w:val="0"/>
              <w:pageBreakBefore w:val="0"/>
              <w:widowControl w:val="0"/>
              <w:kinsoku/>
              <w:wordWrap/>
              <w:overflowPunct/>
              <w:topLinePunct w:val="0"/>
              <w:autoSpaceDE/>
              <w:autoSpaceDN/>
              <w:bidi w:val="0"/>
              <w:adjustRightInd w:val="0"/>
              <w:snapToGrid w:val="0"/>
              <w:spacing w:before="157" w:beforeLines="50"/>
              <w:ind w:left="0" w:leftChars="0" w:firstLine="0" w:firstLineChars="0"/>
              <w:jc w:val="center"/>
              <w:textAlignment w:val="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表</w:t>
            </w:r>
            <w:r>
              <w:rPr>
                <w:rFonts w:hint="default" w:ascii="Times New Roman" w:hAnsi="Times New Roman" w:eastAsia="宋体" w:cs="Times New Roman"/>
                <w:b/>
                <w:color w:val="auto"/>
                <w:sz w:val="24"/>
                <w:szCs w:val="24"/>
                <w:highlight w:val="none"/>
                <w:lang w:val="en-US" w:eastAsia="zh-CN"/>
              </w:rPr>
              <w:t>2</w:t>
            </w:r>
            <w:r>
              <w:rPr>
                <w:rFonts w:hint="default" w:ascii="Times New Roman" w:hAnsi="Times New Roman" w:eastAsia="宋体" w:cs="Times New Roman"/>
                <w:b/>
                <w:color w:val="auto"/>
                <w:sz w:val="24"/>
                <w:szCs w:val="24"/>
                <w:highlight w:val="none"/>
              </w:rPr>
              <w:t xml:space="preserve">-1  </w:t>
            </w:r>
            <w:r>
              <w:rPr>
                <w:rFonts w:hint="default" w:ascii="Times New Roman" w:hAnsi="Times New Roman" w:eastAsia="宋体" w:cs="Times New Roman"/>
                <w:b/>
                <w:color w:val="auto"/>
                <w:sz w:val="24"/>
                <w:szCs w:val="24"/>
                <w:highlight w:val="none"/>
                <w:lang w:val="en-US" w:eastAsia="zh-CN"/>
              </w:rPr>
              <w:t>工程组成</w:t>
            </w:r>
            <w:r>
              <w:rPr>
                <w:rFonts w:hint="default" w:ascii="Times New Roman" w:hAnsi="Times New Roman" w:eastAsia="宋体" w:cs="Times New Roman"/>
                <w:b/>
                <w:color w:val="auto"/>
                <w:sz w:val="24"/>
                <w:szCs w:val="24"/>
                <w:highlight w:val="none"/>
              </w:rPr>
              <w:t>一览表</w:t>
            </w:r>
          </w:p>
          <w:tbl>
            <w:tblPr>
              <w:tblStyle w:val="24"/>
              <w:tblW w:w="4966"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91"/>
              <w:gridCol w:w="1063"/>
              <w:gridCol w:w="5502"/>
              <w:gridCol w:w="920"/>
              <w:gridCol w:w="2"/>
              <w:gridCol w:w="6"/>
            </w:tblGrid>
            <w:tr w14:paraId="06F80EB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2"/>
                <w:wAfter w:w="4" w:type="pct"/>
                <w:trHeight w:val="641" w:hRule="exact"/>
                <w:tblHeader/>
                <w:jc w:val="center"/>
              </w:trPr>
              <w:tc>
                <w:tcPr>
                  <w:tcW w:w="366" w:type="pct"/>
                  <w:tcBorders>
                    <w:left w:val="single" w:color="auto" w:sz="0" w:space="0"/>
                    <w:tl2br w:val="nil"/>
                    <w:tr2bl w:val="nil"/>
                  </w:tcBorders>
                  <w:vAlign w:val="center"/>
                </w:tcPr>
                <w:p w14:paraId="630B1033">
                  <w:pPr>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分类</w:t>
                  </w:r>
                </w:p>
              </w:tc>
              <w:tc>
                <w:tcPr>
                  <w:tcW w:w="657" w:type="pct"/>
                  <w:tcBorders>
                    <w:tl2br w:val="nil"/>
                    <w:tr2bl w:val="nil"/>
                  </w:tcBorders>
                  <w:vAlign w:val="center"/>
                </w:tcPr>
                <w:p w14:paraId="72045547">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工程名称</w:t>
                  </w:r>
                </w:p>
              </w:tc>
              <w:tc>
                <w:tcPr>
                  <w:tcW w:w="3402" w:type="pct"/>
                  <w:tcBorders>
                    <w:tl2br w:val="nil"/>
                    <w:tr2bl w:val="nil"/>
                  </w:tcBorders>
                  <w:vAlign w:val="center"/>
                </w:tcPr>
                <w:p w14:paraId="0CFC7D80">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主要建设内容及规模</w:t>
                  </w:r>
                </w:p>
              </w:tc>
              <w:tc>
                <w:tcPr>
                  <w:tcW w:w="569" w:type="pct"/>
                  <w:tcBorders>
                    <w:right w:val="single" w:color="auto" w:sz="4" w:space="0"/>
                    <w:tl2br w:val="nil"/>
                    <w:tr2bl w:val="nil"/>
                  </w:tcBorders>
                  <w:vAlign w:val="center"/>
                </w:tcPr>
                <w:p w14:paraId="67722222">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备注</w:t>
                  </w:r>
                </w:p>
              </w:tc>
            </w:tr>
            <w:tr w14:paraId="35F7D4E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2"/>
                <w:wAfter w:w="4" w:type="pct"/>
                <w:trHeight w:val="783" w:hRule="atLeast"/>
                <w:tblHeader/>
                <w:jc w:val="center"/>
              </w:trPr>
              <w:tc>
                <w:tcPr>
                  <w:tcW w:w="366" w:type="pct"/>
                  <w:vMerge w:val="restart"/>
                  <w:tcBorders>
                    <w:left w:val="single" w:color="auto" w:sz="4" w:space="0"/>
                    <w:tl2br w:val="nil"/>
                    <w:tr2bl w:val="nil"/>
                  </w:tcBorders>
                  <w:vAlign w:val="center"/>
                </w:tcPr>
                <w:p w14:paraId="10FAB4ED">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主体工程</w:t>
                  </w:r>
                </w:p>
              </w:tc>
              <w:tc>
                <w:tcPr>
                  <w:tcW w:w="657" w:type="pct"/>
                  <w:tcBorders>
                    <w:tl2br w:val="nil"/>
                    <w:tr2bl w:val="nil"/>
                  </w:tcBorders>
                  <w:vAlign w:val="center"/>
                </w:tcPr>
                <w:p w14:paraId="7DA0F002">
                  <w:pPr>
                    <w:jc w:val="left"/>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水工建筑物</w:t>
                  </w:r>
                </w:p>
                <w:p w14:paraId="1EB8B835">
                  <w:pPr>
                    <w:jc w:val="left"/>
                    <w:rPr>
                      <w:rFonts w:hint="default" w:ascii="Times New Roman" w:hAnsi="Times New Roman" w:eastAsia="宋体" w:cs="Times New Roman"/>
                      <w:color w:val="auto"/>
                      <w:sz w:val="21"/>
                      <w:szCs w:val="21"/>
                      <w:lang w:val="en-US" w:eastAsia="zh-CN"/>
                    </w:rPr>
                  </w:pPr>
                </w:p>
              </w:tc>
              <w:tc>
                <w:tcPr>
                  <w:tcW w:w="3402" w:type="pct"/>
                  <w:tcBorders>
                    <w:tl2br w:val="nil"/>
                    <w:tr2bl w:val="nil"/>
                  </w:tcBorders>
                  <w:vAlign w:val="center"/>
                </w:tcPr>
                <w:p w14:paraId="152047B8">
                  <w:pPr>
                    <w:jc w:val="left"/>
                    <w:rPr>
                      <w:rFonts w:hint="eastAsia"/>
                      <w:color w:val="auto"/>
                      <w:szCs w:val="21"/>
                    </w:rPr>
                  </w:pPr>
                  <w:r>
                    <w:rPr>
                      <w:rFonts w:hint="eastAsia" w:ascii="Times New Roman" w:hAnsi="Times New Roman" w:eastAsia="宋体" w:cs="Times New Roman"/>
                      <w:color w:val="auto"/>
                      <w:sz w:val="21"/>
                      <w:szCs w:val="21"/>
                      <w:lang w:val="en-US" w:eastAsia="zh-CN"/>
                    </w:rPr>
                    <w:t>拦河坝、泄水建筑物、发电引水隧洞、厂房等。</w:t>
                  </w:r>
                  <w:r>
                    <w:rPr>
                      <w:rFonts w:hint="eastAsia"/>
                      <w:color w:val="auto"/>
                      <w:szCs w:val="21"/>
                    </w:rPr>
                    <w:t>拦河坝坝型为均质土坝，最大坝高15.2m，溢洪道位于土坝左坝肩，由进口段、控制段、消力池及海漫组成。</w:t>
                  </w:r>
                </w:p>
                <w:p w14:paraId="211AB98B">
                  <w:pPr>
                    <w:jc w:val="left"/>
                    <w:rPr>
                      <w:rFonts w:hint="eastAsia"/>
                      <w:color w:val="auto"/>
                      <w:szCs w:val="21"/>
                      <w:lang w:eastAsia="zh-CN"/>
                    </w:rPr>
                  </w:pPr>
                  <w:r>
                    <w:rPr>
                      <w:rFonts w:hint="eastAsia"/>
                      <w:color w:val="auto"/>
                      <w:szCs w:val="21"/>
                    </w:rPr>
                    <w:t>输水涵洞位于拦河坝桩号0+258m处，为坝内涵洞式，进口处布设一塔式进水口</w:t>
                  </w:r>
                  <w:r>
                    <w:rPr>
                      <w:rFonts w:hint="eastAsia"/>
                      <w:color w:val="auto"/>
                      <w:szCs w:val="21"/>
                      <w:lang w:eastAsia="zh-CN"/>
                    </w:rPr>
                    <w:t>。</w:t>
                  </w:r>
                </w:p>
                <w:p w14:paraId="11A23468">
                  <w:pPr>
                    <w:jc w:val="left"/>
                    <w:rPr>
                      <w:rFonts w:hint="eastAsia"/>
                      <w:color w:val="auto"/>
                      <w:szCs w:val="21"/>
                      <w:lang w:val="en-US" w:eastAsia="zh-CN"/>
                    </w:rPr>
                  </w:pPr>
                  <w:r>
                    <w:rPr>
                      <w:rFonts w:hint="eastAsia"/>
                      <w:color w:val="auto"/>
                      <w:szCs w:val="21"/>
                    </w:rPr>
                    <w:t>电站位于拦河坝桩号0+258处，利用</w:t>
                  </w:r>
                  <w:r>
                    <w:rPr>
                      <w:rFonts w:hint="eastAsia"/>
                      <w:color w:val="auto"/>
                      <w:szCs w:val="21"/>
                      <w:lang w:val="en-US" w:eastAsia="zh-CN"/>
                    </w:rPr>
                    <w:t>坝下</w:t>
                  </w:r>
                  <w:r>
                    <w:rPr>
                      <w:rFonts w:hint="eastAsia"/>
                      <w:color w:val="auto"/>
                      <w:szCs w:val="21"/>
                    </w:rPr>
                    <w:t>的输水涵洞埋管取水，主要利用灌溉期水量发电。</w:t>
                  </w:r>
                </w:p>
              </w:tc>
              <w:tc>
                <w:tcPr>
                  <w:tcW w:w="569" w:type="pct"/>
                  <w:tcBorders>
                    <w:right w:val="single" w:color="auto" w:sz="4" w:space="0"/>
                    <w:tl2br w:val="nil"/>
                    <w:tr2bl w:val="nil"/>
                  </w:tcBorders>
                  <w:vAlign w:val="center"/>
                </w:tcPr>
                <w:p w14:paraId="6C8078CA">
                  <w:pPr>
                    <w:keepNext w:val="0"/>
                    <w:keepLines w:val="0"/>
                    <w:pageBreakBefore w:val="0"/>
                    <w:widowControl w:val="0"/>
                    <w:kinsoku/>
                    <w:wordWrap w:val="0"/>
                    <w:overflowPunct/>
                    <w:topLinePunct w:val="0"/>
                    <w:autoSpaceDE/>
                    <w:autoSpaceDN/>
                    <w:bidi w:val="0"/>
                    <w:adjustRightInd/>
                    <w:snapToGrid/>
                    <w:jc w:val="left"/>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利用原有</w:t>
                  </w:r>
                </w:p>
              </w:tc>
            </w:tr>
            <w:tr w14:paraId="0BE7CBF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2"/>
                <w:wAfter w:w="4" w:type="pct"/>
                <w:trHeight w:val="1039" w:hRule="atLeast"/>
                <w:tblHeader/>
                <w:jc w:val="center"/>
              </w:trPr>
              <w:tc>
                <w:tcPr>
                  <w:tcW w:w="366" w:type="pct"/>
                  <w:vMerge w:val="continue"/>
                  <w:tcBorders>
                    <w:left w:val="single" w:color="auto" w:sz="4" w:space="0"/>
                    <w:tl2br w:val="nil"/>
                    <w:tr2bl w:val="nil"/>
                  </w:tcBorders>
                  <w:vAlign w:val="center"/>
                </w:tcPr>
                <w:p w14:paraId="18FD7141">
                  <w:pPr>
                    <w:jc w:val="center"/>
                    <w:rPr>
                      <w:rFonts w:hint="default" w:ascii="Times New Roman" w:hAnsi="Times New Roman" w:cs="Times New Roman"/>
                      <w:color w:val="auto"/>
                      <w:sz w:val="21"/>
                      <w:szCs w:val="21"/>
                    </w:rPr>
                  </w:pPr>
                </w:p>
              </w:tc>
              <w:tc>
                <w:tcPr>
                  <w:tcW w:w="657" w:type="pct"/>
                  <w:tcBorders>
                    <w:tl2br w:val="nil"/>
                    <w:tr2bl w:val="nil"/>
                  </w:tcBorders>
                  <w:vAlign w:val="center"/>
                </w:tcPr>
                <w:p w14:paraId="22DD9463">
                  <w:pPr>
                    <w:jc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lang w:val="en-US" w:eastAsia="zh-CN"/>
                    </w:rPr>
                    <w:t>机</w:t>
                  </w:r>
                  <w:r>
                    <w:rPr>
                      <w:rFonts w:hint="eastAsia" w:cs="Times New Roman"/>
                      <w:color w:val="auto"/>
                      <w:sz w:val="21"/>
                      <w:szCs w:val="21"/>
                      <w:lang w:val="en-US" w:eastAsia="zh-CN"/>
                    </w:rPr>
                    <w:t>电</w:t>
                  </w:r>
                  <w:r>
                    <w:rPr>
                      <w:rFonts w:hint="default" w:ascii="Times New Roman" w:hAnsi="Times New Roman" w:eastAsia="宋体" w:cs="Times New Roman"/>
                      <w:color w:val="auto"/>
                      <w:sz w:val="21"/>
                      <w:szCs w:val="21"/>
                      <w:lang w:val="en-US" w:eastAsia="zh-CN"/>
                    </w:rPr>
                    <w:t>设备</w:t>
                  </w:r>
                </w:p>
              </w:tc>
              <w:tc>
                <w:tcPr>
                  <w:tcW w:w="3402" w:type="pct"/>
                  <w:tcBorders>
                    <w:tl2br w:val="nil"/>
                    <w:tr2bl w:val="nil"/>
                  </w:tcBorders>
                  <w:vAlign w:val="center"/>
                </w:tcPr>
                <w:p w14:paraId="414A523D">
                  <w:pPr>
                    <w:jc w:val="left"/>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电站总装机720kW，共有3台发电机组，设计年发电量56.6×104kW•h。</w:t>
                  </w:r>
                </w:p>
                <w:p w14:paraId="57733FED">
                  <w:pPr>
                    <w:jc w:val="left"/>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电站安装2台水轮发电机组，水轮机型号为ZD661-LH-80、ZD661-LH-100，通过电站增效扩容后，设计多年平均年发电量为101.62万kW·h，</w:t>
                  </w:r>
                  <w:r>
                    <w:rPr>
                      <w:rFonts w:hint="default" w:ascii="Times New Roman" w:hAnsi="Times New Roman" w:eastAsia="宋体" w:cs="Times New Roman"/>
                      <w:color w:val="auto"/>
                      <w:sz w:val="21"/>
                      <w:szCs w:val="21"/>
                      <w:lang w:val="en-US" w:eastAsia="zh-CN"/>
                    </w:rPr>
                    <w:t>年增加发电量</w:t>
                  </w:r>
                  <w:r>
                    <w:rPr>
                      <w:rFonts w:hint="eastAsia" w:ascii="Times New Roman" w:hAnsi="Times New Roman" w:eastAsia="宋体" w:cs="Times New Roman"/>
                      <w:color w:val="auto"/>
                      <w:sz w:val="21"/>
                      <w:szCs w:val="21"/>
                      <w:lang w:val="en-US" w:eastAsia="zh-CN"/>
                    </w:rPr>
                    <w:t>45.02</w:t>
                  </w:r>
                  <w:r>
                    <w:rPr>
                      <w:rFonts w:hint="default" w:ascii="Times New Roman" w:hAnsi="Times New Roman" w:eastAsia="宋体" w:cs="Times New Roman"/>
                      <w:color w:val="auto"/>
                      <w:sz w:val="21"/>
                      <w:szCs w:val="21"/>
                      <w:lang w:val="en-US" w:eastAsia="zh-CN"/>
                    </w:rPr>
                    <w:t>千瓦时</w:t>
                  </w:r>
                  <w:r>
                    <w:rPr>
                      <w:rFonts w:hint="eastAsia" w:ascii="Times New Roman" w:hAnsi="Times New Roman" w:eastAsia="宋体" w:cs="Times New Roman"/>
                      <w:color w:val="auto"/>
                      <w:sz w:val="21"/>
                      <w:szCs w:val="21"/>
                      <w:lang w:val="en-US" w:eastAsia="zh-CN"/>
                    </w:rPr>
                    <w:t>。</w:t>
                  </w:r>
                </w:p>
                <w:p w14:paraId="3C46EAB2">
                  <w:pPr>
                    <w:jc w:val="left"/>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lang w:val="en-US" w:eastAsia="zh-CN"/>
                    </w:rPr>
                    <w:t>主变压器由SJL1-1000/10型更换</w:t>
                  </w:r>
                  <w:r>
                    <w:rPr>
                      <w:rFonts w:hint="eastAsia" w:cs="Times New Roman"/>
                      <w:color w:val="auto"/>
                      <w:sz w:val="21"/>
                      <w:szCs w:val="21"/>
                      <w:lang w:val="en-US" w:eastAsia="zh-CN"/>
                    </w:rPr>
                    <w:t>为</w:t>
                  </w:r>
                  <w:r>
                    <w:rPr>
                      <w:rFonts w:hint="default" w:ascii="Times New Roman" w:hAnsi="Times New Roman" w:eastAsia="宋体" w:cs="Times New Roman"/>
                      <w:color w:val="auto"/>
                      <w:sz w:val="21"/>
                      <w:szCs w:val="21"/>
                      <w:lang w:val="en-US" w:eastAsia="zh-CN"/>
                    </w:rPr>
                    <w:t>S11-1000/10节能型变压器；维修改造出线高压开关柜和电压互感柜等电气设备。</w:t>
                  </w:r>
                </w:p>
              </w:tc>
              <w:tc>
                <w:tcPr>
                  <w:tcW w:w="569" w:type="pct"/>
                  <w:tcBorders>
                    <w:right w:val="single" w:color="auto" w:sz="4" w:space="0"/>
                    <w:tl2br w:val="nil"/>
                    <w:tr2bl w:val="nil"/>
                  </w:tcBorders>
                  <w:vAlign w:val="center"/>
                </w:tcPr>
                <w:p w14:paraId="27CBDA42">
                  <w:pPr>
                    <w:keepNext w:val="0"/>
                    <w:keepLines w:val="0"/>
                    <w:pageBreakBefore w:val="0"/>
                    <w:widowControl w:val="0"/>
                    <w:kinsoku/>
                    <w:wordWrap w:val="0"/>
                    <w:overflowPunct/>
                    <w:topLinePunct w:val="0"/>
                    <w:autoSpaceDE/>
                    <w:autoSpaceDN/>
                    <w:bidi w:val="0"/>
                    <w:adjustRightInd/>
                    <w:snapToGrid/>
                    <w:jc w:val="left"/>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改造，装机容量</w:t>
                  </w:r>
                  <w:r>
                    <w:rPr>
                      <w:rFonts w:hint="eastAsia" w:cs="Times New Roman"/>
                      <w:color w:val="auto"/>
                      <w:sz w:val="21"/>
                      <w:szCs w:val="21"/>
                      <w:highlight w:val="none"/>
                      <w:lang w:val="en-US" w:eastAsia="zh-CN"/>
                    </w:rPr>
                    <w:t>变为800kW</w:t>
                  </w:r>
                </w:p>
              </w:tc>
            </w:tr>
            <w:tr w14:paraId="3AE7D7D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2"/>
                <w:wAfter w:w="4" w:type="pct"/>
                <w:trHeight w:val="90" w:hRule="atLeast"/>
                <w:tblHeader/>
                <w:jc w:val="center"/>
              </w:trPr>
              <w:tc>
                <w:tcPr>
                  <w:tcW w:w="366" w:type="pct"/>
                  <w:vMerge w:val="continue"/>
                  <w:tcBorders>
                    <w:left w:val="single" w:color="auto" w:sz="4" w:space="0"/>
                    <w:tl2br w:val="nil"/>
                    <w:tr2bl w:val="nil"/>
                  </w:tcBorders>
                  <w:vAlign w:val="center"/>
                </w:tcPr>
                <w:p w14:paraId="5D5B4422">
                  <w:pPr>
                    <w:jc w:val="center"/>
                    <w:rPr>
                      <w:rFonts w:hint="default" w:ascii="Times New Roman" w:hAnsi="Times New Roman" w:cs="Times New Roman"/>
                      <w:color w:val="auto"/>
                      <w:sz w:val="21"/>
                      <w:szCs w:val="21"/>
                    </w:rPr>
                  </w:pPr>
                </w:p>
              </w:tc>
              <w:tc>
                <w:tcPr>
                  <w:tcW w:w="657" w:type="pct"/>
                  <w:tcBorders>
                    <w:tl2br w:val="nil"/>
                    <w:tr2bl w:val="nil"/>
                  </w:tcBorders>
                  <w:vAlign w:val="center"/>
                </w:tcPr>
                <w:p w14:paraId="60DB2805">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储油工程</w:t>
                  </w:r>
                </w:p>
              </w:tc>
              <w:tc>
                <w:tcPr>
                  <w:tcW w:w="3402" w:type="pct"/>
                  <w:tcBorders>
                    <w:tl2br w:val="nil"/>
                    <w:tr2bl w:val="nil"/>
                  </w:tcBorders>
                  <w:vAlign w:val="center"/>
                </w:tcPr>
                <w:p w14:paraId="505C2526">
                  <w:pPr>
                    <w:keepNext w:val="0"/>
                    <w:keepLines w:val="0"/>
                    <w:pageBreakBefore w:val="0"/>
                    <w:widowControl w:val="0"/>
                    <w:kinsoku/>
                    <w:wordWrap w:val="0"/>
                    <w:overflowPunct/>
                    <w:topLinePunct w:val="0"/>
                    <w:autoSpaceDE/>
                    <w:autoSpaceDN/>
                    <w:bidi w:val="0"/>
                    <w:adjustRightInd/>
                    <w:snapToGrid/>
                    <w:jc w:val="left"/>
                    <w:textAlignment w:val="auto"/>
                    <w:rPr>
                      <w:rFonts w:hint="default"/>
                      <w:color w:val="auto"/>
                      <w:sz w:val="21"/>
                      <w:szCs w:val="21"/>
                      <w:lang w:val="en-US"/>
                    </w:rPr>
                  </w:pPr>
                  <w:r>
                    <w:rPr>
                      <w:rFonts w:hint="eastAsia"/>
                      <w:color w:val="auto"/>
                      <w:vertAlign w:val="baseline"/>
                      <w:lang w:val="en-US" w:eastAsia="zh-CN"/>
                    </w:rPr>
                    <w:t>本项目发电机为轴承式非瓦式，不需要储油工程，每年用油量仅0.5-1kg。</w:t>
                  </w:r>
                </w:p>
              </w:tc>
              <w:tc>
                <w:tcPr>
                  <w:tcW w:w="569" w:type="pct"/>
                  <w:tcBorders>
                    <w:right w:val="single" w:color="auto" w:sz="4" w:space="0"/>
                    <w:tl2br w:val="nil"/>
                    <w:tr2bl w:val="nil"/>
                  </w:tcBorders>
                  <w:vAlign w:val="center"/>
                </w:tcPr>
                <w:p w14:paraId="553F2CF6">
                  <w:pPr>
                    <w:keepNext w:val="0"/>
                    <w:keepLines w:val="0"/>
                    <w:pageBreakBefore w:val="0"/>
                    <w:widowControl w:val="0"/>
                    <w:kinsoku/>
                    <w:wordWrap w:val="0"/>
                    <w:overflowPunct/>
                    <w:topLinePunct w:val="0"/>
                    <w:autoSpaceDE/>
                    <w:autoSpaceDN/>
                    <w:bidi w:val="0"/>
                    <w:adjustRightInd/>
                    <w:snapToGrid/>
                    <w:jc w:val="left"/>
                    <w:textAlignment w:val="auto"/>
                    <w:rPr>
                      <w:rFonts w:hint="default" w:ascii="Times New Roman" w:hAnsi="Times New Roman" w:cs="Times New Roman"/>
                      <w:color w:val="auto"/>
                      <w:sz w:val="21"/>
                      <w:szCs w:val="21"/>
                      <w:highlight w:val="none"/>
                      <w:lang w:val="en-US" w:eastAsia="zh-CN"/>
                    </w:rPr>
                  </w:pPr>
                </w:p>
              </w:tc>
            </w:tr>
            <w:tr w14:paraId="719742F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2"/>
                <w:wAfter w:w="4" w:type="pct"/>
                <w:trHeight w:val="1097" w:hRule="exact"/>
                <w:tblHeader/>
                <w:jc w:val="center"/>
              </w:trPr>
              <w:tc>
                <w:tcPr>
                  <w:tcW w:w="366" w:type="pct"/>
                  <w:tcBorders>
                    <w:left w:val="single" w:color="auto" w:sz="4" w:space="0"/>
                    <w:tl2br w:val="nil"/>
                    <w:tr2bl w:val="nil"/>
                  </w:tcBorders>
                  <w:vAlign w:val="center"/>
                </w:tcPr>
                <w:p w14:paraId="06B36FAC">
                  <w:pPr>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辅助工程</w:t>
                  </w:r>
                </w:p>
              </w:tc>
              <w:tc>
                <w:tcPr>
                  <w:tcW w:w="657" w:type="pct"/>
                  <w:tcBorders>
                    <w:tl2br w:val="nil"/>
                    <w:tr2bl w:val="nil"/>
                  </w:tcBorders>
                  <w:vAlign w:val="center"/>
                </w:tcPr>
                <w:p w14:paraId="368D3F58">
                  <w:pPr>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施工布置</w:t>
                  </w:r>
                </w:p>
              </w:tc>
              <w:tc>
                <w:tcPr>
                  <w:tcW w:w="3402" w:type="pct"/>
                  <w:tcBorders>
                    <w:tl2br w:val="nil"/>
                    <w:tr2bl w:val="nil"/>
                  </w:tcBorders>
                  <w:vAlign w:val="center"/>
                </w:tcPr>
                <w:p w14:paraId="51B072CF">
                  <w:pPr>
                    <w:keepNext w:val="0"/>
                    <w:keepLines w:val="0"/>
                    <w:pageBreakBefore w:val="0"/>
                    <w:widowControl w:val="0"/>
                    <w:kinsoku/>
                    <w:wordWrap w:val="0"/>
                    <w:overflowPunct/>
                    <w:topLinePunct w:val="0"/>
                    <w:autoSpaceDE/>
                    <w:autoSpaceDN/>
                    <w:bidi w:val="0"/>
                    <w:adjustRightInd/>
                    <w:snapToGrid/>
                    <w:jc w:val="left"/>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本工程设置生产生活区，施工人员办公及生活区临时租用水电厂管理站。</w:t>
                  </w:r>
                </w:p>
                <w:p w14:paraId="358A506F">
                  <w:pPr>
                    <w:keepNext w:val="0"/>
                    <w:keepLines w:val="0"/>
                    <w:pageBreakBefore w:val="0"/>
                    <w:widowControl w:val="0"/>
                    <w:kinsoku/>
                    <w:wordWrap w:val="0"/>
                    <w:overflowPunct/>
                    <w:topLinePunct w:val="0"/>
                    <w:autoSpaceDE/>
                    <w:autoSpaceDN/>
                    <w:bidi w:val="0"/>
                    <w:adjustRightInd/>
                    <w:snapToGrid/>
                    <w:jc w:val="left"/>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生产区设置一套混凝土拌合系统。</w:t>
                  </w:r>
                  <w:r>
                    <w:rPr>
                      <w:rFonts w:hint="default" w:ascii="Times New Roman" w:hAnsi="Times New Roman" w:eastAsia="宋体" w:cs="Times New Roman"/>
                      <w:color w:val="auto"/>
                      <w:sz w:val="21"/>
                      <w:szCs w:val="21"/>
                      <w:highlight w:val="none"/>
                      <w:lang w:val="en-US" w:eastAsia="zh-CN"/>
                    </w:rPr>
                    <w:t>工程不设取土场、弃土场，施工运输及进场道路利用现有道路。</w:t>
                  </w:r>
                </w:p>
              </w:tc>
              <w:tc>
                <w:tcPr>
                  <w:tcW w:w="569" w:type="pct"/>
                  <w:tcBorders>
                    <w:right w:val="single" w:color="auto" w:sz="4" w:space="0"/>
                    <w:tl2br w:val="nil"/>
                    <w:tr2bl w:val="nil"/>
                  </w:tcBorders>
                  <w:vAlign w:val="center"/>
                </w:tcPr>
                <w:p w14:paraId="04A66D43">
                  <w:pPr>
                    <w:jc w:val="left"/>
                    <w:rPr>
                      <w:rFonts w:hint="default" w:ascii="Times New Roman" w:hAnsi="Times New Roman" w:eastAsia="宋体" w:cs="Times New Roman"/>
                      <w:color w:val="auto"/>
                      <w:sz w:val="21"/>
                      <w:szCs w:val="21"/>
                      <w:highlight w:val="none"/>
                      <w:lang w:val="en-US" w:eastAsia="zh-CN"/>
                    </w:rPr>
                  </w:pPr>
                </w:p>
              </w:tc>
            </w:tr>
            <w:tr w14:paraId="2A0271B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2"/>
                <w:wAfter w:w="4" w:type="pct"/>
                <w:trHeight w:val="818" w:hRule="exact"/>
                <w:tblHeader/>
                <w:jc w:val="center"/>
              </w:trPr>
              <w:tc>
                <w:tcPr>
                  <w:tcW w:w="366" w:type="pct"/>
                  <w:vMerge w:val="restart"/>
                  <w:tcBorders>
                    <w:left w:val="single" w:color="auto" w:sz="4" w:space="0"/>
                    <w:tl2br w:val="nil"/>
                    <w:tr2bl w:val="nil"/>
                  </w:tcBorders>
                  <w:vAlign w:val="center"/>
                </w:tcPr>
                <w:p w14:paraId="0250345F">
                  <w:pPr>
                    <w:spacing w:line="240" w:lineRule="exact"/>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kern w:val="0"/>
                      <w:sz w:val="21"/>
                      <w:szCs w:val="21"/>
                      <w:highlight w:val="none"/>
                      <w:lang w:val="en-US" w:eastAsia="zh-CN" w:bidi="ar"/>
                    </w:rPr>
                    <w:t>公用工程</w:t>
                  </w:r>
                </w:p>
              </w:tc>
              <w:tc>
                <w:tcPr>
                  <w:tcW w:w="657" w:type="pct"/>
                  <w:tcBorders>
                    <w:tl2br w:val="nil"/>
                    <w:tr2bl w:val="nil"/>
                  </w:tcBorders>
                  <w:vAlign w:val="center"/>
                </w:tcPr>
                <w:p w14:paraId="5EF45CA6">
                  <w:pPr>
                    <w:jc w:val="center"/>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highlight w:val="none"/>
                      <w:lang w:val="en-US" w:eastAsia="zh-CN"/>
                    </w:rPr>
                    <w:t>建筑材料、水电</w:t>
                  </w:r>
                </w:p>
              </w:tc>
              <w:tc>
                <w:tcPr>
                  <w:tcW w:w="3402" w:type="pct"/>
                  <w:tcBorders>
                    <w:tl2br w:val="nil"/>
                    <w:tr2bl w:val="nil"/>
                  </w:tcBorders>
                  <w:vAlign w:val="center"/>
                </w:tcPr>
                <w:p w14:paraId="0AFB365F">
                  <w:pPr>
                    <w:keepNext w:val="0"/>
                    <w:keepLines w:val="0"/>
                    <w:pageBreakBefore w:val="0"/>
                    <w:widowControl w:val="0"/>
                    <w:kinsoku/>
                    <w:wordWrap w:val="0"/>
                    <w:overflowPunct/>
                    <w:topLinePunct w:val="0"/>
                    <w:autoSpaceDE/>
                    <w:autoSpaceDN/>
                    <w:bidi w:val="0"/>
                    <w:adjustRightInd/>
                    <w:snapToGrid/>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水泥、钢材、汽柴油</w:t>
                  </w:r>
                  <w:r>
                    <w:rPr>
                      <w:rFonts w:hint="default" w:ascii="Times New Roman" w:hAnsi="Times New Roman" w:cs="Times New Roman"/>
                      <w:color w:val="auto"/>
                      <w:sz w:val="21"/>
                      <w:szCs w:val="21"/>
                      <w:highlight w:val="none"/>
                      <w:lang w:val="en-US" w:eastAsia="zh-CN"/>
                    </w:rPr>
                    <w:t>、商砼</w:t>
                  </w:r>
                  <w:r>
                    <w:rPr>
                      <w:rFonts w:hint="default" w:ascii="Times New Roman" w:hAnsi="Times New Roman" w:eastAsia="宋体" w:cs="Times New Roman"/>
                      <w:color w:val="auto"/>
                      <w:sz w:val="21"/>
                      <w:szCs w:val="21"/>
                      <w:highlight w:val="none"/>
                      <w:lang w:val="en-US" w:eastAsia="zh-CN"/>
                    </w:rPr>
                    <w:t>由</w:t>
                  </w:r>
                  <w:r>
                    <w:rPr>
                      <w:rFonts w:hint="eastAsia" w:cs="Times New Roman"/>
                      <w:color w:val="auto"/>
                      <w:sz w:val="21"/>
                      <w:szCs w:val="21"/>
                      <w:highlight w:val="none"/>
                      <w:lang w:val="en-US" w:eastAsia="zh-CN"/>
                    </w:rPr>
                    <w:t>密山市</w:t>
                  </w:r>
                  <w:r>
                    <w:rPr>
                      <w:rFonts w:hint="default" w:ascii="Times New Roman" w:hAnsi="Times New Roman" w:eastAsia="宋体" w:cs="Times New Roman"/>
                      <w:color w:val="auto"/>
                      <w:sz w:val="21"/>
                      <w:szCs w:val="21"/>
                      <w:highlight w:val="none"/>
                      <w:lang w:val="en-US" w:eastAsia="zh-CN"/>
                    </w:rPr>
                    <w:t>城购买，施工用电采用自发电，施工用水取自</w:t>
                  </w:r>
                  <w:r>
                    <w:rPr>
                      <w:rFonts w:hint="eastAsia" w:cs="Times New Roman"/>
                      <w:color w:val="auto"/>
                      <w:sz w:val="21"/>
                      <w:szCs w:val="21"/>
                      <w:highlight w:val="none"/>
                      <w:lang w:val="en-US" w:eastAsia="zh-CN"/>
                    </w:rPr>
                    <w:t>河道</w:t>
                  </w:r>
                  <w:r>
                    <w:rPr>
                      <w:rFonts w:hint="default" w:ascii="Times New Roman" w:hAnsi="Times New Roman" w:eastAsia="宋体" w:cs="Times New Roman"/>
                      <w:color w:val="auto"/>
                      <w:sz w:val="21"/>
                      <w:szCs w:val="21"/>
                      <w:highlight w:val="none"/>
                      <w:lang w:val="en-US" w:eastAsia="zh-CN"/>
                    </w:rPr>
                    <w:t>，生活用水利用</w:t>
                  </w:r>
                  <w:r>
                    <w:rPr>
                      <w:rFonts w:hint="eastAsia" w:cs="Times New Roman"/>
                      <w:color w:val="auto"/>
                      <w:sz w:val="21"/>
                      <w:szCs w:val="21"/>
                      <w:highlight w:val="none"/>
                      <w:lang w:val="en-US" w:eastAsia="zh-CN"/>
                    </w:rPr>
                    <w:t>电站</w:t>
                  </w:r>
                  <w:r>
                    <w:rPr>
                      <w:rFonts w:hint="default" w:ascii="Times New Roman" w:hAnsi="Times New Roman" w:eastAsia="宋体" w:cs="Times New Roman"/>
                      <w:color w:val="auto"/>
                      <w:sz w:val="21"/>
                      <w:szCs w:val="21"/>
                      <w:highlight w:val="none"/>
                      <w:lang w:val="en-US" w:eastAsia="zh-CN"/>
                    </w:rPr>
                    <w:t>管理站水井。</w:t>
                  </w:r>
                </w:p>
              </w:tc>
              <w:tc>
                <w:tcPr>
                  <w:tcW w:w="569" w:type="pct"/>
                  <w:tcBorders>
                    <w:right w:val="single" w:color="auto" w:sz="4" w:space="0"/>
                    <w:tl2br w:val="nil"/>
                    <w:tr2bl w:val="nil"/>
                  </w:tcBorders>
                  <w:vAlign w:val="center"/>
                </w:tcPr>
                <w:p w14:paraId="4A67CC1D">
                  <w:pPr>
                    <w:ind w:firstLine="420" w:firstLineChars="200"/>
                    <w:jc w:val="left"/>
                    <w:rPr>
                      <w:rFonts w:hint="default" w:ascii="Times New Roman" w:hAnsi="Times New Roman" w:eastAsia="宋体" w:cs="Times New Roman"/>
                      <w:color w:val="auto"/>
                      <w:sz w:val="21"/>
                      <w:szCs w:val="21"/>
                      <w:highlight w:val="none"/>
                      <w:lang w:val="en-US" w:eastAsia="zh-CN"/>
                    </w:rPr>
                  </w:pPr>
                </w:p>
              </w:tc>
            </w:tr>
            <w:tr w14:paraId="1D9344C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2"/>
                <w:wAfter w:w="4" w:type="pct"/>
                <w:trHeight w:val="478" w:hRule="exact"/>
                <w:tblHeader/>
                <w:jc w:val="center"/>
              </w:trPr>
              <w:tc>
                <w:tcPr>
                  <w:tcW w:w="366" w:type="pct"/>
                  <w:vMerge w:val="continue"/>
                  <w:tcBorders>
                    <w:left w:val="single" w:color="auto" w:sz="4" w:space="0"/>
                    <w:tl2br w:val="nil"/>
                    <w:tr2bl w:val="nil"/>
                  </w:tcBorders>
                  <w:vAlign w:val="center"/>
                </w:tcPr>
                <w:p w14:paraId="58A0C87F">
                  <w:pPr>
                    <w:spacing w:line="240" w:lineRule="exact"/>
                    <w:jc w:val="center"/>
                    <w:rPr>
                      <w:rFonts w:hint="default" w:ascii="Times New Roman" w:hAnsi="Times New Roman" w:cs="Times New Roman"/>
                      <w:color w:val="auto"/>
                      <w:kern w:val="0"/>
                      <w:sz w:val="21"/>
                      <w:szCs w:val="21"/>
                      <w:highlight w:val="none"/>
                      <w:lang w:val="en-US" w:eastAsia="zh-CN" w:bidi="ar"/>
                    </w:rPr>
                  </w:pPr>
                </w:p>
              </w:tc>
              <w:tc>
                <w:tcPr>
                  <w:tcW w:w="657" w:type="pct"/>
                  <w:tcBorders>
                    <w:tl2br w:val="nil"/>
                    <w:tr2bl w:val="nil"/>
                  </w:tcBorders>
                  <w:vAlign w:val="center"/>
                </w:tcPr>
                <w:p w14:paraId="2B6CBC5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供水</w:t>
                  </w:r>
                </w:p>
              </w:tc>
              <w:tc>
                <w:tcPr>
                  <w:tcW w:w="3402" w:type="pct"/>
                  <w:tcBorders>
                    <w:tl2br w:val="nil"/>
                    <w:tr2bl w:val="nil"/>
                  </w:tcBorders>
                  <w:vAlign w:val="center"/>
                </w:tcPr>
                <w:p w14:paraId="6C42CA1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生活用水水源为</w:t>
                  </w:r>
                  <w:r>
                    <w:rPr>
                      <w:rFonts w:hint="eastAsia" w:cs="Times New Roman"/>
                      <w:color w:val="auto"/>
                      <w:sz w:val="21"/>
                      <w:szCs w:val="21"/>
                      <w:highlight w:val="none"/>
                      <w:lang w:val="en-US" w:eastAsia="zh-CN"/>
                    </w:rPr>
                    <w:t>市政</w:t>
                  </w:r>
                  <w:r>
                    <w:rPr>
                      <w:rFonts w:hint="default" w:ascii="Times New Roman" w:hAnsi="Times New Roman" w:eastAsia="宋体" w:cs="Times New Roman"/>
                      <w:color w:val="auto"/>
                      <w:sz w:val="21"/>
                      <w:szCs w:val="21"/>
                      <w:highlight w:val="none"/>
                      <w:lang w:val="en-US" w:eastAsia="zh-CN"/>
                    </w:rPr>
                    <w:t>自来水</w:t>
                  </w:r>
                </w:p>
              </w:tc>
              <w:tc>
                <w:tcPr>
                  <w:tcW w:w="569" w:type="pct"/>
                  <w:tcBorders>
                    <w:right w:val="single" w:color="auto" w:sz="4" w:space="0"/>
                    <w:tl2br w:val="nil"/>
                    <w:tr2bl w:val="nil"/>
                  </w:tcBorders>
                  <w:vAlign w:val="center"/>
                </w:tcPr>
                <w:p w14:paraId="6AF247C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依托</w:t>
                  </w:r>
                </w:p>
              </w:tc>
            </w:tr>
            <w:tr w14:paraId="484CCD8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2"/>
                <w:wAfter w:w="4" w:type="pct"/>
                <w:trHeight w:val="428" w:hRule="exact"/>
                <w:tblHeader/>
                <w:jc w:val="center"/>
              </w:trPr>
              <w:tc>
                <w:tcPr>
                  <w:tcW w:w="366" w:type="pct"/>
                  <w:vMerge w:val="continue"/>
                  <w:tcBorders>
                    <w:left w:val="single" w:color="auto" w:sz="4" w:space="0"/>
                    <w:tl2br w:val="nil"/>
                    <w:tr2bl w:val="nil"/>
                  </w:tcBorders>
                  <w:vAlign w:val="center"/>
                </w:tcPr>
                <w:p w14:paraId="737588F6">
                  <w:pPr>
                    <w:spacing w:line="240" w:lineRule="exact"/>
                    <w:jc w:val="center"/>
                    <w:rPr>
                      <w:rFonts w:hint="default" w:ascii="Times New Roman" w:hAnsi="Times New Roman" w:cs="Times New Roman"/>
                      <w:color w:val="auto"/>
                      <w:kern w:val="0"/>
                      <w:sz w:val="21"/>
                      <w:szCs w:val="21"/>
                      <w:highlight w:val="none"/>
                      <w:lang w:val="en-US" w:eastAsia="zh-CN" w:bidi="ar"/>
                    </w:rPr>
                  </w:pPr>
                </w:p>
              </w:tc>
              <w:tc>
                <w:tcPr>
                  <w:tcW w:w="657" w:type="pct"/>
                  <w:tcBorders>
                    <w:tl2br w:val="nil"/>
                    <w:tr2bl w:val="nil"/>
                  </w:tcBorders>
                  <w:vAlign w:val="center"/>
                </w:tcPr>
                <w:p w14:paraId="6308510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排水</w:t>
                  </w:r>
                </w:p>
              </w:tc>
              <w:tc>
                <w:tcPr>
                  <w:tcW w:w="3402" w:type="pct"/>
                  <w:tcBorders>
                    <w:tl2br w:val="nil"/>
                    <w:tr2bl w:val="nil"/>
                  </w:tcBorders>
                  <w:vAlign w:val="center"/>
                </w:tcPr>
                <w:p w14:paraId="148D617A">
                  <w:pPr>
                    <w:pStyle w:val="21"/>
                    <w:adjustRightInd w:val="0"/>
                    <w:snapToGrid w:val="0"/>
                    <w:spacing w:before="0" w:beforeAutospacing="0" w:after="0" w:afterAutospacing="0" w:line="240" w:lineRule="auto"/>
                    <w:ind w:right="-89" w:rightChars="0"/>
                    <w:outlineLvl w:val="1"/>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lang w:val="en-US" w:eastAsia="zh-CN"/>
                    </w:rPr>
                    <w:t>施工人员</w:t>
                  </w:r>
                  <w:r>
                    <w:rPr>
                      <w:rFonts w:hint="default" w:ascii="Times New Roman" w:hAnsi="Times New Roman" w:cs="Times New Roman"/>
                      <w:color w:val="auto"/>
                      <w:sz w:val="21"/>
                      <w:szCs w:val="21"/>
                    </w:rPr>
                    <w:t>生活污水定期清淘，外运堆肥</w:t>
                  </w:r>
                  <w:r>
                    <w:rPr>
                      <w:rFonts w:hint="eastAsia" w:ascii="Times New Roman" w:hAnsi="Times New Roman" w:cs="Times New Roman"/>
                      <w:color w:val="auto"/>
                      <w:sz w:val="21"/>
                      <w:szCs w:val="21"/>
                      <w:lang w:eastAsia="zh-CN"/>
                    </w:rPr>
                    <w:t>，</w:t>
                  </w:r>
                  <w:r>
                    <w:rPr>
                      <w:rFonts w:hint="default" w:ascii="Times New Roman" w:hAnsi="Times New Roman" w:eastAsia="宋体" w:cs="Times New Roman"/>
                      <w:color w:val="auto"/>
                      <w:sz w:val="21"/>
                      <w:szCs w:val="21"/>
                      <w:highlight w:val="none"/>
                      <w:lang w:val="en-US" w:eastAsia="zh-CN"/>
                    </w:rPr>
                    <w:t>不外排</w:t>
                  </w:r>
                </w:p>
              </w:tc>
              <w:tc>
                <w:tcPr>
                  <w:tcW w:w="569" w:type="pct"/>
                  <w:tcBorders>
                    <w:right w:val="single" w:color="auto" w:sz="4" w:space="0"/>
                    <w:tl2br w:val="nil"/>
                    <w:tr2bl w:val="nil"/>
                  </w:tcBorders>
                  <w:vAlign w:val="center"/>
                </w:tcPr>
                <w:p w14:paraId="03B92AC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利旧</w:t>
                  </w:r>
                </w:p>
              </w:tc>
            </w:tr>
            <w:tr w14:paraId="535D95D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2"/>
                <w:wAfter w:w="4" w:type="pct"/>
                <w:trHeight w:val="411" w:hRule="exact"/>
                <w:tblHeader/>
                <w:jc w:val="center"/>
              </w:trPr>
              <w:tc>
                <w:tcPr>
                  <w:tcW w:w="366" w:type="pct"/>
                  <w:vMerge w:val="continue"/>
                  <w:tcBorders>
                    <w:left w:val="single" w:color="auto" w:sz="4" w:space="0"/>
                    <w:tl2br w:val="nil"/>
                    <w:tr2bl w:val="nil"/>
                  </w:tcBorders>
                  <w:vAlign w:val="center"/>
                </w:tcPr>
                <w:p w14:paraId="5277E1F0">
                  <w:pPr>
                    <w:spacing w:line="240" w:lineRule="exact"/>
                    <w:jc w:val="center"/>
                    <w:rPr>
                      <w:rFonts w:hint="default" w:ascii="Times New Roman" w:hAnsi="Times New Roman" w:cs="Times New Roman"/>
                      <w:color w:val="auto"/>
                      <w:kern w:val="0"/>
                      <w:sz w:val="21"/>
                      <w:szCs w:val="21"/>
                      <w:highlight w:val="none"/>
                      <w:lang w:val="en-US" w:eastAsia="zh-CN" w:bidi="ar"/>
                    </w:rPr>
                  </w:pPr>
                </w:p>
              </w:tc>
              <w:tc>
                <w:tcPr>
                  <w:tcW w:w="657" w:type="pct"/>
                  <w:tcBorders>
                    <w:tl2br w:val="nil"/>
                    <w:tr2bl w:val="nil"/>
                  </w:tcBorders>
                  <w:vAlign w:val="center"/>
                </w:tcPr>
                <w:p w14:paraId="36D658B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供暖</w:t>
                  </w:r>
                </w:p>
              </w:tc>
              <w:tc>
                <w:tcPr>
                  <w:tcW w:w="3402" w:type="pct"/>
                  <w:tcBorders>
                    <w:tl2br w:val="nil"/>
                    <w:tr2bl w:val="nil"/>
                  </w:tcBorders>
                  <w:vAlign w:val="center"/>
                </w:tcPr>
                <w:p w14:paraId="2AE6215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冬季不生产，无需供暖</w:t>
                  </w:r>
                </w:p>
              </w:tc>
              <w:tc>
                <w:tcPr>
                  <w:tcW w:w="569" w:type="pct"/>
                  <w:tcBorders>
                    <w:right w:val="single" w:color="auto" w:sz="4" w:space="0"/>
                    <w:tl2br w:val="nil"/>
                    <w:tr2bl w:val="nil"/>
                  </w:tcBorders>
                  <w:vAlign w:val="center"/>
                </w:tcPr>
                <w:p w14:paraId="27E71BA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67576D6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2"/>
                <w:wAfter w:w="4" w:type="pct"/>
                <w:trHeight w:val="394" w:hRule="exact"/>
                <w:tblHeader/>
                <w:jc w:val="center"/>
              </w:trPr>
              <w:tc>
                <w:tcPr>
                  <w:tcW w:w="366" w:type="pct"/>
                  <w:vMerge w:val="continue"/>
                  <w:tcBorders>
                    <w:left w:val="single" w:color="auto" w:sz="4" w:space="0"/>
                    <w:tl2br w:val="nil"/>
                    <w:tr2bl w:val="nil"/>
                  </w:tcBorders>
                  <w:vAlign w:val="center"/>
                </w:tcPr>
                <w:p w14:paraId="008F4BFC">
                  <w:pPr>
                    <w:spacing w:line="240" w:lineRule="exact"/>
                    <w:jc w:val="center"/>
                    <w:rPr>
                      <w:rFonts w:hint="default" w:ascii="Times New Roman" w:hAnsi="Times New Roman" w:cs="Times New Roman"/>
                      <w:color w:val="auto"/>
                      <w:kern w:val="0"/>
                      <w:sz w:val="21"/>
                      <w:szCs w:val="21"/>
                      <w:highlight w:val="none"/>
                      <w:lang w:val="en-US" w:eastAsia="zh-CN" w:bidi="ar"/>
                    </w:rPr>
                  </w:pPr>
                </w:p>
              </w:tc>
              <w:tc>
                <w:tcPr>
                  <w:tcW w:w="657" w:type="pct"/>
                  <w:tcBorders>
                    <w:tl2br w:val="nil"/>
                    <w:tr2bl w:val="nil"/>
                  </w:tcBorders>
                  <w:vAlign w:val="center"/>
                </w:tcPr>
                <w:p w14:paraId="7B2DEE1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供电</w:t>
                  </w:r>
                </w:p>
              </w:tc>
              <w:tc>
                <w:tcPr>
                  <w:tcW w:w="3402" w:type="pct"/>
                  <w:tcBorders>
                    <w:tl2br w:val="nil"/>
                    <w:tr2bl w:val="nil"/>
                  </w:tcBorders>
                  <w:vAlign w:val="center"/>
                </w:tcPr>
                <w:p w14:paraId="32DA58E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国家</w:t>
                  </w:r>
                  <w:r>
                    <w:rPr>
                      <w:rFonts w:hint="eastAsia" w:cs="Times New Roman"/>
                      <w:color w:val="auto"/>
                      <w:sz w:val="21"/>
                      <w:szCs w:val="21"/>
                      <w:highlight w:val="none"/>
                      <w:lang w:val="en-US" w:eastAsia="zh-CN"/>
                    </w:rPr>
                    <w:t>市政</w:t>
                  </w:r>
                  <w:r>
                    <w:rPr>
                      <w:rFonts w:hint="default" w:ascii="Times New Roman" w:hAnsi="Times New Roman" w:eastAsia="宋体" w:cs="Times New Roman"/>
                      <w:color w:val="auto"/>
                      <w:sz w:val="21"/>
                      <w:szCs w:val="21"/>
                      <w:highlight w:val="none"/>
                      <w:lang w:val="en-US" w:eastAsia="zh-CN"/>
                    </w:rPr>
                    <w:t>电网</w:t>
                  </w:r>
                </w:p>
              </w:tc>
              <w:tc>
                <w:tcPr>
                  <w:tcW w:w="569" w:type="pct"/>
                  <w:tcBorders>
                    <w:right w:val="single" w:color="auto" w:sz="4" w:space="0"/>
                    <w:tl2br w:val="nil"/>
                    <w:tr2bl w:val="nil"/>
                  </w:tcBorders>
                  <w:vAlign w:val="center"/>
                </w:tcPr>
                <w:p w14:paraId="4000A86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依托</w:t>
                  </w:r>
                </w:p>
              </w:tc>
            </w:tr>
            <w:tr w14:paraId="6798CFB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2"/>
                <w:wAfter w:w="4" w:type="pct"/>
                <w:trHeight w:val="502" w:hRule="exact"/>
                <w:tblHeader/>
                <w:jc w:val="center"/>
              </w:trPr>
              <w:tc>
                <w:tcPr>
                  <w:tcW w:w="366" w:type="pct"/>
                  <w:vMerge w:val="restart"/>
                  <w:tcBorders>
                    <w:left w:val="single" w:color="auto" w:sz="4" w:space="0"/>
                    <w:tl2br w:val="nil"/>
                    <w:tr2bl w:val="nil"/>
                  </w:tcBorders>
                  <w:vAlign w:val="center"/>
                </w:tcPr>
                <w:p w14:paraId="489ECB0B">
                  <w:pPr>
                    <w:jc w:val="left"/>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工程</w:t>
                  </w:r>
                </w:p>
                <w:p w14:paraId="7F57F41C">
                  <w:pPr>
                    <w:jc w:val="left"/>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占地</w:t>
                  </w:r>
                </w:p>
              </w:tc>
              <w:tc>
                <w:tcPr>
                  <w:tcW w:w="657" w:type="pct"/>
                  <w:tcBorders>
                    <w:tl2br w:val="nil"/>
                    <w:tr2bl w:val="nil"/>
                  </w:tcBorders>
                  <w:vAlign w:val="center"/>
                </w:tcPr>
                <w:p w14:paraId="0EAA9D09">
                  <w:pPr>
                    <w:jc w:val="left"/>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永久占地</w:t>
                  </w:r>
                </w:p>
              </w:tc>
              <w:tc>
                <w:tcPr>
                  <w:tcW w:w="3402" w:type="pct"/>
                  <w:tcBorders>
                    <w:tl2br w:val="nil"/>
                    <w:tr2bl w:val="nil"/>
                  </w:tcBorders>
                  <w:vAlign w:val="center"/>
                </w:tcPr>
                <w:p w14:paraId="6857FAA3">
                  <w:pPr>
                    <w:jc w:val="left"/>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无新增永久占地</w:t>
                  </w:r>
                </w:p>
              </w:tc>
              <w:tc>
                <w:tcPr>
                  <w:tcW w:w="569" w:type="pct"/>
                  <w:tcBorders>
                    <w:right w:val="single" w:color="auto" w:sz="4" w:space="0"/>
                    <w:tl2br w:val="nil"/>
                    <w:tr2bl w:val="nil"/>
                  </w:tcBorders>
                  <w:vAlign w:val="center"/>
                </w:tcPr>
                <w:p w14:paraId="6AD843F4">
                  <w:pPr>
                    <w:jc w:val="left"/>
                    <w:rPr>
                      <w:rFonts w:hint="default" w:ascii="Times New Roman" w:hAnsi="Times New Roman" w:cs="Times New Roman"/>
                      <w:color w:val="auto"/>
                      <w:sz w:val="21"/>
                      <w:szCs w:val="21"/>
                      <w:lang w:val="en-US" w:eastAsia="zh-CN"/>
                    </w:rPr>
                  </w:pPr>
                </w:p>
              </w:tc>
            </w:tr>
            <w:tr w14:paraId="5DDE8F9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2"/>
                <w:wAfter w:w="4" w:type="pct"/>
                <w:trHeight w:val="870" w:hRule="exact"/>
                <w:tblHeader/>
                <w:jc w:val="center"/>
              </w:trPr>
              <w:tc>
                <w:tcPr>
                  <w:tcW w:w="366" w:type="pct"/>
                  <w:vMerge w:val="continue"/>
                  <w:tcBorders>
                    <w:left w:val="single" w:color="auto" w:sz="4" w:space="0"/>
                    <w:tl2br w:val="nil"/>
                    <w:tr2bl w:val="nil"/>
                  </w:tcBorders>
                  <w:vAlign w:val="center"/>
                </w:tcPr>
                <w:p w14:paraId="3469469B">
                  <w:pPr>
                    <w:jc w:val="left"/>
                    <w:rPr>
                      <w:rFonts w:hint="default" w:ascii="Times New Roman" w:hAnsi="Times New Roman" w:cs="Times New Roman"/>
                      <w:color w:val="auto"/>
                      <w:sz w:val="21"/>
                      <w:szCs w:val="21"/>
                      <w:lang w:val="en-US" w:eastAsia="zh-CN"/>
                    </w:rPr>
                  </w:pPr>
                </w:p>
              </w:tc>
              <w:tc>
                <w:tcPr>
                  <w:tcW w:w="657" w:type="pct"/>
                  <w:tcBorders>
                    <w:tl2br w:val="nil"/>
                    <w:tr2bl w:val="nil"/>
                  </w:tcBorders>
                  <w:vAlign w:val="center"/>
                </w:tcPr>
                <w:p w14:paraId="1745DFC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临时占地</w:t>
                  </w:r>
                </w:p>
              </w:tc>
              <w:tc>
                <w:tcPr>
                  <w:tcW w:w="3402" w:type="pct"/>
                  <w:tcBorders>
                    <w:tl2br w:val="nil"/>
                    <w:tr2bl w:val="nil"/>
                  </w:tcBorders>
                  <w:vAlign w:val="center"/>
                </w:tcPr>
                <w:p w14:paraId="4F212BB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项目施工均在现有厂区内进行</w:t>
                  </w:r>
                  <w:r>
                    <w:rPr>
                      <w:rFonts w:hint="default" w:ascii="Times New Roman" w:hAnsi="Times New Roman" w:eastAsia="宋体" w:cs="Times New Roman"/>
                      <w:color w:val="auto"/>
                      <w:sz w:val="21"/>
                      <w:szCs w:val="21"/>
                      <w:highlight w:val="none"/>
                      <w:lang w:val="en-US" w:eastAsia="zh-CN"/>
                    </w:rPr>
                    <w:t>，施工临时仅在建设用地范围内设置材料堆场，不新增占用周边用地。</w:t>
                  </w:r>
                </w:p>
                <w:p w14:paraId="7CBF189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施工人员均入住当地村屯，不在施工现场食宿。</w:t>
                  </w:r>
                </w:p>
                <w:p w14:paraId="1C39D28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rFonts w:hint="default" w:ascii="Times New Roman" w:hAnsi="Times New Roman" w:eastAsia="宋体" w:cs="Times New Roman"/>
                      <w:color w:val="auto"/>
                      <w:sz w:val="21"/>
                      <w:szCs w:val="21"/>
                      <w:highlight w:val="none"/>
                      <w:lang w:val="en-US" w:eastAsia="zh-CN"/>
                    </w:rPr>
                  </w:pPr>
                </w:p>
              </w:tc>
              <w:tc>
                <w:tcPr>
                  <w:tcW w:w="569" w:type="pct"/>
                  <w:tcBorders>
                    <w:right w:val="single" w:color="auto" w:sz="4" w:space="0"/>
                    <w:tl2br w:val="nil"/>
                    <w:tr2bl w:val="nil"/>
                  </w:tcBorders>
                  <w:vAlign w:val="center"/>
                </w:tcPr>
                <w:p w14:paraId="74F70CAD">
                  <w:pPr>
                    <w:jc w:val="left"/>
                    <w:rPr>
                      <w:rFonts w:hint="default" w:ascii="Times New Roman" w:hAnsi="Times New Roman" w:cs="Times New Roman"/>
                      <w:color w:val="auto"/>
                      <w:sz w:val="21"/>
                      <w:szCs w:val="21"/>
                      <w:lang w:val="en-US" w:eastAsia="zh-CN"/>
                    </w:rPr>
                  </w:pPr>
                </w:p>
              </w:tc>
            </w:tr>
            <w:tr w14:paraId="226F408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2"/>
                <w:wAfter w:w="4" w:type="pct"/>
                <w:trHeight w:val="540" w:hRule="exact"/>
                <w:tblHeader/>
                <w:jc w:val="center"/>
              </w:trPr>
              <w:tc>
                <w:tcPr>
                  <w:tcW w:w="366" w:type="pct"/>
                  <w:vMerge w:val="restart"/>
                  <w:tcBorders>
                    <w:left w:val="single" w:color="auto" w:sz="4" w:space="0"/>
                    <w:tl2br w:val="nil"/>
                    <w:tr2bl w:val="nil"/>
                  </w:tcBorders>
                  <w:vAlign w:val="center"/>
                </w:tcPr>
                <w:p w14:paraId="0D6C8BFE">
                  <w:pPr>
                    <w:jc w:val="left"/>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环保工程</w:t>
                  </w:r>
                </w:p>
              </w:tc>
              <w:tc>
                <w:tcPr>
                  <w:tcW w:w="657" w:type="pct"/>
                  <w:tcBorders>
                    <w:tl2br w:val="nil"/>
                    <w:tr2bl w:val="nil"/>
                  </w:tcBorders>
                  <w:vAlign w:val="center"/>
                </w:tcPr>
                <w:p w14:paraId="5BE377E6">
                  <w:pPr>
                    <w:jc w:val="left"/>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废污水</w:t>
                  </w:r>
                </w:p>
              </w:tc>
              <w:tc>
                <w:tcPr>
                  <w:tcW w:w="3402" w:type="pct"/>
                  <w:tcBorders>
                    <w:tl2br w:val="nil"/>
                    <w:tr2bl w:val="nil"/>
                  </w:tcBorders>
                  <w:vAlign w:val="center"/>
                </w:tcPr>
                <w:p w14:paraId="4B4A520C">
                  <w:pPr>
                    <w:jc w:val="left"/>
                    <w:rPr>
                      <w:rFonts w:hint="default" w:ascii="Times New Roman" w:hAnsi="Times New Roman"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生活污水排入防渗旱厕，定期清掏外运堆肥，不外排</w:t>
                  </w:r>
                </w:p>
              </w:tc>
              <w:tc>
                <w:tcPr>
                  <w:tcW w:w="569" w:type="pct"/>
                  <w:tcBorders>
                    <w:right w:val="single" w:color="auto" w:sz="4" w:space="0"/>
                    <w:tl2br w:val="nil"/>
                    <w:tr2bl w:val="nil"/>
                  </w:tcBorders>
                  <w:vAlign w:val="center"/>
                </w:tcPr>
                <w:p w14:paraId="009A3501">
                  <w:pPr>
                    <w:jc w:val="left"/>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利用原有</w:t>
                  </w:r>
                </w:p>
              </w:tc>
            </w:tr>
            <w:tr w14:paraId="760F2BF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1503" w:hRule="exact"/>
                <w:tblHeader/>
                <w:jc w:val="center"/>
              </w:trPr>
              <w:tc>
                <w:tcPr>
                  <w:tcW w:w="366" w:type="pct"/>
                  <w:vMerge w:val="continue"/>
                  <w:tcBorders>
                    <w:left w:val="single" w:color="auto" w:sz="4" w:space="0"/>
                    <w:tl2br w:val="nil"/>
                    <w:tr2bl w:val="nil"/>
                  </w:tcBorders>
                  <w:vAlign w:val="center"/>
                </w:tcPr>
                <w:p w14:paraId="118242D7">
                  <w:pPr>
                    <w:jc w:val="left"/>
                    <w:rPr>
                      <w:rFonts w:hint="default" w:ascii="Times New Roman" w:hAnsi="Times New Roman" w:cs="Times New Roman"/>
                      <w:color w:val="auto"/>
                      <w:sz w:val="21"/>
                      <w:szCs w:val="21"/>
                      <w:lang w:val="en-US" w:eastAsia="zh-CN"/>
                    </w:rPr>
                  </w:pPr>
                </w:p>
              </w:tc>
              <w:tc>
                <w:tcPr>
                  <w:tcW w:w="657" w:type="pct"/>
                  <w:tcBorders>
                    <w:tl2br w:val="nil"/>
                    <w:tr2bl w:val="nil"/>
                  </w:tcBorders>
                  <w:vAlign w:val="center"/>
                </w:tcPr>
                <w:p w14:paraId="60952EC7">
                  <w:pPr>
                    <w:jc w:val="left"/>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固废</w:t>
                  </w:r>
                </w:p>
              </w:tc>
              <w:tc>
                <w:tcPr>
                  <w:tcW w:w="3402" w:type="pct"/>
                  <w:tcBorders>
                    <w:tl2br w:val="nil"/>
                    <w:tr2bl w:val="nil"/>
                  </w:tcBorders>
                  <w:vAlign w:val="center"/>
                </w:tcPr>
                <w:p w14:paraId="736FF27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废机油集中收集后暂存于废油</w:t>
                  </w:r>
                  <w:r>
                    <w:rPr>
                      <w:rFonts w:hint="eastAsia" w:ascii="Times New Roman" w:hAnsi="Times New Roman" w:cs="Times New Roman"/>
                      <w:color w:val="auto"/>
                      <w:sz w:val="21"/>
                      <w:szCs w:val="21"/>
                      <w:lang w:val="en-US" w:eastAsia="zh-CN"/>
                    </w:rPr>
                    <w:t>危险废物贮存点</w:t>
                  </w:r>
                  <w:r>
                    <w:rPr>
                      <w:rFonts w:hint="default" w:ascii="Times New Roman" w:hAnsi="Times New Roman" w:cs="Times New Roman"/>
                      <w:color w:val="auto"/>
                      <w:sz w:val="21"/>
                      <w:szCs w:val="21"/>
                      <w:lang w:val="en-US" w:eastAsia="zh-CN"/>
                    </w:rPr>
                    <w:t>，定期交由有资质单位处理处置；</w:t>
                  </w:r>
                  <w:r>
                    <w:rPr>
                      <w:rFonts w:hint="eastAsia" w:ascii="Times New Roman" w:hAnsi="Times New Roman" w:cs="Times New Roman"/>
                      <w:color w:val="auto"/>
                      <w:sz w:val="21"/>
                      <w:szCs w:val="21"/>
                      <w:lang w:val="en-US" w:eastAsia="zh-CN"/>
                    </w:rPr>
                    <w:t>危废贮存点</w:t>
                  </w:r>
                  <w:r>
                    <w:rPr>
                      <w:rFonts w:hint="default" w:ascii="Times New Roman" w:hAnsi="Times New Roman" w:cs="Times New Roman"/>
                      <w:color w:val="auto"/>
                      <w:sz w:val="21"/>
                      <w:szCs w:val="21"/>
                      <w:lang w:val="en-US" w:eastAsia="zh-CN"/>
                    </w:rPr>
                    <w:t>基础必须防渗，防渗层为2mm 厚高密度聚乙烯，或至少2mm厚的其它人工材料，渗透系数</w:t>
                  </w:r>
                  <w:r>
                    <w:rPr>
                      <w:rFonts w:hint="eastAsia" w:ascii="Times New Roman" w:hAnsi="Times New Roman" w:cs="Times New Roman"/>
                      <w:color w:val="auto"/>
                      <w:sz w:val="21"/>
                      <w:szCs w:val="21"/>
                      <w:lang w:val="en-US" w:eastAsia="zh-CN"/>
                    </w:rPr>
                    <w:t>≤</w:t>
                  </w:r>
                  <w:r>
                    <w:rPr>
                      <w:rFonts w:hint="default" w:ascii="Times New Roman" w:hAnsi="Times New Roman" w:cs="Times New Roman"/>
                      <w:color w:val="auto"/>
                      <w:sz w:val="21"/>
                      <w:szCs w:val="21"/>
                      <w:lang w:val="en-US" w:eastAsia="zh-CN"/>
                    </w:rPr>
                    <w:t xml:space="preserve"> 10-10cm/s。</w:t>
                  </w:r>
                </w:p>
                <w:p w14:paraId="25A5BA3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生活垃圾和</w:t>
                  </w:r>
                  <w:r>
                    <w:rPr>
                      <w:rFonts w:hint="eastAsia" w:ascii="Times New Roman" w:hAnsi="Times New Roman" w:cs="Times New Roman"/>
                      <w:color w:val="auto"/>
                      <w:sz w:val="21"/>
                      <w:szCs w:val="21"/>
                      <w:lang w:val="en-US" w:eastAsia="zh-CN"/>
                    </w:rPr>
                    <w:t>水面浮渣</w:t>
                  </w:r>
                  <w:r>
                    <w:rPr>
                      <w:rFonts w:hint="default" w:ascii="Times New Roman" w:hAnsi="Times New Roman" w:cs="Times New Roman"/>
                      <w:color w:val="auto"/>
                      <w:sz w:val="21"/>
                      <w:szCs w:val="21"/>
                      <w:lang w:val="en-US" w:eastAsia="zh-CN"/>
                    </w:rPr>
                    <w:t>收集后，定期交由环卫部门清运处理</w:t>
                  </w:r>
                </w:p>
              </w:tc>
              <w:tc>
                <w:tcPr>
                  <w:tcW w:w="570" w:type="pct"/>
                  <w:gridSpan w:val="2"/>
                  <w:tcBorders>
                    <w:right w:val="single" w:color="auto" w:sz="4" w:space="0"/>
                    <w:tl2br w:val="nil"/>
                    <w:tr2bl w:val="nil"/>
                  </w:tcBorders>
                  <w:vAlign w:val="center"/>
                </w:tcPr>
                <w:p w14:paraId="55BF6546">
                  <w:pPr>
                    <w:jc w:val="left"/>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利用原有</w:t>
                  </w:r>
                </w:p>
              </w:tc>
            </w:tr>
            <w:tr w14:paraId="0E44EE2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662" w:hRule="exact"/>
                <w:tblHeader/>
                <w:jc w:val="center"/>
              </w:trPr>
              <w:tc>
                <w:tcPr>
                  <w:tcW w:w="366" w:type="pct"/>
                  <w:vMerge w:val="continue"/>
                  <w:tcBorders>
                    <w:left w:val="single" w:color="auto" w:sz="4" w:space="0"/>
                    <w:tl2br w:val="nil"/>
                    <w:tr2bl w:val="nil"/>
                  </w:tcBorders>
                  <w:vAlign w:val="center"/>
                </w:tcPr>
                <w:p w14:paraId="716125B0">
                  <w:pPr>
                    <w:jc w:val="left"/>
                    <w:rPr>
                      <w:rFonts w:hint="default" w:ascii="Times New Roman" w:hAnsi="Times New Roman" w:cs="Times New Roman"/>
                      <w:color w:val="auto"/>
                      <w:sz w:val="21"/>
                      <w:szCs w:val="21"/>
                      <w:lang w:val="en-US" w:eastAsia="zh-CN"/>
                    </w:rPr>
                  </w:pPr>
                </w:p>
              </w:tc>
              <w:tc>
                <w:tcPr>
                  <w:tcW w:w="657" w:type="pct"/>
                  <w:tcBorders>
                    <w:tl2br w:val="nil"/>
                    <w:tr2bl w:val="nil"/>
                  </w:tcBorders>
                  <w:vAlign w:val="center"/>
                </w:tcPr>
                <w:p w14:paraId="6F81F4FC">
                  <w:pPr>
                    <w:jc w:val="left"/>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噪声</w:t>
                  </w:r>
                </w:p>
              </w:tc>
              <w:tc>
                <w:tcPr>
                  <w:tcW w:w="3402" w:type="pct"/>
                  <w:tcBorders>
                    <w:tl2br w:val="nil"/>
                    <w:tr2bl w:val="nil"/>
                  </w:tcBorders>
                  <w:vAlign w:val="center"/>
                </w:tcPr>
                <w:p w14:paraId="7501FE8D">
                  <w:pPr>
                    <w:adjustRightInd w:val="0"/>
                    <w:snapToGrid w:val="0"/>
                    <w:spacing w:line="360" w:lineRule="auto"/>
                    <w:ind w:firstLine="420" w:firstLineChars="200"/>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设备采取适宜的减振，降噪措施</w:t>
                  </w:r>
                </w:p>
              </w:tc>
              <w:tc>
                <w:tcPr>
                  <w:tcW w:w="570" w:type="pct"/>
                  <w:gridSpan w:val="2"/>
                  <w:tcBorders>
                    <w:right w:val="single" w:color="auto" w:sz="4" w:space="0"/>
                    <w:tl2br w:val="nil"/>
                    <w:tr2bl w:val="nil"/>
                  </w:tcBorders>
                  <w:vAlign w:val="center"/>
                </w:tcPr>
                <w:p w14:paraId="4E2BA7BF">
                  <w:pPr>
                    <w:jc w:val="left"/>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利用原有</w:t>
                  </w:r>
                </w:p>
              </w:tc>
            </w:tr>
            <w:tr w14:paraId="6EBEEDB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2" w:hRule="exact"/>
                <w:tblHeader/>
                <w:jc w:val="center"/>
              </w:trPr>
              <w:tc>
                <w:tcPr>
                  <w:tcW w:w="366" w:type="pct"/>
                  <w:vMerge w:val="continue"/>
                  <w:tcBorders>
                    <w:left w:val="single" w:color="auto" w:sz="4" w:space="0"/>
                    <w:tl2br w:val="nil"/>
                    <w:tr2bl w:val="nil"/>
                  </w:tcBorders>
                  <w:vAlign w:val="center"/>
                </w:tcPr>
                <w:p w14:paraId="742C6993">
                  <w:pPr>
                    <w:jc w:val="left"/>
                    <w:rPr>
                      <w:rFonts w:hint="default" w:ascii="Times New Roman" w:hAnsi="Times New Roman" w:cs="Times New Roman"/>
                      <w:color w:val="auto"/>
                      <w:sz w:val="21"/>
                      <w:szCs w:val="21"/>
                      <w:lang w:val="en-US" w:eastAsia="zh-CN"/>
                    </w:rPr>
                  </w:pPr>
                </w:p>
              </w:tc>
              <w:tc>
                <w:tcPr>
                  <w:tcW w:w="657" w:type="pct"/>
                  <w:tcBorders>
                    <w:tl2br w:val="nil"/>
                    <w:tr2bl w:val="nil"/>
                  </w:tcBorders>
                  <w:vAlign w:val="center"/>
                </w:tcPr>
                <w:p w14:paraId="74FE7043">
                  <w:pPr>
                    <w:jc w:val="left"/>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生态环境</w:t>
                  </w:r>
                </w:p>
              </w:tc>
              <w:tc>
                <w:tcPr>
                  <w:tcW w:w="3402" w:type="pct"/>
                  <w:tcBorders>
                    <w:tl2br w:val="nil"/>
                    <w:tr2bl w:val="nil"/>
                  </w:tcBorders>
                  <w:vAlign w:val="center"/>
                </w:tcPr>
                <w:p w14:paraId="5CEC755E">
                  <w:pPr>
                    <w:jc w:val="left"/>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生态流量泄放管设置在距离输水涵洞尾端左侧1m处设有一支管生态流量管φ20cm，接一座阀门室，便于控制流量和检修。青年水库坝址断面生态流量为汛期0.29m</w:t>
                  </w:r>
                  <w:r>
                    <w:rPr>
                      <w:rFonts w:hint="default" w:ascii="Times New Roman" w:hAnsi="Times New Roman" w:cs="Times New Roman"/>
                      <w:color w:val="auto"/>
                      <w:sz w:val="21"/>
                      <w:szCs w:val="21"/>
                      <w:vertAlign w:val="superscript"/>
                      <w:lang w:val="en-US" w:eastAsia="zh-CN"/>
                    </w:rPr>
                    <w:t>3</w:t>
                  </w:r>
                  <w:r>
                    <w:rPr>
                      <w:rFonts w:hint="default" w:ascii="Times New Roman" w:hAnsi="Times New Roman" w:cs="Times New Roman"/>
                      <w:color w:val="auto"/>
                      <w:sz w:val="21"/>
                      <w:szCs w:val="21"/>
                      <w:lang w:val="en-US" w:eastAsia="zh-CN"/>
                    </w:rPr>
                    <w:t>/s，非汛期为0.18m</w:t>
                  </w:r>
                  <w:r>
                    <w:rPr>
                      <w:rFonts w:hint="default" w:ascii="Times New Roman" w:hAnsi="Times New Roman" w:cs="Times New Roman"/>
                      <w:color w:val="auto"/>
                      <w:sz w:val="21"/>
                      <w:szCs w:val="21"/>
                      <w:vertAlign w:val="superscript"/>
                      <w:lang w:val="en-US" w:eastAsia="zh-CN"/>
                    </w:rPr>
                    <w:t>3</w:t>
                  </w:r>
                  <w:r>
                    <w:rPr>
                      <w:rFonts w:hint="default" w:ascii="Times New Roman" w:hAnsi="Times New Roman" w:cs="Times New Roman"/>
                      <w:color w:val="auto"/>
                      <w:sz w:val="21"/>
                      <w:szCs w:val="21"/>
                      <w:lang w:val="en-US" w:eastAsia="zh-CN"/>
                    </w:rPr>
                    <w:t>/s。</w:t>
                  </w:r>
                  <w:r>
                    <w:rPr>
                      <w:rFonts w:hint="eastAsia" w:ascii="Times New Roman" w:hAnsi="Times New Roman" w:cs="Times New Roman"/>
                      <w:color w:val="auto"/>
                      <w:sz w:val="21"/>
                      <w:szCs w:val="21"/>
                      <w:lang w:val="en-US" w:eastAsia="zh-CN"/>
                    </w:rPr>
                    <w:t>并实时上传至监控平台。</w:t>
                  </w:r>
                </w:p>
              </w:tc>
              <w:tc>
                <w:tcPr>
                  <w:tcW w:w="574" w:type="pct"/>
                  <w:gridSpan w:val="3"/>
                  <w:tcBorders>
                    <w:right w:val="single" w:color="auto" w:sz="4" w:space="0"/>
                    <w:tl2br w:val="nil"/>
                    <w:tr2bl w:val="nil"/>
                  </w:tcBorders>
                  <w:vAlign w:val="center"/>
                </w:tcPr>
                <w:p w14:paraId="0316B587">
                  <w:pPr>
                    <w:jc w:val="left"/>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利用原有</w:t>
                  </w:r>
                </w:p>
              </w:tc>
            </w:tr>
          </w:tbl>
          <w:p w14:paraId="76F98635">
            <w:pPr>
              <w:pStyle w:val="54"/>
              <w:keepNext w:val="0"/>
              <w:keepLines w:val="0"/>
              <w:pageBreakBefore w:val="0"/>
              <w:widowControl w:val="0"/>
              <w:kinsoku/>
              <w:wordWrap/>
              <w:overflowPunct/>
              <w:topLinePunct w:val="0"/>
              <w:autoSpaceDE/>
              <w:autoSpaceDN/>
              <w:bidi w:val="0"/>
              <w:adjustRightInd w:val="0"/>
              <w:snapToGrid w:val="0"/>
              <w:spacing w:before="157" w:beforeLines="50"/>
              <w:ind w:left="0" w:leftChars="0" w:firstLine="0" w:firstLineChars="0"/>
              <w:jc w:val="center"/>
              <w:textAlignment w:val="auto"/>
              <w:rPr>
                <w:rFonts w:hint="default" w:ascii="Times New Roman" w:hAnsi="Times New Roman" w:eastAsia="宋体" w:cs="Times New Roman"/>
                <w:b/>
                <w:color w:val="auto"/>
                <w:sz w:val="24"/>
                <w:szCs w:val="24"/>
                <w:highlight w:val="none"/>
                <w:lang w:val="en-US" w:eastAsia="zh-CN"/>
              </w:rPr>
            </w:pPr>
            <w:r>
              <w:rPr>
                <w:rFonts w:hint="default" w:ascii="Times New Roman" w:hAnsi="Times New Roman" w:eastAsia="宋体" w:cs="Times New Roman"/>
                <w:b/>
                <w:color w:val="auto"/>
                <w:sz w:val="24"/>
                <w:szCs w:val="24"/>
                <w:highlight w:val="none"/>
                <w:lang w:val="en-US" w:eastAsia="zh-CN"/>
              </w:rPr>
              <w:t>表2-2  增效扩容前后工程特性表</w:t>
            </w:r>
          </w:p>
          <w:tbl>
            <w:tblPr>
              <w:tblStyle w:val="24"/>
              <w:tblW w:w="4969" w:type="pct"/>
              <w:jc w:val="center"/>
              <w:tblLayout w:type="autofit"/>
              <w:tblCellMar>
                <w:top w:w="0" w:type="dxa"/>
                <w:left w:w="108" w:type="dxa"/>
                <w:bottom w:w="0" w:type="dxa"/>
                <w:right w:w="108" w:type="dxa"/>
              </w:tblCellMar>
            </w:tblPr>
            <w:tblGrid>
              <w:gridCol w:w="861"/>
              <w:gridCol w:w="2452"/>
              <w:gridCol w:w="1094"/>
              <w:gridCol w:w="1228"/>
              <w:gridCol w:w="1228"/>
              <w:gridCol w:w="1226"/>
            </w:tblGrid>
            <w:tr w14:paraId="19E12E76">
              <w:tblPrEx>
                <w:tblCellMar>
                  <w:top w:w="0" w:type="dxa"/>
                  <w:left w:w="108" w:type="dxa"/>
                  <w:bottom w:w="0" w:type="dxa"/>
                  <w:right w:w="108" w:type="dxa"/>
                </w:tblCellMar>
              </w:tblPrEx>
              <w:trPr>
                <w:trHeight w:val="284" w:hRule="exact"/>
                <w:jc w:val="center"/>
              </w:trPr>
              <w:tc>
                <w:tcPr>
                  <w:tcW w:w="532"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16F6F2F7">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序号</w:t>
                  </w:r>
                </w:p>
              </w:tc>
              <w:tc>
                <w:tcPr>
                  <w:tcW w:w="1515"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737E86CF">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项目</w:t>
                  </w:r>
                </w:p>
              </w:tc>
              <w:tc>
                <w:tcPr>
                  <w:tcW w:w="676"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7DCABF31">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单位</w:t>
                  </w:r>
                </w:p>
              </w:tc>
              <w:tc>
                <w:tcPr>
                  <w:tcW w:w="759"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3673667C">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改造前</w:t>
                  </w:r>
                </w:p>
              </w:tc>
              <w:tc>
                <w:tcPr>
                  <w:tcW w:w="759" w:type="pct"/>
                  <w:tcBorders>
                    <w:top w:val="single" w:color="auto" w:sz="4" w:space="0"/>
                    <w:left w:val="nil"/>
                    <w:bottom w:val="single" w:color="auto" w:sz="4" w:space="0"/>
                    <w:right w:val="single" w:color="auto" w:sz="4" w:space="0"/>
                  </w:tcBorders>
                  <w:shd w:val="clear" w:color="auto" w:fill="auto"/>
                  <w:noWrap w:val="0"/>
                  <w:vAlign w:val="center"/>
                </w:tcPr>
                <w:p w14:paraId="47A65AA1">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改造后</w:t>
                  </w:r>
                </w:p>
              </w:tc>
              <w:tc>
                <w:tcPr>
                  <w:tcW w:w="757"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45962837">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备注</w:t>
                  </w:r>
                </w:p>
              </w:tc>
            </w:tr>
            <w:tr w14:paraId="69FD4BFB">
              <w:tblPrEx>
                <w:tblCellMar>
                  <w:top w:w="0" w:type="dxa"/>
                  <w:left w:w="108" w:type="dxa"/>
                  <w:bottom w:w="0" w:type="dxa"/>
                  <w:right w:w="108" w:type="dxa"/>
                </w:tblCellMar>
              </w:tblPrEx>
              <w:trPr>
                <w:trHeight w:val="442" w:hRule="exact"/>
                <w:jc w:val="center"/>
              </w:trPr>
              <w:tc>
                <w:tcPr>
                  <w:tcW w:w="532" w:type="pct"/>
                  <w:tcBorders>
                    <w:top w:val="nil"/>
                    <w:left w:val="single" w:color="auto" w:sz="4" w:space="0"/>
                    <w:bottom w:val="single" w:color="auto" w:sz="4" w:space="0"/>
                    <w:right w:val="single" w:color="auto" w:sz="4" w:space="0"/>
                  </w:tcBorders>
                  <w:shd w:val="clear" w:color="auto" w:fill="auto"/>
                  <w:noWrap w:val="0"/>
                  <w:vAlign w:val="center"/>
                </w:tcPr>
                <w:p w14:paraId="7F02D034">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一</w:t>
                  </w:r>
                </w:p>
              </w:tc>
              <w:tc>
                <w:tcPr>
                  <w:tcW w:w="1515" w:type="pct"/>
                  <w:tcBorders>
                    <w:top w:val="nil"/>
                    <w:left w:val="nil"/>
                    <w:bottom w:val="single" w:color="auto" w:sz="4" w:space="0"/>
                    <w:right w:val="single" w:color="auto" w:sz="4" w:space="0"/>
                  </w:tcBorders>
                  <w:shd w:val="clear" w:color="auto" w:fill="auto"/>
                  <w:noWrap w:val="0"/>
                  <w:vAlign w:val="center"/>
                </w:tcPr>
                <w:p w14:paraId="7075B2C2">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坝址以上集水面积</w:t>
                  </w:r>
                </w:p>
              </w:tc>
              <w:tc>
                <w:tcPr>
                  <w:tcW w:w="676" w:type="pct"/>
                  <w:tcBorders>
                    <w:top w:val="nil"/>
                    <w:left w:val="nil"/>
                    <w:bottom w:val="single" w:color="auto" w:sz="4" w:space="0"/>
                    <w:right w:val="single" w:color="auto" w:sz="4" w:space="0"/>
                  </w:tcBorders>
                  <w:shd w:val="clear" w:color="auto" w:fill="auto"/>
                  <w:noWrap w:val="0"/>
                  <w:vAlign w:val="center"/>
                </w:tcPr>
                <w:p w14:paraId="3D7AA786">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km</w:t>
                  </w:r>
                  <w:r>
                    <w:rPr>
                      <w:rFonts w:hint="default" w:ascii="Times New Roman" w:hAnsi="Times New Roman" w:eastAsia="宋体" w:cs="Times New Roman"/>
                      <w:color w:val="auto"/>
                      <w:sz w:val="21"/>
                      <w:szCs w:val="21"/>
                      <w:vertAlign w:val="superscript"/>
                      <w:lang w:val="en-US" w:eastAsia="zh-CN"/>
                    </w:rPr>
                    <w:t>2</w:t>
                  </w:r>
                </w:p>
              </w:tc>
              <w:tc>
                <w:tcPr>
                  <w:tcW w:w="759" w:type="pct"/>
                  <w:tcBorders>
                    <w:top w:val="nil"/>
                    <w:left w:val="nil"/>
                    <w:bottom w:val="single" w:color="auto" w:sz="4" w:space="0"/>
                    <w:right w:val="single" w:color="auto" w:sz="4" w:space="0"/>
                  </w:tcBorders>
                  <w:shd w:val="clear" w:color="auto" w:fill="auto"/>
                  <w:noWrap w:val="0"/>
                  <w:vAlign w:val="center"/>
                </w:tcPr>
                <w:p w14:paraId="2F3BDE30">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1138</w:t>
                  </w:r>
                </w:p>
              </w:tc>
              <w:tc>
                <w:tcPr>
                  <w:tcW w:w="759" w:type="pct"/>
                  <w:tcBorders>
                    <w:top w:val="nil"/>
                    <w:left w:val="nil"/>
                    <w:bottom w:val="single" w:color="auto" w:sz="4" w:space="0"/>
                    <w:right w:val="single" w:color="auto" w:sz="4" w:space="0"/>
                  </w:tcBorders>
                  <w:shd w:val="clear" w:color="auto" w:fill="auto"/>
                  <w:noWrap w:val="0"/>
                  <w:vAlign w:val="center"/>
                </w:tcPr>
                <w:p w14:paraId="2A19E8E5">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1138</w:t>
                  </w:r>
                </w:p>
              </w:tc>
              <w:tc>
                <w:tcPr>
                  <w:tcW w:w="757" w:type="pct"/>
                  <w:tcBorders>
                    <w:top w:val="nil"/>
                    <w:left w:val="nil"/>
                    <w:bottom w:val="single" w:color="auto" w:sz="4" w:space="0"/>
                    <w:right w:val="single" w:color="auto" w:sz="4" w:space="0"/>
                  </w:tcBorders>
                  <w:shd w:val="clear" w:color="auto" w:fill="auto"/>
                  <w:noWrap w:val="0"/>
                  <w:vAlign w:val="center"/>
                </w:tcPr>
                <w:p w14:paraId="268A9BBF">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w:t>
                  </w:r>
                </w:p>
              </w:tc>
            </w:tr>
            <w:tr w14:paraId="7BA8A40F">
              <w:tblPrEx>
                <w:tblCellMar>
                  <w:top w:w="0" w:type="dxa"/>
                  <w:left w:w="108" w:type="dxa"/>
                  <w:bottom w:w="0" w:type="dxa"/>
                  <w:right w:w="108" w:type="dxa"/>
                </w:tblCellMar>
              </w:tblPrEx>
              <w:trPr>
                <w:trHeight w:val="409" w:hRule="exact"/>
                <w:jc w:val="center"/>
              </w:trPr>
              <w:tc>
                <w:tcPr>
                  <w:tcW w:w="532" w:type="pct"/>
                  <w:tcBorders>
                    <w:top w:val="nil"/>
                    <w:left w:val="single" w:color="auto" w:sz="4" w:space="0"/>
                    <w:bottom w:val="single" w:color="auto" w:sz="4" w:space="0"/>
                    <w:right w:val="single" w:color="auto" w:sz="4" w:space="0"/>
                  </w:tcBorders>
                  <w:shd w:val="clear" w:color="auto" w:fill="auto"/>
                  <w:noWrap w:val="0"/>
                  <w:vAlign w:val="center"/>
                </w:tcPr>
                <w:p w14:paraId="7E35E549">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二</w:t>
                  </w:r>
                </w:p>
              </w:tc>
              <w:tc>
                <w:tcPr>
                  <w:tcW w:w="1515" w:type="pct"/>
                  <w:tcBorders>
                    <w:top w:val="nil"/>
                    <w:left w:val="nil"/>
                    <w:bottom w:val="single" w:color="auto" w:sz="4" w:space="0"/>
                    <w:right w:val="single" w:color="auto" w:sz="4" w:space="0"/>
                  </w:tcBorders>
                  <w:shd w:val="clear" w:color="auto" w:fill="auto"/>
                  <w:noWrap w:val="0"/>
                  <w:vAlign w:val="center"/>
                </w:tcPr>
                <w:p w14:paraId="293AD9E2">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水库多年平均径流量</w:t>
                  </w:r>
                </w:p>
              </w:tc>
              <w:tc>
                <w:tcPr>
                  <w:tcW w:w="676" w:type="pct"/>
                  <w:tcBorders>
                    <w:top w:val="nil"/>
                    <w:left w:val="nil"/>
                    <w:bottom w:val="single" w:color="auto" w:sz="4" w:space="0"/>
                    <w:right w:val="single" w:color="auto" w:sz="4" w:space="0"/>
                  </w:tcBorders>
                  <w:shd w:val="clear" w:color="auto" w:fill="auto"/>
                  <w:noWrap w:val="0"/>
                  <w:vAlign w:val="center"/>
                </w:tcPr>
                <w:p w14:paraId="26CF519B">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w:t>
                  </w:r>
                  <w:r>
                    <w:rPr>
                      <w:rFonts w:hint="eastAsia" w:cs="Times New Roman"/>
                      <w:color w:val="auto"/>
                      <w:sz w:val="21"/>
                      <w:szCs w:val="21"/>
                      <w:vertAlign w:val="superscript"/>
                      <w:lang w:val="en-US" w:eastAsia="zh-CN"/>
                    </w:rPr>
                    <w:t>8</w:t>
                  </w:r>
                  <w:r>
                    <w:rPr>
                      <w:rFonts w:hint="default" w:ascii="Times New Roman" w:hAnsi="Times New Roman" w:eastAsia="宋体" w:cs="Times New Roman"/>
                      <w:color w:val="auto"/>
                      <w:sz w:val="21"/>
                      <w:szCs w:val="21"/>
                      <w:lang w:val="en-US" w:eastAsia="zh-CN"/>
                    </w:rPr>
                    <w:t>m</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lang w:val="en-US" w:eastAsia="zh-CN"/>
                    </w:rPr>
                    <w:t>/s</w:t>
                  </w:r>
                </w:p>
              </w:tc>
              <w:tc>
                <w:tcPr>
                  <w:tcW w:w="759" w:type="pct"/>
                  <w:tcBorders>
                    <w:top w:val="nil"/>
                    <w:left w:val="nil"/>
                    <w:bottom w:val="single" w:color="auto" w:sz="4" w:space="0"/>
                    <w:right w:val="single" w:color="auto" w:sz="4" w:space="0"/>
                  </w:tcBorders>
                  <w:shd w:val="clear" w:color="auto" w:fill="auto"/>
                  <w:noWrap w:val="0"/>
                  <w:vAlign w:val="center"/>
                </w:tcPr>
                <w:p w14:paraId="7103A5C4">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r>
                    <w:rPr>
                      <w:rFonts w:hint="eastAsia"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25</w:t>
                  </w:r>
                </w:p>
              </w:tc>
              <w:tc>
                <w:tcPr>
                  <w:tcW w:w="759" w:type="pct"/>
                  <w:tcBorders>
                    <w:top w:val="nil"/>
                    <w:left w:val="nil"/>
                    <w:bottom w:val="single" w:color="auto" w:sz="4" w:space="0"/>
                    <w:right w:val="single" w:color="auto" w:sz="4" w:space="0"/>
                  </w:tcBorders>
                  <w:shd w:val="clear" w:color="auto" w:fill="auto"/>
                  <w:noWrap w:val="0"/>
                  <w:vAlign w:val="center"/>
                </w:tcPr>
                <w:p w14:paraId="6BC08273">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r>
                    <w:rPr>
                      <w:rFonts w:hint="eastAsia"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25</w:t>
                  </w:r>
                </w:p>
              </w:tc>
              <w:tc>
                <w:tcPr>
                  <w:tcW w:w="757" w:type="pct"/>
                  <w:tcBorders>
                    <w:top w:val="nil"/>
                    <w:left w:val="nil"/>
                    <w:bottom w:val="single" w:color="auto" w:sz="4" w:space="0"/>
                    <w:right w:val="single" w:color="auto" w:sz="4" w:space="0"/>
                  </w:tcBorders>
                  <w:shd w:val="clear" w:color="auto" w:fill="auto"/>
                  <w:noWrap w:val="0"/>
                  <w:vAlign w:val="center"/>
                </w:tcPr>
                <w:p w14:paraId="5D475BB1">
                  <w:pPr>
                    <w:jc w:val="center"/>
                    <w:rPr>
                      <w:rFonts w:hint="default" w:ascii="Times New Roman" w:hAnsi="Times New Roman" w:eastAsia="宋体" w:cs="Times New Roman"/>
                      <w:color w:val="auto"/>
                      <w:sz w:val="21"/>
                      <w:szCs w:val="21"/>
                      <w:lang w:val="en-US" w:eastAsia="zh-CN"/>
                    </w:rPr>
                  </w:pPr>
                </w:p>
              </w:tc>
            </w:tr>
            <w:tr w14:paraId="7A921F43">
              <w:tblPrEx>
                <w:tblCellMar>
                  <w:top w:w="0" w:type="dxa"/>
                  <w:left w:w="108" w:type="dxa"/>
                  <w:bottom w:w="0" w:type="dxa"/>
                  <w:right w:w="108" w:type="dxa"/>
                </w:tblCellMar>
              </w:tblPrEx>
              <w:trPr>
                <w:trHeight w:val="375" w:hRule="exact"/>
                <w:jc w:val="center"/>
              </w:trPr>
              <w:tc>
                <w:tcPr>
                  <w:tcW w:w="532" w:type="pct"/>
                  <w:tcBorders>
                    <w:top w:val="nil"/>
                    <w:left w:val="single" w:color="auto" w:sz="4" w:space="0"/>
                    <w:bottom w:val="single" w:color="auto" w:sz="4" w:space="0"/>
                    <w:right w:val="single" w:color="auto" w:sz="4" w:space="0"/>
                  </w:tcBorders>
                  <w:shd w:val="clear" w:color="auto" w:fill="auto"/>
                  <w:noWrap w:val="0"/>
                  <w:vAlign w:val="center"/>
                </w:tcPr>
                <w:p w14:paraId="66F00C3D">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三</w:t>
                  </w:r>
                </w:p>
              </w:tc>
              <w:tc>
                <w:tcPr>
                  <w:tcW w:w="1515" w:type="pct"/>
                  <w:tcBorders>
                    <w:top w:val="nil"/>
                    <w:left w:val="nil"/>
                    <w:bottom w:val="single" w:color="auto" w:sz="4" w:space="0"/>
                    <w:right w:val="single" w:color="auto" w:sz="4" w:space="0"/>
                  </w:tcBorders>
                  <w:shd w:val="clear" w:color="auto" w:fill="auto"/>
                  <w:noWrap w:val="0"/>
                  <w:vAlign w:val="center"/>
                </w:tcPr>
                <w:p w14:paraId="1F32456F">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水库水位</w:t>
                  </w:r>
                </w:p>
              </w:tc>
              <w:tc>
                <w:tcPr>
                  <w:tcW w:w="676" w:type="pct"/>
                  <w:tcBorders>
                    <w:top w:val="nil"/>
                    <w:left w:val="nil"/>
                    <w:bottom w:val="single" w:color="auto" w:sz="4" w:space="0"/>
                    <w:right w:val="single" w:color="auto" w:sz="4" w:space="0"/>
                  </w:tcBorders>
                  <w:shd w:val="clear" w:color="auto" w:fill="auto"/>
                  <w:noWrap w:val="0"/>
                  <w:vAlign w:val="center"/>
                </w:tcPr>
                <w:p w14:paraId="2040BB26">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w:t>
                  </w:r>
                </w:p>
              </w:tc>
              <w:tc>
                <w:tcPr>
                  <w:tcW w:w="759" w:type="pct"/>
                  <w:tcBorders>
                    <w:top w:val="nil"/>
                    <w:left w:val="nil"/>
                    <w:bottom w:val="single" w:color="auto" w:sz="4" w:space="0"/>
                    <w:right w:val="single" w:color="auto" w:sz="4" w:space="0"/>
                  </w:tcBorders>
                  <w:shd w:val="clear" w:color="auto" w:fill="auto"/>
                  <w:noWrap w:val="0"/>
                  <w:vAlign w:val="center"/>
                </w:tcPr>
                <w:p w14:paraId="685432F4">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w:t>
                  </w:r>
                </w:p>
              </w:tc>
              <w:tc>
                <w:tcPr>
                  <w:tcW w:w="759" w:type="pct"/>
                  <w:tcBorders>
                    <w:top w:val="nil"/>
                    <w:left w:val="nil"/>
                    <w:bottom w:val="single" w:color="auto" w:sz="4" w:space="0"/>
                    <w:right w:val="single" w:color="auto" w:sz="4" w:space="0"/>
                  </w:tcBorders>
                  <w:shd w:val="clear" w:color="auto" w:fill="auto"/>
                  <w:noWrap w:val="0"/>
                  <w:vAlign w:val="center"/>
                </w:tcPr>
                <w:p w14:paraId="0407BCCB">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w:t>
                  </w:r>
                </w:p>
              </w:tc>
              <w:tc>
                <w:tcPr>
                  <w:tcW w:w="757" w:type="pct"/>
                  <w:tcBorders>
                    <w:top w:val="nil"/>
                    <w:left w:val="nil"/>
                    <w:bottom w:val="single" w:color="auto" w:sz="4" w:space="0"/>
                    <w:right w:val="single" w:color="auto" w:sz="4" w:space="0"/>
                  </w:tcBorders>
                  <w:shd w:val="clear" w:color="auto" w:fill="auto"/>
                  <w:noWrap w:val="0"/>
                  <w:vAlign w:val="center"/>
                </w:tcPr>
                <w:p w14:paraId="2CAE06AA">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w:t>
                  </w:r>
                </w:p>
              </w:tc>
            </w:tr>
            <w:tr w14:paraId="0667C5DB">
              <w:tblPrEx>
                <w:tblCellMar>
                  <w:top w:w="0" w:type="dxa"/>
                  <w:left w:w="108" w:type="dxa"/>
                  <w:bottom w:w="0" w:type="dxa"/>
                  <w:right w:w="108" w:type="dxa"/>
                </w:tblCellMar>
              </w:tblPrEx>
              <w:trPr>
                <w:trHeight w:val="425" w:hRule="exact"/>
                <w:jc w:val="center"/>
              </w:trPr>
              <w:tc>
                <w:tcPr>
                  <w:tcW w:w="532" w:type="pct"/>
                  <w:tcBorders>
                    <w:top w:val="nil"/>
                    <w:left w:val="single" w:color="auto" w:sz="4" w:space="0"/>
                    <w:bottom w:val="single" w:color="auto" w:sz="4" w:space="0"/>
                    <w:right w:val="single" w:color="auto" w:sz="4" w:space="0"/>
                  </w:tcBorders>
                  <w:shd w:val="clear" w:color="auto" w:fill="auto"/>
                  <w:noWrap w:val="0"/>
                  <w:vAlign w:val="center"/>
                </w:tcPr>
                <w:p w14:paraId="11F54350">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3.1</w:t>
                  </w:r>
                </w:p>
              </w:tc>
              <w:tc>
                <w:tcPr>
                  <w:tcW w:w="1515" w:type="pct"/>
                  <w:tcBorders>
                    <w:top w:val="nil"/>
                    <w:left w:val="nil"/>
                    <w:bottom w:val="single" w:color="auto" w:sz="4" w:space="0"/>
                    <w:right w:val="single" w:color="auto" w:sz="4" w:space="0"/>
                  </w:tcBorders>
                  <w:shd w:val="clear" w:color="auto" w:fill="auto"/>
                  <w:noWrap w:val="0"/>
                  <w:vAlign w:val="center"/>
                </w:tcPr>
                <w:p w14:paraId="32D5269D">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设计洪水位</w:t>
                  </w:r>
                </w:p>
              </w:tc>
              <w:tc>
                <w:tcPr>
                  <w:tcW w:w="676" w:type="pct"/>
                  <w:tcBorders>
                    <w:top w:val="nil"/>
                    <w:left w:val="nil"/>
                    <w:bottom w:val="single" w:color="auto" w:sz="4" w:space="0"/>
                    <w:right w:val="single" w:color="auto" w:sz="4" w:space="0"/>
                  </w:tcBorders>
                  <w:shd w:val="clear" w:color="auto" w:fill="auto"/>
                  <w:noWrap w:val="0"/>
                  <w:vAlign w:val="center"/>
                </w:tcPr>
                <w:p w14:paraId="06D0A02A">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m</w:t>
                  </w:r>
                </w:p>
              </w:tc>
              <w:tc>
                <w:tcPr>
                  <w:tcW w:w="1228" w:type="dxa"/>
                  <w:tcBorders>
                    <w:top w:val="nil"/>
                    <w:left w:val="nil"/>
                    <w:bottom w:val="single" w:color="auto" w:sz="4" w:space="0"/>
                    <w:right w:val="single" w:color="auto" w:sz="4" w:space="0"/>
                  </w:tcBorders>
                  <w:shd w:val="clear" w:color="auto" w:fill="auto"/>
                  <w:noWrap w:val="0"/>
                  <w:vAlign w:val="center"/>
                </w:tcPr>
                <w:p w14:paraId="0916BC3E">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r>
                    <w:rPr>
                      <w:rFonts w:hint="eastAsia" w:cs="Times New Roman"/>
                      <w:color w:val="auto"/>
                      <w:sz w:val="21"/>
                      <w:szCs w:val="21"/>
                      <w:lang w:val="en-US" w:eastAsia="zh-CN"/>
                    </w:rPr>
                    <w:t>28.30</w:t>
                  </w:r>
                </w:p>
              </w:tc>
              <w:tc>
                <w:tcPr>
                  <w:tcW w:w="1228" w:type="dxa"/>
                  <w:tcBorders>
                    <w:top w:val="nil"/>
                    <w:left w:val="nil"/>
                    <w:bottom w:val="single" w:color="auto" w:sz="4" w:space="0"/>
                    <w:right w:val="single" w:color="auto" w:sz="4" w:space="0"/>
                  </w:tcBorders>
                  <w:shd w:val="clear" w:color="auto" w:fill="auto"/>
                  <w:noWrap w:val="0"/>
                  <w:vAlign w:val="center"/>
                </w:tcPr>
                <w:p w14:paraId="1F86EE83">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r>
                    <w:rPr>
                      <w:rFonts w:hint="eastAsia" w:cs="Times New Roman"/>
                      <w:color w:val="auto"/>
                      <w:sz w:val="21"/>
                      <w:szCs w:val="21"/>
                      <w:lang w:val="en-US" w:eastAsia="zh-CN"/>
                    </w:rPr>
                    <w:t>28.30</w:t>
                  </w:r>
                </w:p>
              </w:tc>
              <w:tc>
                <w:tcPr>
                  <w:tcW w:w="757" w:type="pct"/>
                  <w:tcBorders>
                    <w:top w:val="nil"/>
                    <w:left w:val="nil"/>
                    <w:bottom w:val="single" w:color="auto" w:sz="4" w:space="0"/>
                    <w:right w:val="single" w:color="auto" w:sz="4" w:space="0"/>
                  </w:tcBorders>
                  <w:shd w:val="clear" w:color="auto" w:fill="auto"/>
                  <w:noWrap w:val="0"/>
                  <w:vAlign w:val="center"/>
                </w:tcPr>
                <w:p w14:paraId="7E8362D6">
                  <w:pPr>
                    <w:jc w:val="center"/>
                    <w:rPr>
                      <w:rFonts w:hint="default" w:ascii="Times New Roman" w:hAnsi="Times New Roman" w:eastAsia="宋体" w:cs="Times New Roman"/>
                      <w:color w:val="auto"/>
                      <w:sz w:val="21"/>
                      <w:szCs w:val="21"/>
                      <w:lang w:val="en-US" w:eastAsia="zh-CN"/>
                    </w:rPr>
                  </w:pPr>
                </w:p>
              </w:tc>
            </w:tr>
            <w:tr w14:paraId="1AF817C0">
              <w:tblPrEx>
                <w:tblCellMar>
                  <w:top w:w="0" w:type="dxa"/>
                  <w:left w:w="108" w:type="dxa"/>
                  <w:bottom w:w="0" w:type="dxa"/>
                  <w:right w:w="108" w:type="dxa"/>
                </w:tblCellMar>
              </w:tblPrEx>
              <w:trPr>
                <w:trHeight w:val="358" w:hRule="exact"/>
                <w:jc w:val="center"/>
              </w:trPr>
              <w:tc>
                <w:tcPr>
                  <w:tcW w:w="532" w:type="pct"/>
                  <w:tcBorders>
                    <w:top w:val="nil"/>
                    <w:left w:val="single" w:color="auto" w:sz="4" w:space="0"/>
                    <w:bottom w:val="single" w:color="auto" w:sz="4" w:space="0"/>
                    <w:right w:val="single" w:color="auto" w:sz="4" w:space="0"/>
                  </w:tcBorders>
                  <w:shd w:val="clear" w:color="auto" w:fill="auto"/>
                  <w:noWrap w:val="0"/>
                  <w:vAlign w:val="center"/>
                </w:tcPr>
                <w:p w14:paraId="4F48BDD7">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3.2</w:t>
                  </w:r>
                </w:p>
              </w:tc>
              <w:tc>
                <w:tcPr>
                  <w:tcW w:w="1515" w:type="pct"/>
                  <w:tcBorders>
                    <w:top w:val="nil"/>
                    <w:left w:val="nil"/>
                    <w:bottom w:val="single" w:color="auto" w:sz="4" w:space="0"/>
                    <w:right w:val="single" w:color="auto" w:sz="4" w:space="0"/>
                  </w:tcBorders>
                  <w:shd w:val="clear" w:color="auto" w:fill="auto"/>
                  <w:noWrap w:val="0"/>
                  <w:vAlign w:val="center"/>
                </w:tcPr>
                <w:p w14:paraId="0C9B62C0">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校核洪水位</w:t>
                  </w:r>
                </w:p>
              </w:tc>
              <w:tc>
                <w:tcPr>
                  <w:tcW w:w="676" w:type="pct"/>
                  <w:tcBorders>
                    <w:top w:val="nil"/>
                    <w:left w:val="nil"/>
                    <w:bottom w:val="single" w:color="auto" w:sz="4" w:space="0"/>
                    <w:right w:val="single" w:color="auto" w:sz="4" w:space="0"/>
                  </w:tcBorders>
                  <w:shd w:val="clear" w:color="auto" w:fill="auto"/>
                  <w:noWrap w:val="0"/>
                  <w:vAlign w:val="center"/>
                </w:tcPr>
                <w:p w14:paraId="4BFFF536">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m</w:t>
                  </w:r>
                </w:p>
              </w:tc>
              <w:tc>
                <w:tcPr>
                  <w:tcW w:w="1228" w:type="dxa"/>
                  <w:tcBorders>
                    <w:top w:val="nil"/>
                    <w:left w:val="nil"/>
                    <w:bottom w:val="single" w:color="auto" w:sz="4" w:space="0"/>
                    <w:right w:val="single" w:color="auto" w:sz="4" w:space="0"/>
                  </w:tcBorders>
                  <w:shd w:val="clear" w:color="auto" w:fill="auto"/>
                  <w:noWrap w:val="0"/>
                  <w:vAlign w:val="center"/>
                </w:tcPr>
                <w:p w14:paraId="186DACBC">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r>
                    <w:rPr>
                      <w:rFonts w:hint="eastAsia" w:cs="Times New Roman"/>
                      <w:color w:val="auto"/>
                      <w:sz w:val="21"/>
                      <w:szCs w:val="21"/>
                      <w:lang w:val="en-US" w:eastAsia="zh-CN"/>
                    </w:rPr>
                    <w:t>29.75</w:t>
                  </w:r>
                </w:p>
              </w:tc>
              <w:tc>
                <w:tcPr>
                  <w:tcW w:w="1228" w:type="dxa"/>
                  <w:tcBorders>
                    <w:top w:val="nil"/>
                    <w:left w:val="nil"/>
                    <w:bottom w:val="single" w:color="auto" w:sz="4" w:space="0"/>
                    <w:right w:val="single" w:color="auto" w:sz="4" w:space="0"/>
                  </w:tcBorders>
                  <w:shd w:val="clear" w:color="auto" w:fill="auto"/>
                  <w:noWrap w:val="0"/>
                  <w:vAlign w:val="center"/>
                </w:tcPr>
                <w:p w14:paraId="145C5B1F">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r>
                    <w:rPr>
                      <w:rFonts w:hint="eastAsia" w:cs="Times New Roman"/>
                      <w:color w:val="auto"/>
                      <w:sz w:val="21"/>
                      <w:szCs w:val="21"/>
                      <w:lang w:val="en-US" w:eastAsia="zh-CN"/>
                    </w:rPr>
                    <w:t>29.75</w:t>
                  </w:r>
                </w:p>
              </w:tc>
              <w:tc>
                <w:tcPr>
                  <w:tcW w:w="757" w:type="pct"/>
                  <w:tcBorders>
                    <w:top w:val="nil"/>
                    <w:left w:val="nil"/>
                    <w:bottom w:val="single" w:color="auto" w:sz="4" w:space="0"/>
                    <w:right w:val="single" w:color="auto" w:sz="4" w:space="0"/>
                  </w:tcBorders>
                  <w:shd w:val="clear" w:color="auto" w:fill="auto"/>
                  <w:noWrap w:val="0"/>
                  <w:vAlign w:val="center"/>
                </w:tcPr>
                <w:p w14:paraId="2DBAF425">
                  <w:pPr>
                    <w:jc w:val="center"/>
                    <w:rPr>
                      <w:rFonts w:hint="default" w:ascii="Times New Roman" w:hAnsi="Times New Roman" w:eastAsia="宋体" w:cs="Times New Roman"/>
                      <w:color w:val="auto"/>
                      <w:sz w:val="21"/>
                      <w:szCs w:val="21"/>
                      <w:lang w:val="en-US" w:eastAsia="zh-CN"/>
                    </w:rPr>
                  </w:pPr>
                </w:p>
              </w:tc>
            </w:tr>
            <w:tr w14:paraId="16DC4EC4">
              <w:tblPrEx>
                <w:tblCellMar>
                  <w:top w:w="0" w:type="dxa"/>
                  <w:left w:w="108" w:type="dxa"/>
                  <w:bottom w:w="0" w:type="dxa"/>
                  <w:right w:w="108" w:type="dxa"/>
                </w:tblCellMar>
              </w:tblPrEx>
              <w:trPr>
                <w:trHeight w:val="359" w:hRule="exact"/>
                <w:jc w:val="center"/>
              </w:trPr>
              <w:tc>
                <w:tcPr>
                  <w:tcW w:w="532" w:type="pct"/>
                  <w:tcBorders>
                    <w:top w:val="nil"/>
                    <w:left w:val="single" w:color="auto" w:sz="4" w:space="0"/>
                    <w:bottom w:val="single" w:color="auto" w:sz="4" w:space="0"/>
                    <w:right w:val="single" w:color="auto" w:sz="4" w:space="0"/>
                  </w:tcBorders>
                  <w:shd w:val="clear" w:color="auto" w:fill="auto"/>
                  <w:noWrap w:val="0"/>
                  <w:vAlign w:val="center"/>
                </w:tcPr>
                <w:p w14:paraId="4E17382A">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3.3</w:t>
                  </w:r>
                </w:p>
              </w:tc>
              <w:tc>
                <w:tcPr>
                  <w:tcW w:w="1515" w:type="pct"/>
                  <w:tcBorders>
                    <w:top w:val="nil"/>
                    <w:left w:val="nil"/>
                    <w:bottom w:val="single" w:color="auto" w:sz="4" w:space="0"/>
                    <w:right w:val="single" w:color="auto" w:sz="4" w:space="0"/>
                  </w:tcBorders>
                  <w:shd w:val="clear" w:color="auto" w:fill="auto"/>
                  <w:noWrap w:val="0"/>
                  <w:vAlign w:val="center"/>
                </w:tcPr>
                <w:p w14:paraId="59E23073">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正常蓄水位</w:t>
                  </w:r>
                </w:p>
              </w:tc>
              <w:tc>
                <w:tcPr>
                  <w:tcW w:w="676" w:type="pct"/>
                  <w:tcBorders>
                    <w:top w:val="nil"/>
                    <w:left w:val="nil"/>
                    <w:bottom w:val="single" w:color="auto" w:sz="4" w:space="0"/>
                    <w:right w:val="single" w:color="auto" w:sz="4" w:space="0"/>
                  </w:tcBorders>
                  <w:shd w:val="clear" w:color="auto" w:fill="auto"/>
                  <w:noWrap w:val="0"/>
                  <w:vAlign w:val="center"/>
                </w:tcPr>
                <w:p w14:paraId="1137362C">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m</w:t>
                  </w:r>
                </w:p>
              </w:tc>
              <w:tc>
                <w:tcPr>
                  <w:tcW w:w="1228" w:type="dxa"/>
                  <w:tcBorders>
                    <w:top w:val="nil"/>
                    <w:left w:val="nil"/>
                    <w:bottom w:val="single" w:color="auto" w:sz="4" w:space="0"/>
                    <w:right w:val="single" w:color="auto" w:sz="4" w:space="0"/>
                  </w:tcBorders>
                  <w:shd w:val="clear" w:color="auto" w:fill="auto"/>
                  <w:noWrap w:val="0"/>
                  <w:vAlign w:val="center"/>
                </w:tcPr>
                <w:p w14:paraId="2A4F4064">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r>
                    <w:rPr>
                      <w:rFonts w:hint="eastAsia" w:cs="Times New Roman"/>
                      <w:color w:val="auto"/>
                      <w:sz w:val="21"/>
                      <w:szCs w:val="21"/>
                      <w:lang w:val="en-US" w:eastAsia="zh-CN"/>
                    </w:rPr>
                    <w:t>26.8</w:t>
                  </w:r>
                </w:p>
              </w:tc>
              <w:tc>
                <w:tcPr>
                  <w:tcW w:w="1228" w:type="dxa"/>
                  <w:tcBorders>
                    <w:top w:val="nil"/>
                    <w:left w:val="nil"/>
                    <w:bottom w:val="single" w:color="auto" w:sz="4" w:space="0"/>
                    <w:right w:val="single" w:color="auto" w:sz="4" w:space="0"/>
                  </w:tcBorders>
                  <w:shd w:val="clear" w:color="auto" w:fill="auto"/>
                  <w:noWrap w:val="0"/>
                  <w:vAlign w:val="center"/>
                </w:tcPr>
                <w:p w14:paraId="4B23227E">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r>
                    <w:rPr>
                      <w:rFonts w:hint="eastAsia" w:cs="Times New Roman"/>
                      <w:color w:val="auto"/>
                      <w:sz w:val="21"/>
                      <w:szCs w:val="21"/>
                      <w:lang w:val="en-US" w:eastAsia="zh-CN"/>
                    </w:rPr>
                    <w:t>26.8</w:t>
                  </w:r>
                </w:p>
              </w:tc>
              <w:tc>
                <w:tcPr>
                  <w:tcW w:w="757" w:type="pct"/>
                  <w:tcBorders>
                    <w:top w:val="nil"/>
                    <w:left w:val="nil"/>
                    <w:bottom w:val="single" w:color="auto" w:sz="4" w:space="0"/>
                    <w:right w:val="single" w:color="auto" w:sz="4" w:space="0"/>
                  </w:tcBorders>
                  <w:shd w:val="clear" w:color="auto" w:fill="auto"/>
                  <w:noWrap w:val="0"/>
                  <w:vAlign w:val="center"/>
                </w:tcPr>
                <w:p w14:paraId="75A7F3FF">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w:t>
                  </w:r>
                </w:p>
              </w:tc>
            </w:tr>
            <w:tr w14:paraId="5D64B8BE">
              <w:tblPrEx>
                <w:tblCellMar>
                  <w:top w:w="0" w:type="dxa"/>
                  <w:left w:w="108" w:type="dxa"/>
                  <w:bottom w:w="0" w:type="dxa"/>
                  <w:right w:w="108" w:type="dxa"/>
                </w:tblCellMar>
              </w:tblPrEx>
              <w:trPr>
                <w:trHeight w:val="358" w:hRule="exact"/>
                <w:jc w:val="center"/>
              </w:trPr>
              <w:tc>
                <w:tcPr>
                  <w:tcW w:w="532" w:type="pct"/>
                  <w:tcBorders>
                    <w:top w:val="nil"/>
                    <w:left w:val="single" w:color="auto" w:sz="4" w:space="0"/>
                    <w:bottom w:val="single" w:color="auto" w:sz="4" w:space="0"/>
                    <w:right w:val="single" w:color="auto" w:sz="4" w:space="0"/>
                  </w:tcBorders>
                  <w:shd w:val="clear" w:color="auto" w:fill="auto"/>
                  <w:noWrap w:val="0"/>
                  <w:vAlign w:val="center"/>
                </w:tcPr>
                <w:p w14:paraId="1BDD200B">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w:t>
                  </w:r>
                  <w:r>
                    <w:rPr>
                      <w:rFonts w:hint="eastAsia" w:cs="Times New Roman"/>
                      <w:color w:val="auto"/>
                      <w:sz w:val="21"/>
                      <w:szCs w:val="21"/>
                      <w:lang w:val="en-US" w:eastAsia="zh-CN"/>
                    </w:rPr>
                    <w:t>4</w:t>
                  </w:r>
                </w:p>
              </w:tc>
              <w:tc>
                <w:tcPr>
                  <w:tcW w:w="1515" w:type="pct"/>
                  <w:tcBorders>
                    <w:top w:val="nil"/>
                    <w:left w:val="nil"/>
                    <w:bottom w:val="single" w:color="auto" w:sz="4" w:space="0"/>
                    <w:right w:val="single" w:color="auto" w:sz="4" w:space="0"/>
                  </w:tcBorders>
                  <w:shd w:val="clear" w:color="auto" w:fill="auto"/>
                  <w:noWrap w:val="0"/>
                  <w:vAlign w:val="center"/>
                </w:tcPr>
                <w:p w14:paraId="666A8EA7">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死水位</w:t>
                  </w:r>
                </w:p>
              </w:tc>
              <w:tc>
                <w:tcPr>
                  <w:tcW w:w="676" w:type="pct"/>
                  <w:tcBorders>
                    <w:top w:val="nil"/>
                    <w:left w:val="nil"/>
                    <w:bottom w:val="single" w:color="auto" w:sz="4" w:space="0"/>
                    <w:right w:val="single" w:color="auto" w:sz="4" w:space="0"/>
                  </w:tcBorders>
                  <w:shd w:val="clear" w:color="auto" w:fill="auto"/>
                  <w:noWrap w:val="0"/>
                  <w:vAlign w:val="center"/>
                </w:tcPr>
                <w:p w14:paraId="3D702A84">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m</w:t>
                  </w:r>
                </w:p>
              </w:tc>
              <w:tc>
                <w:tcPr>
                  <w:tcW w:w="1228" w:type="dxa"/>
                  <w:tcBorders>
                    <w:top w:val="nil"/>
                    <w:left w:val="nil"/>
                    <w:bottom w:val="single" w:color="auto" w:sz="4" w:space="0"/>
                    <w:right w:val="single" w:color="auto" w:sz="4" w:space="0"/>
                  </w:tcBorders>
                  <w:shd w:val="clear" w:color="auto" w:fill="auto"/>
                  <w:noWrap w:val="0"/>
                  <w:vAlign w:val="center"/>
                </w:tcPr>
                <w:p w14:paraId="545F0BCD">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r>
                    <w:rPr>
                      <w:rFonts w:hint="eastAsia" w:cs="Times New Roman"/>
                      <w:color w:val="auto"/>
                      <w:sz w:val="21"/>
                      <w:szCs w:val="21"/>
                      <w:lang w:val="en-US" w:eastAsia="zh-CN"/>
                    </w:rPr>
                    <w:t>21</w:t>
                  </w:r>
                </w:p>
              </w:tc>
              <w:tc>
                <w:tcPr>
                  <w:tcW w:w="1228" w:type="dxa"/>
                  <w:tcBorders>
                    <w:top w:val="nil"/>
                    <w:left w:val="nil"/>
                    <w:bottom w:val="single" w:color="auto" w:sz="4" w:space="0"/>
                    <w:right w:val="single" w:color="auto" w:sz="4" w:space="0"/>
                  </w:tcBorders>
                  <w:shd w:val="clear" w:color="auto" w:fill="auto"/>
                  <w:noWrap w:val="0"/>
                  <w:vAlign w:val="center"/>
                </w:tcPr>
                <w:p w14:paraId="60DC44F0">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r>
                    <w:rPr>
                      <w:rFonts w:hint="eastAsia" w:cs="Times New Roman"/>
                      <w:color w:val="auto"/>
                      <w:sz w:val="21"/>
                      <w:szCs w:val="21"/>
                      <w:lang w:val="en-US" w:eastAsia="zh-CN"/>
                    </w:rPr>
                    <w:t>21</w:t>
                  </w:r>
                </w:p>
              </w:tc>
              <w:tc>
                <w:tcPr>
                  <w:tcW w:w="757" w:type="pct"/>
                  <w:tcBorders>
                    <w:top w:val="nil"/>
                    <w:left w:val="nil"/>
                    <w:bottom w:val="single" w:color="auto" w:sz="4" w:space="0"/>
                    <w:right w:val="single" w:color="auto" w:sz="4" w:space="0"/>
                  </w:tcBorders>
                  <w:shd w:val="clear" w:color="auto" w:fill="auto"/>
                  <w:noWrap w:val="0"/>
                  <w:vAlign w:val="center"/>
                </w:tcPr>
                <w:p w14:paraId="72E21581">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w:t>
                  </w:r>
                </w:p>
              </w:tc>
            </w:tr>
            <w:tr w14:paraId="1144C4FD">
              <w:tblPrEx>
                <w:tblCellMar>
                  <w:top w:w="0" w:type="dxa"/>
                  <w:left w:w="108" w:type="dxa"/>
                  <w:bottom w:w="0" w:type="dxa"/>
                  <w:right w:w="108" w:type="dxa"/>
                </w:tblCellMar>
              </w:tblPrEx>
              <w:trPr>
                <w:trHeight w:val="284" w:hRule="exact"/>
                <w:jc w:val="center"/>
              </w:trPr>
              <w:tc>
                <w:tcPr>
                  <w:tcW w:w="532" w:type="pct"/>
                  <w:tcBorders>
                    <w:top w:val="nil"/>
                    <w:left w:val="single" w:color="auto" w:sz="4" w:space="0"/>
                    <w:bottom w:val="single" w:color="auto" w:sz="4" w:space="0"/>
                    <w:right w:val="single" w:color="auto" w:sz="4" w:space="0"/>
                  </w:tcBorders>
                  <w:shd w:val="clear" w:color="auto" w:fill="auto"/>
                  <w:noWrap w:val="0"/>
                  <w:vAlign w:val="center"/>
                </w:tcPr>
                <w:p w14:paraId="65E78CD9">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四</w:t>
                  </w:r>
                </w:p>
              </w:tc>
              <w:tc>
                <w:tcPr>
                  <w:tcW w:w="1515" w:type="pct"/>
                  <w:tcBorders>
                    <w:top w:val="nil"/>
                    <w:left w:val="nil"/>
                    <w:bottom w:val="single" w:color="auto" w:sz="4" w:space="0"/>
                    <w:right w:val="single" w:color="auto" w:sz="4" w:space="0"/>
                  </w:tcBorders>
                  <w:shd w:val="clear" w:color="auto" w:fill="auto"/>
                  <w:noWrap w:val="0"/>
                  <w:vAlign w:val="center"/>
                </w:tcPr>
                <w:p w14:paraId="257852A9">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水库库容</w:t>
                  </w:r>
                </w:p>
              </w:tc>
              <w:tc>
                <w:tcPr>
                  <w:tcW w:w="676" w:type="pct"/>
                  <w:tcBorders>
                    <w:top w:val="nil"/>
                    <w:left w:val="nil"/>
                    <w:bottom w:val="single" w:color="auto" w:sz="4" w:space="0"/>
                    <w:right w:val="single" w:color="auto" w:sz="4" w:space="0"/>
                  </w:tcBorders>
                  <w:shd w:val="clear" w:color="auto" w:fill="auto"/>
                  <w:noWrap w:val="0"/>
                  <w:vAlign w:val="center"/>
                </w:tcPr>
                <w:p w14:paraId="21BF46E3">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w:t>
                  </w:r>
                </w:p>
              </w:tc>
              <w:tc>
                <w:tcPr>
                  <w:tcW w:w="759" w:type="pct"/>
                  <w:tcBorders>
                    <w:top w:val="nil"/>
                    <w:left w:val="nil"/>
                    <w:bottom w:val="single" w:color="auto" w:sz="4" w:space="0"/>
                    <w:right w:val="single" w:color="auto" w:sz="4" w:space="0"/>
                  </w:tcBorders>
                  <w:shd w:val="clear" w:color="auto" w:fill="auto"/>
                  <w:noWrap w:val="0"/>
                  <w:vAlign w:val="center"/>
                </w:tcPr>
                <w:p w14:paraId="30911AB6">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w:t>
                  </w:r>
                </w:p>
              </w:tc>
              <w:tc>
                <w:tcPr>
                  <w:tcW w:w="759" w:type="pct"/>
                  <w:tcBorders>
                    <w:top w:val="nil"/>
                    <w:left w:val="nil"/>
                    <w:bottom w:val="single" w:color="auto" w:sz="4" w:space="0"/>
                    <w:right w:val="single" w:color="auto" w:sz="4" w:space="0"/>
                  </w:tcBorders>
                  <w:shd w:val="clear" w:color="auto" w:fill="auto"/>
                  <w:noWrap w:val="0"/>
                  <w:vAlign w:val="center"/>
                </w:tcPr>
                <w:p w14:paraId="04B06F1D">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w:t>
                  </w:r>
                </w:p>
              </w:tc>
              <w:tc>
                <w:tcPr>
                  <w:tcW w:w="757" w:type="pct"/>
                  <w:tcBorders>
                    <w:top w:val="nil"/>
                    <w:left w:val="nil"/>
                    <w:bottom w:val="single" w:color="auto" w:sz="4" w:space="0"/>
                    <w:right w:val="single" w:color="auto" w:sz="4" w:space="0"/>
                  </w:tcBorders>
                  <w:shd w:val="clear" w:color="auto" w:fill="auto"/>
                  <w:noWrap w:val="0"/>
                  <w:vAlign w:val="center"/>
                </w:tcPr>
                <w:p w14:paraId="1C7A6BF8">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w:t>
                  </w:r>
                </w:p>
              </w:tc>
            </w:tr>
            <w:tr w14:paraId="63B7977D">
              <w:tblPrEx>
                <w:tblCellMar>
                  <w:top w:w="0" w:type="dxa"/>
                  <w:left w:w="108" w:type="dxa"/>
                  <w:bottom w:w="0" w:type="dxa"/>
                  <w:right w:w="108" w:type="dxa"/>
                </w:tblCellMar>
              </w:tblPrEx>
              <w:trPr>
                <w:trHeight w:val="398" w:hRule="exact"/>
                <w:jc w:val="center"/>
              </w:trPr>
              <w:tc>
                <w:tcPr>
                  <w:tcW w:w="532" w:type="pct"/>
                  <w:tcBorders>
                    <w:top w:val="nil"/>
                    <w:left w:val="single" w:color="auto" w:sz="4" w:space="0"/>
                    <w:bottom w:val="single" w:color="auto" w:sz="4" w:space="0"/>
                    <w:right w:val="single" w:color="auto" w:sz="4" w:space="0"/>
                  </w:tcBorders>
                  <w:shd w:val="clear" w:color="auto" w:fill="auto"/>
                  <w:noWrap w:val="0"/>
                  <w:vAlign w:val="center"/>
                </w:tcPr>
                <w:p w14:paraId="7AB4AD25">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4.1</w:t>
                  </w:r>
                </w:p>
              </w:tc>
              <w:tc>
                <w:tcPr>
                  <w:tcW w:w="1515" w:type="pct"/>
                  <w:tcBorders>
                    <w:top w:val="nil"/>
                    <w:left w:val="nil"/>
                    <w:bottom w:val="single" w:color="auto" w:sz="4" w:space="0"/>
                    <w:right w:val="single" w:color="auto" w:sz="4" w:space="0"/>
                  </w:tcBorders>
                  <w:shd w:val="clear" w:color="auto" w:fill="auto"/>
                  <w:noWrap w:val="0"/>
                  <w:vAlign w:val="center"/>
                </w:tcPr>
                <w:p w14:paraId="31D8F6B0">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总库容</w:t>
                  </w:r>
                </w:p>
              </w:tc>
              <w:tc>
                <w:tcPr>
                  <w:tcW w:w="676" w:type="pct"/>
                  <w:tcBorders>
                    <w:top w:val="nil"/>
                    <w:left w:val="nil"/>
                    <w:bottom w:val="single" w:color="auto" w:sz="4" w:space="0"/>
                    <w:right w:val="single" w:color="auto" w:sz="4" w:space="0"/>
                  </w:tcBorders>
                  <w:shd w:val="clear" w:color="auto" w:fill="auto"/>
                  <w:noWrap w:val="0"/>
                  <w:vAlign w:val="center"/>
                </w:tcPr>
                <w:p w14:paraId="3847CB4D">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w:t>
                  </w:r>
                  <w:r>
                    <w:rPr>
                      <w:rFonts w:hint="eastAsia" w:cs="Times New Roman"/>
                      <w:color w:val="auto"/>
                      <w:sz w:val="21"/>
                      <w:szCs w:val="21"/>
                      <w:vertAlign w:val="superscript"/>
                      <w:lang w:val="en-US" w:eastAsia="zh-CN"/>
                    </w:rPr>
                    <w:t>8</w:t>
                  </w:r>
                  <w:r>
                    <w:rPr>
                      <w:rFonts w:hint="default" w:ascii="Times New Roman" w:hAnsi="Times New Roman" w:eastAsia="宋体" w:cs="Times New Roman"/>
                      <w:color w:val="auto"/>
                      <w:sz w:val="21"/>
                      <w:szCs w:val="21"/>
                      <w:lang w:val="en-US" w:eastAsia="zh-CN"/>
                    </w:rPr>
                    <w:t>m</w:t>
                  </w:r>
                  <w:r>
                    <w:rPr>
                      <w:rFonts w:hint="default" w:ascii="Times New Roman" w:hAnsi="Times New Roman" w:eastAsia="宋体" w:cs="Times New Roman"/>
                      <w:color w:val="auto"/>
                      <w:sz w:val="21"/>
                      <w:szCs w:val="21"/>
                      <w:vertAlign w:val="superscript"/>
                      <w:lang w:val="en-US" w:eastAsia="zh-CN"/>
                    </w:rPr>
                    <w:t>3</w:t>
                  </w:r>
                </w:p>
              </w:tc>
              <w:tc>
                <w:tcPr>
                  <w:tcW w:w="759" w:type="pct"/>
                  <w:tcBorders>
                    <w:top w:val="nil"/>
                    <w:left w:val="nil"/>
                    <w:bottom w:val="single" w:color="auto" w:sz="4" w:space="0"/>
                    <w:right w:val="single" w:color="auto" w:sz="4" w:space="0"/>
                  </w:tcBorders>
                  <w:shd w:val="clear" w:color="auto" w:fill="auto"/>
                  <w:noWrap w:val="0"/>
                  <w:vAlign w:val="center"/>
                </w:tcPr>
                <w:p w14:paraId="19E416C0">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4.01</w:t>
                  </w:r>
                </w:p>
              </w:tc>
              <w:tc>
                <w:tcPr>
                  <w:tcW w:w="759" w:type="pct"/>
                  <w:tcBorders>
                    <w:top w:val="nil"/>
                    <w:left w:val="nil"/>
                    <w:bottom w:val="single" w:color="auto" w:sz="4" w:space="0"/>
                    <w:right w:val="single" w:color="auto" w:sz="4" w:space="0"/>
                  </w:tcBorders>
                  <w:shd w:val="clear" w:color="auto" w:fill="auto"/>
                  <w:noWrap w:val="0"/>
                  <w:vAlign w:val="center"/>
                </w:tcPr>
                <w:p w14:paraId="2F5E6DB3">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4.01</w:t>
                  </w:r>
                </w:p>
              </w:tc>
              <w:tc>
                <w:tcPr>
                  <w:tcW w:w="757" w:type="pct"/>
                  <w:tcBorders>
                    <w:top w:val="nil"/>
                    <w:left w:val="nil"/>
                    <w:bottom w:val="single" w:color="auto" w:sz="4" w:space="0"/>
                    <w:right w:val="single" w:color="auto" w:sz="4" w:space="0"/>
                  </w:tcBorders>
                  <w:shd w:val="clear" w:color="auto" w:fill="auto"/>
                  <w:noWrap w:val="0"/>
                  <w:vAlign w:val="center"/>
                </w:tcPr>
                <w:p w14:paraId="67ACDA9B">
                  <w:pPr>
                    <w:jc w:val="center"/>
                    <w:rPr>
                      <w:rFonts w:hint="default" w:ascii="Times New Roman" w:hAnsi="Times New Roman" w:eastAsia="宋体" w:cs="Times New Roman"/>
                      <w:color w:val="auto"/>
                      <w:sz w:val="21"/>
                      <w:szCs w:val="21"/>
                      <w:lang w:val="en-US" w:eastAsia="zh-CN"/>
                    </w:rPr>
                  </w:pPr>
                </w:p>
              </w:tc>
            </w:tr>
            <w:tr w14:paraId="4691796A">
              <w:tblPrEx>
                <w:tblCellMar>
                  <w:top w:w="0" w:type="dxa"/>
                  <w:left w:w="108" w:type="dxa"/>
                  <w:bottom w:w="0" w:type="dxa"/>
                  <w:right w:w="108" w:type="dxa"/>
                </w:tblCellMar>
              </w:tblPrEx>
              <w:trPr>
                <w:trHeight w:val="375" w:hRule="exact"/>
                <w:jc w:val="center"/>
              </w:trPr>
              <w:tc>
                <w:tcPr>
                  <w:tcW w:w="532" w:type="pct"/>
                  <w:tcBorders>
                    <w:top w:val="nil"/>
                    <w:left w:val="single" w:color="auto" w:sz="4" w:space="0"/>
                    <w:bottom w:val="single" w:color="auto" w:sz="4" w:space="0"/>
                    <w:right w:val="single" w:color="auto" w:sz="4" w:space="0"/>
                  </w:tcBorders>
                  <w:shd w:val="clear" w:color="auto" w:fill="auto"/>
                  <w:noWrap w:val="0"/>
                  <w:vAlign w:val="center"/>
                </w:tcPr>
                <w:p w14:paraId="36E3C0C7">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4.2</w:t>
                  </w:r>
                </w:p>
              </w:tc>
              <w:tc>
                <w:tcPr>
                  <w:tcW w:w="1515" w:type="pct"/>
                  <w:tcBorders>
                    <w:top w:val="nil"/>
                    <w:left w:val="nil"/>
                    <w:bottom w:val="single" w:color="auto" w:sz="4" w:space="0"/>
                    <w:right w:val="single" w:color="auto" w:sz="4" w:space="0"/>
                  </w:tcBorders>
                  <w:shd w:val="clear" w:color="auto" w:fill="auto"/>
                  <w:noWrap w:val="0"/>
                  <w:vAlign w:val="center"/>
                </w:tcPr>
                <w:p w14:paraId="03034946">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正常蓄水位以下</w:t>
                  </w:r>
                  <w:r>
                    <w:rPr>
                      <w:rFonts w:hint="default" w:ascii="Times New Roman" w:hAnsi="Times New Roman" w:eastAsia="宋体" w:cs="Times New Roman"/>
                      <w:color w:val="auto"/>
                      <w:sz w:val="21"/>
                      <w:szCs w:val="21"/>
                      <w:lang w:val="en-US" w:eastAsia="zh-CN"/>
                    </w:rPr>
                    <w:t>库容</w:t>
                  </w:r>
                </w:p>
              </w:tc>
              <w:tc>
                <w:tcPr>
                  <w:tcW w:w="676" w:type="pct"/>
                  <w:tcBorders>
                    <w:top w:val="nil"/>
                    <w:left w:val="nil"/>
                    <w:bottom w:val="single" w:color="auto" w:sz="4" w:space="0"/>
                    <w:right w:val="single" w:color="auto" w:sz="4" w:space="0"/>
                  </w:tcBorders>
                  <w:shd w:val="clear" w:color="auto" w:fill="auto"/>
                  <w:noWrap w:val="0"/>
                  <w:vAlign w:val="center"/>
                </w:tcPr>
                <w:p w14:paraId="6E65578A">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w:t>
                  </w:r>
                  <w:r>
                    <w:rPr>
                      <w:rFonts w:hint="eastAsia" w:cs="Times New Roman"/>
                      <w:color w:val="auto"/>
                      <w:sz w:val="21"/>
                      <w:szCs w:val="21"/>
                      <w:vertAlign w:val="superscript"/>
                      <w:lang w:val="en-US" w:eastAsia="zh-CN"/>
                    </w:rPr>
                    <w:t>8</w:t>
                  </w:r>
                  <w:r>
                    <w:rPr>
                      <w:rFonts w:hint="default" w:ascii="Times New Roman" w:hAnsi="Times New Roman" w:eastAsia="宋体" w:cs="Times New Roman"/>
                      <w:color w:val="auto"/>
                      <w:sz w:val="21"/>
                      <w:szCs w:val="21"/>
                      <w:lang w:val="en-US" w:eastAsia="zh-CN"/>
                    </w:rPr>
                    <w:t>m</w:t>
                  </w:r>
                  <w:r>
                    <w:rPr>
                      <w:rFonts w:hint="default" w:ascii="Times New Roman" w:hAnsi="Times New Roman" w:eastAsia="宋体" w:cs="Times New Roman"/>
                      <w:color w:val="auto"/>
                      <w:sz w:val="21"/>
                      <w:szCs w:val="21"/>
                      <w:vertAlign w:val="superscript"/>
                      <w:lang w:val="en-US" w:eastAsia="zh-CN"/>
                    </w:rPr>
                    <w:t>3</w:t>
                  </w:r>
                </w:p>
              </w:tc>
              <w:tc>
                <w:tcPr>
                  <w:tcW w:w="759" w:type="pct"/>
                  <w:tcBorders>
                    <w:top w:val="nil"/>
                    <w:left w:val="nil"/>
                    <w:bottom w:val="single" w:color="auto" w:sz="4" w:space="0"/>
                    <w:right w:val="single" w:color="auto" w:sz="4" w:space="0"/>
                  </w:tcBorders>
                  <w:shd w:val="clear" w:color="auto" w:fill="auto"/>
                  <w:noWrap w:val="0"/>
                  <w:vAlign w:val="center"/>
                </w:tcPr>
                <w:p w14:paraId="12AE171A">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2.19</w:t>
                  </w:r>
                </w:p>
              </w:tc>
              <w:tc>
                <w:tcPr>
                  <w:tcW w:w="759" w:type="pct"/>
                  <w:tcBorders>
                    <w:top w:val="nil"/>
                    <w:left w:val="nil"/>
                    <w:bottom w:val="single" w:color="auto" w:sz="4" w:space="0"/>
                    <w:right w:val="single" w:color="auto" w:sz="4" w:space="0"/>
                  </w:tcBorders>
                  <w:shd w:val="clear" w:color="auto" w:fill="auto"/>
                  <w:noWrap w:val="0"/>
                  <w:vAlign w:val="center"/>
                </w:tcPr>
                <w:p w14:paraId="77A97DBE">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2.19</w:t>
                  </w:r>
                </w:p>
              </w:tc>
              <w:tc>
                <w:tcPr>
                  <w:tcW w:w="757" w:type="pct"/>
                  <w:tcBorders>
                    <w:top w:val="nil"/>
                    <w:left w:val="nil"/>
                    <w:bottom w:val="single" w:color="auto" w:sz="4" w:space="0"/>
                    <w:right w:val="single" w:color="auto" w:sz="4" w:space="0"/>
                  </w:tcBorders>
                  <w:shd w:val="clear" w:color="auto" w:fill="auto"/>
                  <w:noWrap w:val="0"/>
                  <w:vAlign w:val="center"/>
                </w:tcPr>
                <w:p w14:paraId="05F1A96B">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w:t>
                  </w:r>
                </w:p>
              </w:tc>
            </w:tr>
            <w:tr w14:paraId="11DD1CAA">
              <w:tblPrEx>
                <w:tblCellMar>
                  <w:top w:w="0" w:type="dxa"/>
                  <w:left w:w="108" w:type="dxa"/>
                  <w:bottom w:w="0" w:type="dxa"/>
                  <w:right w:w="108" w:type="dxa"/>
                </w:tblCellMar>
              </w:tblPrEx>
              <w:trPr>
                <w:trHeight w:val="408" w:hRule="exact"/>
                <w:jc w:val="center"/>
              </w:trPr>
              <w:tc>
                <w:tcPr>
                  <w:tcW w:w="532" w:type="pct"/>
                  <w:tcBorders>
                    <w:top w:val="nil"/>
                    <w:left w:val="single" w:color="auto" w:sz="4" w:space="0"/>
                    <w:bottom w:val="single" w:color="auto" w:sz="4" w:space="0"/>
                    <w:right w:val="single" w:color="auto" w:sz="4" w:space="0"/>
                  </w:tcBorders>
                  <w:shd w:val="clear" w:color="auto" w:fill="auto"/>
                  <w:noWrap w:val="0"/>
                  <w:vAlign w:val="center"/>
                </w:tcPr>
                <w:p w14:paraId="316DB9F3">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4.3</w:t>
                  </w:r>
                </w:p>
              </w:tc>
              <w:tc>
                <w:tcPr>
                  <w:tcW w:w="1515" w:type="pct"/>
                  <w:tcBorders>
                    <w:top w:val="nil"/>
                    <w:left w:val="nil"/>
                    <w:bottom w:val="single" w:color="auto" w:sz="4" w:space="0"/>
                    <w:right w:val="single" w:color="auto" w:sz="4" w:space="0"/>
                  </w:tcBorders>
                  <w:shd w:val="clear" w:color="auto" w:fill="auto"/>
                  <w:noWrap w:val="0"/>
                  <w:vAlign w:val="center"/>
                </w:tcPr>
                <w:p w14:paraId="2164C0DC">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死库容</w:t>
                  </w:r>
                </w:p>
              </w:tc>
              <w:tc>
                <w:tcPr>
                  <w:tcW w:w="676" w:type="pct"/>
                  <w:tcBorders>
                    <w:top w:val="nil"/>
                    <w:left w:val="nil"/>
                    <w:bottom w:val="single" w:color="auto" w:sz="4" w:space="0"/>
                    <w:right w:val="single" w:color="auto" w:sz="4" w:space="0"/>
                  </w:tcBorders>
                  <w:shd w:val="clear" w:color="auto" w:fill="auto"/>
                  <w:noWrap w:val="0"/>
                  <w:vAlign w:val="center"/>
                </w:tcPr>
                <w:p w14:paraId="513E1561">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w:t>
                  </w:r>
                  <w:r>
                    <w:rPr>
                      <w:rFonts w:hint="eastAsia" w:cs="Times New Roman"/>
                      <w:color w:val="auto"/>
                      <w:sz w:val="21"/>
                      <w:szCs w:val="21"/>
                      <w:vertAlign w:val="superscript"/>
                      <w:lang w:val="en-US" w:eastAsia="zh-CN"/>
                    </w:rPr>
                    <w:t>8</w:t>
                  </w:r>
                  <w:r>
                    <w:rPr>
                      <w:rFonts w:hint="default" w:ascii="Times New Roman" w:hAnsi="Times New Roman" w:eastAsia="宋体" w:cs="Times New Roman"/>
                      <w:color w:val="auto"/>
                      <w:sz w:val="21"/>
                      <w:szCs w:val="21"/>
                      <w:lang w:val="en-US" w:eastAsia="zh-CN"/>
                    </w:rPr>
                    <w:t>m</w:t>
                  </w:r>
                  <w:r>
                    <w:rPr>
                      <w:rFonts w:hint="default" w:ascii="Times New Roman" w:hAnsi="Times New Roman" w:eastAsia="宋体" w:cs="Times New Roman"/>
                      <w:color w:val="auto"/>
                      <w:sz w:val="21"/>
                      <w:szCs w:val="21"/>
                      <w:vertAlign w:val="superscript"/>
                      <w:lang w:val="en-US" w:eastAsia="zh-CN"/>
                    </w:rPr>
                    <w:t>3</w:t>
                  </w:r>
                </w:p>
              </w:tc>
              <w:tc>
                <w:tcPr>
                  <w:tcW w:w="759" w:type="pct"/>
                  <w:tcBorders>
                    <w:top w:val="nil"/>
                    <w:left w:val="nil"/>
                    <w:bottom w:val="single" w:color="auto" w:sz="4" w:space="0"/>
                    <w:right w:val="single" w:color="auto" w:sz="4" w:space="0"/>
                  </w:tcBorders>
                  <w:shd w:val="clear" w:color="auto" w:fill="auto"/>
                  <w:noWrap w:val="0"/>
                  <w:vAlign w:val="center"/>
                </w:tcPr>
                <w:p w14:paraId="2FB7C285">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1.84</w:t>
                  </w:r>
                </w:p>
              </w:tc>
              <w:tc>
                <w:tcPr>
                  <w:tcW w:w="759" w:type="pct"/>
                  <w:tcBorders>
                    <w:top w:val="nil"/>
                    <w:left w:val="nil"/>
                    <w:bottom w:val="single" w:color="auto" w:sz="4" w:space="0"/>
                    <w:right w:val="single" w:color="auto" w:sz="4" w:space="0"/>
                  </w:tcBorders>
                  <w:shd w:val="clear" w:color="auto" w:fill="auto"/>
                  <w:noWrap w:val="0"/>
                  <w:vAlign w:val="center"/>
                </w:tcPr>
                <w:p w14:paraId="6671C581">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1.84</w:t>
                  </w:r>
                </w:p>
              </w:tc>
              <w:tc>
                <w:tcPr>
                  <w:tcW w:w="757" w:type="pct"/>
                  <w:tcBorders>
                    <w:top w:val="nil"/>
                    <w:left w:val="nil"/>
                    <w:bottom w:val="single" w:color="auto" w:sz="4" w:space="0"/>
                    <w:right w:val="single" w:color="auto" w:sz="4" w:space="0"/>
                  </w:tcBorders>
                  <w:shd w:val="clear" w:color="auto" w:fill="auto"/>
                  <w:noWrap w:val="0"/>
                  <w:vAlign w:val="center"/>
                </w:tcPr>
                <w:p w14:paraId="350B4C8C">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w:t>
                  </w:r>
                </w:p>
              </w:tc>
            </w:tr>
            <w:tr w14:paraId="7A7B43DA">
              <w:tblPrEx>
                <w:tblCellMar>
                  <w:top w:w="0" w:type="dxa"/>
                  <w:left w:w="108" w:type="dxa"/>
                  <w:bottom w:w="0" w:type="dxa"/>
                  <w:right w:w="108" w:type="dxa"/>
                </w:tblCellMar>
              </w:tblPrEx>
              <w:trPr>
                <w:trHeight w:val="315" w:hRule="exact"/>
                <w:jc w:val="center"/>
              </w:trPr>
              <w:tc>
                <w:tcPr>
                  <w:tcW w:w="532" w:type="pct"/>
                  <w:tcBorders>
                    <w:top w:val="nil"/>
                    <w:left w:val="single" w:color="auto" w:sz="4" w:space="0"/>
                    <w:bottom w:val="single" w:color="auto" w:sz="4" w:space="0"/>
                    <w:right w:val="single" w:color="auto" w:sz="4" w:space="0"/>
                  </w:tcBorders>
                  <w:shd w:val="clear" w:color="auto" w:fill="auto"/>
                  <w:noWrap w:val="0"/>
                  <w:vAlign w:val="center"/>
                </w:tcPr>
                <w:p w14:paraId="501F6500">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4.4</w:t>
                  </w:r>
                </w:p>
              </w:tc>
              <w:tc>
                <w:tcPr>
                  <w:tcW w:w="1515" w:type="pct"/>
                  <w:tcBorders>
                    <w:top w:val="nil"/>
                    <w:left w:val="nil"/>
                    <w:bottom w:val="single" w:color="auto" w:sz="4" w:space="0"/>
                    <w:right w:val="single" w:color="auto" w:sz="4" w:space="0"/>
                  </w:tcBorders>
                  <w:shd w:val="clear" w:color="auto" w:fill="auto"/>
                  <w:noWrap w:val="0"/>
                  <w:vAlign w:val="center"/>
                </w:tcPr>
                <w:p w14:paraId="6504D9D7">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调节库容</w:t>
                  </w:r>
                </w:p>
              </w:tc>
              <w:tc>
                <w:tcPr>
                  <w:tcW w:w="676" w:type="pct"/>
                  <w:tcBorders>
                    <w:top w:val="nil"/>
                    <w:left w:val="nil"/>
                    <w:bottom w:val="single" w:color="auto" w:sz="4" w:space="0"/>
                    <w:right w:val="single" w:color="auto" w:sz="4" w:space="0"/>
                  </w:tcBorders>
                  <w:shd w:val="clear" w:color="auto" w:fill="auto"/>
                  <w:noWrap w:val="0"/>
                  <w:vAlign w:val="center"/>
                </w:tcPr>
                <w:p w14:paraId="7943C7A6">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w:t>
                  </w:r>
                  <w:r>
                    <w:rPr>
                      <w:rFonts w:hint="eastAsia" w:cs="Times New Roman"/>
                      <w:color w:val="auto"/>
                      <w:sz w:val="21"/>
                      <w:szCs w:val="21"/>
                      <w:vertAlign w:val="superscript"/>
                      <w:lang w:val="en-US" w:eastAsia="zh-CN"/>
                    </w:rPr>
                    <w:t>8</w:t>
                  </w:r>
                  <w:r>
                    <w:rPr>
                      <w:rFonts w:hint="default" w:ascii="Times New Roman" w:hAnsi="Times New Roman" w:eastAsia="宋体" w:cs="Times New Roman"/>
                      <w:color w:val="auto"/>
                      <w:sz w:val="21"/>
                      <w:szCs w:val="21"/>
                      <w:lang w:val="en-US" w:eastAsia="zh-CN"/>
                    </w:rPr>
                    <w:t>m</w:t>
                  </w:r>
                  <w:r>
                    <w:rPr>
                      <w:rFonts w:hint="default" w:ascii="Times New Roman" w:hAnsi="Times New Roman" w:eastAsia="宋体" w:cs="Times New Roman"/>
                      <w:color w:val="auto"/>
                      <w:sz w:val="21"/>
                      <w:szCs w:val="21"/>
                      <w:vertAlign w:val="superscript"/>
                      <w:lang w:val="en-US" w:eastAsia="zh-CN"/>
                    </w:rPr>
                    <w:t>3</w:t>
                  </w:r>
                </w:p>
              </w:tc>
              <w:tc>
                <w:tcPr>
                  <w:tcW w:w="759" w:type="pct"/>
                  <w:tcBorders>
                    <w:top w:val="nil"/>
                    <w:left w:val="nil"/>
                    <w:bottom w:val="single" w:color="auto" w:sz="4" w:space="0"/>
                    <w:right w:val="single" w:color="auto" w:sz="4" w:space="0"/>
                  </w:tcBorders>
                  <w:shd w:val="clear" w:color="auto" w:fill="auto"/>
                  <w:noWrap w:val="0"/>
                  <w:vAlign w:val="center"/>
                </w:tcPr>
                <w:p w14:paraId="54C90ADA">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0.35</w:t>
                  </w:r>
                </w:p>
              </w:tc>
              <w:tc>
                <w:tcPr>
                  <w:tcW w:w="759" w:type="pct"/>
                  <w:tcBorders>
                    <w:top w:val="nil"/>
                    <w:left w:val="nil"/>
                    <w:bottom w:val="single" w:color="auto" w:sz="4" w:space="0"/>
                    <w:right w:val="single" w:color="auto" w:sz="4" w:space="0"/>
                  </w:tcBorders>
                  <w:shd w:val="clear" w:color="auto" w:fill="auto"/>
                  <w:noWrap w:val="0"/>
                  <w:vAlign w:val="center"/>
                </w:tcPr>
                <w:p w14:paraId="25ED5140">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0.35</w:t>
                  </w:r>
                </w:p>
              </w:tc>
              <w:tc>
                <w:tcPr>
                  <w:tcW w:w="757" w:type="pct"/>
                  <w:tcBorders>
                    <w:top w:val="nil"/>
                    <w:left w:val="nil"/>
                    <w:bottom w:val="single" w:color="auto" w:sz="4" w:space="0"/>
                    <w:right w:val="single" w:color="auto" w:sz="4" w:space="0"/>
                  </w:tcBorders>
                  <w:shd w:val="clear" w:color="auto" w:fill="auto"/>
                  <w:noWrap w:val="0"/>
                  <w:vAlign w:val="center"/>
                </w:tcPr>
                <w:p w14:paraId="05274590">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w:t>
                  </w:r>
                </w:p>
              </w:tc>
            </w:tr>
            <w:tr w14:paraId="1B091252">
              <w:tblPrEx>
                <w:tblCellMar>
                  <w:top w:w="0" w:type="dxa"/>
                  <w:left w:w="108" w:type="dxa"/>
                  <w:bottom w:w="0" w:type="dxa"/>
                  <w:right w:w="108" w:type="dxa"/>
                </w:tblCellMar>
              </w:tblPrEx>
              <w:trPr>
                <w:trHeight w:val="359" w:hRule="exact"/>
                <w:jc w:val="center"/>
              </w:trPr>
              <w:tc>
                <w:tcPr>
                  <w:tcW w:w="532" w:type="pct"/>
                  <w:tcBorders>
                    <w:top w:val="nil"/>
                    <w:left w:val="single" w:color="auto" w:sz="4" w:space="0"/>
                    <w:bottom w:val="single" w:color="auto" w:sz="4" w:space="0"/>
                    <w:right w:val="single" w:color="auto" w:sz="4" w:space="0"/>
                  </w:tcBorders>
                  <w:shd w:val="clear" w:color="auto" w:fill="auto"/>
                  <w:noWrap w:val="0"/>
                  <w:vAlign w:val="center"/>
                </w:tcPr>
                <w:p w14:paraId="4DAEB2E8">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五</w:t>
                  </w:r>
                </w:p>
              </w:tc>
              <w:tc>
                <w:tcPr>
                  <w:tcW w:w="1515" w:type="pct"/>
                  <w:tcBorders>
                    <w:top w:val="nil"/>
                    <w:left w:val="nil"/>
                    <w:bottom w:val="single" w:color="auto" w:sz="4" w:space="0"/>
                    <w:right w:val="single" w:color="auto" w:sz="4" w:space="0"/>
                  </w:tcBorders>
                  <w:shd w:val="clear" w:color="auto" w:fill="auto"/>
                  <w:noWrap w:val="0"/>
                  <w:vAlign w:val="center"/>
                </w:tcPr>
                <w:p w14:paraId="185DDCCF">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调节性能</w:t>
                  </w:r>
                </w:p>
              </w:tc>
              <w:tc>
                <w:tcPr>
                  <w:tcW w:w="676" w:type="pct"/>
                  <w:tcBorders>
                    <w:top w:val="nil"/>
                    <w:left w:val="nil"/>
                    <w:bottom w:val="single" w:color="auto" w:sz="4" w:space="0"/>
                    <w:right w:val="single" w:color="auto" w:sz="4" w:space="0"/>
                  </w:tcBorders>
                  <w:shd w:val="clear" w:color="auto" w:fill="auto"/>
                  <w:noWrap w:val="0"/>
                  <w:vAlign w:val="center"/>
                </w:tcPr>
                <w:p w14:paraId="2DA3DCAE">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w:t>
                  </w:r>
                </w:p>
              </w:tc>
              <w:tc>
                <w:tcPr>
                  <w:tcW w:w="759" w:type="pct"/>
                  <w:tcBorders>
                    <w:top w:val="nil"/>
                    <w:left w:val="nil"/>
                    <w:bottom w:val="single" w:color="auto" w:sz="4" w:space="0"/>
                    <w:right w:val="single" w:color="auto" w:sz="4" w:space="0"/>
                  </w:tcBorders>
                  <w:shd w:val="clear" w:color="auto" w:fill="auto"/>
                  <w:noWrap w:val="0"/>
                  <w:vAlign w:val="center"/>
                </w:tcPr>
                <w:p w14:paraId="29D50E35">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多年调节</w:t>
                  </w:r>
                </w:p>
              </w:tc>
              <w:tc>
                <w:tcPr>
                  <w:tcW w:w="759" w:type="pct"/>
                  <w:tcBorders>
                    <w:top w:val="nil"/>
                    <w:left w:val="nil"/>
                    <w:bottom w:val="single" w:color="auto" w:sz="4" w:space="0"/>
                    <w:right w:val="single" w:color="auto" w:sz="4" w:space="0"/>
                  </w:tcBorders>
                  <w:shd w:val="clear" w:color="auto" w:fill="auto"/>
                  <w:noWrap w:val="0"/>
                  <w:vAlign w:val="center"/>
                </w:tcPr>
                <w:p w14:paraId="0887546A">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多年调节</w:t>
                  </w:r>
                </w:p>
              </w:tc>
              <w:tc>
                <w:tcPr>
                  <w:tcW w:w="757" w:type="pct"/>
                  <w:tcBorders>
                    <w:top w:val="nil"/>
                    <w:left w:val="nil"/>
                    <w:bottom w:val="single" w:color="auto" w:sz="4" w:space="0"/>
                    <w:right w:val="single" w:color="auto" w:sz="4" w:space="0"/>
                  </w:tcBorders>
                  <w:shd w:val="clear" w:color="auto" w:fill="auto"/>
                  <w:noWrap w:val="0"/>
                  <w:vAlign w:val="center"/>
                </w:tcPr>
                <w:p w14:paraId="5E5A8CAA">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w:t>
                  </w:r>
                </w:p>
              </w:tc>
            </w:tr>
            <w:tr w14:paraId="3899B25A">
              <w:tblPrEx>
                <w:tblCellMar>
                  <w:top w:w="0" w:type="dxa"/>
                  <w:left w:w="108" w:type="dxa"/>
                  <w:bottom w:w="0" w:type="dxa"/>
                  <w:right w:w="108" w:type="dxa"/>
                </w:tblCellMar>
              </w:tblPrEx>
              <w:trPr>
                <w:trHeight w:val="349" w:hRule="exact"/>
                <w:jc w:val="center"/>
              </w:trPr>
              <w:tc>
                <w:tcPr>
                  <w:tcW w:w="532" w:type="pct"/>
                  <w:tcBorders>
                    <w:top w:val="nil"/>
                    <w:left w:val="single" w:color="auto" w:sz="4" w:space="0"/>
                    <w:bottom w:val="single" w:color="auto" w:sz="4" w:space="0"/>
                    <w:right w:val="single" w:color="auto" w:sz="4" w:space="0"/>
                  </w:tcBorders>
                  <w:shd w:val="clear" w:color="auto" w:fill="auto"/>
                  <w:noWrap w:val="0"/>
                  <w:vAlign w:val="center"/>
                </w:tcPr>
                <w:p w14:paraId="5855973F">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六</w:t>
                  </w:r>
                </w:p>
              </w:tc>
              <w:tc>
                <w:tcPr>
                  <w:tcW w:w="1515" w:type="pct"/>
                  <w:tcBorders>
                    <w:top w:val="nil"/>
                    <w:left w:val="nil"/>
                    <w:bottom w:val="single" w:color="auto" w:sz="4" w:space="0"/>
                    <w:right w:val="single" w:color="auto" w:sz="4" w:space="0"/>
                  </w:tcBorders>
                  <w:shd w:val="clear" w:color="auto" w:fill="auto"/>
                  <w:noWrap w:val="0"/>
                  <w:vAlign w:val="center"/>
                </w:tcPr>
                <w:p w14:paraId="6E16B7A1">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库容系数</w:t>
                  </w:r>
                </w:p>
              </w:tc>
              <w:tc>
                <w:tcPr>
                  <w:tcW w:w="676" w:type="pct"/>
                  <w:tcBorders>
                    <w:top w:val="nil"/>
                    <w:left w:val="nil"/>
                    <w:bottom w:val="single" w:color="auto" w:sz="4" w:space="0"/>
                    <w:right w:val="single" w:color="auto" w:sz="4" w:space="0"/>
                  </w:tcBorders>
                  <w:shd w:val="clear" w:color="auto" w:fill="auto"/>
                  <w:noWrap w:val="0"/>
                  <w:vAlign w:val="center"/>
                </w:tcPr>
                <w:p w14:paraId="513BBC41">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759" w:type="pct"/>
                  <w:tcBorders>
                    <w:top w:val="nil"/>
                    <w:left w:val="nil"/>
                    <w:bottom w:val="single" w:color="auto" w:sz="4" w:space="0"/>
                    <w:right w:val="single" w:color="auto" w:sz="4" w:space="0"/>
                  </w:tcBorders>
                  <w:shd w:val="clear" w:color="auto" w:fill="auto"/>
                  <w:noWrap w:val="0"/>
                  <w:vAlign w:val="center"/>
                </w:tcPr>
                <w:p w14:paraId="360D0023">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54.3</w:t>
                  </w:r>
                </w:p>
              </w:tc>
              <w:tc>
                <w:tcPr>
                  <w:tcW w:w="759" w:type="pct"/>
                  <w:tcBorders>
                    <w:top w:val="nil"/>
                    <w:left w:val="nil"/>
                    <w:bottom w:val="single" w:color="auto" w:sz="4" w:space="0"/>
                    <w:right w:val="single" w:color="auto" w:sz="4" w:space="0"/>
                  </w:tcBorders>
                  <w:shd w:val="clear" w:color="auto" w:fill="auto"/>
                  <w:noWrap w:val="0"/>
                  <w:vAlign w:val="center"/>
                </w:tcPr>
                <w:p w14:paraId="2319AA85">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54.3</w:t>
                  </w:r>
                </w:p>
              </w:tc>
              <w:tc>
                <w:tcPr>
                  <w:tcW w:w="757" w:type="pct"/>
                  <w:tcBorders>
                    <w:top w:val="nil"/>
                    <w:left w:val="nil"/>
                    <w:bottom w:val="single" w:color="auto" w:sz="4" w:space="0"/>
                    <w:right w:val="single" w:color="auto" w:sz="4" w:space="0"/>
                  </w:tcBorders>
                  <w:shd w:val="clear" w:color="auto" w:fill="auto"/>
                  <w:noWrap w:val="0"/>
                  <w:vAlign w:val="center"/>
                </w:tcPr>
                <w:p w14:paraId="3DFCCC95">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w:t>
                  </w:r>
                </w:p>
              </w:tc>
            </w:tr>
            <w:tr w14:paraId="30B6C6CC">
              <w:tblPrEx>
                <w:tblCellMar>
                  <w:top w:w="0" w:type="dxa"/>
                  <w:left w:w="108" w:type="dxa"/>
                  <w:bottom w:w="0" w:type="dxa"/>
                  <w:right w:w="108" w:type="dxa"/>
                </w:tblCellMar>
              </w:tblPrEx>
              <w:trPr>
                <w:trHeight w:val="284" w:hRule="exact"/>
                <w:jc w:val="center"/>
              </w:trPr>
              <w:tc>
                <w:tcPr>
                  <w:tcW w:w="532" w:type="pct"/>
                  <w:tcBorders>
                    <w:top w:val="nil"/>
                    <w:left w:val="single" w:color="auto" w:sz="4" w:space="0"/>
                    <w:bottom w:val="single" w:color="auto" w:sz="4" w:space="0"/>
                    <w:right w:val="single" w:color="auto" w:sz="4" w:space="0"/>
                  </w:tcBorders>
                  <w:shd w:val="clear" w:color="auto" w:fill="auto"/>
                  <w:noWrap w:val="0"/>
                  <w:vAlign w:val="center"/>
                </w:tcPr>
                <w:p w14:paraId="62F27646">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七</w:t>
                  </w:r>
                </w:p>
              </w:tc>
              <w:tc>
                <w:tcPr>
                  <w:tcW w:w="1515" w:type="pct"/>
                  <w:tcBorders>
                    <w:top w:val="nil"/>
                    <w:left w:val="nil"/>
                    <w:bottom w:val="single" w:color="auto" w:sz="4" w:space="0"/>
                    <w:right w:val="single" w:color="auto" w:sz="4" w:space="0"/>
                  </w:tcBorders>
                  <w:shd w:val="clear" w:color="auto" w:fill="auto"/>
                  <w:noWrap w:val="0"/>
                  <w:vAlign w:val="center"/>
                </w:tcPr>
                <w:p w14:paraId="3705D0C2">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电站规模</w:t>
                  </w:r>
                </w:p>
              </w:tc>
              <w:tc>
                <w:tcPr>
                  <w:tcW w:w="676" w:type="pct"/>
                  <w:tcBorders>
                    <w:top w:val="nil"/>
                    <w:left w:val="nil"/>
                    <w:bottom w:val="single" w:color="auto" w:sz="4" w:space="0"/>
                    <w:right w:val="single" w:color="auto" w:sz="4" w:space="0"/>
                  </w:tcBorders>
                  <w:shd w:val="clear" w:color="auto" w:fill="auto"/>
                  <w:noWrap w:val="0"/>
                  <w:vAlign w:val="center"/>
                </w:tcPr>
                <w:p w14:paraId="086BBBEB">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w:t>
                  </w:r>
                </w:p>
              </w:tc>
              <w:tc>
                <w:tcPr>
                  <w:tcW w:w="759" w:type="pct"/>
                  <w:tcBorders>
                    <w:top w:val="nil"/>
                    <w:left w:val="nil"/>
                    <w:bottom w:val="single" w:color="auto" w:sz="4" w:space="0"/>
                    <w:right w:val="single" w:color="auto" w:sz="4" w:space="0"/>
                  </w:tcBorders>
                  <w:shd w:val="clear" w:color="auto" w:fill="auto"/>
                  <w:noWrap w:val="0"/>
                  <w:vAlign w:val="center"/>
                </w:tcPr>
                <w:p w14:paraId="4C43B46A">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w:t>
                  </w:r>
                </w:p>
              </w:tc>
              <w:tc>
                <w:tcPr>
                  <w:tcW w:w="759" w:type="pct"/>
                  <w:tcBorders>
                    <w:top w:val="nil"/>
                    <w:left w:val="nil"/>
                    <w:bottom w:val="single" w:color="auto" w:sz="4" w:space="0"/>
                    <w:right w:val="single" w:color="auto" w:sz="4" w:space="0"/>
                  </w:tcBorders>
                  <w:shd w:val="clear" w:color="auto" w:fill="auto"/>
                  <w:noWrap w:val="0"/>
                  <w:vAlign w:val="center"/>
                </w:tcPr>
                <w:p w14:paraId="434EA732">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w:t>
                  </w:r>
                </w:p>
              </w:tc>
              <w:tc>
                <w:tcPr>
                  <w:tcW w:w="757" w:type="pct"/>
                  <w:tcBorders>
                    <w:top w:val="nil"/>
                    <w:left w:val="nil"/>
                    <w:bottom w:val="single" w:color="auto" w:sz="4" w:space="0"/>
                    <w:right w:val="single" w:color="auto" w:sz="4" w:space="0"/>
                  </w:tcBorders>
                  <w:shd w:val="clear" w:color="auto" w:fill="auto"/>
                  <w:noWrap w:val="0"/>
                  <w:vAlign w:val="center"/>
                </w:tcPr>
                <w:p w14:paraId="3B61069A">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w:t>
                  </w:r>
                </w:p>
              </w:tc>
            </w:tr>
            <w:tr w14:paraId="23DA4C5D">
              <w:tblPrEx>
                <w:tblCellMar>
                  <w:top w:w="0" w:type="dxa"/>
                  <w:left w:w="108" w:type="dxa"/>
                  <w:bottom w:w="0" w:type="dxa"/>
                  <w:right w:w="108" w:type="dxa"/>
                </w:tblCellMar>
              </w:tblPrEx>
              <w:trPr>
                <w:trHeight w:val="341" w:hRule="exact"/>
                <w:jc w:val="center"/>
              </w:trPr>
              <w:tc>
                <w:tcPr>
                  <w:tcW w:w="532" w:type="pct"/>
                  <w:tcBorders>
                    <w:top w:val="nil"/>
                    <w:left w:val="single" w:color="auto" w:sz="4" w:space="0"/>
                    <w:bottom w:val="single" w:color="auto" w:sz="4" w:space="0"/>
                    <w:right w:val="single" w:color="auto" w:sz="4" w:space="0"/>
                  </w:tcBorders>
                  <w:shd w:val="clear" w:color="auto" w:fill="auto"/>
                  <w:noWrap w:val="0"/>
                  <w:vAlign w:val="center"/>
                </w:tcPr>
                <w:p w14:paraId="4D2D44D4">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7.1</w:t>
                  </w:r>
                </w:p>
              </w:tc>
              <w:tc>
                <w:tcPr>
                  <w:tcW w:w="1515" w:type="pct"/>
                  <w:tcBorders>
                    <w:top w:val="nil"/>
                    <w:left w:val="nil"/>
                    <w:bottom w:val="single" w:color="auto" w:sz="4" w:space="0"/>
                    <w:right w:val="single" w:color="auto" w:sz="4" w:space="0"/>
                  </w:tcBorders>
                  <w:shd w:val="clear" w:color="auto" w:fill="auto"/>
                  <w:noWrap w:val="0"/>
                  <w:vAlign w:val="center"/>
                </w:tcPr>
                <w:p w14:paraId="3E164490">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装机容量</w:t>
                  </w:r>
                </w:p>
              </w:tc>
              <w:tc>
                <w:tcPr>
                  <w:tcW w:w="676" w:type="pct"/>
                  <w:tcBorders>
                    <w:top w:val="nil"/>
                    <w:left w:val="nil"/>
                    <w:bottom w:val="single" w:color="auto" w:sz="4" w:space="0"/>
                    <w:right w:val="single" w:color="auto" w:sz="4" w:space="0"/>
                  </w:tcBorders>
                  <w:shd w:val="clear" w:color="auto" w:fill="auto"/>
                  <w:noWrap w:val="0"/>
                  <w:vAlign w:val="center"/>
                </w:tcPr>
                <w:p w14:paraId="7A4AE35A">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kW</w:t>
                  </w:r>
                </w:p>
              </w:tc>
              <w:tc>
                <w:tcPr>
                  <w:tcW w:w="759" w:type="pct"/>
                  <w:tcBorders>
                    <w:top w:val="nil"/>
                    <w:left w:val="nil"/>
                    <w:bottom w:val="single" w:color="auto" w:sz="4" w:space="0"/>
                    <w:right w:val="single" w:color="auto" w:sz="4" w:space="0"/>
                  </w:tcBorders>
                  <w:shd w:val="clear" w:color="auto" w:fill="auto"/>
                  <w:noWrap w:val="0"/>
                  <w:vAlign w:val="center"/>
                </w:tcPr>
                <w:p w14:paraId="2C1AD98F">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720</w:t>
                  </w:r>
                </w:p>
              </w:tc>
              <w:tc>
                <w:tcPr>
                  <w:tcW w:w="759" w:type="pct"/>
                  <w:tcBorders>
                    <w:top w:val="nil"/>
                    <w:left w:val="nil"/>
                    <w:bottom w:val="single" w:color="auto" w:sz="4" w:space="0"/>
                    <w:right w:val="single" w:color="auto" w:sz="4" w:space="0"/>
                  </w:tcBorders>
                  <w:shd w:val="clear" w:color="auto" w:fill="auto"/>
                  <w:noWrap w:val="0"/>
                  <w:vAlign w:val="center"/>
                </w:tcPr>
                <w:p w14:paraId="08BF698E">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8</w:t>
                  </w:r>
                  <w:r>
                    <w:rPr>
                      <w:rFonts w:hint="default" w:ascii="Times New Roman" w:hAnsi="Times New Roman" w:eastAsia="宋体" w:cs="Times New Roman"/>
                      <w:color w:val="auto"/>
                      <w:sz w:val="21"/>
                      <w:szCs w:val="21"/>
                      <w:lang w:val="en-US" w:eastAsia="zh-CN"/>
                    </w:rPr>
                    <w:t>00</w:t>
                  </w:r>
                </w:p>
              </w:tc>
              <w:tc>
                <w:tcPr>
                  <w:tcW w:w="757" w:type="pct"/>
                  <w:tcBorders>
                    <w:top w:val="nil"/>
                    <w:left w:val="nil"/>
                    <w:bottom w:val="single" w:color="auto" w:sz="4" w:space="0"/>
                    <w:right w:val="single" w:color="auto" w:sz="4" w:space="0"/>
                  </w:tcBorders>
                  <w:shd w:val="clear" w:color="auto" w:fill="auto"/>
                  <w:noWrap w:val="0"/>
                  <w:vAlign w:val="center"/>
                </w:tcPr>
                <w:p w14:paraId="2CD9C6DF">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型号</w:t>
                  </w:r>
                </w:p>
              </w:tc>
            </w:tr>
            <w:tr w14:paraId="25CD80B9">
              <w:tblPrEx>
                <w:tblCellMar>
                  <w:top w:w="0" w:type="dxa"/>
                  <w:left w:w="108" w:type="dxa"/>
                  <w:bottom w:w="0" w:type="dxa"/>
                  <w:right w:w="108" w:type="dxa"/>
                </w:tblCellMar>
              </w:tblPrEx>
              <w:trPr>
                <w:trHeight w:val="358" w:hRule="exact"/>
                <w:jc w:val="center"/>
              </w:trPr>
              <w:tc>
                <w:tcPr>
                  <w:tcW w:w="532" w:type="pct"/>
                  <w:tcBorders>
                    <w:top w:val="nil"/>
                    <w:left w:val="single" w:color="auto" w:sz="4" w:space="0"/>
                    <w:bottom w:val="single" w:color="auto" w:sz="4" w:space="0"/>
                    <w:right w:val="single" w:color="auto" w:sz="4" w:space="0"/>
                  </w:tcBorders>
                  <w:shd w:val="clear" w:color="auto" w:fill="auto"/>
                  <w:noWrap w:val="0"/>
                  <w:vAlign w:val="center"/>
                </w:tcPr>
                <w:p w14:paraId="4D909211">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7.2</w:t>
                  </w:r>
                </w:p>
              </w:tc>
              <w:tc>
                <w:tcPr>
                  <w:tcW w:w="1515" w:type="pct"/>
                  <w:tcBorders>
                    <w:top w:val="nil"/>
                    <w:left w:val="nil"/>
                    <w:bottom w:val="single" w:color="auto" w:sz="4" w:space="0"/>
                    <w:right w:val="single" w:color="auto" w:sz="4" w:space="0"/>
                  </w:tcBorders>
                  <w:shd w:val="clear" w:color="auto" w:fill="auto"/>
                  <w:noWrap w:val="0"/>
                  <w:vAlign w:val="center"/>
                </w:tcPr>
                <w:p w14:paraId="33F04565">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出力系数</w:t>
                  </w:r>
                </w:p>
              </w:tc>
              <w:tc>
                <w:tcPr>
                  <w:tcW w:w="676" w:type="pct"/>
                  <w:tcBorders>
                    <w:top w:val="nil"/>
                    <w:left w:val="nil"/>
                    <w:bottom w:val="single" w:color="auto" w:sz="4" w:space="0"/>
                    <w:right w:val="single" w:color="auto" w:sz="4" w:space="0"/>
                  </w:tcBorders>
                  <w:shd w:val="clear" w:color="auto" w:fill="auto"/>
                  <w:noWrap w:val="0"/>
                  <w:vAlign w:val="center"/>
                </w:tcPr>
                <w:p w14:paraId="7F67271D">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w:t>
                  </w:r>
                </w:p>
              </w:tc>
              <w:tc>
                <w:tcPr>
                  <w:tcW w:w="759" w:type="pct"/>
                  <w:tcBorders>
                    <w:top w:val="nil"/>
                    <w:left w:val="nil"/>
                    <w:bottom w:val="single" w:color="auto" w:sz="4" w:space="0"/>
                    <w:right w:val="single" w:color="auto" w:sz="4" w:space="0"/>
                  </w:tcBorders>
                  <w:shd w:val="clear" w:color="auto" w:fill="auto"/>
                  <w:noWrap w:val="0"/>
                  <w:vAlign w:val="center"/>
                </w:tcPr>
                <w:p w14:paraId="621EFB49">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6.1</w:t>
                  </w:r>
                </w:p>
              </w:tc>
              <w:tc>
                <w:tcPr>
                  <w:tcW w:w="759" w:type="pct"/>
                  <w:tcBorders>
                    <w:top w:val="nil"/>
                    <w:left w:val="nil"/>
                    <w:bottom w:val="single" w:color="auto" w:sz="4" w:space="0"/>
                    <w:right w:val="single" w:color="auto" w:sz="4" w:space="0"/>
                  </w:tcBorders>
                  <w:shd w:val="clear" w:color="auto" w:fill="auto"/>
                  <w:noWrap w:val="0"/>
                  <w:vAlign w:val="center"/>
                </w:tcPr>
                <w:p w14:paraId="33E39D1A">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8.1</w:t>
                  </w:r>
                </w:p>
              </w:tc>
              <w:tc>
                <w:tcPr>
                  <w:tcW w:w="757" w:type="pct"/>
                  <w:tcBorders>
                    <w:top w:val="nil"/>
                    <w:left w:val="nil"/>
                    <w:bottom w:val="single" w:color="auto" w:sz="4" w:space="0"/>
                    <w:right w:val="single" w:color="auto" w:sz="4" w:space="0"/>
                  </w:tcBorders>
                  <w:shd w:val="clear" w:color="auto" w:fill="auto"/>
                  <w:noWrap w:val="0"/>
                  <w:vAlign w:val="center"/>
                </w:tcPr>
                <w:p w14:paraId="2555176C">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w:t>
                  </w:r>
                </w:p>
              </w:tc>
            </w:tr>
            <w:tr w14:paraId="624CAE84">
              <w:tblPrEx>
                <w:tblCellMar>
                  <w:top w:w="0" w:type="dxa"/>
                  <w:left w:w="108" w:type="dxa"/>
                  <w:bottom w:w="0" w:type="dxa"/>
                  <w:right w:w="108" w:type="dxa"/>
                </w:tblCellMar>
              </w:tblPrEx>
              <w:trPr>
                <w:trHeight w:val="426" w:hRule="exact"/>
                <w:jc w:val="center"/>
              </w:trPr>
              <w:tc>
                <w:tcPr>
                  <w:tcW w:w="532" w:type="pct"/>
                  <w:tcBorders>
                    <w:top w:val="nil"/>
                    <w:left w:val="single" w:color="auto" w:sz="4" w:space="0"/>
                    <w:bottom w:val="single" w:color="auto" w:sz="4" w:space="0"/>
                    <w:right w:val="single" w:color="auto" w:sz="4" w:space="0"/>
                  </w:tcBorders>
                  <w:shd w:val="clear" w:color="auto" w:fill="auto"/>
                  <w:noWrap w:val="0"/>
                  <w:vAlign w:val="center"/>
                </w:tcPr>
                <w:p w14:paraId="63C6A3ED">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7.3</w:t>
                  </w:r>
                </w:p>
              </w:tc>
              <w:tc>
                <w:tcPr>
                  <w:tcW w:w="1515" w:type="pct"/>
                  <w:tcBorders>
                    <w:top w:val="nil"/>
                    <w:left w:val="nil"/>
                    <w:bottom w:val="single" w:color="auto" w:sz="4" w:space="0"/>
                    <w:right w:val="single" w:color="auto" w:sz="4" w:space="0"/>
                  </w:tcBorders>
                  <w:shd w:val="clear" w:color="auto" w:fill="auto"/>
                  <w:noWrap w:val="0"/>
                  <w:vAlign w:val="center"/>
                </w:tcPr>
                <w:p w14:paraId="66F38275">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水量利用系数</w:t>
                  </w:r>
                </w:p>
              </w:tc>
              <w:tc>
                <w:tcPr>
                  <w:tcW w:w="676" w:type="pct"/>
                  <w:tcBorders>
                    <w:top w:val="nil"/>
                    <w:left w:val="nil"/>
                    <w:bottom w:val="single" w:color="auto" w:sz="4" w:space="0"/>
                    <w:right w:val="single" w:color="auto" w:sz="4" w:space="0"/>
                  </w:tcBorders>
                  <w:shd w:val="clear" w:color="auto" w:fill="auto"/>
                  <w:noWrap w:val="0"/>
                  <w:vAlign w:val="center"/>
                </w:tcPr>
                <w:p w14:paraId="567B894D">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759" w:type="pct"/>
                  <w:tcBorders>
                    <w:top w:val="nil"/>
                    <w:left w:val="nil"/>
                    <w:bottom w:val="single" w:color="auto" w:sz="4" w:space="0"/>
                    <w:right w:val="single" w:color="auto" w:sz="4" w:space="0"/>
                  </w:tcBorders>
                  <w:shd w:val="clear" w:color="auto" w:fill="auto"/>
                  <w:noWrap w:val="0"/>
                  <w:vAlign w:val="center"/>
                </w:tcPr>
                <w:p w14:paraId="7DF2F42B">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48.7</w:t>
                  </w:r>
                </w:p>
              </w:tc>
              <w:tc>
                <w:tcPr>
                  <w:tcW w:w="759" w:type="pct"/>
                  <w:tcBorders>
                    <w:top w:val="nil"/>
                    <w:left w:val="nil"/>
                    <w:bottom w:val="single" w:color="auto" w:sz="4" w:space="0"/>
                    <w:right w:val="single" w:color="auto" w:sz="4" w:space="0"/>
                  </w:tcBorders>
                  <w:shd w:val="clear" w:color="auto" w:fill="auto"/>
                  <w:noWrap w:val="0"/>
                  <w:vAlign w:val="center"/>
                </w:tcPr>
                <w:p w14:paraId="1790BF9B">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48.2</w:t>
                  </w:r>
                </w:p>
              </w:tc>
              <w:tc>
                <w:tcPr>
                  <w:tcW w:w="757" w:type="pct"/>
                  <w:tcBorders>
                    <w:top w:val="nil"/>
                    <w:left w:val="nil"/>
                    <w:bottom w:val="single" w:color="auto" w:sz="4" w:space="0"/>
                    <w:right w:val="single" w:color="auto" w:sz="4" w:space="0"/>
                  </w:tcBorders>
                  <w:shd w:val="clear" w:color="auto" w:fill="auto"/>
                  <w:noWrap w:val="0"/>
                  <w:vAlign w:val="center"/>
                </w:tcPr>
                <w:p w14:paraId="46883DD6">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发电水量</w:t>
                  </w:r>
                </w:p>
              </w:tc>
            </w:tr>
            <w:tr w14:paraId="11D630FA">
              <w:tblPrEx>
                <w:tblCellMar>
                  <w:top w:w="0" w:type="dxa"/>
                  <w:left w:w="108" w:type="dxa"/>
                  <w:bottom w:w="0" w:type="dxa"/>
                  <w:right w:w="108" w:type="dxa"/>
                </w:tblCellMar>
              </w:tblPrEx>
              <w:trPr>
                <w:trHeight w:val="375" w:hRule="exact"/>
                <w:jc w:val="center"/>
              </w:trPr>
              <w:tc>
                <w:tcPr>
                  <w:tcW w:w="532" w:type="pct"/>
                  <w:tcBorders>
                    <w:top w:val="nil"/>
                    <w:left w:val="single" w:color="auto" w:sz="4" w:space="0"/>
                    <w:bottom w:val="single" w:color="auto" w:sz="4" w:space="0"/>
                    <w:right w:val="single" w:color="auto" w:sz="4" w:space="0"/>
                  </w:tcBorders>
                  <w:shd w:val="clear" w:color="auto" w:fill="auto"/>
                  <w:noWrap w:val="0"/>
                  <w:vAlign w:val="center"/>
                </w:tcPr>
                <w:p w14:paraId="3C8779DD">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7.4</w:t>
                  </w:r>
                </w:p>
              </w:tc>
              <w:tc>
                <w:tcPr>
                  <w:tcW w:w="1515" w:type="pct"/>
                  <w:tcBorders>
                    <w:top w:val="nil"/>
                    <w:left w:val="nil"/>
                    <w:bottom w:val="single" w:color="auto" w:sz="4" w:space="0"/>
                    <w:right w:val="single" w:color="auto" w:sz="4" w:space="0"/>
                  </w:tcBorders>
                  <w:shd w:val="clear" w:color="auto" w:fill="auto"/>
                  <w:noWrap w:val="0"/>
                  <w:vAlign w:val="center"/>
                </w:tcPr>
                <w:p w14:paraId="2FD25314">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设计发电流量</w:t>
                  </w:r>
                </w:p>
              </w:tc>
              <w:tc>
                <w:tcPr>
                  <w:tcW w:w="676" w:type="pct"/>
                  <w:tcBorders>
                    <w:top w:val="nil"/>
                    <w:left w:val="nil"/>
                    <w:bottom w:val="single" w:color="auto" w:sz="4" w:space="0"/>
                    <w:right w:val="single" w:color="auto" w:sz="4" w:space="0"/>
                  </w:tcBorders>
                  <w:shd w:val="clear" w:color="auto" w:fill="auto"/>
                  <w:noWrap w:val="0"/>
                  <w:vAlign w:val="center"/>
                </w:tcPr>
                <w:p w14:paraId="21CAAA00">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m</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lang w:val="en-US" w:eastAsia="zh-CN"/>
                    </w:rPr>
                    <w:t>/s</w:t>
                  </w:r>
                </w:p>
              </w:tc>
              <w:tc>
                <w:tcPr>
                  <w:tcW w:w="759" w:type="pct"/>
                  <w:tcBorders>
                    <w:top w:val="nil"/>
                    <w:left w:val="nil"/>
                    <w:bottom w:val="single" w:color="auto" w:sz="4" w:space="0"/>
                    <w:right w:val="single" w:color="auto" w:sz="4" w:space="0"/>
                  </w:tcBorders>
                  <w:shd w:val="clear" w:color="auto" w:fill="auto"/>
                  <w:noWrap w:val="0"/>
                  <w:vAlign w:val="center"/>
                </w:tcPr>
                <w:p w14:paraId="2C51CE1C">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7.2</w:t>
                  </w:r>
                </w:p>
              </w:tc>
              <w:tc>
                <w:tcPr>
                  <w:tcW w:w="759" w:type="pct"/>
                  <w:tcBorders>
                    <w:top w:val="nil"/>
                    <w:left w:val="nil"/>
                    <w:bottom w:val="single" w:color="auto" w:sz="4" w:space="0"/>
                    <w:right w:val="single" w:color="auto" w:sz="4" w:space="0"/>
                  </w:tcBorders>
                  <w:shd w:val="clear" w:color="auto" w:fill="auto"/>
                  <w:noWrap w:val="0"/>
                  <w:vAlign w:val="center"/>
                </w:tcPr>
                <w:p w14:paraId="483D89E3">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7.2</w:t>
                  </w:r>
                </w:p>
              </w:tc>
              <w:tc>
                <w:tcPr>
                  <w:tcW w:w="757" w:type="pct"/>
                  <w:tcBorders>
                    <w:top w:val="nil"/>
                    <w:left w:val="nil"/>
                    <w:bottom w:val="single" w:color="auto" w:sz="4" w:space="0"/>
                    <w:right w:val="single" w:color="auto" w:sz="4" w:space="0"/>
                  </w:tcBorders>
                  <w:shd w:val="clear" w:color="auto" w:fill="auto"/>
                  <w:noWrap w:val="0"/>
                  <w:vAlign w:val="center"/>
                </w:tcPr>
                <w:p w14:paraId="1EB572FB">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二台机组</w:t>
                  </w:r>
                </w:p>
              </w:tc>
            </w:tr>
            <w:tr w14:paraId="65FA81D7">
              <w:tblPrEx>
                <w:tblCellMar>
                  <w:top w:w="0" w:type="dxa"/>
                  <w:left w:w="108" w:type="dxa"/>
                  <w:bottom w:w="0" w:type="dxa"/>
                  <w:right w:w="108" w:type="dxa"/>
                </w:tblCellMar>
              </w:tblPrEx>
              <w:trPr>
                <w:trHeight w:val="375" w:hRule="exact"/>
                <w:jc w:val="center"/>
              </w:trPr>
              <w:tc>
                <w:tcPr>
                  <w:tcW w:w="532" w:type="pct"/>
                  <w:tcBorders>
                    <w:top w:val="nil"/>
                    <w:left w:val="single" w:color="auto" w:sz="4" w:space="0"/>
                    <w:bottom w:val="single" w:color="auto" w:sz="4" w:space="0"/>
                    <w:right w:val="single" w:color="auto" w:sz="4" w:space="0"/>
                  </w:tcBorders>
                  <w:shd w:val="clear" w:color="auto" w:fill="auto"/>
                  <w:noWrap w:val="0"/>
                  <w:vAlign w:val="center"/>
                </w:tcPr>
                <w:p w14:paraId="33565945">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7.5</w:t>
                  </w:r>
                </w:p>
              </w:tc>
              <w:tc>
                <w:tcPr>
                  <w:tcW w:w="1515" w:type="pct"/>
                  <w:tcBorders>
                    <w:top w:val="nil"/>
                    <w:left w:val="nil"/>
                    <w:bottom w:val="single" w:color="auto" w:sz="4" w:space="0"/>
                    <w:right w:val="single" w:color="auto" w:sz="4" w:space="0"/>
                  </w:tcBorders>
                  <w:shd w:val="clear" w:color="auto" w:fill="auto"/>
                  <w:noWrap w:val="0"/>
                  <w:vAlign w:val="center"/>
                </w:tcPr>
                <w:p w14:paraId="33B05EBF">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最大净水头</w:t>
                  </w:r>
                </w:p>
              </w:tc>
              <w:tc>
                <w:tcPr>
                  <w:tcW w:w="676" w:type="pct"/>
                  <w:tcBorders>
                    <w:top w:val="nil"/>
                    <w:left w:val="nil"/>
                    <w:bottom w:val="single" w:color="auto" w:sz="4" w:space="0"/>
                    <w:right w:val="single" w:color="auto" w:sz="4" w:space="0"/>
                  </w:tcBorders>
                  <w:shd w:val="clear" w:color="auto" w:fill="auto"/>
                  <w:noWrap w:val="0"/>
                  <w:vAlign w:val="center"/>
                </w:tcPr>
                <w:p w14:paraId="33D91A37">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m</w:t>
                  </w:r>
                </w:p>
              </w:tc>
              <w:tc>
                <w:tcPr>
                  <w:tcW w:w="759" w:type="pct"/>
                  <w:tcBorders>
                    <w:top w:val="nil"/>
                    <w:left w:val="nil"/>
                    <w:bottom w:val="single" w:color="auto" w:sz="4" w:space="0"/>
                    <w:right w:val="single" w:color="auto" w:sz="4" w:space="0"/>
                  </w:tcBorders>
                  <w:shd w:val="clear" w:color="auto" w:fill="auto"/>
                  <w:noWrap w:val="0"/>
                  <w:vAlign w:val="center"/>
                </w:tcPr>
                <w:p w14:paraId="224110F4">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13.4</w:t>
                  </w:r>
                </w:p>
              </w:tc>
              <w:tc>
                <w:tcPr>
                  <w:tcW w:w="759" w:type="pct"/>
                  <w:tcBorders>
                    <w:top w:val="nil"/>
                    <w:left w:val="nil"/>
                    <w:bottom w:val="single" w:color="auto" w:sz="4" w:space="0"/>
                    <w:right w:val="single" w:color="auto" w:sz="4" w:space="0"/>
                  </w:tcBorders>
                  <w:shd w:val="clear" w:color="auto" w:fill="auto"/>
                  <w:noWrap w:val="0"/>
                  <w:vAlign w:val="center"/>
                </w:tcPr>
                <w:p w14:paraId="0A267AE8">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r>
                    <w:rPr>
                      <w:rFonts w:hint="eastAsia" w:cs="Times New Roman"/>
                      <w:color w:val="auto"/>
                      <w:sz w:val="21"/>
                      <w:szCs w:val="21"/>
                      <w:lang w:val="en-US" w:eastAsia="zh-CN"/>
                    </w:rPr>
                    <w:t>3.36</w:t>
                  </w:r>
                </w:p>
              </w:tc>
              <w:tc>
                <w:tcPr>
                  <w:tcW w:w="757" w:type="pct"/>
                  <w:tcBorders>
                    <w:top w:val="nil"/>
                    <w:left w:val="nil"/>
                    <w:bottom w:val="single" w:color="auto" w:sz="4" w:space="0"/>
                    <w:right w:val="single" w:color="auto" w:sz="4" w:space="0"/>
                  </w:tcBorders>
                  <w:shd w:val="clear" w:color="auto" w:fill="auto"/>
                  <w:noWrap w:val="0"/>
                  <w:vAlign w:val="center"/>
                </w:tcPr>
                <w:p w14:paraId="2ED8E09F">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w:t>
                  </w:r>
                </w:p>
              </w:tc>
            </w:tr>
            <w:tr w14:paraId="7ED0C3A4">
              <w:tblPrEx>
                <w:tblCellMar>
                  <w:top w:w="0" w:type="dxa"/>
                  <w:left w:w="108" w:type="dxa"/>
                  <w:bottom w:w="0" w:type="dxa"/>
                  <w:right w:w="108" w:type="dxa"/>
                </w:tblCellMar>
              </w:tblPrEx>
              <w:trPr>
                <w:trHeight w:val="325" w:hRule="exact"/>
                <w:jc w:val="center"/>
              </w:trPr>
              <w:tc>
                <w:tcPr>
                  <w:tcW w:w="532" w:type="pct"/>
                  <w:tcBorders>
                    <w:top w:val="nil"/>
                    <w:left w:val="single" w:color="auto" w:sz="4" w:space="0"/>
                    <w:bottom w:val="single" w:color="auto" w:sz="4" w:space="0"/>
                    <w:right w:val="single" w:color="auto" w:sz="4" w:space="0"/>
                  </w:tcBorders>
                  <w:shd w:val="clear" w:color="auto" w:fill="auto"/>
                  <w:noWrap w:val="0"/>
                  <w:vAlign w:val="center"/>
                </w:tcPr>
                <w:p w14:paraId="3EF819FF">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7.6</w:t>
                  </w:r>
                </w:p>
              </w:tc>
              <w:tc>
                <w:tcPr>
                  <w:tcW w:w="1515" w:type="pct"/>
                  <w:tcBorders>
                    <w:top w:val="nil"/>
                    <w:left w:val="nil"/>
                    <w:bottom w:val="single" w:color="auto" w:sz="4" w:space="0"/>
                    <w:right w:val="single" w:color="auto" w:sz="4" w:space="0"/>
                  </w:tcBorders>
                  <w:shd w:val="clear" w:color="auto" w:fill="auto"/>
                  <w:noWrap w:val="0"/>
                  <w:vAlign w:val="center"/>
                </w:tcPr>
                <w:p w14:paraId="31EAC5C3">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最小净水头</w:t>
                  </w:r>
                </w:p>
              </w:tc>
              <w:tc>
                <w:tcPr>
                  <w:tcW w:w="676" w:type="pct"/>
                  <w:tcBorders>
                    <w:top w:val="nil"/>
                    <w:left w:val="nil"/>
                    <w:bottom w:val="single" w:color="auto" w:sz="4" w:space="0"/>
                    <w:right w:val="single" w:color="auto" w:sz="4" w:space="0"/>
                  </w:tcBorders>
                  <w:shd w:val="clear" w:color="auto" w:fill="auto"/>
                  <w:noWrap w:val="0"/>
                  <w:vAlign w:val="center"/>
                </w:tcPr>
                <w:p w14:paraId="759EF9C3">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m</w:t>
                  </w:r>
                </w:p>
              </w:tc>
              <w:tc>
                <w:tcPr>
                  <w:tcW w:w="759" w:type="pct"/>
                  <w:tcBorders>
                    <w:top w:val="nil"/>
                    <w:left w:val="nil"/>
                    <w:bottom w:val="single" w:color="auto" w:sz="4" w:space="0"/>
                    <w:right w:val="single" w:color="auto" w:sz="4" w:space="0"/>
                  </w:tcBorders>
                  <w:shd w:val="clear" w:color="auto" w:fill="auto"/>
                  <w:noWrap w:val="0"/>
                  <w:vAlign w:val="center"/>
                </w:tcPr>
                <w:p w14:paraId="2B8B04FF">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7.0</w:t>
                  </w:r>
                </w:p>
              </w:tc>
              <w:tc>
                <w:tcPr>
                  <w:tcW w:w="759" w:type="pct"/>
                  <w:tcBorders>
                    <w:top w:val="nil"/>
                    <w:left w:val="nil"/>
                    <w:bottom w:val="single" w:color="auto" w:sz="4" w:space="0"/>
                    <w:right w:val="single" w:color="auto" w:sz="4" w:space="0"/>
                  </w:tcBorders>
                  <w:shd w:val="clear" w:color="auto" w:fill="auto"/>
                  <w:noWrap w:val="0"/>
                  <w:vAlign w:val="center"/>
                </w:tcPr>
                <w:p w14:paraId="6D919C3C">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7.04</w:t>
                  </w:r>
                </w:p>
              </w:tc>
              <w:tc>
                <w:tcPr>
                  <w:tcW w:w="757" w:type="pct"/>
                  <w:tcBorders>
                    <w:top w:val="nil"/>
                    <w:left w:val="nil"/>
                    <w:bottom w:val="single" w:color="auto" w:sz="4" w:space="0"/>
                    <w:right w:val="single" w:color="auto" w:sz="4" w:space="0"/>
                  </w:tcBorders>
                  <w:shd w:val="clear" w:color="auto" w:fill="auto"/>
                  <w:noWrap w:val="0"/>
                  <w:vAlign w:val="center"/>
                </w:tcPr>
                <w:p w14:paraId="49E2E08E">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w:t>
                  </w:r>
                </w:p>
              </w:tc>
            </w:tr>
            <w:tr w14:paraId="784D43FE">
              <w:tblPrEx>
                <w:tblCellMar>
                  <w:top w:w="0" w:type="dxa"/>
                  <w:left w:w="108" w:type="dxa"/>
                  <w:bottom w:w="0" w:type="dxa"/>
                  <w:right w:w="108" w:type="dxa"/>
                </w:tblCellMar>
              </w:tblPrEx>
              <w:trPr>
                <w:trHeight w:val="324" w:hRule="exact"/>
                <w:jc w:val="center"/>
              </w:trPr>
              <w:tc>
                <w:tcPr>
                  <w:tcW w:w="532" w:type="pct"/>
                  <w:tcBorders>
                    <w:top w:val="nil"/>
                    <w:left w:val="single" w:color="auto" w:sz="4" w:space="0"/>
                    <w:bottom w:val="single" w:color="auto" w:sz="4" w:space="0"/>
                    <w:right w:val="single" w:color="auto" w:sz="4" w:space="0"/>
                  </w:tcBorders>
                  <w:shd w:val="clear" w:color="auto" w:fill="auto"/>
                  <w:noWrap w:val="0"/>
                  <w:vAlign w:val="center"/>
                </w:tcPr>
                <w:p w14:paraId="26744353">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7.7</w:t>
                  </w:r>
                </w:p>
              </w:tc>
              <w:tc>
                <w:tcPr>
                  <w:tcW w:w="1515" w:type="pct"/>
                  <w:tcBorders>
                    <w:top w:val="nil"/>
                    <w:left w:val="nil"/>
                    <w:bottom w:val="single" w:color="auto" w:sz="4" w:space="0"/>
                    <w:right w:val="single" w:color="auto" w:sz="4" w:space="0"/>
                  </w:tcBorders>
                  <w:shd w:val="clear" w:color="auto" w:fill="auto"/>
                  <w:noWrap w:val="0"/>
                  <w:vAlign w:val="center"/>
                </w:tcPr>
                <w:p w14:paraId="183D9FAE">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设计</w:t>
                  </w:r>
                  <w:r>
                    <w:rPr>
                      <w:rFonts w:hint="default" w:ascii="Times New Roman" w:hAnsi="Times New Roman" w:eastAsia="宋体" w:cs="Times New Roman"/>
                      <w:color w:val="auto"/>
                      <w:sz w:val="21"/>
                      <w:szCs w:val="21"/>
                      <w:lang w:val="en-US" w:eastAsia="zh-CN"/>
                    </w:rPr>
                    <w:t>水头</w:t>
                  </w:r>
                </w:p>
              </w:tc>
              <w:tc>
                <w:tcPr>
                  <w:tcW w:w="676" w:type="pct"/>
                  <w:tcBorders>
                    <w:top w:val="nil"/>
                    <w:left w:val="nil"/>
                    <w:bottom w:val="single" w:color="auto" w:sz="4" w:space="0"/>
                    <w:right w:val="single" w:color="auto" w:sz="4" w:space="0"/>
                  </w:tcBorders>
                  <w:shd w:val="clear" w:color="auto" w:fill="auto"/>
                  <w:noWrap w:val="0"/>
                  <w:vAlign w:val="center"/>
                </w:tcPr>
                <w:p w14:paraId="21C4CE34">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m</w:t>
                  </w:r>
                </w:p>
              </w:tc>
              <w:tc>
                <w:tcPr>
                  <w:tcW w:w="759" w:type="pct"/>
                  <w:tcBorders>
                    <w:top w:val="nil"/>
                    <w:left w:val="nil"/>
                    <w:bottom w:val="single" w:color="auto" w:sz="4" w:space="0"/>
                    <w:right w:val="single" w:color="auto" w:sz="4" w:space="0"/>
                  </w:tcBorders>
                  <w:shd w:val="clear" w:color="auto" w:fill="auto"/>
                  <w:noWrap w:val="0"/>
                  <w:vAlign w:val="center"/>
                </w:tcPr>
                <w:p w14:paraId="53212496">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10</w:t>
                  </w:r>
                </w:p>
              </w:tc>
              <w:tc>
                <w:tcPr>
                  <w:tcW w:w="759" w:type="pct"/>
                  <w:tcBorders>
                    <w:top w:val="nil"/>
                    <w:left w:val="nil"/>
                    <w:bottom w:val="single" w:color="auto" w:sz="4" w:space="0"/>
                    <w:right w:val="single" w:color="auto" w:sz="4" w:space="0"/>
                  </w:tcBorders>
                  <w:shd w:val="clear" w:color="auto" w:fill="auto"/>
                  <w:noWrap w:val="0"/>
                  <w:vAlign w:val="center"/>
                </w:tcPr>
                <w:p w14:paraId="7B10457B">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10</w:t>
                  </w:r>
                </w:p>
              </w:tc>
              <w:tc>
                <w:tcPr>
                  <w:tcW w:w="757" w:type="pct"/>
                  <w:tcBorders>
                    <w:top w:val="nil"/>
                    <w:left w:val="nil"/>
                    <w:bottom w:val="single" w:color="auto" w:sz="4" w:space="0"/>
                    <w:right w:val="single" w:color="auto" w:sz="4" w:space="0"/>
                  </w:tcBorders>
                  <w:shd w:val="clear" w:color="auto" w:fill="auto"/>
                  <w:noWrap w:val="0"/>
                  <w:vAlign w:val="center"/>
                </w:tcPr>
                <w:p w14:paraId="5C8F329A">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w:t>
                  </w:r>
                </w:p>
              </w:tc>
            </w:tr>
            <w:tr w14:paraId="133A3864">
              <w:tblPrEx>
                <w:tblCellMar>
                  <w:top w:w="0" w:type="dxa"/>
                  <w:left w:w="108" w:type="dxa"/>
                  <w:bottom w:w="0" w:type="dxa"/>
                  <w:right w:w="108" w:type="dxa"/>
                </w:tblCellMar>
              </w:tblPrEx>
              <w:trPr>
                <w:trHeight w:val="358" w:hRule="exact"/>
                <w:jc w:val="center"/>
              </w:trPr>
              <w:tc>
                <w:tcPr>
                  <w:tcW w:w="532" w:type="pct"/>
                  <w:tcBorders>
                    <w:top w:val="nil"/>
                    <w:left w:val="single" w:color="auto" w:sz="4" w:space="0"/>
                    <w:bottom w:val="single" w:color="auto" w:sz="4" w:space="0"/>
                    <w:right w:val="single" w:color="auto" w:sz="4" w:space="0"/>
                  </w:tcBorders>
                  <w:shd w:val="clear" w:color="auto" w:fill="auto"/>
                  <w:noWrap w:val="0"/>
                  <w:vAlign w:val="center"/>
                </w:tcPr>
                <w:p w14:paraId="35038B19">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7.8</w:t>
                  </w:r>
                </w:p>
              </w:tc>
              <w:tc>
                <w:tcPr>
                  <w:tcW w:w="1515" w:type="pct"/>
                  <w:tcBorders>
                    <w:top w:val="nil"/>
                    <w:left w:val="nil"/>
                    <w:bottom w:val="single" w:color="auto" w:sz="4" w:space="0"/>
                    <w:right w:val="single" w:color="auto" w:sz="4" w:space="0"/>
                  </w:tcBorders>
                  <w:shd w:val="clear" w:color="auto" w:fill="auto"/>
                  <w:noWrap w:val="0"/>
                  <w:vAlign w:val="center"/>
                </w:tcPr>
                <w:p w14:paraId="50E7A6E7">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平均年发电量</w:t>
                  </w:r>
                </w:p>
              </w:tc>
              <w:tc>
                <w:tcPr>
                  <w:tcW w:w="676" w:type="pct"/>
                  <w:tcBorders>
                    <w:top w:val="nil"/>
                    <w:left w:val="nil"/>
                    <w:bottom w:val="single" w:color="auto" w:sz="4" w:space="0"/>
                    <w:right w:val="single" w:color="auto" w:sz="4" w:space="0"/>
                  </w:tcBorders>
                  <w:shd w:val="clear" w:color="auto" w:fill="auto"/>
                  <w:noWrap w:val="0"/>
                  <w:vAlign w:val="center"/>
                </w:tcPr>
                <w:p w14:paraId="2DC3E12B">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万</w:t>
                  </w:r>
                  <w:r>
                    <w:rPr>
                      <w:rFonts w:hint="eastAsia" w:cs="Times New Roman"/>
                      <w:color w:val="auto"/>
                      <w:sz w:val="21"/>
                      <w:szCs w:val="21"/>
                      <w:lang w:val="en-US" w:eastAsia="zh-CN"/>
                    </w:rPr>
                    <w:t>kW</w:t>
                  </w:r>
                  <w:r>
                    <w:rPr>
                      <w:rFonts w:hint="default" w:ascii="Times New Roman" w:hAnsi="Times New Roman" w:cs="Times New Roman"/>
                      <w:color w:val="auto"/>
                      <w:sz w:val="21"/>
                      <w:szCs w:val="21"/>
                      <w:lang w:val="en-US" w:eastAsia="zh-CN"/>
                    </w:rPr>
                    <w:t>·h</w:t>
                  </w:r>
                </w:p>
              </w:tc>
              <w:tc>
                <w:tcPr>
                  <w:tcW w:w="759" w:type="pct"/>
                  <w:tcBorders>
                    <w:top w:val="nil"/>
                    <w:left w:val="nil"/>
                    <w:bottom w:val="single" w:color="auto" w:sz="4" w:space="0"/>
                    <w:right w:val="single" w:color="auto" w:sz="4" w:space="0"/>
                  </w:tcBorders>
                  <w:shd w:val="clear" w:color="auto" w:fill="auto"/>
                  <w:noWrap w:val="0"/>
                  <w:vAlign w:val="center"/>
                </w:tcPr>
                <w:p w14:paraId="51903D41">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45</w:t>
                  </w:r>
                </w:p>
              </w:tc>
              <w:tc>
                <w:tcPr>
                  <w:tcW w:w="759" w:type="pct"/>
                  <w:tcBorders>
                    <w:top w:val="nil"/>
                    <w:left w:val="nil"/>
                    <w:bottom w:val="single" w:color="auto" w:sz="4" w:space="0"/>
                    <w:right w:val="single" w:color="auto" w:sz="4" w:space="0"/>
                  </w:tcBorders>
                  <w:shd w:val="clear" w:color="auto" w:fill="auto"/>
                  <w:noWrap w:val="0"/>
                  <w:vAlign w:val="center"/>
                </w:tcPr>
                <w:p w14:paraId="60AF559B">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101.62</w:t>
                  </w:r>
                </w:p>
              </w:tc>
              <w:tc>
                <w:tcPr>
                  <w:tcW w:w="757" w:type="pct"/>
                  <w:tcBorders>
                    <w:top w:val="nil"/>
                    <w:left w:val="nil"/>
                    <w:bottom w:val="single" w:color="auto" w:sz="4" w:space="0"/>
                    <w:right w:val="single" w:color="auto" w:sz="4" w:space="0"/>
                  </w:tcBorders>
                  <w:shd w:val="clear" w:color="auto" w:fill="auto"/>
                  <w:noWrap w:val="0"/>
                  <w:vAlign w:val="center"/>
                </w:tcPr>
                <w:p w14:paraId="272357D3">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w:t>
                  </w:r>
                </w:p>
              </w:tc>
            </w:tr>
            <w:tr w14:paraId="4AAF8D61">
              <w:tblPrEx>
                <w:tblCellMar>
                  <w:top w:w="0" w:type="dxa"/>
                  <w:left w:w="108" w:type="dxa"/>
                  <w:bottom w:w="0" w:type="dxa"/>
                  <w:right w:w="108" w:type="dxa"/>
                </w:tblCellMar>
              </w:tblPrEx>
              <w:trPr>
                <w:trHeight w:val="407" w:hRule="exact"/>
                <w:jc w:val="center"/>
              </w:trPr>
              <w:tc>
                <w:tcPr>
                  <w:tcW w:w="532"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59C89862">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7.9</w:t>
                  </w:r>
                </w:p>
              </w:tc>
              <w:tc>
                <w:tcPr>
                  <w:tcW w:w="1515"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0412620E">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装机利用小时数</w:t>
                  </w:r>
                </w:p>
              </w:tc>
              <w:tc>
                <w:tcPr>
                  <w:tcW w:w="676"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604EA228">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h</w:t>
                  </w:r>
                </w:p>
              </w:tc>
              <w:tc>
                <w:tcPr>
                  <w:tcW w:w="759"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53A1423D">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625</w:t>
                  </w:r>
                </w:p>
              </w:tc>
              <w:tc>
                <w:tcPr>
                  <w:tcW w:w="759"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1EFADFA4">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1270</w:t>
                  </w:r>
                </w:p>
              </w:tc>
              <w:tc>
                <w:tcPr>
                  <w:tcW w:w="757"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72FBDE1E">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w:t>
                  </w:r>
                </w:p>
              </w:tc>
            </w:tr>
          </w:tbl>
          <w:p w14:paraId="473C9C22">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4.</w:t>
            </w:r>
            <w:r>
              <w:rPr>
                <w:rFonts w:hint="default" w:ascii="Times New Roman" w:hAnsi="Times New Roman" w:eastAsia="宋体" w:cs="Times New Roman"/>
                <w:b/>
                <w:bCs/>
                <w:color w:val="auto"/>
                <w:sz w:val="24"/>
                <w:szCs w:val="24"/>
                <w:highlight w:val="none"/>
                <w:lang w:val="en-US" w:eastAsia="zh-CN"/>
              </w:rPr>
              <w:t>工程任务</w:t>
            </w:r>
          </w:p>
          <w:p w14:paraId="2DCC667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青年水库</w:t>
            </w:r>
            <w:r>
              <w:rPr>
                <w:rFonts w:hint="default" w:ascii="Times New Roman" w:hAnsi="Times New Roman" w:eastAsia="宋体" w:cs="Times New Roman"/>
                <w:color w:val="auto"/>
                <w:sz w:val="24"/>
                <w:szCs w:val="24"/>
                <w:highlight w:val="none"/>
                <w:lang w:val="en-US" w:eastAsia="zh-CN"/>
              </w:rPr>
              <w:t>电站增效扩容改造工程的主要工程任务为发电。</w:t>
            </w:r>
            <w:r>
              <w:rPr>
                <w:rFonts w:hint="eastAsia" w:cs="Times New Roman"/>
                <w:color w:val="auto"/>
                <w:sz w:val="24"/>
                <w:szCs w:val="24"/>
                <w:highlight w:val="none"/>
                <w:lang w:val="en-US" w:eastAsia="zh-CN"/>
              </w:rPr>
              <w:t>青年水库</w:t>
            </w:r>
            <w:r>
              <w:rPr>
                <w:rFonts w:hint="default" w:ascii="Times New Roman" w:hAnsi="Times New Roman" w:eastAsia="宋体" w:cs="Times New Roman"/>
                <w:color w:val="auto"/>
                <w:sz w:val="24"/>
                <w:szCs w:val="24"/>
                <w:highlight w:val="none"/>
                <w:lang w:val="en-US" w:eastAsia="zh-CN"/>
              </w:rPr>
              <w:t>电站改造后供电范围不变。</w:t>
            </w:r>
            <w:r>
              <w:rPr>
                <w:rFonts w:hint="default" w:ascii="Times New Roman" w:hAnsi="Times New Roman" w:cs="Times New Roman"/>
                <w:color w:val="auto"/>
                <w:sz w:val="24"/>
                <w:szCs w:val="24"/>
                <w:highlight w:val="none"/>
              </w:rPr>
              <w:t>工程建成后，年供电量</w:t>
            </w:r>
            <w:r>
              <w:rPr>
                <w:rFonts w:hint="eastAsia" w:cs="Times New Roman"/>
                <w:color w:val="auto"/>
                <w:sz w:val="24"/>
                <w:szCs w:val="24"/>
                <w:highlight w:val="none"/>
                <w:lang w:val="en-US" w:eastAsia="zh-CN"/>
              </w:rPr>
              <w:t>101.62</w:t>
            </w:r>
            <w:r>
              <w:rPr>
                <w:rFonts w:hint="default" w:ascii="Times New Roman" w:hAnsi="Times New Roman" w:cs="Times New Roman"/>
                <w:color w:val="auto"/>
                <w:sz w:val="24"/>
                <w:szCs w:val="24"/>
                <w:highlight w:val="none"/>
              </w:rPr>
              <w:t>×10</w:t>
            </w:r>
            <w:r>
              <w:rPr>
                <w:rFonts w:hint="default" w:ascii="Times New Roman" w:hAnsi="Times New Roman" w:cs="Times New Roman"/>
                <w:color w:val="auto"/>
                <w:sz w:val="24"/>
                <w:szCs w:val="24"/>
                <w:highlight w:val="none"/>
                <w:vertAlign w:val="superscript"/>
              </w:rPr>
              <w:t>4</w:t>
            </w:r>
            <w:r>
              <w:rPr>
                <w:rFonts w:hint="eastAsia" w:cs="Times New Roman"/>
                <w:color w:val="auto"/>
                <w:sz w:val="24"/>
                <w:szCs w:val="24"/>
                <w:highlight w:val="none"/>
                <w:lang w:eastAsia="zh-CN"/>
              </w:rPr>
              <w:t>kW</w:t>
            </w:r>
            <w:r>
              <w:rPr>
                <w:rFonts w:hint="default" w:ascii="Times New Roman" w:hAnsi="Times New Roman" w:cs="Times New Roman"/>
                <w:color w:val="auto"/>
                <w:sz w:val="24"/>
                <w:szCs w:val="24"/>
                <w:highlight w:val="none"/>
                <w:lang w:eastAsia="zh-CN"/>
              </w:rPr>
              <w:t>·h</w:t>
            </w:r>
            <w:r>
              <w:rPr>
                <w:rFonts w:hint="default" w:ascii="Times New Roman" w:hAnsi="Times New Roman" w:cs="Times New Roman"/>
                <w:color w:val="auto"/>
                <w:sz w:val="24"/>
                <w:szCs w:val="24"/>
                <w:highlight w:val="none"/>
              </w:rPr>
              <w:t>，现状年发电量</w:t>
            </w:r>
            <w:r>
              <w:rPr>
                <w:rFonts w:hint="eastAsia" w:cs="Times New Roman"/>
                <w:color w:val="auto"/>
                <w:sz w:val="24"/>
                <w:szCs w:val="24"/>
                <w:highlight w:val="none"/>
                <w:lang w:val="en-US" w:eastAsia="zh-CN"/>
              </w:rPr>
              <w:t>45</w:t>
            </w:r>
            <w:r>
              <w:rPr>
                <w:rFonts w:hint="default" w:ascii="Times New Roman" w:hAnsi="Times New Roman" w:cs="Times New Roman"/>
                <w:color w:val="auto"/>
                <w:sz w:val="24"/>
                <w:szCs w:val="24"/>
                <w:highlight w:val="none"/>
              </w:rPr>
              <w:t>×10</w:t>
            </w:r>
            <w:r>
              <w:rPr>
                <w:rFonts w:hint="default" w:ascii="Times New Roman" w:hAnsi="Times New Roman" w:cs="Times New Roman"/>
                <w:color w:val="auto"/>
                <w:sz w:val="24"/>
                <w:szCs w:val="24"/>
                <w:highlight w:val="none"/>
                <w:vertAlign w:val="superscript"/>
              </w:rPr>
              <w:t>4</w:t>
            </w:r>
            <w:r>
              <w:rPr>
                <w:rFonts w:hint="eastAsia" w:cs="Times New Roman"/>
                <w:color w:val="auto"/>
                <w:sz w:val="24"/>
                <w:szCs w:val="24"/>
                <w:highlight w:val="none"/>
                <w:lang w:eastAsia="zh-CN"/>
              </w:rPr>
              <w:t>kW</w:t>
            </w:r>
            <w:r>
              <w:rPr>
                <w:rFonts w:hint="default" w:ascii="Times New Roman" w:hAnsi="Times New Roman" w:cs="Times New Roman"/>
                <w:color w:val="auto"/>
                <w:sz w:val="24"/>
                <w:szCs w:val="24"/>
                <w:highlight w:val="none"/>
                <w:lang w:eastAsia="zh-CN"/>
              </w:rPr>
              <w:t>·h</w:t>
            </w:r>
            <w:r>
              <w:rPr>
                <w:rFonts w:hint="default" w:ascii="Times New Roman" w:hAnsi="Times New Roman" w:cs="Times New Roman"/>
                <w:color w:val="auto"/>
                <w:sz w:val="24"/>
                <w:szCs w:val="24"/>
                <w:highlight w:val="none"/>
              </w:rPr>
              <w:t>，增加年发电量</w:t>
            </w:r>
            <w:r>
              <w:rPr>
                <w:rFonts w:hint="eastAsia" w:cs="Times New Roman"/>
                <w:color w:val="auto"/>
                <w:sz w:val="24"/>
                <w:szCs w:val="24"/>
                <w:highlight w:val="none"/>
                <w:lang w:val="en-US" w:eastAsia="zh-CN"/>
              </w:rPr>
              <w:t>56.62</w:t>
            </w:r>
            <w:r>
              <w:rPr>
                <w:rFonts w:hint="default" w:ascii="Times New Roman" w:hAnsi="Times New Roman" w:cs="Times New Roman"/>
                <w:color w:val="auto"/>
                <w:sz w:val="24"/>
                <w:szCs w:val="24"/>
                <w:highlight w:val="none"/>
              </w:rPr>
              <w:t>×10</w:t>
            </w:r>
            <w:r>
              <w:rPr>
                <w:rFonts w:hint="default" w:ascii="Times New Roman" w:hAnsi="Times New Roman" w:cs="Times New Roman"/>
                <w:color w:val="auto"/>
                <w:sz w:val="24"/>
                <w:szCs w:val="24"/>
                <w:highlight w:val="none"/>
                <w:vertAlign w:val="superscript"/>
              </w:rPr>
              <w:t>4</w:t>
            </w:r>
            <w:r>
              <w:rPr>
                <w:rFonts w:hint="eastAsia" w:cs="Times New Roman"/>
                <w:color w:val="auto"/>
                <w:sz w:val="24"/>
                <w:szCs w:val="24"/>
                <w:highlight w:val="none"/>
                <w:lang w:eastAsia="zh-CN"/>
              </w:rPr>
              <w:t>kW</w:t>
            </w:r>
            <w:r>
              <w:rPr>
                <w:rFonts w:hint="default" w:ascii="Times New Roman" w:hAnsi="Times New Roman" w:cs="Times New Roman"/>
                <w:color w:val="auto"/>
                <w:sz w:val="24"/>
                <w:szCs w:val="24"/>
                <w:highlight w:val="none"/>
                <w:lang w:eastAsia="zh-CN"/>
              </w:rPr>
              <w:t>·h</w:t>
            </w:r>
            <w:r>
              <w:rPr>
                <w:rFonts w:hint="default" w:ascii="Times New Roman" w:hAnsi="Times New Roman" w:cs="Times New Roman"/>
                <w:color w:val="auto"/>
                <w:sz w:val="24"/>
                <w:szCs w:val="24"/>
                <w:highlight w:val="none"/>
              </w:rPr>
              <w:t>。</w:t>
            </w:r>
          </w:p>
          <w:p w14:paraId="2691784D">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5.</w:t>
            </w:r>
            <w:r>
              <w:rPr>
                <w:rFonts w:hint="default" w:ascii="Times New Roman" w:hAnsi="Times New Roman" w:eastAsia="宋体" w:cs="Times New Roman"/>
                <w:b/>
                <w:bCs/>
                <w:color w:val="auto"/>
                <w:sz w:val="24"/>
                <w:szCs w:val="24"/>
                <w:highlight w:val="none"/>
                <w:lang w:val="en-US" w:eastAsia="zh-CN"/>
              </w:rPr>
              <w:t>运行调度</w:t>
            </w:r>
          </w:p>
          <w:p w14:paraId="6331BC14">
            <w:pPr>
              <w:pStyle w:val="77"/>
              <w:keepNext w:val="0"/>
              <w:keepLines w:val="0"/>
              <w:pageBreakBefore w:val="0"/>
              <w:widowControl w:val="0"/>
              <w:kinsoku/>
              <w:wordWrap/>
              <w:overflowPunct/>
              <w:topLinePunct w:val="0"/>
              <w:autoSpaceDE/>
              <w:autoSpaceDN/>
              <w:bidi w:val="0"/>
              <w:adjustRightInd w:val="0"/>
              <w:snapToGrid w:val="0"/>
              <w:ind w:firstLine="480"/>
              <w:textAlignment w:val="auto"/>
              <w:rPr>
                <w:color w:val="auto"/>
                <w:highlight w:val="none"/>
              </w:rPr>
            </w:pPr>
            <w:r>
              <w:rPr>
                <w:color w:val="auto"/>
                <w:highlight w:val="none"/>
              </w:rPr>
              <w:t>青年水库在丰水年和平水年兴利调度时，水库可同时满足灌溉用水、生态用水要求；枯水年或枯水期时，水库不能同时满足灌溉用水、生态用水要求，灌溉调度服从于生态用水调度，当水位位于死水位以下时，生态环境停止供水。</w:t>
            </w:r>
          </w:p>
          <w:p w14:paraId="2E8125CD">
            <w:pPr>
              <w:pStyle w:val="77"/>
              <w:keepNext w:val="0"/>
              <w:keepLines w:val="0"/>
              <w:pageBreakBefore w:val="0"/>
              <w:widowControl w:val="0"/>
              <w:kinsoku/>
              <w:wordWrap/>
              <w:overflowPunct/>
              <w:topLinePunct w:val="0"/>
              <w:autoSpaceDE/>
              <w:autoSpaceDN/>
              <w:bidi w:val="0"/>
              <w:adjustRightInd w:val="0"/>
              <w:snapToGrid w:val="0"/>
              <w:ind w:firstLine="480"/>
              <w:textAlignment w:val="auto"/>
              <w:rPr>
                <w:rFonts w:hint="eastAsia"/>
                <w:color w:val="auto"/>
                <w:highlight w:val="none"/>
              </w:rPr>
            </w:pPr>
            <w:r>
              <w:rPr>
                <w:color w:val="auto"/>
                <w:highlight w:val="none"/>
              </w:rPr>
              <w:t>水库兴利调度采用一线两区调度控</w:t>
            </w:r>
            <w:r>
              <w:rPr>
                <w:color w:val="auto"/>
              </w:rPr>
              <w:t>制，一线为农业供水限制线，两区分别为正常供水区和限制供水区。根据库水位进行控制，按照拟定的调度线分区进行操作，具体操作规则为：当库水位在正常蓄水位与农业供水限制线之间时，属于正常供水区，农业灌溉均按需水量供水；当库水位低于农业供水限制线，即落于限</w:t>
            </w:r>
            <w:r>
              <w:rPr>
                <w:color w:val="auto"/>
                <w:highlight w:val="none"/>
              </w:rPr>
              <w:t>制供水区时，农业灌溉按正常需水量的</w:t>
            </w:r>
            <w:r>
              <w:rPr>
                <w:rFonts w:hint="eastAsia"/>
                <w:color w:val="auto"/>
                <w:highlight w:val="none"/>
              </w:rPr>
              <w:t>6</w:t>
            </w:r>
            <w:r>
              <w:rPr>
                <w:color w:val="auto"/>
                <w:highlight w:val="none"/>
              </w:rPr>
              <w:t>0%供水。</w:t>
            </w:r>
            <w:r>
              <w:rPr>
                <w:rFonts w:hint="eastAsia"/>
                <w:color w:val="auto"/>
                <w:highlight w:val="none"/>
              </w:rPr>
              <w:t>水库补偿灌溉部分，首先考虑由穆棱河东鲜坝引水进行灌溉，不足部分由水库灌溉洞泄水，经由南总干渠为灌区补水。</w:t>
            </w:r>
          </w:p>
          <w:p w14:paraId="40AD3D17">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6.生态流量泄放</w:t>
            </w:r>
          </w:p>
          <w:p w14:paraId="266BC04F">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color w:val="auto"/>
                <w:sz w:val="24"/>
                <w:szCs w:val="24"/>
              </w:rPr>
            </w:pPr>
            <w:r>
              <w:rPr>
                <w:color w:val="auto"/>
                <w:sz w:val="24"/>
                <w:szCs w:val="24"/>
              </w:rPr>
              <w:t>按照《密山市青年水库生态流量保障实施方案》（2021.12）</w:t>
            </w:r>
            <w:r>
              <w:rPr>
                <w:rFonts w:hint="default" w:ascii="Times New Roman" w:hAnsi="Times New Roman" w:eastAsia="宋体" w:cs="Times New Roman"/>
                <w:i w:val="0"/>
                <w:iCs w:val="0"/>
                <w:color w:val="auto"/>
                <w:sz w:val="24"/>
                <w:highlight w:val="none"/>
                <w:lang w:val="en-US" w:eastAsia="zh-CN"/>
              </w:rPr>
              <w:t>进行生态流量核定</w:t>
            </w:r>
            <w:r>
              <w:rPr>
                <w:rFonts w:hint="eastAsia" w:eastAsia="宋体"/>
                <w:color w:val="auto"/>
                <w:sz w:val="24"/>
                <w:szCs w:val="24"/>
                <w:lang w:eastAsia="zh-CN"/>
              </w:rPr>
              <w:t>，</w:t>
            </w:r>
            <w:r>
              <w:rPr>
                <w:color w:val="auto"/>
                <w:sz w:val="24"/>
                <w:szCs w:val="24"/>
              </w:rPr>
              <w:t>下泄生态流量满足水库坝下河道水生生态环境的要求。生态流量泄放管设置在距离输水涵洞尾端左侧1m处设有一支管生态流量管φ20cm，接一座阀门室，便于控制流量和检修。青年水库坝址断面生态流量为汛期0.29m</w:t>
            </w:r>
            <w:r>
              <w:rPr>
                <w:color w:val="auto"/>
                <w:sz w:val="24"/>
                <w:szCs w:val="24"/>
                <w:vertAlign w:val="superscript"/>
              </w:rPr>
              <w:t>3</w:t>
            </w:r>
            <w:r>
              <w:rPr>
                <w:color w:val="auto"/>
                <w:sz w:val="24"/>
                <w:szCs w:val="24"/>
              </w:rPr>
              <w:t>/s，非汛期为0.18m</w:t>
            </w:r>
            <w:r>
              <w:rPr>
                <w:color w:val="auto"/>
                <w:sz w:val="24"/>
                <w:szCs w:val="24"/>
                <w:vertAlign w:val="superscript"/>
              </w:rPr>
              <w:t>3</w:t>
            </w:r>
            <w:r>
              <w:rPr>
                <w:color w:val="auto"/>
                <w:sz w:val="24"/>
                <w:szCs w:val="24"/>
              </w:rPr>
              <w:t>/s。</w:t>
            </w:r>
          </w:p>
          <w:p w14:paraId="5AE5B13E">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textAlignment w:val="auto"/>
              <w:rPr>
                <w:rFonts w:hint="default" w:ascii="Times New Roman" w:hAnsi="Times New Roman" w:eastAsia="宋体" w:cs="Times New Roman"/>
                <w:i w:val="0"/>
                <w:iCs w:val="0"/>
                <w:color w:val="auto"/>
                <w:sz w:val="24"/>
                <w:highlight w:val="none"/>
                <w:lang w:val="en-US" w:eastAsia="zh-CN"/>
              </w:rPr>
            </w:pPr>
            <w:r>
              <w:rPr>
                <w:color w:val="auto"/>
                <w:sz w:val="24"/>
                <w:szCs w:val="24"/>
              </w:rPr>
              <w:t>根据目前国内外水利水电工程实践，下泄生态流量控制措施应得以保证，生态流量在线监测系统已在《密山市青年水库生态流量保障实施方案》（2021.12）中计列，</w:t>
            </w:r>
            <w:r>
              <w:rPr>
                <w:rFonts w:hint="default" w:ascii="Times New Roman" w:hAnsi="Times New Roman" w:eastAsia="宋体" w:cs="Times New Roman"/>
                <w:i w:val="0"/>
                <w:iCs w:val="0"/>
                <w:color w:val="auto"/>
                <w:sz w:val="24"/>
                <w:highlight w:val="none"/>
                <w:lang w:val="en-US" w:eastAsia="zh-CN"/>
              </w:rPr>
              <w:t>数据直接传入黑龙江省水利厅管理系统平台，水行政主管部门对生态流量泄放进行实时有效监控，保证生态流量稳定放流。</w:t>
            </w:r>
          </w:p>
          <w:p w14:paraId="6AF785AD">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7</w:t>
            </w:r>
            <w:r>
              <w:rPr>
                <w:rFonts w:hint="default" w:ascii="Times New Roman" w:hAnsi="Times New Roman" w:cs="Times New Roman"/>
                <w:b/>
                <w:bCs/>
                <w:color w:val="auto"/>
                <w:sz w:val="24"/>
                <w:szCs w:val="24"/>
                <w:highlight w:val="none"/>
                <w:lang w:val="en-US" w:eastAsia="zh-CN"/>
              </w:rPr>
              <w:t>.</w:t>
            </w:r>
            <w:r>
              <w:rPr>
                <w:rFonts w:hint="default" w:ascii="Times New Roman" w:hAnsi="Times New Roman" w:eastAsia="宋体" w:cs="Times New Roman"/>
                <w:b/>
                <w:bCs/>
                <w:color w:val="auto"/>
                <w:sz w:val="24"/>
                <w:szCs w:val="24"/>
                <w:highlight w:val="none"/>
                <w:lang w:val="en-US" w:eastAsia="zh-CN"/>
              </w:rPr>
              <w:t>工程占地</w:t>
            </w:r>
          </w:p>
          <w:p w14:paraId="22B37AA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项目实施全部在工程原址上进行，无新增永久占地</w:t>
            </w:r>
            <w:r>
              <w:rPr>
                <w:rFonts w:hint="default" w:ascii="Times New Roman" w:hAnsi="Times New Roman" w:cs="Times New Roman"/>
                <w:color w:val="auto"/>
                <w:sz w:val="24"/>
                <w:szCs w:val="24"/>
                <w:highlight w:val="none"/>
                <w:lang w:val="en-US" w:eastAsia="zh-CN"/>
              </w:rPr>
              <w:t>，无</w:t>
            </w:r>
            <w:r>
              <w:rPr>
                <w:rFonts w:hint="default" w:ascii="Times New Roman" w:hAnsi="Times New Roman" w:eastAsia="宋体" w:cs="Times New Roman"/>
                <w:color w:val="auto"/>
                <w:sz w:val="24"/>
                <w:szCs w:val="24"/>
                <w:highlight w:val="none"/>
                <w:lang w:val="en-US" w:eastAsia="zh-CN"/>
              </w:rPr>
              <w:t>施工临时占</w:t>
            </w:r>
            <w:r>
              <w:rPr>
                <w:rFonts w:hint="default" w:ascii="Times New Roman" w:hAnsi="Times New Roman" w:cs="Times New Roman"/>
                <w:color w:val="auto"/>
                <w:sz w:val="24"/>
                <w:szCs w:val="24"/>
                <w:highlight w:val="none"/>
                <w:lang w:val="en-US" w:eastAsia="zh-CN"/>
              </w:rPr>
              <w:t>地。</w:t>
            </w:r>
            <w:r>
              <w:rPr>
                <w:rFonts w:hint="default" w:ascii="Times New Roman" w:hAnsi="Times New Roman" w:eastAsia="宋体" w:cs="Times New Roman"/>
                <w:color w:val="auto"/>
                <w:sz w:val="24"/>
                <w:szCs w:val="24"/>
                <w:highlight w:val="none"/>
                <w:lang w:val="en-US" w:eastAsia="zh-CN"/>
              </w:rPr>
              <w:t>施工材料、器具及临时堆土均位于项目原有地块内；未设置施工营地，施工人员</w:t>
            </w:r>
            <w:r>
              <w:rPr>
                <w:rFonts w:hint="default" w:ascii="Times New Roman" w:hAnsi="Times New Roman" w:cs="Times New Roman"/>
                <w:color w:val="auto"/>
                <w:sz w:val="24"/>
                <w:szCs w:val="24"/>
                <w:highlight w:val="none"/>
                <w:lang w:val="en-US" w:eastAsia="zh-CN"/>
              </w:rPr>
              <w:t>生活</w:t>
            </w:r>
            <w:r>
              <w:rPr>
                <w:rFonts w:hint="default" w:ascii="Times New Roman" w:hAnsi="Times New Roman" w:eastAsia="宋体" w:cs="Times New Roman"/>
                <w:color w:val="auto"/>
                <w:sz w:val="24"/>
                <w:szCs w:val="24"/>
                <w:highlight w:val="none"/>
                <w:lang w:val="en-US" w:eastAsia="zh-CN"/>
              </w:rPr>
              <w:t>均利用当地现有村屯房屋解决。现场无临时占地。</w:t>
            </w:r>
          </w:p>
          <w:p w14:paraId="5373FA81">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8</w:t>
            </w:r>
            <w:r>
              <w:rPr>
                <w:rFonts w:hint="default" w:ascii="Times New Roman" w:hAnsi="Times New Roman" w:cs="Times New Roman"/>
                <w:b/>
                <w:bCs/>
                <w:color w:val="auto"/>
                <w:sz w:val="24"/>
                <w:szCs w:val="24"/>
                <w:highlight w:val="none"/>
                <w:lang w:val="en-US" w:eastAsia="zh-CN"/>
              </w:rPr>
              <w:t>.</w:t>
            </w:r>
            <w:r>
              <w:rPr>
                <w:rFonts w:hint="default" w:ascii="Times New Roman" w:hAnsi="Times New Roman" w:eastAsia="宋体" w:cs="Times New Roman"/>
                <w:b/>
                <w:bCs/>
                <w:color w:val="auto"/>
                <w:sz w:val="24"/>
                <w:szCs w:val="24"/>
                <w:highlight w:val="none"/>
                <w:lang w:val="en-US" w:eastAsia="zh-CN"/>
              </w:rPr>
              <w:t>劳动定员</w:t>
            </w:r>
          </w:p>
          <w:p w14:paraId="533C04F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青年水库</w:t>
            </w:r>
            <w:r>
              <w:rPr>
                <w:rFonts w:hint="default" w:ascii="Times New Roman" w:hAnsi="Times New Roman" w:eastAsia="宋体" w:cs="Times New Roman"/>
                <w:color w:val="auto"/>
                <w:sz w:val="24"/>
                <w:szCs w:val="24"/>
                <w:highlight w:val="none"/>
                <w:lang w:val="en-US" w:eastAsia="zh-CN"/>
              </w:rPr>
              <w:t>电站现有工作人员</w:t>
            </w:r>
            <w:r>
              <w:rPr>
                <w:rFonts w:hint="eastAsia" w:cs="Times New Roman"/>
                <w:color w:val="auto"/>
                <w:sz w:val="24"/>
                <w:szCs w:val="24"/>
                <w:highlight w:val="none"/>
                <w:lang w:val="en-US" w:eastAsia="zh-CN"/>
              </w:rPr>
              <w:t>25</w:t>
            </w:r>
            <w:r>
              <w:rPr>
                <w:rFonts w:hint="default" w:ascii="Times New Roman" w:hAnsi="Times New Roman" w:eastAsia="宋体" w:cs="Times New Roman"/>
                <w:color w:val="auto"/>
                <w:sz w:val="24"/>
                <w:szCs w:val="24"/>
                <w:highlight w:val="none"/>
                <w:lang w:val="en-US" w:eastAsia="zh-CN"/>
              </w:rPr>
              <w:t>名，其中站长</w:t>
            </w:r>
            <w:r>
              <w:rPr>
                <w:rFonts w:hint="eastAsia"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名，副站长2名。</w:t>
            </w:r>
          </w:p>
          <w:p w14:paraId="660BD14B">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9</w:t>
            </w:r>
            <w:r>
              <w:rPr>
                <w:rFonts w:hint="default" w:ascii="Times New Roman" w:hAnsi="Times New Roman" w:cs="Times New Roman"/>
                <w:b/>
                <w:bCs/>
                <w:color w:val="auto"/>
                <w:sz w:val="24"/>
                <w:szCs w:val="24"/>
                <w:highlight w:val="none"/>
                <w:lang w:val="en-US" w:eastAsia="zh-CN"/>
              </w:rPr>
              <w:t>.</w:t>
            </w:r>
            <w:r>
              <w:rPr>
                <w:rFonts w:hint="default" w:ascii="Times New Roman" w:hAnsi="Times New Roman" w:eastAsia="宋体" w:cs="Times New Roman"/>
                <w:b/>
                <w:bCs/>
                <w:color w:val="auto"/>
                <w:sz w:val="24"/>
                <w:szCs w:val="24"/>
                <w:highlight w:val="none"/>
                <w:lang w:val="en-US" w:eastAsia="zh-CN"/>
              </w:rPr>
              <w:t>产排污环节</w:t>
            </w:r>
          </w:p>
          <w:p w14:paraId="7643055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水流经拦污栅拦截浮渣后冲击水轮发电机发电。发电后尾水的水量、水质、水温等基本无变化，尾水直接排入河道。</w:t>
            </w:r>
            <w:bookmarkStart w:id="4" w:name="_Hlk189929272"/>
          </w:p>
          <w:p w14:paraId="3B98761C">
            <w:pPr>
              <w:pStyle w:val="54"/>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default" w:ascii="Times New Roman" w:hAnsi="Times New Roman" w:eastAsia="宋体" w:cs="Times New Roman"/>
                <w:b/>
                <w:color w:val="auto"/>
                <w:sz w:val="24"/>
                <w:szCs w:val="24"/>
                <w:highlight w:val="none"/>
                <w:lang w:val="en-US" w:eastAsia="zh-CN"/>
              </w:rPr>
            </w:pPr>
          </w:p>
          <w:p w14:paraId="4DEDC71F">
            <w:pPr>
              <w:pStyle w:val="54"/>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default" w:ascii="Times New Roman" w:hAnsi="Times New Roman" w:eastAsia="宋体" w:cs="Times New Roman"/>
                <w:b/>
                <w:color w:val="auto"/>
                <w:sz w:val="24"/>
                <w:szCs w:val="24"/>
                <w:highlight w:val="none"/>
                <w:lang w:val="en-US" w:eastAsia="zh-CN"/>
              </w:rPr>
            </w:pPr>
            <w:r>
              <w:rPr>
                <w:rFonts w:hint="default" w:ascii="Times New Roman" w:hAnsi="Times New Roman" w:eastAsia="宋体" w:cs="Times New Roman"/>
                <w:b/>
                <w:color w:val="auto"/>
                <w:sz w:val="24"/>
                <w:szCs w:val="24"/>
                <w:highlight w:val="none"/>
                <w:lang w:val="en-US" w:eastAsia="zh-CN"/>
              </w:rPr>
              <w:t>表2-</w:t>
            </w:r>
            <w:r>
              <w:rPr>
                <w:rFonts w:hint="eastAsia" w:ascii="Times New Roman" w:cs="Times New Roman"/>
                <w:b/>
                <w:color w:val="auto"/>
                <w:sz w:val="24"/>
                <w:szCs w:val="24"/>
                <w:highlight w:val="none"/>
                <w:lang w:val="en-US" w:eastAsia="zh-CN"/>
              </w:rPr>
              <w:t>3</w:t>
            </w:r>
            <w:r>
              <w:rPr>
                <w:rFonts w:hint="default" w:ascii="Times New Roman" w:hAnsi="Times New Roman" w:eastAsia="宋体" w:cs="Times New Roman"/>
                <w:b/>
                <w:color w:val="auto"/>
                <w:sz w:val="24"/>
                <w:szCs w:val="24"/>
                <w:highlight w:val="none"/>
                <w:lang w:val="en-US" w:eastAsia="zh-CN"/>
              </w:rPr>
              <w:t xml:space="preserve">  项目产污环节及治理措施一览表</w:t>
            </w:r>
          </w:p>
          <w:tbl>
            <w:tblPr>
              <w:tblStyle w:val="2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8"/>
              <w:gridCol w:w="1523"/>
              <w:gridCol w:w="1676"/>
              <w:gridCol w:w="3909"/>
            </w:tblGrid>
            <w:tr w14:paraId="51966D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626" w:type="pct"/>
                  <w:shd w:val="clear" w:color="auto" w:fill="auto"/>
                  <w:vAlign w:val="center"/>
                </w:tcPr>
                <w:p w14:paraId="536AD0E4">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项目</w:t>
                  </w:r>
                </w:p>
              </w:tc>
              <w:tc>
                <w:tcPr>
                  <w:tcW w:w="937" w:type="pct"/>
                  <w:shd w:val="clear" w:color="auto" w:fill="auto"/>
                  <w:vAlign w:val="center"/>
                </w:tcPr>
                <w:p w14:paraId="10D25BCD">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污染源</w:t>
                  </w:r>
                </w:p>
              </w:tc>
              <w:tc>
                <w:tcPr>
                  <w:tcW w:w="1031" w:type="pct"/>
                  <w:shd w:val="clear" w:color="auto" w:fill="auto"/>
                  <w:vAlign w:val="center"/>
                </w:tcPr>
                <w:p w14:paraId="0F628EE4">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产污环节</w:t>
                  </w:r>
                </w:p>
              </w:tc>
              <w:tc>
                <w:tcPr>
                  <w:tcW w:w="2404" w:type="pct"/>
                  <w:shd w:val="clear" w:color="auto" w:fill="auto"/>
                  <w:vAlign w:val="center"/>
                </w:tcPr>
                <w:p w14:paraId="5F0B1131">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治理措施及排放去向</w:t>
                  </w:r>
                </w:p>
              </w:tc>
            </w:tr>
            <w:tr w14:paraId="1AC7C5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626" w:type="pct"/>
                  <w:vMerge w:val="restart"/>
                  <w:shd w:val="clear" w:color="auto" w:fill="auto"/>
                  <w:vAlign w:val="center"/>
                </w:tcPr>
                <w:p w14:paraId="1A304BD1">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废水</w:t>
                  </w:r>
                </w:p>
              </w:tc>
              <w:tc>
                <w:tcPr>
                  <w:tcW w:w="937" w:type="pct"/>
                  <w:shd w:val="clear" w:color="auto" w:fill="auto"/>
                  <w:vAlign w:val="center"/>
                </w:tcPr>
                <w:p w14:paraId="61B1AB18">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水轮机尾水</w:t>
                  </w:r>
                </w:p>
              </w:tc>
              <w:tc>
                <w:tcPr>
                  <w:tcW w:w="1031" w:type="pct"/>
                  <w:shd w:val="clear" w:color="auto" w:fill="auto"/>
                  <w:vAlign w:val="center"/>
                </w:tcPr>
                <w:p w14:paraId="7FCED113">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发电</w:t>
                  </w:r>
                </w:p>
              </w:tc>
              <w:tc>
                <w:tcPr>
                  <w:tcW w:w="2404" w:type="pct"/>
                  <w:shd w:val="clear" w:color="auto" w:fill="auto"/>
                  <w:vAlign w:val="center"/>
                </w:tcPr>
                <w:p w14:paraId="7530E47C">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发电前后，不会对水温、水质造成污染影响</w:t>
                  </w:r>
                </w:p>
              </w:tc>
            </w:tr>
            <w:tr w14:paraId="5DD7BC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626" w:type="pct"/>
                  <w:vMerge w:val="continue"/>
                  <w:shd w:val="clear" w:color="auto" w:fill="auto"/>
                  <w:vAlign w:val="center"/>
                </w:tcPr>
                <w:p w14:paraId="6E3D05C6">
                  <w:pPr>
                    <w:jc w:val="center"/>
                    <w:rPr>
                      <w:rFonts w:hint="default" w:ascii="Times New Roman" w:hAnsi="Times New Roman" w:eastAsia="宋体" w:cs="Times New Roman"/>
                      <w:color w:val="auto"/>
                      <w:sz w:val="21"/>
                      <w:szCs w:val="21"/>
                      <w:lang w:val="en-US" w:eastAsia="zh-CN"/>
                    </w:rPr>
                  </w:pPr>
                </w:p>
              </w:tc>
              <w:tc>
                <w:tcPr>
                  <w:tcW w:w="937" w:type="pct"/>
                  <w:shd w:val="clear" w:color="auto" w:fill="auto"/>
                  <w:vAlign w:val="center"/>
                </w:tcPr>
                <w:p w14:paraId="46616CC6">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生活污水</w:t>
                  </w:r>
                </w:p>
              </w:tc>
              <w:tc>
                <w:tcPr>
                  <w:tcW w:w="1031" w:type="pct"/>
                  <w:shd w:val="clear" w:color="auto" w:fill="auto"/>
                  <w:vAlign w:val="center"/>
                </w:tcPr>
                <w:p w14:paraId="43D5C9D2">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职工生活用水</w:t>
                  </w:r>
                </w:p>
              </w:tc>
              <w:tc>
                <w:tcPr>
                  <w:tcW w:w="2404" w:type="pct"/>
                  <w:shd w:val="clear" w:color="auto" w:fill="auto"/>
                  <w:vAlign w:val="center"/>
                </w:tcPr>
                <w:p w14:paraId="13CEDC39">
                  <w:pPr>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施工人员</w:t>
                  </w:r>
                  <w:r>
                    <w:rPr>
                      <w:rFonts w:hint="default" w:ascii="Times New Roman" w:hAnsi="Times New Roman" w:cs="Times New Roman"/>
                      <w:color w:val="auto"/>
                      <w:sz w:val="21"/>
                      <w:szCs w:val="21"/>
                    </w:rPr>
                    <w:t>生活污水定期清淘，外运堆肥</w:t>
                  </w:r>
                  <w:r>
                    <w:rPr>
                      <w:rFonts w:hint="default" w:ascii="Times New Roman" w:hAnsi="Times New Roman" w:eastAsia="宋体" w:cs="Times New Roman"/>
                      <w:color w:val="auto"/>
                      <w:sz w:val="21"/>
                      <w:szCs w:val="21"/>
                      <w:lang w:val="en-US" w:eastAsia="zh-CN"/>
                    </w:rPr>
                    <w:t>，不外排</w:t>
                  </w:r>
                </w:p>
              </w:tc>
            </w:tr>
            <w:tr w14:paraId="0B8138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 w:hRule="atLeast"/>
                <w:jc w:val="center"/>
              </w:trPr>
              <w:tc>
                <w:tcPr>
                  <w:tcW w:w="626" w:type="pct"/>
                  <w:shd w:val="clear" w:color="auto" w:fill="auto"/>
                  <w:vAlign w:val="center"/>
                </w:tcPr>
                <w:p w14:paraId="6A218131">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噪声</w:t>
                  </w:r>
                </w:p>
              </w:tc>
              <w:tc>
                <w:tcPr>
                  <w:tcW w:w="937" w:type="pct"/>
                  <w:shd w:val="clear" w:color="auto" w:fill="auto"/>
                  <w:vAlign w:val="center"/>
                </w:tcPr>
                <w:p w14:paraId="0809065E">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生产设备噪声</w:t>
                  </w:r>
                </w:p>
              </w:tc>
              <w:tc>
                <w:tcPr>
                  <w:tcW w:w="1031" w:type="pct"/>
                  <w:shd w:val="clear" w:color="auto" w:fill="auto"/>
                  <w:vAlign w:val="center"/>
                </w:tcPr>
                <w:p w14:paraId="0DB5D790">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设备运转</w:t>
                  </w:r>
                </w:p>
              </w:tc>
              <w:tc>
                <w:tcPr>
                  <w:tcW w:w="2404" w:type="pct"/>
                  <w:shd w:val="clear" w:color="auto" w:fill="auto"/>
                  <w:vAlign w:val="center"/>
                </w:tcPr>
                <w:p w14:paraId="1F61F309">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采取适宜的减振，降噪措施</w:t>
                  </w:r>
                </w:p>
              </w:tc>
            </w:tr>
            <w:tr w14:paraId="18E8F2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626" w:type="pct"/>
                  <w:vMerge w:val="restart"/>
                  <w:shd w:val="clear" w:color="auto" w:fill="auto"/>
                  <w:vAlign w:val="center"/>
                </w:tcPr>
                <w:p w14:paraId="049C4B3B">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固废</w:t>
                  </w:r>
                </w:p>
              </w:tc>
              <w:tc>
                <w:tcPr>
                  <w:tcW w:w="937" w:type="pct"/>
                  <w:shd w:val="clear" w:color="auto" w:fill="auto"/>
                  <w:vAlign w:val="center"/>
                </w:tcPr>
                <w:p w14:paraId="67E9124D">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废机油</w:t>
                  </w:r>
                </w:p>
              </w:tc>
              <w:tc>
                <w:tcPr>
                  <w:tcW w:w="1031" w:type="pct"/>
                  <w:shd w:val="clear" w:color="auto" w:fill="auto"/>
                  <w:vAlign w:val="center"/>
                </w:tcPr>
                <w:p w14:paraId="1F606821">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电机维修、检修</w:t>
                  </w:r>
                </w:p>
              </w:tc>
              <w:tc>
                <w:tcPr>
                  <w:tcW w:w="2404" w:type="pct"/>
                  <w:shd w:val="clear" w:color="auto" w:fill="auto"/>
                  <w:vAlign w:val="center"/>
                </w:tcPr>
                <w:p w14:paraId="187B6B3C">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委托有资质单位回收处理</w:t>
                  </w:r>
                </w:p>
              </w:tc>
            </w:tr>
            <w:tr w14:paraId="6B77A7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626" w:type="pct"/>
                  <w:vMerge w:val="continue"/>
                  <w:shd w:val="clear" w:color="auto" w:fill="auto"/>
                  <w:vAlign w:val="center"/>
                </w:tcPr>
                <w:p w14:paraId="74F19BA3">
                  <w:pPr>
                    <w:jc w:val="center"/>
                    <w:rPr>
                      <w:rFonts w:hint="default" w:ascii="Times New Roman" w:hAnsi="Times New Roman" w:eastAsia="宋体" w:cs="Times New Roman"/>
                      <w:color w:val="auto"/>
                      <w:sz w:val="21"/>
                      <w:szCs w:val="21"/>
                      <w:lang w:val="en-US" w:eastAsia="zh-CN"/>
                    </w:rPr>
                  </w:pPr>
                </w:p>
              </w:tc>
              <w:tc>
                <w:tcPr>
                  <w:tcW w:w="937" w:type="pct"/>
                  <w:shd w:val="clear" w:color="auto" w:fill="auto"/>
                  <w:vAlign w:val="center"/>
                </w:tcPr>
                <w:p w14:paraId="05CC1E51">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拦污栅</w:t>
                  </w:r>
                </w:p>
              </w:tc>
              <w:tc>
                <w:tcPr>
                  <w:tcW w:w="1031" w:type="pct"/>
                  <w:shd w:val="clear" w:color="auto" w:fill="auto"/>
                  <w:vAlign w:val="center"/>
                </w:tcPr>
                <w:p w14:paraId="2BB8004D">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拦截清理</w:t>
                  </w:r>
                </w:p>
              </w:tc>
              <w:tc>
                <w:tcPr>
                  <w:tcW w:w="2404" w:type="pct"/>
                  <w:shd w:val="clear" w:color="auto" w:fill="auto"/>
                  <w:vAlign w:val="center"/>
                </w:tcPr>
                <w:p w14:paraId="2D6AEC36">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定期清理，由环卫部门统一清运</w:t>
                  </w:r>
                </w:p>
              </w:tc>
            </w:tr>
            <w:tr w14:paraId="424AAF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626" w:type="pct"/>
                  <w:vMerge w:val="continue"/>
                  <w:shd w:val="clear" w:color="auto" w:fill="auto"/>
                  <w:vAlign w:val="center"/>
                </w:tcPr>
                <w:p w14:paraId="77134715">
                  <w:pPr>
                    <w:jc w:val="center"/>
                    <w:rPr>
                      <w:rFonts w:hint="default" w:ascii="Times New Roman" w:hAnsi="Times New Roman" w:eastAsia="宋体" w:cs="Times New Roman"/>
                      <w:color w:val="auto"/>
                      <w:sz w:val="21"/>
                      <w:szCs w:val="21"/>
                      <w:lang w:val="en-US" w:eastAsia="zh-CN"/>
                    </w:rPr>
                  </w:pPr>
                </w:p>
              </w:tc>
              <w:tc>
                <w:tcPr>
                  <w:tcW w:w="937" w:type="pct"/>
                  <w:shd w:val="clear" w:color="auto" w:fill="auto"/>
                  <w:vAlign w:val="center"/>
                </w:tcPr>
                <w:p w14:paraId="1762CED6">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生活垃圾</w:t>
                  </w:r>
                </w:p>
              </w:tc>
              <w:tc>
                <w:tcPr>
                  <w:tcW w:w="1031" w:type="pct"/>
                  <w:shd w:val="clear" w:color="auto" w:fill="auto"/>
                  <w:vAlign w:val="center"/>
                </w:tcPr>
                <w:p w14:paraId="09F37F00">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员工办公生活</w:t>
                  </w:r>
                </w:p>
              </w:tc>
              <w:tc>
                <w:tcPr>
                  <w:tcW w:w="2404" w:type="pct"/>
                  <w:shd w:val="clear" w:color="auto" w:fill="auto"/>
                  <w:vAlign w:val="center"/>
                </w:tcPr>
                <w:p w14:paraId="3F9CAED7">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收集后由环卫部门清运处置</w:t>
                  </w:r>
                </w:p>
              </w:tc>
            </w:tr>
            <w:bookmarkEnd w:id="4"/>
          </w:tbl>
          <w:p w14:paraId="23A2A681">
            <w:pPr>
              <w:spacing w:line="360" w:lineRule="auto"/>
              <w:ind w:firstLine="420" w:firstLineChars="200"/>
              <w:rPr>
                <w:rFonts w:hint="default" w:ascii="Times New Roman" w:hAnsi="Times New Roman" w:eastAsia="宋体" w:cs="Times New Roman"/>
                <w:color w:val="auto"/>
                <w:sz w:val="21"/>
                <w:szCs w:val="21"/>
                <w:lang w:val="en-US" w:eastAsia="zh-CN"/>
              </w:rPr>
            </w:pPr>
          </w:p>
        </w:tc>
      </w:tr>
      <w:tr w14:paraId="0CFC5C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87" w:hRule="atLeast"/>
          <w:jc w:val="center"/>
        </w:trPr>
        <w:tc>
          <w:tcPr>
            <w:tcW w:w="785" w:type="dxa"/>
            <w:vAlign w:val="center"/>
          </w:tcPr>
          <w:p w14:paraId="0D822D3A">
            <w:pPr>
              <w:adjustRightInd w:val="0"/>
              <w:snapToGrid w:val="0"/>
              <w:jc w:val="both"/>
              <w:rPr>
                <w:rFonts w:hint="default" w:ascii="Times New Roman" w:hAnsi="Times New Roman" w:cs="Times New Roman" w:eastAsiaTheme="minorEastAsia"/>
                <w:color w:val="auto"/>
                <w:kern w:val="0"/>
                <w:sz w:val="24"/>
                <w:szCs w:val="24"/>
              </w:rPr>
            </w:pPr>
            <w:r>
              <w:rPr>
                <w:rFonts w:hint="default" w:ascii="Times New Roman" w:hAnsi="Times New Roman" w:eastAsia="宋体" w:cs="Times New Roman"/>
                <w:color w:val="auto"/>
                <w:sz w:val="24"/>
                <w:szCs w:val="24"/>
                <w:lang w:val="en-US" w:eastAsia="zh-CN"/>
              </w:rPr>
              <w:t>总平面及现场布</w:t>
            </w:r>
          </w:p>
        </w:tc>
        <w:tc>
          <w:tcPr>
            <w:tcW w:w="8355" w:type="dxa"/>
            <w:vAlign w:val="center"/>
          </w:tcPr>
          <w:p w14:paraId="69A27B4B">
            <w:pPr>
              <w:pStyle w:val="77"/>
              <w:ind w:firstLine="480"/>
              <w:rPr>
                <w:rFonts w:hint="default" w:ascii="Times New Roman" w:hAnsi="Times New Roman" w:cs="Times New Roman"/>
                <w:color w:val="000000"/>
                <w:sz w:val="24"/>
                <w:szCs w:val="24"/>
                <w:lang w:val="en-US" w:eastAsia="zh-CN"/>
              </w:rPr>
            </w:pPr>
            <w:r>
              <w:rPr>
                <w:rFonts w:hint="eastAsia" w:cs="Times New Roman"/>
                <w:color w:val="auto"/>
                <w:sz w:val="24"/>
                <w:szCs w:val="24"/>
                <w:highlight w:val="none"/>
                <w:lang w:val="en-US" w:eastAsia="zh-CN"/>
              </w:rPr>
              <w:t>青年水库</w:t>
            </w:r>
            <w:r>
              <w:rPr>
                <w:rFonts w:hint="default" w:ascii="Times New Roman" w:hAnsi="Times New Roman" w:eastAsia="宋体" w:cs="Times New Roman"/>
                <w:color w:val="auto"/>
                <w:sz w:val="24"/>
                <w:szCs w:val="24"/>
                <w:highlight w:val="none"/>
                <w:lang w:val="en-US" w:eastAsia="zh-CN"/>
              </w:rPr>
              <w:t>电站主要由大坝、发电厂房组成。水电站挡水副坝位于</w:t>
            </w:r>
            <w:r>
              <w:rPr>
                <w:rFonts w:hint="eastAsia" w:cs="Times New Roman"/>
                <w:color w:val="auto"/>
                <w:sz w:val="24"/>
                <w:szCs w:val="24"/>
                <w:highlight w:val="none"/>
                <w:lang w:val="en-US" w:eastAsia="zh-CN"/>
              </w:rPr>
              <w:t>裴德</w:t>
            </w:r>
            <w:r>
              <w:rPr>
                <w:rFonts w:hint="default" w:ascii="Times New Roman" w:hAnsi="Times New Roman" w:eastAsia="宋体" w:cs="Times New Roman"/>
                <w:color w:val="auto"/>
                <w:sz w:val="24"/>
                <w:szCs w:val="24"/>
                <w:highlight w:val="none"/>
                <w:lang w:val="en-US" w:eastAsia="zh-CN"/>
              </w:rPr>
              <w:t>河干流上，整体呈南北走向；减水河段整体走向为由北向南，水电站位于副坝西侧，</w:t>
            </w:r>
            <w:r>
              <w:rPr>
                <w:rFonts w:hint="eastAsia" w:ascii="宋体" w:hAnsi="宋体"/>
                <w:highlight w:val="none"/>
              </w:rPr>
              <w:t>电站尾水渠下游接南总干渠、北总干渠渠道</w:t>
            </w:r>
            <w:r>
              <w:rPr>
                <w:rFonts w:hint="default" w:ascii="Times New Roman" w:hAnsi="Times New Roman" w:eastAsia="宋体" w:cs="Times New Roman"/>
                <w:color w:val="auto"/>
                <w:sz w:val="24"/>
                <w:szCs w:val="24"/>
                <w:highlight w:val="none"/>
                <w:lang w:val="en-US" w:eastAsia="zh-CN"/>
              </w:rPr>
              <w:t>。发电厂房内共装有2台发电机组。项目总平面布置整体合理。</w:t>
            </w:r>
          </w:p>
        </w:tc>
      </w:tr>
      <w:tr w14:paraId="3A62EB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85" w:type="dxa"/>
            <w:vAlign w:val="center"/>
          </w:tcPr>
          <w:p w14:paraId="6198DBBB">
            <w:pPr>
              <w:adjustRightInd w:val="0"/>
              <w:snapToGrid w:val="0"/>
              <w:jc w:val="center"/>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施工方案</w:t>
            </w:r>
          </w:p>
        </w:tc>
        <w:tc>
          <w:tcPr>
            <w:tcW w:w="8355" w:type="dxa"/>
            <w:vAlign w:val="center"/>
          </w:tcPr>
          <w:p w14:paraId="7C82C31C">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eastAsia" w:cs="Times New Roman"/>
                <w:color w:val="auto"/>
                <w:sz w:val="24"/>
                <w:szCs w:val="24"/>
                <w:highlight w:val="none"/>
                <w:lang w:val="en-US" w:eastAsia="zh-CN"/>
              </w:rPr>
              <w:t>青年水库</w:t>
            </w:r>
            <w:r>
              <w:rPr>
                <w:rFonts w:hint="default" w:ascii="Times New Roman" w:hAnsi="Times New Roman" w:cs="Times New Roman"/>
                <w:color w:val="auto"/>
                <w:sz w:val="24"/>
                <w:szCs w:val="24"/>
                <w:highlight w:val="none"/>
                <w:lang w:val="en-US" w:eastAsia="zh-CN"/>
              </w:rPr>
              <w:t>电站</w:t>
            </w:r>
            <w:r>
              <w:rPr>
                <w:rFonts w:hint="default" w:ascii="Times New Roman" w:hAnsi="Times New Roman" w:eastAsia="宋体" w:cs="Times New Roman"/>
                <w:color w:val="auto"/>
                <w:sz w:val="24"/>
                <w:szCs w:val="24"/>
                <w:lang w:val="en-US" w:eastAsia="zh-CN"/>
              </w:rPr>
              <w:t>于</w:t>
            </w:r>
            <w:r>
              <w:rPr>
                <w:rFonts w:hint="default" w:ascii="Times New Roman" w:hAnsi="Times New Roman" w:eastAsia="宋体" w:cs="Times New Roman"/>
                <w:bCs/>
                <w:color w:val="auto"/>
                <w:sz w:val="24"/>
                <w:szCs w:val="24"/>
                <w:highlight w:val="none"/>
                <w:lang w:val="en-US" w:eastAsia="zh-CN"/>
              </w:rPr>
              <w:t>2014年9</w:t>
            </w:r>
            <w:r>
              <w:rPr>
                <w:rFonts w:hint="default" w:ascii="Times New Roman" w:hAnsi="Times New Roman" w:cs="Times New Roman"/>
                <w:bCs/>
                <w:color w:val="auto"/>
                <w:sz w:val="24"/>
                <w:szCs w:val="24"/>
                <w:highlight w:val="none"/>
                <w:lang w:val="en-US" w:eastAsia="zh-CN"/>
              </w:rPr>
              <w:t>月</w:t>
            </w:r>
            <w:r>
              <w:rPr>
                <w:rFonts w:hint="default" w:ascii="Times New Roman" w:hAnsi="Times New Roman" w:eastAsia="宋体" w:cs="Times New Roman"/>
                <w:color w:val="auto"/>
                <w:sz w:val="24"/>
                <w:szCs w:val="24"/>
                <w:lang w:val="en-US" w:eastAsia="zh-CN"/>
              </w:rPr>
              <w:t>动工，</w:t>
            </w:r>
            <w:r>
              <w:rPr>
                <w:rFonts w:hint="default" w:ascii="Times New Roman" w:hAnsi="Times New Roman" w:eastAsia="宋体" w:cs="Times New Roman"/>
                <w:bCs/>
                <w:color w:val="auto"/>
                <w:sz w:val="24"/>
                <w:szCs w:val="24"/>
                <w:highlight w:val="none"/>
                <w:lang w:val="en-US" w:eastAsia="zh-CN"/>
              </w:rPr>
              <w:t>2015年10月</w:t>
            </w:r>
            <w:r>
              <w:rPr>
                <w:rFonts w:hint="default" w:ascii="Times New Roman" w:hAnsi="Times New Roman" w:eastAsia="宋体" w:cs="Times New Roman"/>
                <w:color w:val="auto"/>
                <w:sz w:val="24"/>
                <w:szCs w:val="24"/>
                <w:lang w:val="en-US" w:eastAsia="zh-CN"/>
              </w:rPr>
              <w:t xml:space="preserve">完成，已建设完成工程内容包括对原有水工建筑物进行加固及局部改造、对原水轮发电机组设备进行拆除更换，并更换相应的闸门及电气设备。施工期回顾如下： </w:t>
            </w:r>
          </w:p>
          <w:p w14:paraId="39E37212">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 xml:space="preserve">（1）施工交通 </w:t>
            </w:r>
          </w:p>
          <w:p w14:paraId="07F611AB">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电站厂房处有堤顶路和村级公路，周边村庄公路可通至电站及水库，</w:t>
            </w:r>
            <w:r>
              <w:rPr>
                <w:rFonts w:hint="default" w:ascii="Times New Roman" w:hAnsi="Times New Roman" w:eastAsia="宋体" w:cs="Times New Roman"/>
                <w:color w:val="auto"/>
                <w:kern w:val="0"/>
                <w:sz w:val="24"/>
                <w:szCs w:val="24"/>
                <w:highlight w:val="none"/>
                <w:lang w:val="en-US" w:eastAsia="zh-CN"/>
              </w:rPr>
              <w:t>工程对外、对内交通便利，无需新建和维修临时道路。</w:t>
            </w:r>
          </w:p>
          <w:p w14:paraId="212EA932">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（2）建筑材料及水、电供应条件</w:t>
            </w:r>
          </w:p>
          <w:p w14:paraId="1F5E94CC">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本工程所需的水泥、钢材、汽柴油、砂、砾石</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商砼由</w:t>
            </w:r>
            <w:r>
              <w:rPr>
                <w:rFonts w:hint="eastAsia" w:cs="Times New Roman"/>
                <w:color w:val="auto"/>
                <w:sz w:val="24"/>
                <w:szCs w:val="24"/>
                <w:highlight w:val="none"/>
                <w:lang w:val="en-US" w:eastAsia="zh-CN"/>
              </w:rPr>
              <w:t>密山市</w:t>
            </w:r>
            <w:r>
              <w:rPr>
                <w:rFonts w:hint="default" w:ascii="Times New Roman" w:hAnsi="Times New Roman" w:eastAsia="宋体" w:cs="Times New Roman"/>
                <w:color w:val="auto"/>
                <w:sz w:val="24"/>
                <w:szCs w:val="24"/>
                <w:highlight w:val="none"/>
                <w:lang w:val="en-US" w:eastAsia="zh-CN"/>
              </w:rPr>
              <w:t>购买</w:t>
            </w:r>
            <w:r>
              <w:rPr>
                <w:rFonts w:hint="default" w:ascii="Times New Roman" w:hAnsi="Times New Roman" w:cs="Times New Roman"/>
                <w:color w:val="auto"/>
                <w:sz w:val="24"/>
                <w:szCs w:val="24"/>
                <w:highlight w:val="none"/>
                <w:lang w:val="en-US" w:eastAsia="zh-CN"/>
              </w:rPr>
              <w:t>。施工用电采用自发电，施工用水取自水库，生活用水利用管理站水井。</w:t>
            </w:r>
          </w:p>
          <w:p w14:paraId="0BE93807">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 xml:space="preserve">（3）施工场地布置 </w:t>
            </w:r>
          </w:p>
          <w:p w14:paraId="685357CC">
            <w:pPr>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highlight w:val="none"/>
                <w:lang w:val="en-US" w:eastAsia="zh-CN"/>
              </w:rPr>
              <w:t>工程</w:t>
            </w:r>
            <w:r>
              <w:rPr>
                <w:rFonts w:hint="default" w:ascii="Times New Roman" w:hAnsi="Times New Roman" w:eastAsia="宋体" w:cs="Times New Roman"/>
                <w:color w:val="auto"/>
                <w:sz w:val="24"/>
                <w:szCs w:val="24"/>
                <w:lang w:val="en-US" w:eastAsia="zh-CN"/>
              </w:rPr>
              <w:t>不新增占用。施工人员均入住当地村</w:t>
            </w:r>
            <w:r>
              <w:rPr>
                <w:rFonts w:hint="default" w:ascii="Times New Roman" w:hAnsi="Times New Roman" w:cs="Times New Roman"/>
                <w:color w:val="auto"/>
                <w:sz w:val="24"/>
                <w:szCs w:val="24"/>
                <w:lang w:val="en-US" w:eastAsia="zh-CN"/>
              </w:rPr>
              <w:t>屯</w:t>
            </w:r>
            <w:r>
              <w:rPr>
                <w:rFonts w:hint="default" w:ascii="Times New Roman" w:hAnsi="Times New Roman" w:eastAsia="宋体" w:cs="Times New Roman"/>
                <w:color w:val="auto"/>
                <w:sz w:val="24"/>
                <w:szCs w:val="24"/>
                <w:lang w:val="en-US" w:eastAsia="zh-CN"/>
              </w:rPr>
              <w:t xml:space="preserve">，不在施工现场食宿。 </w:t>
            </w:r>
          </w:p>
          <w:p w14:paraId="76618CDC">
            <w:pPr>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r>
              <w:rPr>
                <w:rFonts w:hint="default" w:ascii="Times New Roman" w:hAnsi="Times New Roman" w:cs="Times New Roman"/>
                <w:color w:val="auto"/>
                <w:sz w:val="24"/>
                <w:szCs w:val="24"/>
                <w:lang w:val="en-US" w:eastAsia="zh-CN"/>
              </w:rPr>
              <w:t>4</w:t>
            </w:r>
            <w:r>
              <w:rPr>
                <w:rFonts w:hint="default" w:ascii="Times New Roman" w:hAnsi="Times New Roman" w:eastAsia="宋体" w:cs="Times New Roman"/>
                <w:color w:val="auto"/>
                <w:sz w:val="24"/>
                <w:szCs w:val="24"/>
                <w:lang w:val="en-US" w:eastAsia="zh-CN"/>
              </w:rPr>
              <w:t>）</w:t>
            </w:r>
            <w:r>
              <w:rPr>
                <w:rFonts w:hint="default" w:ascii="Times New Roman" w:hAnsi="Times New Roman" w:cs="Times New Roman"/>
                <w:color w:val="auto"/>
                <w:sz w:val="24"/>
                <w:szCs w:val="24"/>
                <w:lang w:val="en-US" w:eastAsia="zh-CN"/>
              </w:rPr>
              <w:t>取弃土</w:t>
            </w:r>
            <w:r>
              <w:rPr>
                <w:rFonts w:hint="default" w:ascii="Times New Roman" w:hAnsi="Times New Roman" w:eastAsia="宋体" w:cs="Times New Roman"/>
                <w:color w:val="auto"/>
                <w:sz w:val="24"/>
                <w:szCs w:val="24"/>
                <w:lang w:val="en-US" w:eastAsia="zh-CN"/>
              </w:rPr>
              <w:t xml:space="preserve">场 </w:t>
            </w:r>
          </w:p>
          <w:p w14:paraId="5FD433D0">
            <w:pPr>
              <w:spacing w:line="360" w:lineRule="auto"/>
              <w:ind w:firstLine="480" w:firstLineChars="200"/>
              <w:rPr>
                <w:rFonts w:hint="default" w:ascii="Times New Roman" w:hAnsi="Times New Roman" w:cs="Times New Roman"/>
                <w:color w:val="000000"/>
                <w:sz w:val="24"/>
                <w:szCs w:val="24"/>
                <w:lang w:val="en-US" w:eastAsia="zh-CN"/>
              </w:rPr>
            </w:pPr>
            <w:r>
              <w:rPr>
                <w:rFonts w:hint="default" w:ascii="Times New Roman" w:hAnsi="Times New Roman" w:cs="Times New Roman"/>
                <w:color w:val="auto"/>
                <w:sz w:val="24"/>
                <w:szCs w:val="24"/>
                <w:lang w:val="en-US" w:eastAsia="zh-CN"/>
              </w:rPr>
              <w:t>工程所需</w:t>
            </w:r>
            <w:r>
              <w:rPr>
                <w:rFonts w:hint="default" w:ascii="Times New Roman" w:hAnsi="Times New Roman" w:eastAsia="宋体" w:cs="Times New Roman"/>
                <w:color w:val="auto"/>
                <w:sz w:val="24"/>
                <w:szCs w:val="24"/>
                <w:lang w:val="en-US" w:eastAsia="zh-CN"/>
              </w:rPr>
              <w:t>建筑材料</w:t>
            </w:r>
            <w:r>
              <w:rPr>
                <w:rFonts w:hint="default" w:ascii="Times New Roman" w:hAnsi="Times New Roman" w:cs="Times New Roman"/>
                <w:color w:val="auto"/>
                <w:sz w:val="24"/>
                <w:szCs w:val="24"/>
                <w:lang w:val="en-US" w:eastAsia="zh-CN"/>
              </w:rPr>
              <w:t>均采用外购，不设取土场。</w:t>
            </w:r>
            <w:r>
              <w:rPr>
                <w:rFonts w:hint="default" w:ascii="Times New Roman" w:hAnsi="Times New Roman" w:eastAsia="宋体" w:cs="Times New Roman"/>
                <w:color w:val="auto"/>
                <w:sz w:val="24"/>
                <w:szCs w:val="24"/>
                <w:lang w:val="en-US" w:eastAsia="zh-CN"/>
              </w:rPr>
              <w:t>项目工程建设规模小，产生土方量很少，直接</w:t>
            </w:r>
            <w:r>
              <w:rPr>
                <w:rFonts w:hint="default" w:ascii="Times New Roman" w:hAnsi="Times New Roman" w:cs="Times New Roman"/>
                <w:color w:val="auto"/>
                <w:sz w:val="24"/>
                <w:szCs w:val="24"/>
                <w:lang w:val="en-US" w:eastAsia="zh-CN"/>
              </w:rPr>
              <w:t>用于</w:t>
            </w:r>
            <w:r>
              <w:rPr>
                <w:rFonts w:hint="default" w:ascii="Times New Roman" w:hAnsi="Times New Roman" w:eastAsia="宋体" w:cs="Times New Roman"/>
                <w:color w:val="auto"/>
                <w:sz w:val="24"/>
                <w:szCs w:val="24"/>
                <w:lang w:val="en-US" w:eastAsia="zh-CN"/>
              </w:rPr>
              <w:t>坝后保护用地内平摊，不设弃渣场。施工过程</w:t>
            </w:r>
            <w:r>
              <w:rPr>
                <w:rFonts w:hint="default" w:ascii="Times New Roman" w:hAnsi="Times New Roman" w:cs="Times New Roman"/>
                <w:color w:val="auto"/>
                <w:sz w:val="24"/>
                <w:szCs w:val="24"/>
                <w:lang w:val="en-US" w:eastAsia="zh-CN"/>
              </w:rPr>
              <w:t>中</w:t>
            </w:r>
            <w:r>
              <w:rPr>
                <w:rFonts w:hint="default" w:ascii="Times New Roman" w:hAnsi="Times New Roman" w:eastAsia="宋体" w:cs="Times New Roman"/>
                <w:color w:val="auto"/>
                <w:sz w:val="24"/>
                <w:szCs w:val="24"/>
                <w:lang w:val="en-US" w:eastAsia="zh-CN"/>
              </w:rPr>
              <w:t>产生的建筑垃圾已妥善处理。</w:t>
            </w:r>
          </w:p>
        </w:tc>
      </w:tr>
      <w:tr w14:paraId="64A390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785" w:type="dxa"/>
            <w:vAlign w:val="center"/>
          </w:tcPr>
          <w:p w14:paraId="4C800E81">
            <w:pPr>
              <w:adjustRightInd w:val="0"/>
              <w:snapToGrid w:val="0"/>
              <w:jc w:val="center"/>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其他</w:t>
            </w:r>
          </w:p>
        </w:tc>
        <w:tc>
          <w:tcPr>
            <w:tcW w:w="8355" w:type="dxa"/>
            <w:vAlign w:val="center"/>
          </w:tcPr>
          <w:p w14:paraId="725379AE">
            <w:pPr>
              <w:adjustRightInd w:val="0"/>
              <w:snapToGrid w:val="0"/>
              <w:jc w:val="both"/>
              <w:rPr>
                <w:rFonts w:hint="default" w:ascii="Times New Roman" w:hAnsi="Times New Roman" w:cs="Times New Roman" w:eastAsiaTheme="minorEastAsia"/>
                <w:color w:val="auto"/>
                <w:kern w:val="0"/>
                <w:sz w:val="24"/>
                <w:szCs w:val="24"/>
                <w:lang w:val="en-US" w:eastAsia="zh-CN"/>
              </w:rPr>
            </w:pPr>
            <w:r>
              <w:rPr>
                <w:rFonts w:hint="default" w:ascii="Times New Roman" w:hAnsi="Times New Roman" w:cs="Times New Roman" w:eastAsiaTheme="minorEastAsia"/>
                <w:color w:val="auto"/>
                <w:kern w:val="0"/>
                <w:sz w:val="24"/>
                <w:szCs w:val="24"/>
                <w:lang w:val="en-US" w:eastAsia="zh-CN"/>
              </w:rPr>
              <w:t>无</w:t>
            </w:r>
          </w:p>
          <w:p w14:paraId="287EE64C">
            <w:pPr>
              <w:adjustRightInd w:val="0"/>
              <w:snapToGrid w:val="0"/>
              <w:jc w:val="both"/>
              <w:rPr>
                <w:rFonts w:hint="default" w:ascii="Times New Roman" w:hAnsi="Times New Roman" w:cs="Times New Roman" w:eastAsiaTheme="minorEastAsia"/>
                <w:color w:val="auto"/>
                <w:kern w:val="0"/>
                <w:sz w:val="24"/>
                <w:szCs w:val="24"/>
                <w:lang w:val="en-US" w:eastAsia="zh-CN"/>
              </w:rPr>
            </w:pPr>
          </w:p>
          <w:p w14:paraId="68CA7CEA">
            <w:pPr>
              <w:adjustRightInd w:val="0"/>
              <w:snapToGrid w:val="0"/>
              <w:jc w:val="both"/>
              <w:rPr>
                <w:rFonts w:hint="default" w:ascii="Times New Roman" w:hAnsi="Times New Roman" w:cs="Times New Roman" w:eastAsiaTheme="minorEastAsia"/>
                <w:color w:val="auto"/>
                <w:kern w:val="0"/>
                <w:sz w:val="24"/>
                <w:szCs w:val="24"/>
                <w:lang w:val="en-US" w:eastAsia="zh-CN"/>
              </w:rPr>
            </w:pPr>
          </w:p>
        </w:tc>
      </w:tr>
    </w:tbl>
    <w:p w14:paraId="1FC2D87C">
      <w:pPr>
        <w:pStyle w:val="21"/>
        <w:jc w:val="center"/>
        <w:outlineLvl w:val="0"/>
        <w:rPr>
          <w:rFonts w:hint="default" w:ascii="Times New Roman" w:hAnsi="Times New Roman" w:eastAsia="黑体" w:cs="Times New Roman"/>
          <w:snapToGrid w:val="0"/>
          <w:color w:val="auto"/>
          <w:sz w:val="30"/>
          <w:szCs w:val="30"/>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bookmarkStart w:id="5" w:name="_Toc13546"/>
    </w:p>
    <w:p w14:paraId="01D03920">
      <w:pPr>
        <w:pStyle w:val="21"/>
        <w:jc w:val="center"/>
        <w:outlineLvl w:val="0"/>
        <w:rPr>
          <w:rFonts w:hint="default" w:ascii="Times New Roman" w:hAnsi="Times New Roman" w:eastAsia="黑体" w:cs="Times New Roman"/>
          <w:snapToGrid w:val="0"/>
          <w:color w:val="auto"/>
          <w:sz w:val="30"/>
          <w:szCs w:val="30"/>
        </w:rPr>
      </w:pPr>
      <w:r>
        <w:rPr>
          <w:rFonts w:hint="default" w:ascii="Times New Roman" w:hAnsi="Times New Roman" w:eastAsia="黑体" w:cs="Times New Roman"/>
          <w:snapToGrid w:val="0"/>
          <w:color w:val="auto"/>
          <w:sz w:val="30"/>
          <w:szCs w:val="30"/>
        </w:rPr>
        <w:t>三、生态环境现状、保护目标及评价标准</w:t>
      </w:r>
      <w:bookmarkEnd w:id="5"/>
    </w:p>
    <w:tbl>
      <w:tblPr>
        <w:tblStyle w:val="24"/>
        <w:tblW w:w="915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07"/>
        <w:gridCol w:w="8550"/>
      </w:tblGrid>
      <w:tr w14:paraId="7C5681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8795" w:hRule="atLeast"/>
          <w:jc w:val="center"/>
        </w:trPr>
        <w:tc>
          <w:tcPr>
            <w:tcW w:w="895" w:type="dxa"/>
            <w:vAlign w:val="center"/>
          </w:tcPr>
          <w:p w14:paraId="7492636E">
            <w:pPr>
              <w:adjustRightInd w:val="0"/>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 w:val="24"/>
                <w:szCs w:val="24"/>
              </w:rPr>
              <w:t>生态环境现状</w:t>
            </w:r>
          </w:p>
        </w:tc>
        <w:tc>
          <w:tcPr>
            <w:tcW w:w="8262" w:type="dxa"/>
            <w:vAlign w:val="center"/>
          </w:tcPr>
          <w:p w14:paraId="274D0C7A">
            <w:pPr>
              <w:keepNext w:val="0"/>
              <w:keepLines w:val="0"/>
              <w:pageBreakBefore w:val="0"/>
              <w:widowControl w:val="0"/>
              <w:numPr>
                <w:ilvl w:val="0"/>
                <w:numId w:val="0"/>
              </w:numPr>
              <w:kinsoku/>
              <w:wordWrap/>
              <w:overflowPunct/>
              <w:topLinePunct w:val="0"/>
              <w:autoSpaceDE/>
              <w:autoSpaceDN/>
              <w:bidi w:val="0"/>
              <w:adjustRightInd/>
              <w:snapToGrid/>
              <w:spacing w:before="157" w:beforeLines="50" w:line="360" w:lineRule="auto"/>
              <w:ind w:left="420" w:leftChars="0"/>
              <w:textAlignment w:val="auto"/>
              <w:rPr>
                <w:rFonts w:hint="default" w:ascii="Times New Roman" w:hAnsi="Times New Roman" w:cs="Times New Roman"/>
                <w:b/>
                <w:color w:val="auto"/>
                <w:sz w:val="24"/>
                <w:szCs w:val="24"/>
                <w:lang w:val="en-US" w:eastAsia="zh-CN"/>
              </w:rPr>
            </w:pPr>
            <w:r>
              <w:rPr>
                <w:rFonts w:hint="default" w:ascii="Times New Roman" w:hAnsi="Times New Roman" w:cs="Times New Roman"/>
                <w:b/>
                <w:color w:val="auto"/>
                <w:sz w:val="24"/>
                <w:szCs w:val="24"/>
                <w:lang w:val="en-US" w:eastAsia="zh-CN"/>
              </w:rPr>
              <w:t>1.主体功能区规划</w:t>
            </w:r>
          </w:p>
          <w:p w14:paraId="65BBEB79">
            <w:pPr>
              <w:spacing w:line="360" w:lineRule="auto"/>
              <w:ind w:firstLine="480" w:firstLineChars="200"/>
              <w:rPr>
                <w:kern w:val="0"/>
                <w:sz w:val="24"/>
                <w:szCs w:val="24"/>
              </w:rPr>
            </w:pPr>
            <w:r>
              <w:rPr>
                <w:kern w:val="0"/>
                <w:sz w:val="24"/>
                <w:szCs w:val="24"/>
              </w:rPr>
              <w:t>根据《黑龙江省主体功能区规划》（黑政发〔2012〕29号）项目所在地</w:t>
            </w:r>
            <w:r>
              <w:rPr>
                <w:rFonts w:hint="eastAsia"/>
                <w:kern w:val="0"/>
                <w:sz w:val="24"/>
                <w:szCs w:val="24"/>
              </w:rPr>
              <w:t>密山市</w:t>
            </w:r>
            <w:r>
              <w:rPr>
                <w:kern w:val="0"/>
                <w:sz w:val="24"/>
                <w:szCs w:val="24"/>
              </w:rPr>
              <w:t>位于三江平原湿地生态功能区，属于限制开发区域（国家重点生态功能区）。</w:t>
            </w:r>
          </w:p>
          <w:p w14:paraId="42940B54">
            <w:pPr>
              <w:spacing w:line="360" w:lineRule="auto"/>
              <w:ind w:firstLine="480" w:firstLineChars="200"/>
              <w:rPr>
                <w:kern w:val="0"/>
                <w:sz w:val="24"/>
                <w:szCs w:val="24"/>
              </w:rPr>
            </w:pPr>
            <w:r>
              <w:rPr>
                <w:kern w:val="0"/>
                <w:sz w:val="24"/>
                <w:szCs w:val="24"/>
              </w:rPr>
              <w:t>功能定位：以提供生态产品为主，保障生态安全的重要区域，人与自然和谐相处的示范区。</w:t>
            </w:r>
          </w:p>
          <w:p w14:paraId="692926F5">
            <w:pPr>
              <w:spacing w:line="360" w:lineRule="auto"/>
              <w:ind w:firstLine="480" w:firstLineChars="200"/>
              <w:rPr>
                <w:kern w:val="0"/>
                <w:sz w:val="24"/>
                <w:szCs w:val="24"/>
              </w:rPr>
            </w:pPr>
            <w:r>
              <w:rPr>
                <w:kern w:val="0"/>
                <w:sz w:val="24"/>
                <w:szCs w:val="24"/>
              </w:rPr>
              <w:t>发展方向：</w:t>
            </w:r>
          </w:p>
          <w:p w14:paraId="4A4D4687">
            <w:pPr>
              <w:spacing w:line="360" w:lineRule="auto"/>
              <w:ind w:firstLine="480" w:firstLineChars="200"/>
              <w:rPr>
                <w:kern w:val="0"/>
                <w:sz w:val="24"/>
                <w:szCs w:val="24"/>
              </w:rPr>
            </w:pPr>
            <w:r>
              <w:rPr>
                <w:kern w:val="0"/>
                <w:sz w:val="24"/>
                <w:szCs w:val="24"/>
              </w:rPr>
              <w:t>——水源涵养型生态功能区。加强生态环境保护，促进生态修复，禁止非保护性采伐，力争全面停止主伐，植树造林，涵养水源，开展以中幼林抚育为重点的森林抚育经营，保护野生动物；在资源环境可承载的范围内，适度开发林木和水资源，科学有序开发矿产资源；因地制宜发展优势特色产业，加快发展以生态旅游、特色种养殖、绿色食品加工、北药开发、清洁能源等为主的接续和替代产业，形成生态主导型产业格局；合理分布农业人口，完善城乡基础设施，居民享受的公共服务和基本生活条件与省内其他地区大体相同；繁荣边疆和少数民族地区经济，保障社会稳定；基本建立起完备的林业生态体系、发达的产业体系和繁荣的生态文化体系。</w:t>
            </w:r>
          </w:p>
          <w:p w14:paraId="06066BF8">
            <w:pPr>
              <w:spacing w:line="360" w:lineRule="auto"/>
              <w:ind w:firstLine="480" w:firstLineChars="200"/>
              <w:rPr>
                <w:kern w:val="0"/>
                <w:sz w:val="24"/>
                <w:szCs w:val="24"/>
              </w:rPr>
            </w:pPr>
            <w:r>
              <w:rPr>
                <w:kern w:val="0"/>
                <w:sz w:val="24"/>
                <w:szCs w:val="24"/>
              </w:rPr>
              <w:t>——生物多样性维护型生态功能区。禁止对野生动植物进行滥捕滥采，保持和恢复野生动植物物种和种群的平衡，实现野生动植物资源的良性循环和永续利用；加强防御外来物种入侵的能力，防止外来有害物种对生态系统的侵害；保护自然生态系统与重要物种栖息地，防止生态建设导致栖息环境的改变；扩大保护范围，降低城市建设强度，改善水域及湿地环境。</w:t>
            </w:r>
          </w:p>
          <w:p w14:paraId="22BE2C9A">
            <w:pPr>
              <w:spacing w:line="360" w:lineRule="auto"/>
              <w:ind w:firstLine="480" w:firstLineChars="200"/>
              <w:rPr>
                <w:kern w:val="0"/>
                <w:sz w:val="24"/>
                <w:szCs w:val="24"/>
              </w:rPr>
            </w:pPr>
            <w:r>
              <w:rPr>
                <w:kern w:val="0"/>
                <w:sz w:val="24"/>
                <w:szCs w:val="24"/>
              </w:rPr>
              <w:t>——该区域中农业产粮大县（市、区），应在保护生态的前提下，积极发展农业生产，努力提高粮食产量，保障国家粮食安全和食品安全，增加农民收入。</w:t>
            </w:r>
          </w:p>
          <w:p w14:paraId="2A3E6DF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0" w:leftChars="0"/>
              <w:textAlignment w:val="auto"/>
              <w:rPr>
                <w:rFonts w:hint="default" w:ascii="Times New Roman" w:hAnsi="Times New Roman" w:eastAsia="宋体" w:cs="Times New Roman"/>
                <w:b/>
                <w:color w:val="auto"/>
                <w:sz w:val="24"/>
                <w:szCs w:val="24"/>
                <w:highlight w:val="none"/>
                <w:lang w:val="en-US" w:eastAsia="zh-CN"/>
              </w:rPr>
            </w:pPr>
            <w:r>
              <w:rPr>
                <w:rFonts w:hint="default" w:ascii="Times New Roman" w:hAnsi="Times New Roman" w:cs="Times New Roman"/>
                <w:b/>
                <w:color w:val="auto"/>
                <w:sz w:val="24"/>
                <w:szCs w:val="24"/>
                <w:highlight w:val="none"/>
                <w:lang w:val="en-US" w:eastAsia="zh-CN"/>
              </w:rPr>
              <w:t>2.</w:t>
            </w:r>
            <w:r>
              <w:rPr>
                <w:rFonts w:hint="default" w:ascii="Times New Roman" w:hAnsi="Times New Roman" w:eastAsia="宋体" w:cs="Times New Roman"/>
                <w:b/>
                <w:color w:val="auto"/>
                <w:sz w:val="24"/>
                <w:szCs w:val="24"/>
                <w:highlight w:val="none"/>
                <w:lang w:val="en-US" w:eastAsia="zh-CN"/>
              </w:rPr>
              <w:t>生态功能区划</w:t>
            </w:r>
          </w:p>
          <w:p w14:paraId="178E3DEB">
            <w:pPr>
              <w:spacing w:line="360" w:lineRule="auto"/>
              <w:ind w:firstLine="480" w:firstLineChars="200"/>
              <w:rPr>
                <w:kern w:val="0"/>
                <w:sz w:val="24"/>
                <w:szCs w:val="24"/>
              </w:rPr>
            </w:pPr>
            <w:r>
              <w:rPr>
                <w:kern w:val="0"/>
                <w:sz w:val="24"/>
                <w:szCs w:val="24"/>
              </w:rPr>
              <w:t xml:space="preserve">根据《黑龙江省生态功能区划》，项目位于 </w:t>
            </w:r>
            <w:r>
              <w:rPr>
                <w:rFonts w:hint="eastAsia"/>
                <w:kern w:val="0"/>
                <w:sz w:val="24"/>
                <w:szCs w:val="24"/>
                <w:lang w:eastAsia="zh-CN"/>
              </w:rPr>
              <w:t>“</w:t>
            </w:r>
            <w:r>
              <w:rPr>
                <w:rFonts w:hint="eastAsia" w:ascii="宋体" w:hAnsi="宋体" w:cs="宋体"/>
                <w:kern w:val="0"/>
                <w:sz w:val="24"/>
                <w:szCs w:val="24"/>
              </w:rPr>
              <w:t>Ⅰ</w:t>
            </w:r>
            <w:r>
              <w:rPr>
                <w:kern w:val="0"/>
                <w:sz w:val="24"/>
                <w:szCs w:val="24"/>
              </w:rPr>
              <w:t>—3—3—2兴凯湖农、牧、渔业与湿地及生物多样性保护生态功能区</w:t>
            </w:r>
            <w:r>
              <w:rPr>
                <w:rFonts w:hint="eastAsia"/>
                <w:kern w:val="0"/>
                <w:sz w:val="24"/>
                <w:szCs w:val="24"/>
                <w:lang w:eastAsia="zh-CN"/>
              </w:rPr>
              <w:t>”</w:t>
            </w:r>
            <w:r>
              <w:rPr>
                <w:kern w:val="0"/>
                <w:sz w:val="24"/>
                <w:szCs w:val="24"/>
              </w:rPr>
              <w:t>。所在区域密山市面积7843平方公里，该区域主要生态环境问题为</w:t>
            </w:r>
            <w:r>
              <w:rPr>
                <w:rFonts w:hint="eastAsia"/>
                <w:kern w:val="0"/>
                <w:sz w:val="24"/>
                <w:szCs w:val="24"/>
                <w:lang w:eastAsia="zh-CN"/>
              </w:rPr>
              <w:t>“</w:t>
            </w:r>
            <w:r>
              <w:rPr>
                <w:kern w:val="0"/>
                <w:sz w:val="24"/>
                <w:szCs w:val="24"/>
              </w:rPr>
              <w:t>湖泊水体有潜在富营养化的趋势；湿地保护区被耕地包围，湿地生态功能衰退</w:t>
            </w:r>
            <w:r>
              <w:rPr>
                <w:rFonts w:hint="eastAsia"/>
                <w:kern w:val="0"/>
                <w:sz w:val="24"/>
                <w:szCs w:val="24"/>
                <w:lang w:eastAsia="zh-CN"/>
              </w:rPr>
              <w:t>”</w:t>
            </w:r>
            <w:r>
              <w:rPr>
                <w:kern w:val="0"/>
                <w:sz w:val="24"/>
                <w:szCs w:val="24"/>
              </w:rPr>
              <w:t>。生态环境敏感性表现为</w:t>
            </w:r>
            <w:r>
              <w:rPr>
                <w:rFonts w:hint="eastAsia"/>
                <w:kern w:val="0"/>
                <w:sz w:val="24"/>
                <w:szCs w:val="24"/>
                <w:lang w:eastAsia="zh-CN"/>
              </w:rPr>
              <w:t>“</w:t>
            </w:r>
            <w:r>
              <w:rPr>
                <w:kern w:val="0"/>
                <w:sz w:val="24"/>
                <w:szCs w:val="24"/>
              </w:rPr>
              <w:t>该区东南部边缘地区生物多样性敏感性为极敏感，高度敏感性地区所占面积较大</w:t>
            </w:r>
            <w:r>
              <w:rPr>
                <w:rFonts w:hint="eastAsia"/>
                <w:kern w:val="0"/>
                <w:sz w:val="24"/>
                <w:szCs w:val="24"/>
                <w:lang w:eastAsia="zh-CN"/>
              </w:rPr>
              <w:t>”</w:t>
            </w:r>
            <w:r>
              <w:rPr>
                <w:kern w:val="0"/>
                <w:sz w:val="24"/>
                <w:szCs w:val="24"/>
              </w:rPr>
              <w:t>。主要生态系统服务功能为</w:t>
            </w:r>
            <w:r>
              <w:rPr>
                <w:rFonts w:hint="eastAsia"/>
                <w:kern w:val="0"/>
                <w:sz w:val="24"/>
                <w:szCs w:val="24"/>
                <w:lang w:eastAsia="zh-CN"/>
              </w:rPr>
              <w:t>“</w:t>
            </w:r>
            <w:r>
              <w:rPr>
                <w:kern w:val="0"/>
                <w:sz w:val="24"/>
                <w:szCs w:val="24"/>
              </w:rPr>
              <w:t>土壤保持、生物多样性保护、自然人文景观保护、农牧渔生产、旅游</w:t>
            </w:r>
            <w:r>
              <w:rPr>
                <w:rFonts w:hint="eastAsia"/>
                <w:kern w:val="0"/>
                <w:sz w:val="24"/>
                <w:szCs w:val="24"/>
                <w:lang w:eastAsia="zh-CN"/>
              </w:rPr>
              <w:t>”</w:t>
            </w:r>
            <w:r>
              <w:rPr>
                <w:kern w:val="0"/>
                <w:sz w:val="24"/>
                <w:szCs w:val="24"/>
              </w:rPr>
              <w:t>，保护措施与发展方向为</w:t>
            </w:r>
            <w:r>
              <w:rPr>
                <w:rFonts w:hint="eastAsia"/>
                <w:kern w:val="0"/>
                <w:sz w:val="24"/>
                <w:szCs w:val="24"/>
                <w:lang w:eastAsia="zh-CN"/>
              </w:rPr>
              <w:t>“</w:t>
            </w:r>
            <w:r>
              <w:rPr>
                <w:kern w:val="0"/>
                <w:sz w:val="24"/>
                <w:szCs w:val="24"/>
              </w:rPr>
              <w:t>加强保护区建设，以减少人为因素对其的影响，改善周围湿地质量。科学发展农牧渔业</w:t>
            </w:r>
            <w:r>
              <w:rPr>
                <w:rFonts w:hint="eastAsia"/>
                <w:kern w:val="0"/>
                <w:sz w:val="24"/>
                <w:szCs w:val="24"/>
                <w:lang w:eastAsia="zh-CN"/>
              </w:rPr>
              <w:t>”</w:t>
            </w:r>
            <w:r>
              <w:rPr>
                <w:kern w:val="0"/>
                <w:sz w:val="24"/>
                <w:szCs w:val="24"/>
              </w:rPr>
              <w:t>。</w:t>
            </w:r>
          </w:p>
          <w:p w14:paraId="1128FC96">
            <w:pPr>
              <w:spacing w:line="360" w:lineRule="auto"/>
              <w:ind w:firstLine="482" w:firstLineChars="200"/>
              <w:rPr>
                <w:rFonts w:hint="default" w:ascii="Times New Roman" w:hAnsi="Times New Roman" w:cs="Times New Roman"/>
                <w:b/>
                <w:bCs/>
                <w:color w:val="auto"/>
                <w:kern w:val="0"/>
                <w:sz w:val="24"/>
                <w:szCs w:val="24"/>
                <w:lang w:val="en-US" w:eastAsia="zh-CN"/>
              </w:rPr>
            </w:pPr>
            <w:r>
              <w:rPr>
                <w:rFonts w:hint="eastAsia" w:ascii="Times New Roman" w:hAnsi="Times New Roman" w:cs="Times New Roman"/>
                <w:b/>
                <w:bCs/>
                <w:color w:val="auto"/>
                <w:kern w:val="0"/>
                <w:sz w:val="24"/>
                <w:szCs w:val="24"/>
                <w:lang w:val="en-US" w:eastAsia="zh-CN"/>
              </w:rPr>
              <w:t>3.生态环境现状</w:t>
            </w:r>
          </w:p>
          <w:p w14:paraId="01CABB34">
            <w:pPr>
              <w:spacing w:line="360" w:lineRule="auto"/>
              <w:ind w:firstLine="480" w:firstLineChars="200"/>
              <w:rPr>
                <w:rFonts w:hint="eastAsia"/>
                <w:kern w:val="0"/>
                <w:sz w:val="24"/>
                <w:szCs w:val="24"/>
              </w:rPr>
            </w:pPr>
            <w:r>
              <w:rPr>
                <w:rFonts w:hint="eastAsia"/>
                <w:kern w:val="0"/>
                <w:sz w:val="24"/>
                <w:szCs w:val="24"/>
              </w:rPr>
              <w:t>本次生态现状调查以资料收集为主，现场调查为辅，资料源自裴德河“一河一策”实施方案。</w:t>
            </w:r>
          </w:p>
          <w:p w14:paraId="2F9D3FBF">
            <w:pPr>
              <w:spacing w:line="360" w:lineRule="auto"/>
              <w:ind w:firstLine="480" w:firstLineChars="200"/>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1）土地利用现状</w:t>
            </w:r>
          </w:p>
          <w:p w14:paraId="3F27502B">
            <w:pPr>
              <w:spacing w:line="360" w:lineRule="auto"/>
              <w:ind w:firstLine="480" w:firstLineChars="200"/>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本项目位于</w:t>
            </w:r>
            <w:r>
              <w:rPr>
                <w:rFonts w:hint="eastAsia" w:ascii="Times New Roman" w:hAnsi="Times New Roman" w:cs="Times New Roman"/>
                <w:color w:val="auto"/>
                <w:sz w:val="24"/>
                <w:szCs w:val="24"/>
                <w:highlight w:val="none"/>
                <w:lang w:val="en-US" w:eastAsia="zh-CN"/>
              </w:rPr>
              <w:t>鸡西市密山市北部，评价区地表水系发育。区域主要土地利用类型以水域、耕地为主，并分布有少量次生阔叶林等，坝址下游河道两侧分布有少量草地及沼泽地。项目无新增永久占地，工程建设均位于原有工程占地范围内；项目区</w:t>
            </w:r>
            <w:r>
              <w:rPr>
                <w:rFonts w:hint="default" w:ascii="Times New Roman" w:hAnsi="Times New Roman" w:cs="Times New Roman"/>
                <w:color w:val="auto"/>
                <w:sz w:val="24"/>
                <w:szCs w:val="24"/>
                <w:highlight w:val="none"/>
                <w:lang w:val="en-US" w:eastAsia="zh-CN"/>
              </w:rPr>
              <w:t>土地利用现状见附图</w:t>
            </w:r>
            <w:r>
              <w:rPr>
                <w:rFonts w:hint="eastAsia" w:cs="Times New Roman"/>
                <w:color w:val="auto"/>
                <w:sz w:val="24"/>
                <w:szCs w:val="24"/>
                <w:highlight w:val="none"/>
                <w:lang w:val="en-US" w:eastAsia="zh-CN"/>
              </w:rPr>
              <w:t>4</w:t>
            </w:r>
            <w:r>
              <w:rPr>
                <w:rFonts w:hint="default" w:ascii="Times New Roman" w:hAnsi="Times New Roman" w:cs="Times New Roman"/>
                <w:color w:val="auto"/>
                <w:sz w:val="24"/>
                <w:szCs w:val="24"/>
                <w:highlight w:val="none"/>
                <w:lang w:val="en-US" w:eastAsia="zh-CN"/>
              </w:rPr>
              <w:t>。</w:t>
            </w:r>
          </w:p>
          <w:p w14:paraId="66445EAD">
            <w:pPr>
              <w:spacing w:line="360" w:lineRule="auto"/>
              <w:ind w:firstLine="480" w:firstLineChars="200"/>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2）陆生生态</w:t>
            </w:r>
          </w:p>
          <w:p w14:paraId="61345781">
            <w:pPr>
              <w:spacing w:line="360" w:lineRule="auto"/>
              <w:ind w:firstLine="480" w:firstLineChars="200"/>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项目区植被属于老爷岭植物区、张广才岭亚区，以及完达山植物区，区域内以森林植被和农田植被为主，其次为林缘草甸植被、林间沼泽湿地植被。流域内有兽类计6目14科40种。以食肉目和啮齿目种类占优势，其次为食虫目、偶蹄目。两栖类1目4科8种。优势种为黑龙江林蛙、花背蟾蜍和黑斑蛙。爬行类种类及数量均不多。爬行类8种，隶属于2目3科，有白条草蜥、胎生蜥蜴、密点麻蜥、虎斑游蛇、棕黑锦蛇、乌苏里蝮等。其中，中国林蛙、黑龙江林蛙和白条锦蛇等数量相对较高，两栖类广泛分布于林区内的各山溪河流之中，爬行类动物常见于区内森林和灌丛中。据统计本区共有鸟类137种，但鸟类组成上季节性变化极大，且多为旅鸟及夏候鸟，共计115种，占本区鸟类种数的53.9%。</w:t>
            </w:r>
          </w:p>
          <w:p w14:paraId="19E2CD75">
            <w:pPr>
              <w:spacing w:line="360" w:lineRule="auto"/>
              <w:ind w:firstLine="480" w:firstLineChars="200"/>
              <w:rPr>
                <w:rFonts w:hint="eastAsia"/>
                <w:kern w:val="0"/>
                <w:sz w:val="24"/>
                <w:szCs w:val="24"/>
              </w:rPr>
            </w:pPr>
            <w:r>
              <w:rPr>
                <w:rFonts w:hint="eastAsia"/>
                <w:color w:val="auto"/>
                <w:kern w:val="0"/>
                <w:sz w:val="24"/>
                <w:szCs w:val="24"/>
              </w:rPr>
              <w:t>经调查分析，项目区由于耕种等人为活动频繁，因此</w:t>
            </w:r>
            <w:r>
              <w:rPr>
                <w:rFonts w:hint="eastAsia"/>
                <w:kern w:val="0"/>
                <w:sz w:val="24"/>
                <w:szCs w:val="24"/>
              </w:rPr>
              <w:t>不存在大型猛禽，动物以啮齿类及飞禽类居多，包括麻雀、喜鹊、松鼠等。评价区域内爬行动物数量较少，哺乳动物常见的动物多为小型食肉兽和啮齿类动物，比如普通田鼠、褐家鼠、小家鼠等，此外还有普通刺猬、东北兔、黄鼬等偶见。工程占地范围内无珍稀濒危野生保护动植物分布。</w:t>
            </w:r>
          </w:p>
          <w:p w14:paraId="3FE2E936">
            <w:pPr>
              <w:spacing w:line="360" w:lineRule="auto"/>
              <w:ind w:firstLine="480" w:firstLineChars="200"/>
              <w:rPr>
                <w:rFonts w:hint="eastAsia"/>
                <w:kern w:val="0"/>
                <w:sz w:val="24"/>
                <w:szCs w:val="24"/>
              </w:rPr>
            </w:pPr>
            <w:r>
              <w:rPr>
                <w:rFonts w:hint="eastAsia"/>
                <w:kern w:val="0"/>
                <w:sz w:val="24"/>
                <w:szCs w:val="24"/>
              </w:rPr>
              <w:t>3）水生生态</w:t>
            </w:r>
          </w:p>
          <w:p w14:paraId="2A1C96FF">
            <w:pPr>
              <w:spacing w:line="360" w:lineRule="auto"/>
              <w:ind w:firstLine="480" w:firstLineChars="200"/>
              <w:rPr>
                <w:rFonts w:hint="eastAsia"/>
                <w:kern w:val="0"/>
                <w:sz w:val="24"/>
                <w:szCs w:val="24"/>
                <w:lang w:eastAsia="zh-CN"/>
              </w:rPr>
            </w:pPr>
            <w:r>
              <w:rPr>
                <w:rFonts w:hint="eastAsia"/>
                <w:kern w:val="0"/>
                <w:sz w:val="24"/>
                <w:szCs w:val="24"/>
              </w:rPr>
              <w:t>青年水库浮游植物6门32种属。其中，绿藻门的种类最多，为12种属，占37.5%；硅藻门次之，9种属，占28.13%。浮游动物经鉴定共计4类22种属。其中，轮虫种类最多，8种属，占36.36%；原生动物次之，6种属，占27.27%；桡足类，5种属，占22.73%；枝角类3种属，占13.64%。底栖动物有10科21种属。分属昆虫纲蜻蜓科、蜉蝣科、蚊科、糠蚊科、摇蚊科，腹足纲扁卷螺科，寡毛纲颤蚓科、带丝蚓科，瓣鳃纲蚌科，甲壳纲长臂虾科。裴德河主要鱼类有青鱼、草鱼、鲢、鲶、黑龙江泥鳅、鲤、银鲫、洛氏鱥等常见种类为主，且主要分布在裴德河水库坝下</w:t>
            </w:r>
            <w:r>
              <w:rPr>
                <w:rFonts w:hint="eastAsia"/>
                <w:kern w:val="0"/>
                <w:sz w:val="24"/>
                <w:szCs w:val="24"/>
                <w:lang w:eastAsia="zh-CN"/>
              </w:rPr>
              <w:t>。</w:t>
            </w:r>
            <w:bookmarkStart w:id="6" w:name="_Hlk111493690"/>
          </w:p>
          <w:p w14:paraId="1B295743">
            <w:pPr>
              <w:spacing w:line="360" w:lineRule="auto"/>
              <w:ind w:firstLine="480" w:firstLineChars="200"/>
              <w:rPr>
                <w:rFonts w:hint="eastAsia"/>
                <w:color w:val="auto"/>
                <w:kern w:val="0"/>
                <w:sz w:val="24"/>
                <w:szCs w:val="24"/>
              </w:rPr>
            </w:pPr>
            <w:r>
              <w:rPr>
                <w:rFonts w:hint="eastAsia" w:ascii="Times New Roman" w:hAnsi="Times New Roman" w:eastAsia="宋体" w:cs="Times New Roman"/>
                <w:b w:val="0"/>
                <w:bCs w:val="0"/>
                <w:color w:val="auto"/>
                <w:sz w:val="24"/>
                <w:szCs w:val="24"/>
                <w:highlight w:val="none"/>
                <w:lang w:val="en-US" w:eastAsia="zh-CN"/>
              </w:rPr>
              <w:t>据调查及咨询专家，本工程河段无水产种质资源分布区，评价范围内不涉及重要鱼类“三场及洄游通道”，工程改扩建工程不直接影响鱼类“三场”。在现场调查期间在工程评价区域内亦未发现国家级重点保护野生水生动物。</w:t>
            </w:r>
            <w:r>
              <w:rPr>
                <w:rFonts w:hint="eastAsia"/>
                <w:color w:val="auto"/>
                <w:kern w:val="0"/>
                <w:sz w:val="24"/>
                <w:szCs w:val="24"/>
              </w:rPr>
              <w:t>裴德河沿岸农业活动严重，植被覆盖率低，由于青年水库修建年代较远，修建时未考虑生态流量下泄措施，导致下游河段产生减水河段；同时裴德河干流拦河建筑物的建设，导致河流内水生生物的种类和数量不断减少。裴德河现有的鱼类已经不能形成渔业资源，野生鱼类种类和数量有限，且个体较小。</w:t>
            </w:r>
          </w:p>
          <w:p w14:paraId="3116ED7E">
            <w:pPr>
              <w:spacing w:line="360" w:lineRule="auto"/>
              <w:ind w:firstLine="480" w:firstLineChars="200"/>
              <w:rPr>
                <w:rFonts w:hint="eastAsia" w:ascii="Times New Roman" w:hAnsi="Times New Roman" w:eastAsia="宋体" w:cs="宋体"/>
                <w:i w:val="0"/>
                <w:iCs w:val="0"/>
                <w:color w:val="auto"/>
                <w:kern w:val="0"/>
                <w:sz w:val="24"/>
                <w:szCs w:val="24"/>
                <w:highlight w:val="none"/>
                <w:lang w:val="en-US" w:eastAsia="zh-CN" w:bidi="ar"/>
              </w:rPr>
            </w:pPr>
            <w:r>
              <w:rPr>
                <w:rFonts w:hint="eastAsia" w:ascii="Times New Roman" w:hAnsi="Times New Roman" w:eastAsia="宋体" w:cs="宋体"/>
                <w:i w:val="0"/>
                <w:iCs w:val="0"/>
                <w:color w:val="auto"/>
                <w:kern w:val="0"/>
                <w:sz w:val="24"/>
                <w:szCs w:val="24"/>
                <w:highlight w:val="none"/>
                <w:lang w:val="en-US" w:eastAsia="zh-CN" w:bidi="ar"/>
              </w:rPr>
              <w:t>由于水电站拦河坝已建成蓄水发电约40余年，库区鱼类早已是适应缓流型鱼类，库区蓄水水文情势改变对鱼类区系的的影响已存在多年。坝下河段鱼类种群及生境影响已趋于稳定。</w:t>
            </w:r>
            <w:bookmarkEnd w:id="6"/>
          </w:p>
          <w:p w14:paraId="1E288668">
            <w:pPr>
              <w:spacing w:line="360" w:lineRule="auto"/>
              <w:ind w:firstLine="480" w:firstLineChars="200"/>
              <w:rPr>
                <w:rFonts w:hint="eastAsia"/>
                <w:color w:val="auto"/>
                <w:kern w:val="0"/>
                <w:sz w:val="24"/>
                <w:szCs w:val="24"/>
              </w:rPr>
            </w:pPr>
            <w:r>
              <w:rPr>
                <w:rFonts w:hint="eastAsia"/>
                <w:color w:val="auto"/>
                <w:kern w:val="0"/>
                <w:sz w:val="24"/>
                <w:szCs w:val="24"/>
              </w:rPr>
              <w:t>4）水土流失现状</w:t>
            </w:r>
          </w:p>
          <w:p w14:paraId="3E9B034E">
            <w:pPr>
              <w:spacing w:line="360" w:lineRule="auto"/>
              <w:ind w:firstLine="480" w:firstLineChars="200"/>
              <w:rPr>
                <w:rFonts w:hint="eastAsia"/>
                <w:color w:val="auto"/>
                <w:kern w:val="0"/>
                <w:sz w:val="24"/>
                <w:szCs w:val="24"/>
              </w:rPr>
            </w:pPr>
            <w:r>
              <w:rPr>
                <w:rFonts w:hint="eastAsia"/>
                <w:color w:val="auto"/>
                <w:kern w:val="0"/>
                <w:sz w:val="24"/>
                <w:szCs w:val="24"/>
              </w:rPr>
              <w:t>项目位于密山市西北13km，地势起伏不大。项目区现状水土流失类型为水蚀，土壤侵蚀强度为轻度，土壤侵蚀模数背景值为800t/k m</w:t>
            </w:r>
            <w:r>
              <w:rPr>
                <w:rFonts w:hint="eastAsia"/>
                <w:color w:val="auto"/>
                <w:kern w:val="0"/>
                <w:sz w:val="24"/>
                <w:szCs w:val="24"/>
                <w:vertAlign w:val="superscript"/>
              </w:rPr>
              <w:t>2</w:t>
            </w:r>
            <w:r>
              <w:rPr>
                <w:rFonts w:hint="eastAsia"/>
                <w:color w:val="auto"/>
                <w:kern w:val="0"/>
                <w:sz w:val="24"/>
                <w:szCs w:val="24"/>
              </w:rPr>
              <w:t>•a，容许土壤流失量为200t/k m</w:t>
            </w:r>
            <w:r>
              <w:rPr>
                <w:rFonts w:hint="eastAsia"/>
                <w:color w:val="auto"/>
                <w:kern w:val="0"/>
                <w:sz w:val="24"/>
                <w:szCs w:val="24"/>
                <w:vertAlign w:val="superscript"/>
              </w:rPr>
              <w:t>2</w:t>
            </w:r>
            <w:r>
              <w:rPr>
                <w:rFonts w:hint="eastAsia"/>
                <w:color w:val="auto"/>
                <w:kern w:val="0"/>
                <w:sz w:val="24"/>
                <w:szCs w:val="24"/>
              </w:rPr>
              <w:t>·a。</w:t>
            </w:r>
          </w:p>
          <w:p w14:paraId="6111838E">
            <w:pPr>
              <w:spacing w:line="360" w:lineRule="auto"/>
              <w:ind w:firstLine="482"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b/>
                <w:bCs/>
                <w:color w:val="auto"/>
                <w:kern w:val="0"/>
                <w:sz w:val="24"/>
                <w:szCs w:val="24"/>
                <w:lang w:val="en-US" w:eastAsia="zh-CN"/>
              </w:rPr>
              <w:t>4.水环境质量现状</w:t>
            </w:r>
          </w:p>
          <w:p w14:paraId="52AE9F2B">
            <w:pPr>
              <w:spacing w:line="360" w:lineRule="auto"/>
              <w:ind w:firstLine="480" w:firstLineChars="200"/>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（1）流域概况</w:t>
            </w:r>
          </w:p>
          <w:p w14:paraId="5F66AE77">
            <w:pPr>
              <w:spacing w:line="360" w:lineRule="auto"/>
              <w:ind w:firstLine="480" w:firstLineChars="200"/>
              <w:rPr>
                <w:rFonts w:hint="eastAsia"/>
                <w:color w:val="auto"/>
                <w:kern w:val="0"/>
                <w:sz w:val="24"/>
                <w:szCs w:val="24"/>
              </w:rPr>
            </w:pPr>
            <w:r>
              <w:rPr>
                <w:color w:val="auto"/>
                <w:kern w:val="0"/>
                <w:sz w:val="24"/>
                <w:szCs w:val="24"/>
              </w:rPr>
              <w:t>青年水库位于黑龙江省东部，坝址距密山市西北13km，地理坐标为东经131°20′～130°01′，北纬45°35′～45°55′。</w:t>
            </w:r>
            <w:r>
              <w:rPr>
                <w:rFonts w:hint="eastAsia"/>
                <w:color w:val="auto"/>
                <w:kern w:val="0"/>
                <w:sz w:val="24"/>
                <w:szCs w:val="24"/>
              </w:rPr>
              <w:t>水库以上集水面积为1138km</w:t>
            </w:r>
            <w:r>
              <w:rPr>
                <w:rFonts w:hint="eastAsia"/>
                <w:color w:val="auto"/>
                <w:kern w:val="0"/>
                <w:sz w:val="24"/>
                <w:szCs w:val="24"/>
                <w:vertAlign w:val="superscript"/>
              </w:rPr>
              <w:t>2</w:t>
            </w:r>
            <w:r>
              <w:rPr>
                <w:rFonts w:hint="eastAsia"/>
                <w:color w:val="auto"/>
                <w:kern w:val="0"/>
                <w:sz w:val="24"/>
                <w:szCs w:val="24"/>
              </w:rPr>
              <w:t>，占裴德里河流域面积的80%。流域呈扇形，水系发达，主河为金沙河，另外还有裴德里河，裴德河、二部沟等支流。流域长37km、平均宽度31km、平均坡度7.3%，主河长50km，河流平均坡降0.78‰。流域平均高程208m，流域内60%为低山丘陵区，40%为河谷平川地。工程所涉及的裴德河水功能区为裴德河密山市开发利用区。</w:t>
            </w:r>
          </w:p>
          <w:p w14:paraId="2CB730B6">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）水功能区划</w:t>
            </w:r>
          </w:p>
          <w:p w14:paraId="7B7287F6">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color w:val="auto"/>
                <w:kern w:val="0"/>
                <w:sz w:val="24"/>
                <w:szCs w:val="24"/>
              </w:rPr>
              <w:t>根据《全国重要江河湖泊水功能区划（2011-2030年）》，</w:t>
            </w:r>
            <w:r>
              <w:rPr>
                <w:rFonts w:hint="eastAsia"/>
                <w:color w:val="auto"/>
                <w:kern w:val="0"/>
                <w:sz w:val="24"/>
                <w:szCs w:val="24"/>
              </w:rPr>
              <w:t>裴德河未划分重要水功能区。</w:t>
            </w:r>
            <w:r>
              <w:rPr>
                <w:rFonts w:hint="default" w:ascii="Times New Roman" w:hAnsi="Times New Roman" w:eastAsia="宋体" w:cs="Times New Roman"/>
                <w:color w:val="auto"/>
                <w:sz w:val="24"/>
                <w:szCs w:val="24"/>
                <w:highlight w:val="none"/>
                <w:lang w:val="en-US" w:eastAsia="zh-CN"/>
              </w:rPr>
              <w:t>根据《黑龙江省水环境生态补偿办法》（黑环发</w:t>
            </w:r>
            <w:r>
              <w:rPr>
                <w:rFonts w:hint="default" w:ascii="Times New Roman" w:hAnsi="Times New Roman" w:cs="Times New Roman"/>
                <w:color w:val="auto"/>
                <w:sz w:val="24"/>
                <w:szCs w:val="24"/>
                <w:highlight w:val="none"/>
                <w:lang w:val="en-US" w:eastAsia="zh-CN"/>
              </w:rPr>
              <w:t>〔2024〕22号</w:t>
            </w:r>
            <w:r>
              <w:rPr>
                <w:rFonts w:hint="default"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裴德河</w:t>
            </w:r>
            <w:r>
              <w:rPr>
                <w:rFonts w:hint="default" w:ascii="Times New Roman" w:hAnsi="Times New Roman" w:eastAsia="宋体" w:cs="Times New Roman"/>
                <w:color w:val="auto"/>
                <w:sz w:val="24"/>
                <w:szCs w:val="24"/>
                <w:highlight w:val="none"/>
                <w:lang w:val="en-US" w:eastAsia="zh-CN"/>
              </w:rPr>
              <w:t>汇入</w:t>
            </w:r>
            <w:r>
              <w:rPr>
                <w:rFonts w:hint="eastAsia" w:cs="Times New Roman"/>
                <w:color w:val="auto"/>
                <w:sz w:val="24"/>
                <w:szCs w:val="24"/>
                <w:highlight w:val="none"/>
                <w:lang w:val="en-US" w:eastAsia="zh-CN"/>
              </w:rPr>
              <w:t>穆棱河</w:t>
            </w:r>
            <w:r>
              <w:rPr>
                <w:rFonts w:hint="default" w:ascii="Times New Roman" w:hAnsi="Times New Roman" w:cs="Times New Roman"/>
                <w:color w:val="auto"/>
                <w:sz w:val="24"/>
                <w:szCs w:val="24"/>
                <w:highlight w:val="none"/>
                <w:lang w:val="en-US" w:eastAsia="zh-CN"/>
              </w:rPr>
              <w:t>口下游有1处考核断面，为</w:t>
            </w:r>
            <w:r>
              <w:rPr>
                <w:rFonts w:hint="eastAsia" w:cs="Times New Roman"/>
                <w:color w:val="auto"/>
                <w:sz w:val="24"/>
                <w:szCs w:val="24"/>
                <w:highlight w:val="none"/>
                <w:lang w:val="en-US" w:eastAsia="zh-CN"/>
              </w:rPr>
              <w:t>密山虎林交界断面</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该断面水质目标为Ⅲ类，</w:t>
            </w:r>
            <w:r>
              <w:rPr>
                <w:rFonts w:hint="default" w:ascii="Times New Roman" w:hAnsi="Times New Roman" w:eastAsia="宋体" w:cs="Times New Roman"/>
                <w:color w:val="auto"/>
                <w:sz w:val="24"/>
                <w:szCs w:val="24"/>
                <w:highlight w:val="none"/>
                <w:lang w:val="en-US" w:eastAsia="zh-CN"/>
              </w:rPr>
              <w:t>因此，</w:t>
            </w:r>
            <w:r>
              <w:rPr>
                <w:rFonts w:hint="eastAsia" w:cs="Times New Roman"/>
                <w:color w:val="auto"/>
                <w:sz w:val="24"/>
                <w:szCs w:val="24"/>
                <w:highlight w:val="none"/>
                <w:lang w:val="en-US" w:eastAsia="zh-CN"/>
              </w:rPr>
              <w:t>青年水库</w:t>
            </w:r>
            <w:r>
              <w:rPr>
                <w:rFonts w:hint="default" w:ascii="Times New Roman" w:hAnsi="Times New Roman" w:eastAsia="宋体" w:cs="Times New Roman"/>
                <w:color w:val="auto"/>
                <w:sz w:val="24"/>
                <w:szCs w:val="24"/>
                <w:highlight w:val="none"/>
                <w:lang w:val="en-US" w:eastAsia="zh-CN"/>
              </w:rPr>
              <w:t>以及所在的</w:t>
            </w:r>
            <w:r>
              <w:rPr>
                <w:rFonts w:hint="eastAsia"/>
                <w:color w:val="auto"/>
                <w:kern w:val="0"/>
                <w:sz w:val="24"/>
                <w:szCs w:val="24"/>
              </w:rPr>
              <w:t>裴德河</w:t>
            </w:r>
            <w:r>
              <w:rPr>
                <w:rFonts w:hint="default" w:ascii="Times New Roman" w:hAnsi="Times New Roman" w:eastAsia="宋体" w:cs="Times New Roman"/>
                <w:color w:val="auto"/>
                <w:sz w:val="24"/>
                <w:szCs w:val="24"/>
                <w:highlight w:val="none"/>
                <w:lang w:val="en-US" w:eastAsia="zh-CN"/>
              </w:rPr>
              <w:t>水质执行《地表水环境质量标准》（GB3838-2002）</w:t>
            </w:r>
            <w:r>
              <w:rPr>
                <w:rFonts w:hint="default" w:ascii="Times New Roman" w:hAnsi="Times New Roman" w:cs="Times New Roman"/>
                <w:color w:val="auto"/>
                <w:sz w:val="24"/>
                <w:szCs w:val="24"/>
                <w:highlight w:val="none"/>
                <w:lang w:val="en-US" w:eastAsia="zh-CN"/>
              </w:rPr>
              <w:t>Ⅲ类</w:t>
            </w:r>
            <w:r>
              <w:rPr>
                <w:rFonts w:hint="default" w:ascii="Times New Roman" w:hAnsi="Times New Roman" w:eastAsia="宋体" w:cs="Times New Roman"/>
                <w:color w:val="auto"/>
                <w:sz w:val="24"/>
                <w:szCs w:val="24"/>
                <w:highlight w:val="none"/>
                <w:lang w:val="en-US" w:eastAsia="zh-CN"/>
              </w:rPr>
              <w:t>标准。</w:t>
            </w:r>
          </w:p>
          <w:p w14:paraId="6C86FEE7">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水环境质量状况</w:t>
            </w:r>
          </w:p>
          <w:p w14:paraId="6713F7D1">
            <w:pPr>
              <w:spacing w:line="360" w:lineRule="auto"/>
              <w:ind w:firstLine="480" w:firstLineChars="200"/>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①监测结果</w:t>
            </w:r>
          </w:p>
          <w:p w14:paraId="4989105D">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根据《</w:t>
            </w:r>
            <w:r>
              <w:rPr>
                <w:rFonts w:ascii="宋体" w:hAnsi="宋体" w:eastAsia="宋体" w:cs="宋体"/>
                <w:color w:val="auto"/>
                <w:sz w:val="24"/>
                <w:szCs w:val="24"/>
              </w:rPr>
              <w:t>2024 年鸡西市生态环境质量状况</w:t>
            </w:r>
            <w:r>
              <w:rPr>
                <w:rFonts w:hint="eastAsia" w:cs="Times New Roman"/>
                <w:color w:val="auto"/>
                <w:sz w:val="24"/>
                <w:szCs w:val="24"/>
                <w:highlight w:val="none"/>
                <w:lang w:val="en-US" w:eastAsia="zh-CN"/>
              </w:rPr>
              <w:t>》穆棱河3处考核断面2024年水质均为Ⅲ类.青年水库</w:t>
            </w:r>
            <w:r>
              <w:rPr>
                <w:rFonts w:hint="default" w:ascii="Times New Roman" w:hAnsi="Times New Roman" w:eastAsia="宋体" w:cs="Times New Roman"/>
                <w:color w:val="auto"/>
                <w:sz w:val="24"/>
                <w:szCs w:val="24"/>
                <w:highlight w:val="none"/>
                <w:lang w:val="en-US" w:eastAsia="zh-CN"/>
              </w:rPr>
              <w:t>水体类别为</w:t>
            </w:r>
            <w:r>
              <w:rPr>
                <w:rFonts w:hint="eastAsia" w:cs="Times New Roman"/>
                <w:color w:val="auto"/>
                <w:sz w:val="24"/>
                <w:szCs w:val="24"/>
                <w:highlight w:val="none"/>
                <w:lang w:val="en-US" w:eastAsia="zh-CN"/>
              </w:rPr>
              <w:t>农田灌溉</w:t>
            </w:r>
            <w:r>
              <w:rPr>
                <w:rFonts w:hint="default" w:ascii="Times New Roman" w:hAnsi="Times New Roman" w:eastAsia="宋体" w:cs="Times New Roman"/>
                <w:color w:val="auto"/>
                <w:sz w:val="24"/>
                <w:szCs w:val="24"/>
                <w:highlight w:val="none"/>
                <w:lang w:val="en-US" w:eastAsia="zh-CN"/>
              </w:rPr>
              <w:t>用水，水质目标为Ⅲ类。本次水质评价</w:t>
            </w:r>
            <w:r>
              <w:rPr>
                <w:rFonts w:hint="eastAsia" w:cs="Times New Roman"/>
                <w:color w:val="auto"/>
                <w:sz w:val="24"/>
                <w:szCs w:val="24"/>
                <w:highlight w:val="none"/>
                <w:lang w:val="en-US" w:eastAsia="zh-CN"/>
              </w:rPr>
              <w:t>在环境质量公报基础上</w:t>
            </w:r>
            <w:r>
              <w:rPr>
                <w:rFonts w:hint="default" w:ascii="Times New Roman" w:hAnsi="Times New Roman" w:eastAsia="宋体" w:cs="Times New Roman"/>
                <w:color w:val="auto"/>
                <w:sz w:val="24"/>
                <w:szCs w:val="24"/>
                <w:highlight w:val="none"/>
                <w:lang w:val="en-US" w:eastAsia="zh-CN"/>
              </w:rPr>
              <w:t>收集了黑龙江博仕检验检测有限公司</w:t>
            </w:r>
            <w:r>
              <w:rPr>
                <w:rFonts w:hint="eastAsia" w:ascii="Times New Roman" w:hAnsi="Times New Roman" w:cs="Times New Roman"/>
                <w:color w:val="auto"/>
                <w:sz w:val="24"/>
                <w:szCs w:val="24"/>
                <w:highlight w:val="none"/>
                <w:lang w:val="en-US" w:eastAsia="zh-CN"/>
              </w:rPr>
              <w:t>202</w:t>
            </w:r>
            <w:r>
              <w:rPr>
                <w:rFonts w:hint="eastAsia"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lang w:val="en-US" w:eastAsia="zh-CN"/>
              </w:rPr>
              <w:t>年对</w:t>
            </w:r>
            <w:r>
              <w:rPr>
                <w:rFonts w:hint="eastAsia" w:cs="Times New Roman"/>
                <w:color w:val="auto"/>
                <w:sz w:val="24"/>
                <w:szCs w:val="24"/>
                <w:highlight w:val="none"/>
                <w:lang w:val="en-US" w:eastAsia="zh-CN"/>
              </w:rPr>
              <w:t>青年水库</w:t>
            </w:r>
            <w:r>
              <w:rPr>
                <w:rFonts w:hint="default" w:ascii="Times New Roman" w:hAnsi="Times New Roman" w:eastAsia="宋体" w:cs="Times New Roman"/>
                <w:color w:val="auto"/>
                <w:sz w:val="24"/>
                <w:szCs w:val="24"/>
                <w:highlight w:val="none"/>
                <w:lang w:val="en-US" w:eastAsia="zh-CN"/>
              </w:rPr>
              <w:t>（中心）断面的例行水质监测数据，监测数据见表3-1。</w:t>
            </w:r>
          </w:p>
          <w:p w14:paraId="32648059">
            <w:pPr>
              <w:spacing w:line="360" w:lineRule="auto"/>
              <w:ind w:firstLine="480"/>
              <w:rPr>
                <w:rFonts w:hint="eastAsia" w:ascii="Times New Roman" w:hAnsi="Times New Roman" w:cs="Times New Roman"/>
                <w:color w:val="auto"/>
                <w:sz w:val="24"/>
                <w:szCs w:val="24"/>
                <w:lang w:val="en-US" w:eastAsia="zh-CN" w:bidi="ar"/>
              </w:rPr>
            </w:pPr>
            <w:r>
              <w:rPr>
                <w:rFonts w:hint="eastAsia" w:ascii="Times New Roman" w:hAnsi="Times New Roman" w:cs="Times New Roman"/>
                <w:color w:val="auto"/>
                <w:sz w:val="24"/>
                <w:szCs w:val="24"/>
                <w:lang w:val="en-US" w:eastAsia="zh-CN" w:bidi="ar"/>
              </w:rPr>
              <w:t>②评价方法</w:t>
            </w:r>
          </w:p>
          <w:p w14:paraId="396FFE19">
            <w:pPr>
              <w:spacing w:line="360" w:lineRule="auto"/>
              <w:ind w:firstLine="480"/>
              <w:rPr>
                <w:rFonts w:hint="default" w:ascii="Times New Roman" w:hAnsi="Times New Roman" w:cs="Times New Roman"/>
                <w:color w:val="auto"/>
                <w:sz w:val="24"/>
                <w:szCs w:val="24"/>
              </w:rPr>
            </w:pPr>
            <w:r>
              <w:rPr>
                <w:rFonts w:hint="default" w:ascii="Times New Roman" w:hAnsi="Times New Roman" w:cs="Times New Roman"/>
                <w:color w:val="auto"/>
                <w:sz w:val="24"/>
                <w:szCs w:val="24"/>
                <w:lang w:bidi="ar"/>
              </w:rPr>
              <w:t>一般性水质因子的指数计算公式：</w:t>
            </w:r>
          </w:p>
          <w:p w14:paraId="24B4C8DA">
            <w:pPr>
              <w:spacing w:line="360" w:lineRule="auto"/>
              <w:ind w:firstLine="48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object>
                <v:shape id="_x0000_i1025" o:spt="75" type="#_x0000_t75" style="height:19.2pt;width:66pt;" o:ole="t" filled="f" o:preferrelative="t" stroked="f" coordsize="21600,21600">
                  <v:path/>
                  <v:fill on="f" focussize="0,0"/>
                  <v:stroke on="f" joinstyle="miter"/>
                  <v:imagedata r:id="rId15" o:title=""/>
                  <o:lock v:ext="edit" aspectratio="t"/>
                  <w10:wrap type="none"/>
                  <w10:anchorlock/>
                </v:shape>
                <o:OLEObject Type="Embed" ProgID="Visio.Drawing.11" ShapeID="_x0000_i1025" DrawAspect="Content" ObjectID="_1468075725" r:id="rId14">
                  <o:LockedField>false</o:LockedField>
                </o:OLEObject>
              </w:object>
            </w:r>
          </w:p>
          <w:p w14:paraId="1A657512">
            <w:pPr>
              <w:spacing w:line="360" w:lineRule="auto"/>
              <w:ind w:firstLine="480"/>
              <w:rPr>
                <w:rFonts w:hint="default" w:ascii="Times New Roman" w:hAnsi="Times New Roman" w:cs="Times New Roman"/>
                <w:color w:val="auto"/>
                <w:sz w:val="24"/>
                <w:szCs w:val="24"/>
              </w:rPr>
            </w:pPr>
            <w:r>
              <w:rPr>
                <w:rFonts w:hint="default" w:ascii="Times New Roman" w:hAnsi="Times New Roman" w:cs="Times New Roman"/>
                <w:color w:val="auto"/>
                <w:sz w:val="24"/>
                <w:szCs w:val="24"/>
                <w:lang w:bidi="ar"/>
              </w:rPr>
              <w:t>式中：</w:t>
            </w:r>
            <w:r>
              <w:rPr>
                <w:rFonts w:hint="default" w:ascii="Times New Roman" w:hAnsi="Times New Roman" w:cs="Times New Roman"/>
                <w:i/>
                <w:iCs/>
                <w:color w:val="auto"/>
                <w:sz w:val="24"/>
                <w:szCs w:val="24"/>
                <w:lang w:bidi="ar"/>
              </w:rPr>
              <w:t>S</w:t>
            </w:r>
            <w:r>
              <w:rPr>
                <w:rFonts w:hint="default" w:ascii="Times New Roman" w:hAnsi="Times New Roman" w:cs="Times New Roman"/>
                <w:i/>
                <w:iCs/>
                <w:color w:val="auto"/>
                <w:sz w:val="24"/>
                <w:szCs w:val="24"/>
                <w:vertAlign w:val="subscript"/>
                <w:lang w:bidi="ar"/>
              </w:rPr>
              <w:t>i，j</w:t>
            </w:r>
            <w:r>
              <w:rPr>
                <w:rFonts w:hint="default" w:ascii="Times New Roman" w:hAnsi="Times New Roman" w:cs="Times New Roman"/>
                <w:color w:val="auto"/>
                <w:sz w:val="24"/>
                <w:szCs w:val="24"/>
                <w:lang w:bidi="ar"/>
              </w:rPr>
              <w:t>---评价因子</w:t>
            </w:r>
            <w:r>
              <w:rPr>
                <w:rFonts w:hint="default" w:ascii="Times New Roman" w:hAnsi="Times New Roman" w:cs="Times New Roman"/>
                <w:i/>
                <w:color w:val="auto"/>
                <w:sz w:val="24"/>
                <w:szCs w:val="24"/>
                <w:lang w:bidi="ar"/>
              </w:rPr>
              <w:t>i</w:t>
            </w:r>
            <w:r>
              <w:rPr>
                <w:rFonts w:hint="default" w:ascii="Times New Roman" w:hAnsi="Times New Roman" w:cs="Times New Roman"/>
                <w:color w:val="auto"/>
                <w:sz w:val="24"/>
                <w:szCs w:val="24"/>
                <w:lang w:bidi="ar"/>
              </w:rPr>
              <w:t xml:space="preserve">的水质指数，大于1表明该水质因子超标； </w:t>
            </w:r>
          </w:p>
          <w:p w14:paraId="27495E5D">
            <w:pPr>
              <w:spacing w:line="360" w:lineRule="auto"/>
              <w:ind w:firstLine="1200" w:firstLineChars="500"/>
              <w:rPr>
                <w:rFonts w:hint="default" w:ascii="Times New Roman" w:hAnsi="Times New Roman" w:cs="Times New Roman"/>
                <w:color w:val="auto"/>
                <w:sz w:val="24"/>
                <w:szCs w:val="24"/>
              </w:rPr>
            </w:pPr>
            <w:r>
              <w:rPr>
                <w:rFonts w:hint="default" w:ascii="Times New Roman" w:hAnsi="Times New Roman" w:cs="Times New Roman"/>
                <w:i/>
                <w:iCs/>
                <w:color w:val="auto"/>
                <w:sz w:val="24"/>
                <w:szCs w:val="24"/>
                <w:lang w:bidi="ar"/>
              </w:rPr>
              <w:t>C</w:t>
            </w:r>
            <w:r>
              <w:rPr>
                <w:rFonts w:hint="default" w:ascii="Times New Roman" w:hAnsi="Times New Roman" w:cs="Times New Roman"/>
                <w:i/>
                <w:iCs/>
                <w:color w:val="auto"/>
                <w:sz w:val="24"/>
                <w:szCs w:val="24"/>
                <w:vertAlign w:val="subscript"/>
                <w:lang w:bidi="ar"/>
              </w:rPr>
              <w:t>i，j</w:t>
            </w:r>
            <w:r>
              <w:rPr>
                <w:rFonts w:hint="default" w:ascii="Times New Roman" w:hAnsi="Times New Roman" w:cs="Times New Roman"/>
                <w:color w:val="auto"/>
                <w:sz w:val="24"/>
                <w:szCs w:val="24"/>
                <w:lang w:bidi="ar"/>
              </w:rPr>
              <w:t>---评价因子</w:t>
            </w:r>
            <w:r>
              <w:rPr>
                <w:rFonts w:hint="default" w:ascii="Times New Roman" w:hAnsi="Times New Roman" w:cs="Times New Roman"/>
                <w:i/>
                <w:color w:val="auto"/>
                <w:sz w:val="24"/>
                <w:szCs w:val="24"/>
                <w:lang w:bidi="ar"/>
              </w:rPr>
              <w:t>i</w:t>
            </w:r>
            <w:r>
              <w:rPr>
                <w:rFonts w:hint="default" w:ascii="Times New Roman" w:hAnsi="Times New Roman" w:cs="Times New Roman"/>
                <w:color w:val="auto"/>
                <w:sz w:val="24"/>
                <w:szCs w:val="24"/>
                <w:lang w:bidi="ar"/>
              </w:rPr>
              <w:t>在第j点的实测统计代表值，mg/L；</w:t>
            </w:r>
          </w:p>
          <w:p w14:paraId="5A6ACB62">
            <w:pPr>
              <w:spacing w:line="360" w:lineRule="auto"/>
              <w:ind w:firstLine="1200" w:firstLineChars="500"/>
              <w:rPr>
                <w:rFonts w:hint="default" w:ascii="Times New Roman" w:hAnsi="Times New Roman" w:cs="Times New Roman"/>
                <w:color w:val="auto"/>
                <w:sz w:val="24"/>
                <w:szCs w:val="24"/>
              </w:rPr>
            </w:pPr>
            <w:r>
              <w:rPr>
                <w:rFonts w:hint="default" w:ascii="Times New Roman" w:hAnsi="Times New Roman" w:cs="Times New Roman"/>
                <w:i/>
                <w:iCs/>
                <w:color w:val="auto"/>
                <w:sz w:val="24"/>
                <w:szCs w:val="24"/>
                <w:lang w:bidi="ar"/>
              </w:rPr>
              <w:t>C</w:t>
            </w:r>
            <w:r>
              <w:rPr>
                <w:rFonts w:hint="default" w:ascii="Times New Roman" w:hAnsi="Times New Roman" w:cs="Times New Roman"/>
                <w:i/>
                <w:iCs/>
                <w:color w:val="auto"/>
                <w:sz w:val="24"/>
                <w:szCs w:val="24"/>
                <w:vertAlign w:val="subscript"/>
                <w:lang w:bidi="ar"/>
              </w:rPr>
              <w:t>si</w:t>
            </w:r>
            <w:r>
              <w:rPr>
                <w:rFonts w:hint="default" w:ascii="Times New Roman" w:hAnsi="Times New Roman" w:cs="Times New Roman"/>
                <w:color w:val="auto"/>
                <w:sz w:val="24"/>
                <w:szCs w:val="24"/>
                <w:lang w:bidi="ar"/>
              </w:rPr>
              <w:t>--评价因子</w:t>
            </w:r>
            <w:r>
              <w:rPr>
                <w:rFonts w:hint="default" w:ascii="Times New Roman" w:hAnsi="Times New Roman" w:cs="Times New Roman"/>
                <w:i/>
                <w:color w:val="auto"/>
                <w:sz w:val="24"/>
                <w:szCs w:val="24"/>
                <w:lang w:bidi="ar"/>
              </w:rPr>
              <w:t>i</w:t>
            </w:r>
            <w:r>
              <w:rPr>
                <w:rFonts w:hint="default" w:ascii="Times New Roman" w:hAnsi="Times New Roman" w:cs="Times New Roman"/>
                <w:color w:val="auto"/>
                <w:sz w:val="24"/>
                <w:szCs w:val="24"/>
                <w:lang w:bidi="ar"/>
              </w:rPr>
              <w:t>的水质评价标准限值，mg/L。</w:t>
            </w:r>
          </w:p>
          <w:p w14:paraId="7D1F85A1">
            <w:pPr>
              <w:spacing w:line="360" w:lineRule="auto"/>
              <w:ind w:firstLine="480"/>
              <w:rPr>
                <w:rFonts w:hint="default" w:ascii="Times New Roman" w:hAnsi="Times New Roman" w:cs="Times New Roman"/>
                <w:color w:val="auto"/>
                <w:sz w:val="24"/>
                <w:szCs w:val="24"/>
                <w:lang w:val="zh-CN"/>
              </w:rPr>
            </w:pPr>
            <w:r>
              <w:rPr>
                <w:rFonts w:hint="default" w:ascii="Times New Roman" w:hAnsi="Times New Roman" w:cs="Times New Roman"/>
                <w:color w:val="auto"/>
                <w:sz w:val="24"/>
                <w:szCs w:val="24"/>
                <w:lang w:val="zh-CN" w:bidi="ar"/>
              </w:rPr>
              <w:t>pH值的指数计算公式：</w:t>
            </w:r>
          </w:p>
          <w:p w14:paraId="7E75157E">
            <w:pPr>
              <w:spacing w:line="360" w:lineRule="auto"/>
              <w:ind w:firstLine="480"/>
              <w:jc w:val="center"/>
              <w:rPr>
                <w:rFonts w:hint="default" w:ascii="Times New Roman" w:hAnsi="Times New Roman" w:cs="Times New Roman"/>
                <w:color w:val="auto"/>
                <w:sz w:val="24"/>
                <w:szCs w:val="24"/>
                <w:lang w:val="zh-CN"/>
              </w:rPr>
            </w:pPr>
            <w:r>
              <w:rPr>
                <w:rFonts w:hint="default" w:ascii="Times New Roman" w:hAnsi="Times New Roman" w:cs="Times New Roman"/>
                <w:color w:val="auto"/>
                <w:sz w:val="24"/>
                <w:szCs w:val="24"/>
              </w:rPr>
              <w:drawing>
                <wp:inline distT="0" distB="0" distL="0" distR="0">
                  <wp:extent cx="2026285" cy="542925"/>
                  <wp:effectExtent l="0" t="0" r="12065" b="9525"/>
                  <wp:docPr id="2" name="图片 2" descr="图示&#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图示&#10;&#10;低可信度描述已自动生成"/>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2026285" cy="542925"/>
                          </a:xfrm>
                          <a:prstGeom prst="rect">
                            <a:avLst/>
                          </a:prstGeom>
                          <a:noFill/>
                          <a:ln>
                            <a:noFill/>
                          </a:ln>
                        </pic:spPr>
                      </pic:pic>
                    </a:graphicData>
                  </a:graphic>
                </wp:inline>
              </w:drawing>
            </w:r>
          </w:p>
          <w:p w14:paraId="6100E571">
            <w:pPr>
              <w:spacing w:line="360" w:lineRule="auto"/>
              <w:ind w:firstLine="480"/>
              <w:jc w:val="center"/>
              <w:rPr>
                <w:rFonts w:hint="default" w:ascii="Times New Roman" w:hAnsi="Times New Roman" w:cs="Times New Roman"/>
                <w:color w:val="auto"/>
                <w:sz w:val="24"/>
                <w:szCs w:val="24"/>
                <w:lang w:val="zh-CN"/>
              </w:rPr>
            </w:pPr>
            <w:r>
              <w:rPr>
                <w:rFonts w:hint="default" w:ascii="Times New Roman" w:hAnsi="Times New Roman" w:cs="Times New Roman"/>
                <w:color w:val="auto"/>
                <w:sz w:val="24"/>
                <w:szCs w:val="24"/>
              </w:rPr>
              <w:drawing>
                <wp:inline distT="0" distB="0" distL="0" distR="0">
                  <wp:extent cx="2021840" cy="527685"/>
                  <wp:effectExtent l="0" t="0" r="16510" b="5715"/>
                  <wp:docPr id="12" name="图片 12" descr="图片包含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图片包含 文本&#10;&#10;描述已自动生成"/>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2021840" cy="527685"/>
                          </a:xfrm>
                          <a:prstGeom prst="rect">
                            <a:avLst/>
                          </a:prstGeom>
                          <a:noFill/>
                          <a:ln>
                            <a:noFill/>
                          </a:ln>
                        </pic:spPr>
                      </pic:pic>
                    </a:graphicData>
                  </a:graphic>
                </wp:inline>
              </w:drawing>
            </w:r>
          </w:p>
          <w:p w14:paraId="5345ACF2">
            <w:pPr>
              <w:spacing w:line="360" w:lineRule="auto"/>
              <w:ind w:firstLine="480"/>
              <w:rPr>
                <w:rFonts w:hint="default" w:ascii="Times New Roman" w:hAnsi="Times New Roman" w:cs="Times New Roman"/>
                <w:color w:val="auto"/>
                <w:sz w:val="24"/>
                <w:szCs w:val="24"/>
                <w:lang w:bidi="ar"/>
              </w:rPr>
            </w:pPr>
            <w:r>
              <w:rPr>
                <w:rFonts w:hint="default" w:ascii="Times New Roman" w:hAnsi="Times New Roman" w:cs="Times New Roman"/>
                <w:color w:val="auto"/>
                <w:sz w:val="24"/>
                <w:szCs w:val="24"/>
                <w:lang w:bidi="ar"/>
              </w:rPr>
              <w:t>式中：PpH，j——pH值的指数，大于1表明该水质因子超标；</w:t>
            </w:r>
          </w:p>
          <w:p w14:paraId="76D13BCC">
            <w:pPr>
              <w:spacing w:line="360" w:lineRule="auto"/>
              <w:ind w:firstLine="1200" w:firstLineChars="500"/>
              <w:rPr>
                <w:rFonts w:hint="default" w:ascii="Times New Roman" w:hAnsi="Times New Roman" w:cs="Times New Roman"/>
                <w:color w:val="auto"/>
                <w:sz w:val="24"/>
                <w:szCs w:val="24"/>
                <w:lang w:bidi="ar"/>
              </w:rPr>
            </w:pPr>
            <w:r>
              <w:rPr>
                <w:rFonts w:hint="default" w:ascii="Times New Roman" w:hAnsi="Times New Roman" w:cs="Times New Roman"/>
                <w:color w:val="auto"/>
                <w:sz w:val="24"/>
                <w:szCs w:val="24"/>
                <w:lang w:bidi="ar"/>
              </w:rPr>
              <w:t>pHj——pH值实测统计代表值；</w:t>
            </w:r>
          </w:p>
          <w:p w14:paraId="6C6E2FE4">
            <w:pPr>
              <w:spacing w:line="360" w:lineRule="auto"/>
              <w:ind w:firstLine="1200" w:firstLineChars="500"/>
              <w:rPr>
                <w:rFonts w:hint="default" w:ascii="Times New Roman" w:hAnsi="Times New Roman" w:cs="Times New Roman"/>
                <w:color w:val="auto"/>
                <w:sz w:val="24"/>
                <w:szCs w:val="24"/>
                <w:lang w:bidi="ar"/>
              </w:rPr>
            </w:pPr>
            <w:r>
              <w:rPr>
                <w:rFonts w:hint="default" w:ascii="Times New Roman" w:hAnsi="Times New Roman" w:cs="Times New Roman"/>
                <w:color w:val="auto"/>
                <w:sz w:val="24"/>
                <w:szCs w:val="24"/>
                <w:lang w:bidi="ar"/>
              </w:rPr>
              <w:t>pHsd——评价标准中pH的下限值；</w:t>
            </w:r>
          </w:p>
          <w:p w14:paraId="70DB72B7">
            <w:pPr>
              <w:spacing w:line="360" w:lineRule="auto"/>
              <w:ind w:firstLine="1200" w:firstLineChars="500"/>
              <w:rPr>
                <w:rFonts w:hint="default" w:ascii="Times New Roman" w:hAnsi="Times New Roman" w:cs="Times New Roman"/>
                <w:color w:val="auto"/>
                <w:sz w:val="24"/>
                <w:szCs w:val="24"/>
                <w:lang w:bidi="ar"/>
              </w:rPr>
            </w:pPr>
            <w:r>
              <w:rPr>
                <w:rFonts w:hint="default" w:ascii="Times New Roman" w:hAnsi="Times New Roman" w:cs="Times New Roman"/>
                <w:color w:val="auto"/>
                <w:sz w:val="24"/>
                <w:szCs w:val="24"/>
                <w:lang w:bidi="ar"/>
              </w:rPr>
              <w:t>pHsu——评价标准中pH的上限值。</w:t>
            </w:r>
          </w:p>
          <w:p w14:paraId="504C9022">
            <w:pPr>
              <w:spacing w:line="360" w:lineRule="auto"/>
              <w:ind w:firstLine="480"/>
              <w:rPr>
                <w:rFonts w:hint="default" w:ascii="Times New Roman" w:hAnsi="Times New Roman" w:cs="Times New Roman"/>
                <w:color w:val="auto"/>
                <w:sz w:val="24"/>
                <w:szCs w:val="24"/>
              </w:rPr>
            </w:pPr>
            <w:r>
              <w:rPr>
                <w:rFonts w:hint="default" w:ascii="Times New Roman" w:hAnsi="Times New Roman" w:cs="Times New Roman"/>
                <w:color w:val="auto"/>
                <w:sz w:val="24"/>
                <w:szCs w:val="24"/>
                <w:lang w:bidi="ar"/>
              </w:rPr>
              <w:t>DO的水质指数计算公式为：</w:t>
            </w:r>
          </w:p>
          <w:p w14:paraId="694597FE">
            <w:pPr>
              <w:spacing w:line="360" w:lineRule="auto"/>
              <w:ind w:firstLine="48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drawing>
                <wp:inline distT="0" distB="0" distL="0" distR="0">
                  <wp:extent cx="2101215" cy="926465"/>
                  <wp:effectExtent l="0" t="0" r="13335" b="6985"/>
                  <wp:docPr id="4" name="图片 4"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文本&#10;&#10;描述已自动生成"/>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2101215" cy="926465"/>
                          </a:xfrm>
                          <a:prstGeom prst="rect">
                            <a:avLst/>
                          </a:prstGeom>
                          <a:noFill/>
                          <a:ln>
                            <a:noFill/>
                          </a:ln>
                        </pic:spPr>
                      </pic:pic>
                    </a:graphicData>
                  </a:graphic>
                </wp:inline>
              </w:drawing>
            </w:r>
          </w:p>
          <w:p w14:paraId="274938DC">
            <w:pPr>
              <w:spacing w:line="360" w:lineRule="auto"/>
              <w:ind w:firstLine="480"/>
              <w:rPr>
                <w:rFonts w:hint="default" w:ascii="Times New Roman" w:hAnsi="Times New Roman" w:cs="Times New Roman"/>
                <w:color w:val="auto"/>
                <w:sz w:val="24"/>
                <w:szCs w:val="24"/>
              </w:rPr>
            </w:pPr>
            <w:r>
              <w:rPr>
                <w:rFonts w:hint="default" w:ascii="Times New Roman" w:hAnsi="Times New Roman" w:cs="Times New Roman"/>
                <w:color w:val="auto"/>
                <w:sz w:val="24"/>
                <w:szCs w:val="24"/>
                <w:lang w:bidi="ar"/>
              </w:rPr>
              <w:t>式中：S</w:t>
            </w:r>
            <w:r>
              <w:rPr>
                <w:rFonts w:hint="default" w:ascii="Times New Roman" w:hAnsi="Times New Roman" w:cs="Times New Roman"/>
                <w:color w:val="auto"/>
                <w:sz w:val="24"/>
                <w:szCs w:val="24"/>
                <w:vertAlign w:val="subscript"/>
                <w:lang w:bidi="ar"/>
              </w:rPr>
              <w:t>DO，j</w:t>
            </w:r>
            <w:r>
              <w:rPr>
                <w:rFonts w:hint="default" w:ascii="Times New Roman" w:hAnsi="Times New Roman" w:cs="Times New Roman"/>
                <w:color w:val="auto"/>
                <w:sz w:val="24"/>
                <w:szCs w:val="24"/>
                <w:lang w:bidi="ar"/>
              </w:rPr>
              <w:t>—溶解氧的水质指数，大于1表明该水质因子超标；</w:t>
            </w:r>
          </w:p>
          <w:p w14:paraId="25F0A036">
            <w:pPr>
              <w:spacing w:line="360" w:lineRule="auto"/>
              <w:ind w:firstLine="1200" w:firstLineChars="500"/>
              <w:rPr>
                <w:rFonts w:hint="default" w:ascii="Times New Roman" w:hAnsi="Times New Roman" w:cs="Times New Roman"/>
                <w:color w:val="auto"/>
                <w:sz w:val="24"/>
                <w:szCs w:val="24"/>
              </w:rPr>
            </w:pPr>
            <w:r>
              <w:rPr>
                <w:rFonts w:hint="default" w:ascii="Times New Roman" w:hAnsi="Times New Roman" w:cs="Times New Roman"/>
                <w:color w:val="auto"/>
                <w:sz w:val="24"/>
                <w:szCs w:val="24"/>
                <w:lang w:bidi="ar"/>
              </w:rPr>
              <w:t>DO</w:t>
            </w:r>
            <w:r>
              <w:rPr>
                <w:rFonts w:hint="default" w:ascii="Times New Roman" w:hAnsi="Times New Roman" w:cs="Times New Roman"/>
                <w:color w:val="auto"/>
                <w:sz w:val="24"/>
                <w:szCs w:val="24"/>
                <w:vertAlign w:val="subscript"/>
                <w:lang w:bidi="ar"/>
              </w:rPr>
              <w:t>j</w:t>
            </w:r>
            <w:r>
              <w:rPr>
                <w:rFonts w:hint="default" w:ascii="Times New Roman" w:hAnsi="Times New Roman" w:cs="Times New Roman"/>
                <w:color w:val="auto"/>
                <w:sz w:val="24"/>
                <w:szCs w:val="24"/>
                <w:lang w:bidi="ar"/>
              </w:rPr>
              <w:t>—溶解氧在j点的实测统计代表值（mg/L）；</w:t>
            </w:r>
          </w:p>
          <w:p w14:paraId="01D8174D">
            <w:pPr>
              <w:spacing w:line="360" w:lineRule="auto"/>
              <w:ind w:firstLine="1200" w:firstLineChars="500"/>
              <w:rPr>
                <w:rFonts w:hint="default" w:ascii="Times New Roman" w:hAnsi="Times New Roman" w:cs="Times New Roman"/>
                <w:color w:val="auto"/>
                <w:sz w:val="24"/>
                <w:szCs w:val="24"/>
              </w:rPr>
            </w:pPr>
            <w:r>
              <w:rPr>
                <w:rFonts w:hint="default" w:ascii="Times New Roman" w:hAnsi="Times New Roman" w:cs="Times New Roman"/>
                <w:color w:val="auto"/>
                <w:sz w:val="24"/>
                <w:szCs w:val="24"/>
                <w:lang w:bidi="ar"/>
              </w:rPr>
              <w:t>DO</w:t>
            </w:r>
            <w:r>
              <w:rPr>
                <w:rFonts w:hint="default" w:ascii="Times New Roman" w:hAnsi="Times New Roman" w:cs="Times New Roman"/>
                <w:color w:val="auto"/>
                <w:sz w:val="24"/>
                <w:szCs w:val="24"/>
                <w:vertAlign w:val="subscript"/>
                <w:lang w:bidi="ar"/>
              </w:rPr>
              <w:t>f</w:t>
            </w:r>
            <w:r>
              <w:rPr>
                <w:rFonts w:hint="default" w:ascii="Times New Roman" w:hAnsi="Times New Roman" w:cs="Times New Roman"/>
                <w:color w:val="auto"/>
                <w:sz w:val="24"/>
                <w:szCs w:val="24"/>
                <w:lang w:bidi="ar"/>
              </w:rPr>
              <w:t>—饱和溶解氧浓度（mg/L），对于河流，DO</w:t>
            </w:r>
            <w:r>
              <w:rPr>
                <w:rFonts w:hint="default" w:ascii="Times New Roman" w:hAnsi="Times New Roman" w:cs="Times New Roman"/>
                <w:color w:val="auto"/>
                <w:sz w:val="24"/>
                <w:szCs w:val="24"/>
                <w:vertAlign w:val="subscript"/>
                <w:lang w:bidi="ar"/>
              </w:rPr>
              <w:t>f</w:t>
            </w:r>
            <w:r>
              <w:rPr>
                <w:rFonts w:hint="default" w:ascii="Times New Roman" w:hAnsi="Times New Roman" w:cs="Times New Roman"/>
                <w:color w:val="auto"/>
                <w:sz w:val="24"/>
                <w:szCs w:val="24"/>
                <w:lang w:bidi="ar"/>
              </w:rPr>
              <w:t>=468/（31.6+T）；</w:t>
            </w:r>
          </w:p>
          <w:p w14:paraId="74312F32">
            <w:pPr>
              <w:spacing w:line="360" w:lineRule="auto"/>
              <w:ind w:firstLine="1200" w:firstLineChars="500"/>
              <w:rPr>
                <w:rFonts w:hint="default" w:ascii="Times New Roman" w:hAnsi="Times New Roman" w:cs="Times New Roman"/>
                <w:color w:val="auto"/>
                <w:sz w:val="24"/>
                <w:szCs w:val="24"/>
              </w:rPr>
            </w:pPr>
            <w:r>
              <w:rPr>
                <w:rFonts w:hint="default" w:ascii="Times New Roman" w:hAnsi="Times New Roman" w:cs="Times New Roman"/>
                <w:color w:val="auto"/>
                <w:sz w:val="24"/>
                <w:szCs w:val="24"/>
                <w:lang w:bidi="ar"/>
              </w:rPr>
              <w:t>DO</w:t>
            </w:r>
            <w:r>
              <w:rPr>
                <w:rFonts w:hint="default" w:ascii="Times New Roman" w:hAnsi="Times New Roman" w:cs="Times New Roman"/>
                <w:color w:val="auto"/>
                <w:sz w:val="24"/>
                <w:szCs w:val="24"/>
                <w:vertAlign w:val="subscript"/>
                <w:lang w:bidi="ar"/>
              </w:rPr>
              <w:t>S</w:t>
            </w:r>
            <w:r>
              <w:rPr>
                <w:rFonts w:hint="default" w:ascii="Times New Roman" w:hAnsi="Times New Roman" w:cs="Times New Roman"/>
                <w:color w:val="auto"/>
                <w:sz w:val="24"/>
                <w:szCs w:val="24"/>
                <w:lang w:bidi="ar"/>
              </w:rPr>
              <w:t>—溶解氧的水质评价标准限值（mg/L）；</w:t>
            </w:r>
          </w:p>
          <w:p w14:paraId="5DF507AD">
            <w:pPr>
              <w:spacing w:line="360" w:lineRule="auto"/>
              <w:ind w:firstLine="1200" w:firstLineChars="500"/>
              <w:rPr>
                <w:rFonts w:hint="default" w:ascii="Times New Roman" w:hAnsi="Times New Roman" w:cs="Times New Roman"/>
                <w:color w:val="auto"/>
                <w:sz w:val="24"/>
                <w:szCs w:val="24"/>
                <w:lang w:bidi="ar"/>
              </w:rPr>
            </w:pPr>
            <w:r>
              <w:rPr>
                <w:rFonts w:hint="default" w:ascii="Times New Roman" w:hAnsi="Times New Roman" w:cs="Times New Roman"/>
                <w:color w:val="auto"/>
                <w:sz w:val="24"/>
                <w:szCs w:val="24"/>
                <w:lang w:bidi="ar"/>
              </w:rPr>
              <w:t>T—水温（℃）</w:t>
            </w:r>
          </w:p>
          <w:p w14:paraId="02AA7D30">
            <w:pPr>
              <w:spacing w:line="360" w:lineRule="auto"/>
              <w:ind w:firstLine="480" w:firstLineChars="200"/>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③评价结果</w:t>
            </w:r>
          </w:p>
          <w:p w14:paraId="1E81C3A1">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评价结果见表3-1，</w:t>
            </w:r>
            <w:r>
              <w:rPr>
                <w:rFonts w:hint="default" w:ascii="Times New Roman" w:hAnsi="Times New Roman" w:eastAsia="宋体" w:cs="Times New Roman"/>
                <w:color w:val="auto"/>
                <w:sz w:val="24"/>
                <w:szCs w:val="24"/>
                <w:highlight w:val="none"/>
                <w:lang w:val="en-US" w:eastAsia="zh-CN"/>
              </w:rPr>
              <w:t>监测结果表明，202</w:t>
            </w:r>
            <w:r>
              <w:rPr>
                <w:rFonts w:hint="eastAsia"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lang w:val="en-US" w:eastAsia="zh-CN"/>
              </w:rPr>
              <w:t>年</w:t>
            </w:r>
            <w:r>
              <w:rPr>
                <w:rFonts w:hint="eastAsia" w:cs="Times New Roman"/>
                <w:color w:val="auto"/>
                <w:sz w:val="24"/>
                <w:szCs w:val="24"/>
                <w:highlight w:val="none"/>
                <w:lang w:val="en-US" w:eastAsia="zh-CN"/>
              </w:rPr>
              <w:t>青年水库</w:t>
            </w:r>
            <w:r>
              <w:rPr>
                <w:rFonts w:hint="default" w:ascii="Times New Roman" w:hAnsi="Times New Roman" w:eastAsia="宋体" w:cs="Times New Roman"/>
                <w:color w:val="auto"/>
                <w:sz w:val="24"/>
                <w:szCs w:val="24"/>
                <w:highlight w:val="none"/>
                <w:lang w:val="en-US" w:eastAsia="zh-CN"/>
              </w:rPr>
              <w:t>的水质类别为</w:t>
            </w:r>
            <w:r>
              <w:rPr>
                <w:rFonts w:hint="default" w:ascii="Times New Roman" w:hAnsi="Times New Roman" w:cs="Times New Roman"/>
                <w:color w:val="auto"/>
                <w:sz w:val="24"/>
                <w:szCs w:val="24"/>
                <w:highlight w:val="none"/>
                <w:lang w:val="en-US" w:eastAsia="zh-CN"/>
              </w:rPr>
              <w:t>Ⅳ类</w:t>
            </w:r>
            <w:r>
              <w:rPr>
                <w:rFonts w:hint="default" w:ascii="Times New Roman" w:hAnsi="Times New Roman" w:eastAsia="宋体" w:cs="Times New Roman"/>
                <w:color w:val="auto"/>
                <w:sz w:val="24"/>
                <w:szCs w:val="24"/>
                <w:highlight w:val="none"/>
                <w:lang w:val="en-US" w:eastAsia="zh-CN"/>
              </w:rPr>
              <w:t>，超标因子为化学需氧量</w:t>
            </w:r>
            <w:r>
              <w:rPr>
                <w:rFonts w:hint="eastAsia"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五日生化需氧量</w:t>
            </w:r>
            <w:r>
              <w:rPr>
                <w:rFonts w:hint="eastAsia" w:cs="Times New Roman"/>
                <w:color w:val="auto"/>
                <w:sz w:val="24"/>
                <w:szCs w:val="24"/>
                <w:highlight w:val="none"/>
                <w:lang w:val="en-US" w:eastAsia="zh-CN"/>
              </w:rPr>
              <w:t>等</w:t>
            </w:r>
            <w:r>
              <w:rPr>
                <w:rFonts w:hint="default" w:ascii="Times New Roman" w:hAnsi="Times New Roman" w:eastAsia="宋体" w:cs="Times New Roman"/>
                <w:color w:val="auto"/>
                <w:sz w:val="24"/>
                <w:szCs w:val="24"/>
                <w:highlight w:val="none"/>
                <w:lang w:val="en-US" w:eastAsia="zh-CN"/>
              </w:rPr>
              <w:t>超标原因主要是由于水库周边大量耕地面源污染汇入所致。水库现状水质不达标，但可以满足《农田灌溉水质标准》（GB5084-2021）</w:t>
            </w:r>
            <w:r>
              <w:rPr>
                <w:rFonts w:hint="default" w:ascii="Times New Roman" w:hAnsi="Times New Roman" w:cs="Times New Roman"/>
                <w:color w:val="auto"/>
                <w:sz w:val="24"/>
                <w:szCs w:val="24"/>
                <w:highlight w:val="none"/>
                <w:lang w:val="en-US" w:eastAsia="zh-CN"/>
              </w:rPr>
              <w:t>中</w:t>
            </w:r>
            <w:r>
              <w:rPr>
                <w:rFonts w:hint="default" w:ascii="Times New Roman" w:hAnsi="Times New Roman" w:eastAsia="宋体" w:cs="Times New Roman"/>
                <w:color w:val="auto"/>
                <w:sz w:val="24"/>
                <w:szCs w:val="24"/>
                <w:highlight w:val="none"/>
                <w:lang w:val="en-US" w:eastAsia="zh-CN"/>
              </w:rPr>
              <w:t>灌溉水源水质要求。</w:t>
            </w:r>
          </w:p>
          <w:p w14:paraId="659E101C">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 xml:space="preserve">    </w:t>
            </w:r>
            <w:r>
              <w:rPr>
                <w:rFonts w:hint="default" w:ascii="Times New Roman" w:hAnsi="Times New Roman" w:eastAsia="宋体" w:cs="Times New Roman"/>
                <w:b/>
                <w:bCs/>
                <w:color w:val="auto"/>
                <w:sz w:val="24"/>
                <w:szCs w:val="24"/>
                <w:highlight w:val="none"/>
                <w:lang w:val="en-US" w:eastAsia="zh-CN"/>
              </w:rPr>
              <w:t>表3</w:t>
            </w:r>
            <w:r>
              <w:rPr>
                <w:rFonts w:hint="eastAsia" w:cs="Times New Roman"/>
                <w:b/>
                <w:bCs/>
                <w:color w:val="auto"/>
                <w:sz w:val="24"/>
                <w:szCs w:val="24"/>
                <w:highlight w:val="none"/>
                <w:lang w:val="en-US" w:eastAsia="zh-CN"/>
              </w:rPr>
              <w:t>-</w:t>
            </w:r>
            <w:r>
              <w:rPr>
                <w:rFonts w:hint="default" w:ascii="Times New Roman" w:hAnsi="Times New Roman" w:cs="Times New Roman"/>
                <w:b/>
                <w:bCs/>
                <w:color w:val="auto"/>
                <w:sz w:val="24"/>
                <w:szCs w:val="24"/>
                <w:highlight w:val="none"/>
                <w:lang w:val="en-US" w:eastAsia="zh-CN"/>
              </w:rPr>
              <w:t>1</w:t>
            </w:r>
            <w:r>
              <w:rPr>
                <w:rFonts w:hint="default" w:ascii="Times New Roman" w:hAnsi="Times New Roman" w:eastAsia="宋体" w:cs="Times New Roman"/>
                <w:b/>
                <w:bCs/>
                <w:color w:val="auto"/>
                <w:sz w:val="24"/>
                <w:szCs w:val="24"/>
                <w:highlight w:val="none"/>
                <w:lang w:val="en-US" w:eastAsia="zh-CN"/>
              </w:rPr>
              <w:t xml:space="preserve">        </w:t>
            </w:r>
            <w:r>
              <w:rPr>
                <w:rFonts w:hint="eastAsia" w:cs="Times New Roman"/>
                <w:b/>
                <w:bCs/>
                <w:color w:val="auto"/>
                <w:sz w:val="24"/>
                <w:szCs w:val="24"/>
                <w:highlight w:val="none"/>
                <w:lang w:val="en-US" w:eastAsia="zh-CN"/>
              </w:rPr>
              <w:t>青年水库2025</w:t>
            </w:r>
            <w:r>
              <w:rPr>
                <w:rFonts w:hint="default" w:ascii="Times New Roman" w:hAnsi="Times New Roman" w:cs="Times New Roman"/>
                <w:b/>
                <w:bCs/>
                <w:color w:val="auto"/>
                <w:sz w:val="24"/>
                <w:szCs w:val="24"/>
                <w:highlight w:val="none"/>
                <w:lang w:val="en-US" w:eastAsia="zh-CN"/>
              </w:rPr>
              <w:t>年</w:t>
            </w:r>
            <w:r>
              <w:rPr>
                <w:rFonts w:hint="default" w:ascii="Times New Roman" w:hAnsi="Times New Roman" w:eastAsia="宋体" w:cs="Times New Roman"/>
                <w:b/>
                <w:bCs/>
                <w:color w:val="auto"/>
                <w:sz w:val="24"/>
                <w:szCs w:val="24"/>
                <w:highlight w:val="none"/>
                <w:lang w:val="en-US" w:eastAsia="zh-CN"/>
              </w:rPr>
              <w:t>水质监测结果    单位：mg/L</w:t>
            </w:r>
          </w:p>
          <w:tbl>
            <w:tblPr>
              <w:tblStyle w:val="24"/>
              <w:tblW w:w="4774" w:type="pct"/>
              <w:jc w:val="center"/>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autofit"/>
              <w:tblCellMar>
                <w:top w:w="0" w:type="dxa"/>
                <w:left w:w="0" w:type="dxa"/>
                <w:bottom w:w="0" w:type="dxa"/>
                <w:right w:w="0" w:type="dxa"/>
              </w:tblCellMar>
            </w:tblPr>
            <w:tblGrid>
              <w:gridCol w:w="2034"/>
              <w:gridCol w:w="2019"/>
              <w:gridCol w:w="1830"/>
              <w:gridCol w:w="2065"/>
            </w:tblGrid>
            <w:tr w14:paraId="155F547A">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5" w:hRule="atLeast"/>
                <w:tblHeader/>
                <w:jc w:val="center"/>
              </w:trPr>
              <w:tc>
                <w:tcPr>
                  <w:tcW w:w="1279" w:type="pct"/>
                  <w:tcBorders>
                    <w:tl2br w:val="nil"/>
                    <w:tr2bl w:val="nil"/>
                  </w:tcBorders>
                  <w:noWrap w:val="0"/>
                  <w:tcMar>
                    <w:top w:w="15" w:type="dxa"/>
                    <w:left w:w="15" w:type="dxa"/>
                    <w:right w:w="15" w:type="dxa"/>
                  </w:tcMar>
                  <w:vAlign w:val="center"/>
                </w:tcPr>
                <w:p w14:paraId="14BD8740">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rPr>
                    <w:t>监测项目</w:t>
                  </w:r>
                </w:p>
              </w:tc>
              <w:tc>
                <w:tcPr>
                  <w:tcW w:w="1270" w:type="pct"/>
                  <w:tcBorders>
                    <w:tl2br w:val="nil"/>
                    <w:tr2bl w:val="nil"/>
                  </w:tcBorders>
                  <w:noWrap w:val="0"/>
                  <w:tcMar>
                    <w:top w:w="15" w:type="dxa"/>
                    <w:left w:w="15" w:type="dxa"/>
                    <w:right w:w="15" w:type="dxa"/>
                  </w:tcMar>
                  <w:vAlign w:val="center"/>
                </w:tcPr>
                <w:p w14:paraId="3F8FE789">
                  <w:pPr>
                    <w:widowControl/>
                    <w:jc w:val="center"/>
                    <w:rPr>
                      <w:rFonts w:hint="default" w:ascii="Times New Roman" w:hAnsi="Times New Roman"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Ⅲ类标准</w:t>
                  </w:r>
                </w:p>
              </w:tc>
              <w:tc>
                <w:tcPr>
                  <w:tcW w:w="1151" w:type="pct"/>
                  <w:tcBorders>
                    <w:tl2br w:val="nil"/>
                    <w:tr2bl w:val="nil"/>
                  </w:tcBorders>
                  <w:noWrap w:val="0"/>
                  <w:tcMar>
                    <w:top w:w="15" w:type="dxa"/>
                    <w:left w:w="15" w:type="dxa"/>
                    <w:right w:w="15" w:type="dxa"/>
                  </w:tcMar>
                  <w:vAlign w:val="center"/>
                </w:tcPr>
                <w:p w14:paraId="626B5906">
                  <w:pPr>
                    <w:widowControl/>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202</w:t>
                  </w:r>
                  <w:r>
                    <w:rPr>
                      <w:rFonts w:hint="eastAsia" w:cs="Times New Roman"/>
                      <w:color w:val="auto"/>
                      <w:kern w:val="0"/>
                      <w:sz w:val="21"/>
                      <w:szCs w:val="21"/>
                      <w:lang w:val="en-US" w:eastAsia="zh-CN"/>
                    </w:rPr>
                    <w:t>5</w:t>
                  </w:r>
                  <w:r>
                    <w:rPr>
                      <w:rFonts w:hint="default" w:ascii="Times New Roman" w:hAnsi="Times New Roman" w:cs="Times New Roman"/>
                      <w:color w:val="auto"/>
                      <w:kern w:val="0"/>
                      <w:sz w:val="21"/>
                      <w:szCs w:val="21"/>
                      <w:lang w:val="en-US" w:eastAsia="zh-CN"/>
                    </w:rPr>
                    <w:t>年</w:t>
                  </w:r>
                  <w:r>
                    <w:rPr>
                      <w:rFonts w:hint="eastAsia" w:cs="Times New Roman"/>
                      <w:color w:val="auto"/>
                      <w:kern w:val="0"/>
                      <w:sz w:val="21"/>
                      <w:szCs w:val="21"/>
                      <w:lang w:val="en-US" w:eastAsia="zh-CN"/>
                    </w:rPr>
                    <w:t>7月</w:t>
                  </w:r>
                </w:p>
              </w:tc>
              <w:tc>
                <w:tcPr>
                  <w:tcW w:w="1299" w:type="pct"/>
                  <w:tcBorders>
                    <w:tl2br w:val="nil"/>
                    <w:tr2bl w:val="nil"/>
                  </w:tcBorders>
                  <w:noWrap w:val="0"/>
                  <w:tcMar>
                    <w:top w:w="15" w:type="dxa"/>
                    <w:left w:w="15" w:type="dxa"/>
                    <w:right w:w="15" w:type="dxa"/>
                  </w:tcMar>
                  <w:vAlign w:val="center"/>
                </w:tcPr>
                <w:p w14:paraId="3EE55879">
                  <w:pPr>
                    <w:widowControl/>
                    <w:jc w:val="center"/>
                    <w:rPr>
                      <w:rFonts w:hint="default" w:ascii="Times New Roman" w:hAnsi="Times New Roman" w:cs="Times New Roman"/>
                      <w:color w:val="auto"/>
                      <w:kern w:val="0"/>
                      <w:sz w:val="21"/>
                      <w:szCs w:val="21"/>
                      <w:lang w:val="en-US" w:eastAsia="zh-CN"/>
                    </w:rPr>
                  </w:pPr>
                  <w:r>
                    <w:rPr>
                      <w:rFonts w:hint="eastAsia" w:cs="Times New Roman"/>
                      <w:color w:val="auto"/>
                      <w:kern w:val="0"/>
                      <w:sz w:val="21"/>
                      <w:szCs w:val="21"/>
                      <w:lang w:val="en-US" w:eastAsia="zh-CN"/>
                    </w:rPr>
                    <w:t>评价结果</w:t>
                  </w:r>
                </w:p>
              </w:tc>
            </w:tr>
            <w:tr w14:paraId="6ACDA106">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412" w:hRule="atLeast"/>
                <w:jc w:val="center"/>
              </w:trPr>
              <w:tc>
                <w:tcPr>
                  <w:tcW w:w="1279" w:type="pct"/>
                  <w:tcBorders>
                    <w:tl2br w:val="nil"/>
                    <w:tr2bl w:val="nil"/>
                  </w:tcBorders>
                  <w:noWrap w:val="0"/>
                  <w:tcMar>
                    <w:top w:w="15" w:type="dxa"/>
                    <w:left w:w="15" w:type="dxa"/>
                    <w:right w:w="15" w:type="dxa"/>
                  </w:tcMar>
                  <w:vAlign w:val="center"/>
                </w:tcPr>
                <w:p w14:paraId="2C9C61A5">
                  <w:pPr>
                    <w:widowControl/>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水温</w:t>
                  </w:r>
                </w:p>
              </w:tc>
              <w:tc>
                <w:tcPr>
                  <w:tcW w:w="1270" w:type="pct"/>
                  <w:tcBorders>
                    <w:tl2br w:val="nil"/>
                    <w:tr2bl w:val="nil"/>
                  </w:tcBorders>
                  <w:noWrap w:val="0"/>
                  <w:tcMar>
                    <w:top w:w="15" w:type="dxa"/>
                    <w:left w:w="15" w:type="dxa"/>
                    <w:right w:w="15" w:type="dxa"/>
                  </w:tcMar>
                  <w:vAlign w:val="center"/>
                </w:tcPr>
                <w:p w14:paraId="143812ED">
                  <w:pPr>
                    <w:widowControl/>
                    <w:jc w:val="center"/>
                    <w:rPr>
                      <w:rFonts w:hint="default" w:ascii="Times New Roman" w:hAnsi="Times New Roman" w:eastAsia="宋体" w:cs="Times New Roman"/>
                      <w:color w:val="auto"/>
                      <w:kern w:val="0"/>
                      <w:sz w:val="21"/>
                      <w:szCs w:val="21"/>
                      <w:lang w:val="en-US" w:eastAsia="zh-CN"/>
                    </w:rPr>
                  </w:pPr>
                </w:p>
              </w:tc>
              <w:tc>
                <w:tcPr>
                  <w:tcW w:w="1151" w:type="pct"/>
                  <w:tcBorders>
                    <w:tl2br w:val="nil"/>
                    <w:tr2bl w:val="nil"/>
                  </w:tcBorders>
                  <w:noWrap w:val="0"/>
                  <w:tcMar>
                    <w:top w:w="15" w:type="dxa"/>
                    <w:left w:w="15" w:type="dxa"/>
                    <w:right w:w="15" w:type="dxa"/>
                  </w:tcMar>
                  <w:vAlign w:val="center"/>
                </w:tcPr>
                <w:p w14:paraId="105394C9">
                  <w:pPr>
                    <w:widowControl/>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1</w:t>
                  </w:r>
                  <w:r>
                    <w:rPr>
                      <w:rFonts w:hint="eastAsia" w:cs="Times New Roman"/>
                      <w:color w:val="auto"/>
                      <w:kern w:val="0"/>
                      <w:sz w:val="21"/>
                      <w:szCs w:val="21"/>
                      <w:lang w:val="en-US" w:eastAsia="zh-CN"/>
                    </w:rPr>
                    <w:t>7</w:t>
                  </w:r>
                </w:p>
              </w:tc>
              <w:tc>
                <w:tcPr>
                  <w:tcW w:w="1299" w:type="pct"/>
                  <w:tcBorders>
                    <w:tl2br w:val="nil"/>
                    <w:tr2bl w:val="nil"/>
                  </w:tcBorders>
                  <w:noWrap w:val="0"/>
                  <w:tcMar>
                    <w:top w:w="15" w:type="dxa"/>
                    <w:left w:w="15" w:type="dxa"/>
                    <w:right w:w="15" w:type="dxa"/>
                  </w:tcMar>
                  <w:vAlign w:val="center"/>
                </w:tcPr>
                <w:p w14:paraId="33C3C565">
                  <w:pPr>
                    <w:widowControl/>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w:t>
                  </w:r>
                  <w:r>
                    <w:rPr>
                      <w:rFonts w:hint="eastAsia" w:cs="Times New Roman"/>
                      <w:color w:val="auto"/>
                      <w:kern w:val="0"/>
                      <w:sz w:val="21"/>
                      <w:szCs w:val="21"/>
                      <w:lang w:val="en-US" w:eastAsia="zh-CN"/>
                    </w:rPr>
                    <w:t>-</w:t>
                  </w:r>
                </w:p>
              </w:tc>
            </w:tr>
            <w:tr w14:paraId="41508A61">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5" w:hRule="atLeast"/>
                <w:jc w:val="center"/>
              </w:trPr>
              <w:tc>
                <w:tcPr>
                  <w:tcW w:w="1279" w:type="pct"/>
                  <w:tcBorders>
                    <w:tl2br w:val="nil"/>
                    <w:tr2bl w:val="nil"/>
                  </w:tcBorders>
                  <w:noWrap w:val="0"/>
                  <w:tcMar>
                    <w:top w:w="15" w:type="dxa"/>
                    <w:left w:w="15" w:type="dxa"/>
                    <w:right w:w="15" w:type="dxa"/>
                  </w:tcMar>
                  <w:vAlign w:val="center"/>
                </w:tcPr>
                <w:p w14:paraId="0E0D02D5">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rPr>
                    <w:t>PH（无量纲）</w:t>
                  </w:r>
                </w:p>
              </w:tc>
              <w:tc>
                <w:tcPr>
                  <w:tcW w:w="1270" w:type="pct"/>
                  <w:tcBorders>
                    <w:tl2br w:val="nil"/>
                    <w:tr2bl w:val="nil"/>
                  </w:tcBorders>
                  <w:noWrap w:val="0"/>
                  <w:tcMar>
                    <w:top w:w="15" w:type="dxa"/>
                    <w:left w:w="15" w:type="dxa"/>
                    <w:right w:w="15" w:type="dxa"/>
                  </w:tcMar>
                  <w:vAlign w:val="center"/>
                </w:tcPr>
                <w:p w14:paraId="6A12143D">
                  <w:pPr>
                    <w:widowControl/>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6-9</w:t>
                  </w:r>
                </w:p>
              </w:tc>
              <w:tc>
                <w:tcPr>
                  <w:tcW w:w="1151" w:type="pct"/>
                  <w:tcBorders>
                    <w:tl2br w:val="nil"/>
                    <w:tr2bl w:val="nil"/>
                  </w:tcBorders>
                  <w:noWrap w:val="0"/>
                  <w:tcMar>
                    <w:top w:w="15" w:type="dxa"/>
                    <w:left w:w="15" w:type="dxa"/>
                    <w:right w:w="15" w:type="dxa"/>
                  </w:tcMar>
                  <w:vAlign w:val="center"/>
                </w:tcPr>
                <w:p w14:paraId="30EA1B0A">
                  <w:pPr>
                    <w:widowControl/>
                    <w:jc w:val="center"/>
                    <w:rPr>
                      <w:rFonts w:hint="eastAsia"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7</w:t>
                  </w:r>
                  <w:r>
                    <w:rPr>
                      <w:rFonts w:hint="eastAsia" w:cs="Times New Roman"/>
                      <w:color w:val="auto"/>
                      <w:kern w:val="0"/>
                      <w:sz w:val="21"/>
                      <w:szCs w:val="21"/>
                      <w:lang w:val="en-US" w:eastAsia="zh-CN"/>
                    </w:rPr>
                    <w:t>.</w:t>
                  </w:r>
                  <w:r>
                    <w:rPr>
                      <w:rFonts w:hint="eastAsia"/>
                      <w:lang w:val="en-US" w:eastAsia="zh-CN"/>
                    </w:rPr>
                    <w:t>5</w:t>
                  </w:r>
                </w:p>
              </w:tc>
              <w:tc>
                <w:tcPr>
                  <w:tcW w:w="1299" w:type="pct"/>
                  <w:tcBorders>
                    <w:tl2br w:val="nil"/>
                    <w:tr2bl w:val="nil"/>
                  </w:tcBorders>
                  <w:noWrap w:val="0"/>
                  <w:tcMar>
                    <w:top w:w="15" w:type="dxa"/>
                    <w:left w:w="15" w:type="dxa"/>
                    <w:right w:w="15" w:type="dxa"/>
                  </w:tcMar>
                  <w:vAlign w:val="center"/>
                </w:tcPr>
                <w:p w14:paraId="43DFFC5C">
                  <w:pPr>
                    <w:widowControl/>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0.05</w:t>
                  </w:r>
                </w:p>
              </w:tc>
            </w:tr>
            <w:tr w14:paraId="423F6A93">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44" w:hRule="atLeast"/>
                <w:jc w:val="center"/>
              </w:trPr>
              <w:tc>
                <w:tcPr>
                  <w:tcW w:w="1279" w:type="pct"/>
                  <w:tcBorders>
                    <w:tl2br w:val="nil"/>
                    <w:tr2bl w:val="nil"/>
                  </w:tcBorders>
                  <w:noWrap w:val="0"/>
                  <w:tcMar>
                    <w:top w:w="15" w:type="dxa"/>
                    <w:left w:w="15" w:type="dxa"/>
                    <w:right w:w="15" w:type="dxa"/>
                  </w:tcMar>
                  <w:vAlign w:val="center"/>
                </w:tcPr>
                <w:p w14:paraId="5858E1A4">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rPr>
                    <w:t>化学需氧量</w:t>
                  </w:r>
                </w:p>
              </w:tc>
              <w:tc>
                <w:tcPr>
                  <w:tcW w:w="1270" w:type="pct"/>
                  <w:tcBorders>
                    <w:tl2br w:val="nil"/>
                    <w:tr2bl w:val="nil"/>
                  </w:tcBorders>
                  <w:noWrap w:val="0"/>
                  <w:tcMar>
                    <w:top w:w="15" w:type="dxa"/>
                    <w:left w:w="15" w:type="dxa"/>
                    <w:right w:w="15" w:type="dxa"/>
                  </w:tcMar>
                  <w:vAlign w:val="center"/>
                </w:tcPr>
                <w:p w14:paraId="362C11F2">
                  <w:pPr>
                    <w:widowControl/>
                    <w:jc w:val="center"/>
                    <w:rPr>
                      <w:rFonts w:hint="default" w:ascii="Times New Roman" w:hAnsi="Times New Roman"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20</w:t>
                  </w:r>
                </w:p>
              </w:tc>
              <w:tc>
                <w:tcPr>
                  <w:tcW w:w="1151" w:type="pct"/>
                  <w:tcBorders>
                    <w:tl2br w:val="nil"/>
                    <w:tr2bl w:val="nil"/>
                  </w:tcBorders>
                  <w:noWrap w:val="0"/>
                  <w:tcMar>
                    <w:top w:w="15" w:type="dxa"/>
                    <w:left w:w="15" w:type="dxa"/>
                    <w:right w:w="15" w:type="dxa"/>
                  </w:tcMar>
                  <w:vAlign w:val="center"/>
                </w:tcPr>
                <w:p w14:paraId="3CE30952">
                  <w:pPr>
                    <w:widowControl/>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17</w:t>
                  </w:r>
                </w:p>
              </w:tc>
              <w:tc>
                <w:tcPr>
                  <w:tcW w:w="1299" w:type="pct"/>
                  <w:tcBorders>
                    <w:tl2br w:val="nil"/>
                    <w:tr2bl w:val="nil"/>
                  </w:tcBorders>
                  <w:noWrap w:val="0"/>
                  <w:tcMar>
                    <w:top w:w="15" w:type="dxa"/>
                    <w:left w:w="15" w:type="dxa"/>
                    <w:right w:w="15" w:type="dxa"/>
                  </w:tcMar>
                  <w:vAlign w:val="center"/>
                </w:tcPr>
                <w:p w14:paraId="6EEA795C">
                  <w:pPr>
                    <w:widowControl/>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0.85</w:t>
                  </w:r>
                </w:p>
              </w:tc>
            </w:tr>
            <w:tr w14:paraId="0E790620">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44" w:hRule="atLeast"/>
                <w:jc w:val="center"/>
              </w:trPr>
              <w:tc>
                <w:tcPr>
                  <w:tcW w:w="1279" w:type="pct"/>
                  <w:tcBorders>
                    <w:tl2br w:val="nil"/>
                    <w:tr2bl w:val="nil"/>
                  </w:tcBorders>
                  <w:noWrap w:val="0"/>
                  <w:tcMar>
                    <w:top w:w="15" w:type="dxa"/>
                    <w:left w:w="15" w:type="dxa"/>
                    <w:right w:w="15" w:type="dxa"/>
                  </w:tcMar>
                  <w:vAlign w:val="center"/>
                </w:tcPr>
                <w:p w14:paraId="5C25C504">
                  <w:pPr>
                    <w:widowControl/>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悬浮物</w:t>
                  </w:r>
                </w:p>
              </w:tc>
              <w:tc>
                <w:tcPr>
                  <w:tcW w:w="1270" w:type="pct"/>
                  <w:tcBorders>
                    <w:tl2br w:val="nil"/>
                    <w:tr2bl w:val="nil"/>
                  </w:tcBorders>
                  <w:noWrap w:val="0"/>
                  <w:tcMar>
                    <w:top w:w="15" w:type="dxa"/>
                    <w:left w:w="15" w:type="dxa"/>
                    <w:right w:w="15" w:type="dxa"/>
                  </w:tcMar>
                  <w:vAlign w:val="center"/>
                </w:tcPr>
                <w:p w14:paraId="33C96642">
                  <w:pPr>
                    <w:widowControl/>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w:t>
                  </w:r>
                </w:p>
              </w:tc>
              <w:tc>
                <w:tcPr>
                  <w:tcW w:w="1151" w:type="pct"/>
                  <w:tcBorders>
                    <w:tl2br w:val="nil"/>
                    <w:tr2bl w:val="nil"/>
                  </w:tcBorders>
                  <w:noWrap w:val="0"/>
                  <w:tcMar>
                    <w:top w:w="15" w:type="dxa"/>
                    <w:left w:w="15" w:type="dxa"/>
                    <w:right w:w="15" w:type="dxa"/>
                  </w:tcMar>
                  <w:vAlign w:val="center"/>
                </w:tcPr>
                <w:p w14:paraId="40C1880D">
                  <w:pPr>
                    <w:widowControl/>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39</w:t>
                  </w:r>
                </w:p>
              </w:tc>
              <w:tc>
                <w:tcPr>
                  <w:tcW w:w="1299" w:type="pct"/>
                  <w:tcBorders>
                    <w:tl2br w:val="nil"/>
                    <w:tr2bl w:val="nil"/>
                  </w:tcBorders>
                  <w:noWrap w:val="0"/>
                  <w:tcMar>
                    <w:top w:w="15" w:type="dxa"/>
                    <w:left w:w="15" w:type="dxa"/>
                    <w:right w:w="15" w:type="dxa"/>
                  </w:tcMar>
                  <w:vAlign w:val="center"/>
                </w:tcPr>
                <w:p w14:paraId="035B281B">
                  <w:pPr>
                    <w:widowControl/>
                    <w:jc w:val="center"/>
                    <w:rPr>
                      <w:rFonts w:hint="default" w:ascii="Times New Roman" w:hAnsi="Times New Roman"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w:t>
                  </w:r>
                </w:p>
              </w:tc>
            </w:tr>
            <w:tr w14:paraId="075DB02C">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44" w:hRule="atLeast"/>
                <w:jc w:val="center"/>
              </w:trPr>
              <w:tc>
                <w:tcPr>
                  <w:tcW w:w="1279" w:type="pct"/>
                  <w:tcBorders>
                    <w:tl2br w:val="nil"/>
                    <w:tr2bl w:val="nil"/>
                  </w:tcBorders>
                  <w:noWrap w:val="0"/>
                  <w:tcMar>
                    <w:top w:w="15" w:type="dxa"/>
                    <w:left w:w="15" w:type="dxa"/>
                    <w:right w:w="15" w:type="dxa"/>
                  </w:tcMar>
                  <w:vAlign w:val="center"/>
                </w:tcPr>
                <w:p w14:paraId="49F8F00E">
                  <w:pPr>
                    <w:widowControl/>
                    <w:jc w:val="center"/>
                    <w:rPr>
                      <w:rFonts w:hint="default" w:cs="Times New Roman"/>
                      <w:color w:val="auto"/>
                      <w:kern w:val="0"/>
                      <w:sz w:val="21"/>
                      <w:szCs w:val="21"/>
                      <w:lang w:val="en-US" w:eastAsia="zh-CN"/>
                    </w:rPr>
                  </w:pPr>
                  <w:r>
                    <w:rPr>
                      <w:rFonts w:hint="eastAsia" w:cs="Times New Roman"/>
                      <w:color w:val="auto"/>
                      <w:kern w:val="0"/>
                      <w:sz w:val="21"/>
                      <w:szCs w:val="21"/>
                      <w:lang w:val="en-US" w:eastAsia="zh-CN"/>
                    </w:rPr>
                    <w:t>阴离子表面活性</w:t>
                  </w:r>
                </w:p>
              </w:tc>
              <w:tc>
                <w:tcPr>
                  <w:tcW w:w="1270" w:type="pct"/>
                  <w:tcBorders>
                    <w:tl2br w:val="nil"/>
                    <w:tr2bl w:val="nil"/>
                  </w:tcBorders>
                  <w:noWrap w:val="0"/>
                  <w:tcMar>
                    <w:top w:w="15" w:type="dxa"/>
                    <w:left w:w="15" w:type="dxa"/>
                    <w:right w:w="15" w:type="dxa"/>
                  </w:tcMar>
                  <w:vAlign w:val="center"/>
                </w:tcPr>
                <w:p w14:paraId="55BEAC12">
                  <w:pPr>
                    <w:widowControl/>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0.2</w:t>
                  </w:r>
                </w:p>
              </w:tc>
              <w:tc>
                <w:tcPr>
                  <w:tcW w:w="1151" w:type="pct"/>
                  <w:tcBorders>
                    <w:tl2br w:val="nil"/>
                    <w:tr2bl w:val="nil"/>
                  </w:tcBorders>
                  <w:noWrap w:val="0"/>
                  <w:tcMar>
                    <w:top w:w="15" w:type="dxa"/>
                    <w:left w:w="15" w:type="dxa"/>
                    <w:right w:w="15" w:type="dxa"/>
                  </w:tcMar>
                  <w:vAlign w:val="center"/>
                </w:tcPr>
                <w:p w14:paraId="0DA1482A">
                  <w:pPr>
                    <w:widowControl/>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0.05L</w:t>
                  </w:r>
                </w:p>
              </w:tc>
              <w:tc>
                <w:tcPr>
                  <w:tcW w:w="1299" w:type="pct"/>
                  <w:tcBorders>
                    <w:tl2br w:val="nil"/>
                    <w:tr2bl w:val="nil"/>
                  </w:tcBorders>
                  <w:noWrap w:val="0"/>
                  <w:tcMar>
                    <w:top w:w="15" w:type="dxa"/>
                    <w:left w:w="15" w:type="dxa"/>
                    <w:right w:w="15" w:type="dxa"/>
                  </w:tcMar>
                  <w:vAlign w:val="center"/>
                </w:tcPr>
                <w:p w14:paraId="02DC4A49">
                  <w:pPr>
                    <w:widowControl/>
                    <w:jc w:val="center"/>
                    <w:rPr>
                      <w:rFonts w:hint="default" w:ascii="Times New Roman" w:hAnsi="Times New Roman"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w:t>
                  </w:r>
                </w:p>
              </w:tc>
            </w:tr>
            <w:tr w14:paraId="67456A0E">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28" w:hRule="atLeast"/>
                <w:jc w:val="center"/>
              </w:trPr>
              <w:tc>
                <w:tcPr>
                  <w:tcW w:w="1279" w:type="pct"/>
                  <w:tcBorders>
                    <w:tl2br w:val="nil"/>
                    <w:tr2bl w:val="nil"/>
                  </w:tcBorders>
                  <w:noWrap w:val="0"/>
                  <w:tcMar>
                    <w:top w:w="15" w:type="dxa"/>
                    <w:left w:w="15" w:type="dxa"/>
                    <w:right w:w="15" w:type="dxa"/>
                  </w:tcMar>
                  <w:vAlign w:val="center"/>
                </w:tcPr>
                <w:p w14:paraId="441F3BAF">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rPr>
                    <w:t>五日生化需氧量</w:t>
                  </w:r>
                </w:p>
              </w:tc>
              <w:tc>
                <w:tcPr>
                  <w:tcW w:w="1270" w:type="pct"/>
                  <w:tcBorders>
                    <w:tl2br w:val="nil"/>
                    <w:tr2bl w:val="nil"/>
                  </w:tcBorders>
                  <w:noWrap w:val="0"/>
                  <w:tcMar>
                    <w:top w:w="15" w:type="dxa"/>
                    <w:left w:w="15" w:type="dxa"/>
                    <w:right w:w="15" w:type="dxa"/>
                  </w:tcMar>
                  <w:vAlign w:val="center"/>
                </w:tcPr>
                <w:p w14:paraId="1632CDB3">
                  <w:pPr>
                    <w:widowControl/>
                    <w:jc w:val="center"/>
                    <w:rPr>
                      <w:rFonts w:hint="default" w:ascii="Times New Roman" w:hAnsi="Times New Roman"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4</w:t>
                  </w:r>
                </w:p>
              </w:tc>
              <w:tc>
                <w:tcPr>
                  <w:tcW w:w="1151" w:type="pct"/>
                  <w:tcBorders>
                    <w:tl2br w:val="nil"/>
                    <w:tr2bl w:val="nil"/>
                  </w:tcBorders>
                  <w:noWrap w:val="0"/>
                  <w:tcMar>
                    <w:top w:w="15" w:type="dxa"/>
                    <w:left w:w="15" w:type="dxa"/>
                    <w:right w:w="15" w:type="dxa"/>
                  </w:tcMar>
                  <w:vAlign w:val="center"/>
                </w:tcPr>
                <w:p w14:paraId="16F26602">
                  <w:pPr>
                    <w:widowControl/>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7.6</w:t>
                  </w:r>
                </w:p>
              </w:tc>
              <w:tc>
                <w:tcPr>
                  <w:tcW w:w="1299" w:type="pct"/>
                  <w:tcBorders>
                    <w:tl2br w:val="nil"/>
                    <w:tr2bl w:val="nil"/>
                  </w:tcBorders>
                  <w:noWrap w:val="0"/>
                  <w:tcMar>
                    <w:top w:w="15" w:type="dxa"/>
                    <w:left w:w="15" w:type="dxa"/>
                    <w:right w:w="15" w:type="dxa"/>
                  </w:tcMar>
                  <w:vAlign w:val="center"/>
                </w:tcPr>
                <w:p w14:paraId="3D1E2742">
                  <w:pPr>
                    <w:widowControl/>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1.9</w:t>
                  </w:r>
                </w:p>
              </w:tc>
            </w:tr>
            <w:tr w14:paraId="40C1CF0D">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62" w:hRule="atLeast"/>
                <w:jc w:val="center"/>
              </w:trPr>
              <w:tc>
                <w:tcPr>
                  <w:tcW w:w="1279" w:type="pct"/>
                  <w:tcBorders>
                    <w:tl2br w:val="nil"/>
                    <w:tr2bl w:val="nil"/>
                  </w:tcBorders>
                  <w:noWrap w:val="0"/>
                  <w:tcMar>
                    <w:top w:w="15" w:type="dxa"/>
                    <w:left w:w="15" w:type="dxa"/>
                    <w:right w:w="15" w:type="dxa"/>
                  </w:tcMar>
                  <w:vAlign w:val="center"/>
                </w:tcPr>
                <w:p w14:paraId="33E5AB8C">
                  <w:pPr>
                    <w:widowControl/>
                    <w:jc w:val="center"/>
                    <w:rPr>
                      <w:rFonts w:hint="default" w:ascii="Times New Roman" w:hAnsi="Times New Roman" w:eastAsia="宋体" w:cs="Times New Roman"/>
                      <w:color w:val="auto"/>
                      <w:kern w:val="0"/>
                      <w:sz w:val="21"/>
                      <w:szCs w:val="21"/>
                    </w:rPr>
                  </w:pPr>
                  <w:r>
                    <w:rPr>
                      <w:rFonts w:hint="eastAsia" w:cs="Times New Roman"/>
                      <w:color w:val="auto"/>
                      <w:kern w:val="0"/>
                      <w:sz w:val="21"/>
                      <w:szCs w:val="21"/>
                      <w:lang w:val="en-US" w:eastAsia="zh-CN"/>
                    </w:rPr>
                    <w:t>氯化物</w:t>
                  </w:r>
                </w:p>
              </w:tc>
              <w:tc>
                <w:tcPr>
                  <w:tcW w:w="1270" w:type="pct"/>
                  <w:tcBorders>
                    <w:tl2br w:val="nil"/>
                    <w:tr2bl w:val="nil"/>
                  </w:tcBorders>
                  <w:noWrap w:val="0"/>
                  <w:tcMar>
                    <w:top w:w="15" w:type="dxa"/>
                    <w:left w:w="15" w:type="dxa"/>
                    <w:right w:w="15" w:type="dxa"/>
                  </w:tcMar>
                  <w:vAlign w:val="center"/>
                </w:tcPr>
                <w:p w14:paraId="01D56E18">
                  <w:pPr>
                    <w:widowControl/>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250</w:t>
                  </w:r>
                </w:p>
              </w:tc>
              <w:tc>
                <w:tcPr>
                  <w:tcW w:w="1151" w:type="pct"/>
                  <w:tcBorders>
                    <w:tl2br w:val="nil"/>
                    <w:tr2bl w:val="nil"/>
                  </w:tcBorders>
                  <w:noWrap w:val="0"/>
                  <w:tcMar>
                    <w:top w:w="15" w:type="dxa"/>
                    <w:left w:w="15" w:type="dxa"/>
                    <w:right w:w="15" w:type="dxa"/>
                  </w:tcMar>
                  <w:vAlign w:val="center"/>
                </w:tcPr>
                <w:p w14:paraId="6FDC94D8">
                  <w:pPr>
                    <w:widowControl/>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26.5</w:t>
                  </w:r>
                </w:p>
              </w:tc>
              <w:tc>
                <w:tcPr>
                  <w:tcW w:w="1299" w:type="pct"/>
                  <w:tcBorders>
                    <w:tl2br w:val="nil"/>
                    <w:tr2bl w:val="nil"/>
                  </w:tcBorders>
                  <w:noWrap w:val="0"/>
                  <w:tcMar>
                    <w:top w:w="15" w:type="dxa"/>
                    <w:left w:w="15" w:type="dxa"/>
                    <w:right w:w="15" w:type="dxa"/>
                  </w:tcMar>
                  <w:vAlign w:val="center"/>
                </w:tcPr>
                <w:p w14:paraId="2D593E28">
                  <w:pPr>
                    <w:widowControl/>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0.11</w:t>
                  </w:r>
                </w:p>
              </w:tc>
            </w:tr>
            <w:tr w14:paraId="52F311FB">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62" w:hRule="atLeast"/>
                <w:jc w:val="center"/>
              </w:trPr>
              <w:tc>
                <w:tcPr>
                  <w:tcW w:w="1279" w:type="pct"/>
                  <w:tcBorders>
                    <w:tl2br w:val="nil"/>
                    <w:tr2bl w:val="nil"/>
                  </w:tcBorders>
                  <w:noWrap w:val="0"/>
                  <w:tcMar>
                    <w:top w:w="15" w:type="dxa"/>
                    <w:left w:w="15" w:type="dxa"/>
                    <w:right w:w="15" w:type="dxa"/>
                  </w:tcMar>
                  <w:vAlign w:val="center"/>
                </w:tcPr>
                <w:p w14:paraId="2B07816A">
                  <w:pPr>
                    <w:widowControl/>
                    <w:jc w:val="center"/>
                    <w:rPr>
                      <w:rFonts w:hint="default" w:cs="Times New Roman"/>
                      <w:color w:val="auto"/>
                      <w:kern w:val="0"/>
                      <w:sz w:val="21"/>
                      <w:szCs w:val="21"/>
                      <w:lang w:val="en-US" w:eastAsia="zh-CN"/>
                    </w:rPr>
                  </w:pPr>
                  <w:r>
                    <w:rPr>
                      <w:rFonts w:hint="eastAsia" w:cs="Times New Roman"/>
                      <w:color w:val="auto"/>
                      <w:kern w:val="0"/>
                      <w:sz w:val="21"/>
                      <w:szCs w:val="21"/>
                      <w:lang w:val="en-US" w:eastAsia="zh-CN"/>
                    </w:rPr>
                    <w:t>全盐量</w:t>
                  </w:r>
                </w:p>
              </w:tc>
              <w:tc>
                <w:tcPr>
                  <w:tcW w:w="1270" w:type="pct"/>
                  <w:tcBorders>
                    <w:tl2br w:val="nil"/>
                    <w:tr2bl w:val="nil"/>
                  </w:tcBorders>
                  <w:noWrap w:val="0"/>
                  <w:tcMar>
                    <w:top w:w="15" w:type="dxa"/>
                    <w:left w:w="15" w:type="dxa"/>
                    <w:right w:w="15" w:type="dxa"/>
                  </w:tcMar>
                  <w:vAlign w:val="center"/>
                </w:tcPr>
                <w:p w14:paraId="1264C654">
                  <w:pPr>
                    <w:widowControl/>
                    <w:jc w:val="center"/>
                    <w:rPr>
                      <w:rFonts w:hint="default" w:cs="Times New Roman"/>
                      <w:color w:val="auto"/>
                      <w:kern w:val="0"/>
                      <w:sz w:val="21"/>
                      <w:szCs w:val="21"/>
                      <w:lang w:val="en-US" w:eastAsia="zh-CN"/>
                    </w:rPr>
                  </w:pPr>
                  <w:r>
                    <w:rPr>
                      <w:rFonts w:hint="eastAsia" w:cs="Times New Roman"/>
                      <w:color w:val="auto"/>
                      <w:kern w:val="0"/>
                      <w:sz w:val="21"/>
                      <w:szCs w:val="21"/>
                      <w:lang w:val="en-US" w:eastAsia="zh-CN"/>
                    </w:rPr>
                    <w:t>--</w:t>
                  </w:r>
                </w:p>
              </w:tc>
              <w:tc>
                <w:tcPr>
                  <w:tcW w:w="1151" w:type="pct"/>
                  <w:tcBorders>
                    <w:tl2br w:val="nil"/>
                    <w:tr2bl w:val="nil"/>
                  </w:tcBorders>
                  <w:noWrap w:val="0"/>
                  <w:tcMar>
                    <w:top w:w="15" w:type="dxa"/>
                    <w:left w:w="15" w:type="dxa"/>
                    <w:right w:w="15" w:type="dxa"/>
                  </w:tcMar>
                  <w:vAlign w:val="center"/>
                </w:tcPr>
                <w:p w14:paraId="04A19017">
                  <w:pPr>
                    <w:widowControl/>
                    <w:jc w:val="center"/>
                    <w:rPr>
                      <w:rFonts w:hint="default" w:cs="Times New Roman"/>
                      <w:color w:val="auto"/>
                      <w:kern w:val="0"/>
                      <w:sz w:val="21"/>
                      <w:szCs w:val="21"/>
                      <w:lang w:val="en-US" w:eastAsia="zh-CN"/>
                    </w:rPr>
                  </w:pPr>
                  <w:r>
                    <w:rPr>
                      <w:rFonts w:hint="eastAsia" w:cs="Times New Roman"/>
                      <w:color w:val="auto"/>
                      <w:kern w:val="0"/>
                      <w:sz w:val="21"/>
                      <w:szCs w:val="21"/>
                      <w:lang w:val="en-US" w:eastAsia="zh-CN"/>
                    </w:rPr>
                    <w:t>537</w:t>
                  </w:r>
                </w:p>
              </w:tc>
              <w:tc>
                <w:tcPr>
                  <w:tcW w:w="1299" w:type="pct"/>
                  <w:tcBorders>
                    <w:tl2br w:val="nil"/>
                    <w:tr2bl w:val="nil"/>
                  </w:tcBorders>
                  <w:noWrap w:val="0"/>
                  <w:tcMar>
                    <w:top w:w="15" w:type="dxa"/>
                    <w:left w:w="15" w:type="dxa"/>
                    <w:right w:w="15" w:type="dxa"/>
                  </w:tcMar>
                  <w:vAlign w:val="center"/>
                </w:tcPr>
                <w:p w14:paraId="345B6068">
                  <w:pPr>
                    <w:widowControl/>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w:t>
                  </w:r>
                </w:p>
              </w:tc>
            </w:tr>
            <w:tr w14:paraId="7E58514D">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44" w:hRule="atLeast"/>
                <w:jc w:val="center"/>
              </w:trPr>
              <w:tc>
                <w:tcPr>
                  <w:tcW w:w="1279" w:type="pct"/>
                  <w:tcBorders>
                    <w:tl2br w:val="nil"/>
                    <w:tr2bl w:val="nil"/>
                  </w:tcBorders>
                  <w:noWrap w:val="0"/>
                  <w:tcMar>
                    <w:top w:w="15" w:type="dxa"/>
                    <w:left w:w="15" w:type="dxa"/>
                    <w:right w:w="15" w:type="dxa"/>
                  </w:tcMar>
                  <w:vAlign w:val="center"/>
                </w:tcPr>
                <w:p w14:paraId="3FA57767">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rPr>
                    <w:t>砷</w:t>
                  </w:r>
                </w:p>
              </w:tc>
              <w:tc>
                <w:tcPr>
                  <w:tcW w:w="1270" w:type="pct"/>
                  <w:tcBorders>
                    <w:tl2br w:val="nil"/>
                    <w:tr2bl w:val="nil"/>
                  </w:tcBorders>
                  <w:noWrap w:val="0"/>
                  <w:tcMar>
                    <w:top w:w="15" w:type="dxa"/>
                    <w:left w:w="15" w:type="dxa"/>
                    <w:right w:w="15" w:type="dxa"/>
                  </w:tcMar>
                  <w:vAlign w:val="center"/>
                </w:tcPr>
                <w:p w14:paraId="5B649472">
                  <w:pPr>
                    <w:widowControl/>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0.05</w:t>
                  </w:r>
                </w:p>
              </w:tc>
              <w:tc>
                <w:tcPr>
                  <w:tcW w:w="1151" w:type="pct"/>
                  <w:tcBorders>
                    <w:tl2br w:val="nil"/>
                    <w:tr2bl w:val="nil"/>
                  </w:tcBorders>
                  <w:noWrap w:val="0"/>
                  <w:tcMar>
                    <w:top w:w="15" w:type="dxa"/>
                    <w:left w:w="15" w:type="dxa"/>
                    <w:right w:w="15" w:type="dxa"/>
                  </w:tcMar>
                  <w:vAlign w:val="center"/>
                </w:tcPr>
                <w:p w14:paraId="1D0B022D">
                  <w:pPr>
                    <w:widowControl/>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0.0003L</w:t>
                  </w:r>
                </w:p>
              </w:tc>
              <w:tc>
                <w:tcPr>
                  <w:tcW w:w="1299" w:type="pct"/>
                  <w:tcBorders>
                    <w:tl2br w:val="nil"/>
                    <w:tr2bl w:val="nil"/>
                  </w:tcBorders>
                  <w:noWrap w:val="0"/>
                  <w:tcMar>
                    <w:top w:w="15" w:type="dxa"/>
                    <w:left w:w="15" w:type="dxa"/>
                    <w:right w:w="15" w:type="dxa"/>
                  </w:tcMar>
                  <w:vAlign w:val="center"/>
                </w:tcPr>
                <w:p w14:paraId="32F06DB0">
                  <w:pPr>
                    <w:widowControl/>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r>
            <w:tr w14:paraId="2F9A9F91">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5" w:hRule="atLeast"/>
                <w:jc w:val="center"/>
              </w:trPr>
              <w:tc>
                <w:tcPr>
                  <w:tcW w:w="1279" w:type="pct"/>
                  <w:tcBorders>
                    <w:tl2br w:val="nil"/>
                    <w:tr2bl w:val="nil"/>
                  </w:tcBorders>
                  <w:noWrap w:val="0"/>
                  <w:tcMar>
                    <w:top w:w="15" w:type="dxa"/>
                    <w:left w:w="15" w:type="dxa"/>
                    <w:right w:w="15" w:type="dxa"/>
                  </w:tcMar>
                  <w:vAlign w:val="center"/>
                </w:tcPr>
                <w:p w14:paraId="2539CAE2">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rPr>
                    <w:t>汞</w:t>
                  </w:r>
                </w:p>
              </w:tc>
              <w:tc>
                <w:tcPr>
                  <w:tcW w:w="1270" w:type="pct"/>
                  <w:tcBorders>
                    <w:tl2br w:val="nil"/>
                    <w:tr2bl w:val="nil"/>
                  </w:tcBorders>
                  <w:noWrap w:val="0"/>
                  <w:tcMar>
                    <w:top w:w="15" w:type="dxa"/>
                    <w:left w:w="15" w:type="dxa"/>
                    <w:right w:w="15" w:type="dxa"/>
                  </w:tcMar>
                  <w:vAlign w:val="center"/>
                </w:tcPr>
                <w:p w14:paraId="1DEC6830">
                  <w:pPr>
                    <w:widowControl/>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0.0001</w:t>
                  </w:r>
                </w:p>
              </w:tc>
              <w:tc>
                <w:tcPr>
                  <w:tcW w:w="1151" w:type="pct"/>
                  <w:tcBorders>
                    <w:tl2br w:val="nil"/>
                    <w:tr2bl w:val="nil"/>
                  </w:tcBorders>
                  <w:noWrap w:val="0"/>
                  <w:tcMar>
                    <w:top w:w="15" w:type="dxa"/>
                    <w:left w:w="15" w:type="dxa"/>
                    <w:right w:w="15" w:type="dxa"/>
                  </w:tcMar>
                  <w:vAlign w:val="center"/>
                </w:tcPr>
                <w:p w14:paraId="2493C73E">
                  <w:pPr>
                    <w:widowControl/>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0.00004L</w:t>
                  </w:r>
                </w:p>
              </w:tc>
              <w:tc>
                <w:tcPr>
                  <w:tcW w:w="1299" w:type="pct"/>
                  <w:tcBorders>
                    <w:tl2br w:val="nil"/>
                    <w:tr2bl w:val="nil"/>
                  </w:tcBorders>
                  <w:noWrap w:val="0"/>
                  <w:tcMar>
                    <w:top w:w="15" w:type="dxa"/>
                    <w:left w:w="15" w:type="dxa"/>
                    <w:right w:w="15" w:type="dxa"/>
                  </w:tcMar>
                  <w:vAlign w:val="center"/>
                </w:tcPr>
                <w:p w14:paraId="5E14F513">
                  <w:pPr>
                    <w:widowControl/>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r>
            <w:tr w14:paraId="723AFC90">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78" w:hRule="atLeast"/>
                <w:jc w:val="center"/>
              </w:trPr>
              <w:tc>
                <w:tcPr>
                  <w:tcW w:w="1279" w:type="pct"/>
                  <w:tcBorders>
                    <w:tl2br w:val="nil"/>
                    <w:tr2bl w:val="nil"/>
                  </w:tcBorders>
                  <w:noWrap w:val="0"/>
                  <w:tcMar>
                    <w:top w:w="15" w:type="dxa"/>
                    <w:left w:w="15" w:type="dxa"/>
                    <w:right w:w="15" w:type="dxa"/>
                  </w:tcMar>
                  <w:vAlign w:val="center"/>
                </w:tcPr>
                <w:p w14:paraId="045BB06B">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rPr>
                    <w:t>镉</w:t>
                  </w:r>
                </w:p>
              </w:tc>
              <w:tc>
                <w:tcPr>
                  <w:tcW w:w="1270" w:type="pct"/>
                  <w:tcBorders>
                    <w:tl2br w:val="nil"/>
                    <w:tr2bl w:val="nil"/>
                  </w:tcBorders>
                  <w:noWrap w:val="0"/>
                  <w:tcMar>
                    <w:top w:w="15" w:type="dxa"/>
                    <w:left w:w="15" w:type="dxa"/>
                    <w:right w:w="15" w:type="dxa"/>
                  </w:tcMar>
                  <w:vAlign w:val="center"/>
                </w:tcPr>
                <w:p w14:paraId="5B93EFF2">
                  <w:pPr>
                    <w:widowControl/>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0.005</w:t>
                  </w:r>
                </w:p>
              </w:tc>
              <w:tc>
                <w:tcPr>
                  <w:tcW w:w="1151" w:type="pct"/>
                  <w:tcBorders>
                    <w:tl2br w:val="nil"/>
                    <w:tr2bl w:val="nil"/>
                  </w:tcBorders>
                  <w:noWrap w:val="0"/>
                  <w:tcMar>
                    <w:top w:w="15" w:type="dxa"/>
                    <w:left w:w="15" w:type="dxa"/>
                    <w:right w:w="15" w:type="dxa"/>
                  </w:tcMar>
                  <w:vAlign w:val="center"/>
                </w:tcPr>
                <w:p w14:paraId="4E7872C0">
                  <w:pPr>
                    <w:widowControl/>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0.001L</w:t>
                  </w:r>
                </w:p>
              </w:tc>
              <w:tc>
                <w:tcPr>
                  <w:tcW w:w="1299" w:type="pct"/>
                  <w:tcBorders>
                    <w:tl2br w:val="nil"/>
                    <w:tr2bl w:val="nil"/>
                  </w:tcBorders>
                  <w:noWrap w:val="0"/>
                  <w:tcMar>
                    <w:top w:w="15" w:type="dxa"/>
                    <w:left w:w="15" w:type="dxa"/>
                    <w:right w:w="15" w:type="dxa"/>
                  </w:tcMar>
                  <w:vAlign w:val="center"/>
                </w:tcPr>
                <w:p w14:paraId="4084C7F6">
                  <w:pPr>
                    <w:widowControl/>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r>
            <w:tr w14:paraId="58403DEE">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79" w:hRule="atLeast"/>
                <w:jc w:val="center"/>
              </w:trPr>
              <w:tc>
                <w:tcPr>
                  <w:tcW w:w="1279" w:type="pct"/>
                  <w:tcBorders>
                    <w:tl2br w:val="nil"/>
                    <w:tr2bl w:val="nil"/>
                  </w:tcBorders>
                  <w:noWrap w:val="0"/>
                  <w:tcMar>
                    <w:top w:w="15" w:type="dxa"/>
                    <w:left w:w="15" w:type="dxa"/>
                    <w:right w:w="15" w:type="dxa"/>
                  </w:tcMar>
                  <w:vAlign w:val="center"/>
                </w:tcPr>
                <w:p w14:paraId="03BDE073">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rPr>
                    <w:t>铬（六价）</w:t>
                  </w:r>
                </w:p>
              </w:tc>
              <w:tc>
                <w:tcPr>
                  <w:tcW w:w="1270" w:type="pct"/>
                  <w:tcBorders>
                    <w:tl2br w:val="nil"/>
                    <w:tr2bl w:val="nil"/>
                  </w:tcBorders>
                  <w:noWrap w:val="0"/>
                  <w:tcMar>
                    <w:top w:w="15" w:type="dxa"/>
                    <w:left w:w="15" w:type="dxa"/>
                    <w:right w:w="15" w:type="dxa"/>
                  </w:tcMar>
                  <w:vAlign w:val="center"/>
                </w:tcPr>
                <w:p w14:paraId="71C715C7">
                  <w:pPr>
                    <w:widowControl/>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0.05</w:t>
                  </w:r>
                </w:p>
              </w:tc>
              <w:tc>
                <w:tcPr>
                  <w:tcW w:w="1151" w:type="pct"/>
                  <w:tcBorders>
                    <w:tl2br w:val="nil"/>
                    <w:tr2bl w:val="nil"/>
                  </w:tcBorders>
                  <w:noWrap w:val="0"/>
                  <w:tcMar>
                    <w:top w:w="15" w:type="dxa"/>
                    <w:left w:w="15" w:type="dxa"/>
                    <w:right w:w="15" w:type="dxa"/>
                  </w:tcMar>
                  <w:vAlign w:val="center"/>
                </w:tcPr>
                <w:p w14:paraId="08FD7BB2">
                  <w:pPr>
                    <w:widowControl/>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0.004L</w:t>
                  </w:r>
                </w:p>
              </w:tc>
              <w:tc>
                <w:tcPr>
                  <w:tcW w:w="1299" w:type="pct"/>
                  <w:tcBorders>
                    <w:tl2br w:val="nil"/>
                    <w:tr2bl w:val="nil"/>
                  </w:tcBorders>
                  <w:noWrap w:val="0"/>
                  <w:tcMar>
                    <w:top w:w="15" w:type="dxa"/>
                    <w:left w:w="15" w:type="dxa"/>
                    <w:right w:w="15" w:type="dxa"/>
                  </w:tcMar>
                  <w:vAlign w:val="center"/>
                </w:tcPr>
                <w:p w14:paraId="7F7DA579">
                  <w:pPr>
                    <w:widowControl/>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r>
            <w:tr w14:paraId="2B09B671">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78" w:hRule="atLeast"/>
                <w:jc w:val="center"/>
              </w:trPr>
              <w:tc>
                <w:tcPr>
                  <w:tcW w:w="1279" w:type="pct"/>
                  <w:tcBorders>
                    <w:tl2br w:val="nil"/>
                    <w:tr2bl w:val="nil"/>
                  </w:tcBorders>
                  <w:noWrap w:val="0"/>
                  <w:tcMar>
                    <w:top w:w="15" w:type="dxa"/>
                    <w:left w:w="15" w:type="dxa"/>
                    <w:right w:w="15" w:type="dxa"/>
                  </w:tcMar>
                  <w:vAlign w:val="center"/>
                </w:tcPr>
                <w:p w14:paraId="48359061">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rPr>
                    <w:t>铅</w:t>
                  </w:r>
                </w:p>
              </w:tc>
              <w:tc>
                <w:tcPr>
                  <w:tcW w:w="1270" w:type="pct"/>
                  <w:tcBorders>
                    <w:tl2br w:val="nil"/>
                    <w:tr2bl w:val="nil"/>
                  </w:tcBorders>
                  <w:noWrap w:val="0"/>
                  <w:tcMar>
                    <w:top w:w="15" w:type="dxa"/>
                    <w:left w:w="15" w:type="dxa"/>
                    <w:right w:w="15" w:type="dxa"/>
                  </w:tcMar>
                  <w:vAlign w:val="center"/>
                </w:tcPr>
                <w:p w14:paraId="3F9DA20A">
                  <w:pPr>
                    <w:widowControl/>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0.05</w:t>
                  </w:r>
                </w:p>
              </w:tc>
              <w:tc>
                <w:tcPr>
                  <w:tcW w:w="1151" w:type="pct"/>
                  <w:tcBorders>
                    <w:tl2br w:val="nil"/>
                    <w:tr2bl w:val="nil"/>
                  </w:tcBorders>
                  <w:noWrap w:val="0"/>
                  <w:tcMar>
                    <w:top w:w="15" w:type="dxa"/>
                    <w:left w:w="15" w:type="dxa"/>
                    <w:right w:w="15" w:type="dxa"/>
                  </w:tcMar>
                  <w:vAlign w:val="center"/>
                </w:tcPr>
                <w:p w14:paraId="1B7A2CBF">
                  <w:pPr>
                    <w:widowControl/>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0.01L</w:t>
                  </w:r>
                </w:p>
              </w:tc>
              <w:tc>
                <w:tcPr>
                  <w:tcW w:w="1299" w:type="pct"/>
                  <w:tcBorders>
                    <w:tl2br w:val="nil"/>
                    <w:tr2bl w:val="nil"/>
                  </w:tcBorders>
                  <w:noWrap w:val="0"/>
                  <w:tcMar>
                    <w:top w:w="15" w:type="dxa"/>
                    <w:left w:w="15" w:type="dxa"/>
                    <w:right w:w="15" w:type="dxa"/>
                  </w:tcMar>
                  <w:vAlign w:val="center"/>
                </w:tcPr>
                <w:p w14:paraId="1B57AB98">
                  <w:pPr>
                    <w:widowControl/>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r>
            <w:tr w14:paraId="210BCB7E">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44" w:hRule="atLeast"/>
                <w:jc w:val="center"/>
              </w:trPr>
              <w:tc>
                <w:tcPr>
                  <w:tcW w:w="1279" w:type="pct"/>
                  <w:tcBorders>
                    <w:tl2br w:val="nil"/>
                    <w:tr2bl w:val="nil"/>
                  </w:tcBorders>
                  <w:noWrap w:val="0"/>
                  <w:tcMar>
                    <w:top w:w="15" w:type="dxa"/>
                    <w:left w:w="15" w:type="dxa"/>
                    <w:right w:w="15" w:type="dxa"/>
                  </w:tcMar>
                  <w:vAlign w:val="center"/>
                </w:tcPr>
                <w:p w14:paraId="18B9E7D5">
                  <w:pPr>
                    <w:widowControl/>
                    <w:jc w:val="center"/>
                    <w:rPr>
                      <w:rFonts w:hint="default" w:ascii="Times New Roman" w:hAnsi="Times New Roman" w:eastAsia="宋体" w:cs="Times New Roman"/>
                      <w:color w:val="auto"/>
                      <w:kern w:val="0"/>
                      <w:sz w:val="21"/>
                      <w:szCs w:val="21"/>
                    </w:rPr>
                  </w:pPr>
                  <w:r>
                    <w:rPr>
                      <w:rFonts w:hint="eastAsia" w:cs="Times New Roman"/>
                      <w:color w:val="auto"/>
                      <w:kern w:val="0"/>
                      <w:sz w:val="21"/>
                      <w:szCs w:val="21"/>
                      <w:lang w:val="en-US" w:eastAsia="zh-CN"/>
                    </w:rPr>
                    <w:t>硫化</w:t>
                  </w:r>
                  <w:r>
                    <w:rPr>
                      <w:rFonts w:hint="default" w:ascii="Times New Roman" w:hAnsi="Times New Roman" w:eastAsia="宋体" w:cs="Times New Roman"/>
                      <w:color w:val="auto"/>
                      <w:kern w:val="0"/>
                      <w:sz w:val="21"/>
                      <w:szCs w:val="21"/>
                      <w:lang w:val="en-US" w:eastAsia="zh-CN"/>
                    </w:rPr>
                    <w:t>物</w:t>
                  </w:r>
                </w:p>
              </w:tc>
              <w:tc>
                <w:tcPr>
                  <w:tcW w:w="1270" w:type="pct"/>
                  <w:tcBorders>
                    <w:tl2br w:val="nil"/>
                    <w:tr2bl w:val="nil"/>
                  </w:tcBorders>
                  <w:noWrap w:val="0"/>
                  <w:tcMar>
                    <w:top w:w="15" w:type="dxa"/>
                    <w:left w:w="15" w:type="dxa"/>
                    <w:right w:w="15" w:type="dxa"/>
                  </w:tcMar>
                  <w:vAlign w:val="center"/>
                </w:tcPr>
                <w:p w14:paraId="1263B3B8">
                  <w:pPr>
                    <w:widowControl/>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0.2</w:t>
                  </w:r>
                </w:p>
              </w:tc>
              <w:tc>
                <w:tcPr>
                  <w:tcW w:w="1151" w:type="pct"/>
                  <w:tcBorders>
                    <w:tl2br w:val="nil"/>
                    <w:tr2bl w:val="nil"/>
                  </w:tcBorders>
                  <w:noWrap w:val="0"/>
                  <w:tcMar>
                    <w:top w:w="15" w:type="dxa"/>
                    <w:left w:w="15" w:type="dxa"/>
                    <w:right w:w="15" w:type="dxa"/>
                  </w:tcMar>
                  <w:vAlign w:val="center"/>
                </w:tcPr>
                <w:p w14:paraId="47DD2D34">
                  <w:pPr>
                    <w:widowControl/>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0.01L</w:t>
                  </w:r>
                </w:p>
              </w:tc>
              <w:tc>
                <w:tcPr>
                  <w:tcW w:w="1299" w:type="pct"/>
                  <w:tcBorders>
                    <w:tl2br w:val="nil"/>
                    <w:tr2bl w:val="nil"/>
                  </w:tcBorders>
                  <w:noWrap w:val="0"/>
                  <w:tcMar>
                    <w:top w:w="15" w:type="dxa"/>
                    <w:left w:w="15" w:type="dxa"/>
                    <w:right w:w="15" w:type="dxa"/>
                  </w:tcMar>
                  <w:vAlign w:val="center"/>
                </w:tcPr>
                <w:p w14:paraId="223C9F70">
                  <w:pPr>
                    <w:widowControl/>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r>
            <w:tr w14:paraId="2DE7A5F1">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405" w:hRule="atLeast"/>
                <w:jc w:val="center"/>
              </w:trPr>
              <w:tc>
                <w:tcPr>
                  <w:tcW w:w="1279" w:type="pct"/>
                  <w:tcBorders>
                    <w:tl2br w:val="nil"/>
                    <w:tr2bl w:val="nil"/>
                  </w:tcBorders>
                  <w:noWrap w:val="0"/>
                  <w:tcMar>
                    <w:top w:w="15" w:type="dxa"/>
                    <w:left w:w="15" w:type="dxa"/>
                    <w:right w:w="15" w:type="dxa"/>
                  </w:tcMar>
                  <w:vAlign w:val="center"/>
                </w:tcPr>
                <w:p w14:paraId="6F3D8CCA">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rPr>
                    <w:t>粪大肠菌群（</w:t>
                  </w:r>
                  <w:r>
                    <w:rPr>
                      <w:rFonts w:hint="default" w:ascii="Times New Roman" w:hAnsi="Times New Roman" w:eastAsia="宋体" w:cs="Times New Roman"/>
                      <w:color w:val="auto"/>
                      <w:kern w:val="0"/>
                      <w:sz w:val="21"/>
                      <w:szCs w:val="21"/>
                    </w:rPr>
                    <w:t>MPN/L</w:t>
                  </w:r>
                  <w:r>
                    <w:rPr>
                      <w:rFonts w:hint="default" w:ascii="Times New Roman" w:hAnsi="Times New Roman" w:eastAsia="宋体" w:cs="Times New Roman"/>
                      <w:color w:val="auto"/>
                      <w:kern w:val="0"/>
                      <w:sz w:val="21"/>
                      <w:szCs w:val="21"/>
                      <w:lang w:val="en-US" w:eastAsia="zh-CN"/>
                    </w:rPr>
                    <w:t>）</w:t>
                  </w:r>
                </w:p>
              </w:tc>
              <w:tc>
                <w:tcPr>
                  <w:tcW w:w="1270" w:type="pct"/>
                  <w:tcBorders>
                    <w:tl2br w:val="nil"/>
                    <w:tr2bl w:val="nil"/>
                  </w:tcBorders>
                  <w:noWrap w:val="0"/>
                  <w:tcMar>
                    <w:top w:w="15" w:type="dxa"/>
                    <w:left w:w="15" w:type="dxa"/>
                    <w:right w:w="15" w:type="dxa"/>
                  </w:tcMar>
                  <w:vAlign w:val="center"/>
                </w:tcPr>
                <w:p w14:paraId="04A3A7CA">
                  <w:pPr>
                    <w:widowControl/>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10000</w:t>
                  </w:r>
                </w:p>
              </w:tc>
              <w:tc>
                <w:tcPr>
                  <w:tcW w:w="1151" w:type="pct"/>
                  <w:tcBorders>
                    <w:tl2br w:val="nil"/>
                    <w:tr2bl w:val="nil"/>
                  </w:tcBorders>
                  <w:noWrap w:val="0"/>
                  <w:tcMar>
                    <w:top w:w="15" w:type="dxa"/>
                    <w:left w:w="15" w:type="dxa"/>
                    <w:right w:w="15" w:type="dxa"/>
                  </w:tcMar>
                  <w:vAlign w:val="center"/>
                </w:tcPr>
                <w:p w14:paraId="70EC1CCD">
                  <w:pPr>
                    <w:widowControl/>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540</w:t>
                  </w:r>
                </w:p>
              </w:tc>
              <w:tc>
                <w:tcPr>
                  <w:tcW w:w="1299" w:type="pct"/>
                  <w:tcBorders>
                    <w:tl2br w:val="nil"/>
                    <w:tr2bl w:val="nil"/>
                  </w:tcBorders>
                  <w:noWrap w:val="0"/>
                  <w:tcMar>
                    <w:top w:w="15" w:type="dxa"/>
                    <w:left w:w="15" w:type="dxa"/>
                    <w:right w:w="15" w:type="dxa"/>
                  </w:tcMar>
                  <w:vAlign w:val="center"/>
                </w:tcPr>
                <w:p w14:paraId="0135AC59">
                  <w:pPr>
                    <w:widowControl/>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r>
          </w:tbl>
          <w:p w14:paraId="11528BD2">
            <w:pPr>
              <w:keepNext w:val="0"/>
              <w:keepLines w:val="0"/>
              <w:pageBreakBefore w:val="0"/>
              <w:widowControl w:val="0"/>
              <w:numPr>
                <w:ilvl w:val="0"/>
                <w:numId w:val="3"/>
              </w:numPr>
              <w:kinsoku/>
              <w:wordWrap/>
              <w:overflowPunct/>
              <w:topLinePunct w:val="0"/>
              <w:autoSpaceDE/>
              <w:autoSpaceDN/>
              <w:bidi w:val="0"/>
              <w:adjustRightInd w:val="0"/>
              <w:snapToGrid w:val="0"/>
              <w:spacing w:before="157" w:beforeLines="50" w:line="360" w:lineRule="auto"/>
              <w:ind w:firstLine="480" w:firstLineChars="200"/>
              <w:textAlignment w:val="auto"/>
              <w:rPr>
                <w:rFonts w:hint="eastAsia" w:cs="Times New Roman"/>
                <w:b w:val="0"/>
                <w:bCs w:val="0"/>
                <w:color w:val="auto"/>
                <w:kern w:val="0"/>
                <w:sz w:val="24"/>
                <w:szCs w:val="24"/>
                <w:lang w:val="en-US" w:eastAsia="zh-CN"/>
              </w:rPr>
            </w:pPr>
            <w:r>
              <w:rPr>
                <w:rFonts w:hint="eastAsia" w:cs="Times New Roman"/>
                <w:b w:val="0"/>
                <w:bCs w:val="0"/>
                <w:color w:val="auto"/>
                <w:kern w:val="0"/>
                <w:sz w:val="24"/>
                <w:szCs w:val="24"/>
                <w:lang w:val="en-US" w:eastAsia="zh-CN"/>
              </w:rPr>
              <w:t>水文情势调查</w:t>
            </w:r>
          </w:p>
          <w:p w14:paraId="5D948091">
            <w:pPr>
              <w:pageBreakBefore w:val="0"/>
              <w:widowControl w:val="0"/>
              <w:kinsoku/>
              <w:wordWrap/>
              <w:overflowPunct/>
              <w:topLinePunct w:val="0"/>
              <w:autoSpaceDE/>
              <w:autoSpaceDN/>
              <w:bidi w:val="0"/>
              <w:adjustRightInd w:val="0"/>
              <w:snapToGrid w:val="0"/>
              <w:spacing w:line="360" w:lineRule="auto"/>
              <w:ind w:firstLine="480"/>
              <w:textAlignment w:val="auto"/>
              <w:rPr>
                <w:sz w:val="24"/>
                <w:szCs w:val="24"/>
              </w:rPr>
            </w:pPr>
            <w:r>
              <w:rPr>
                <w:sz w:val="24"/>
                <w:szCs w:val="24"/>
              </w:rPr>
              <w:t>青年水库站具有1957年～2020年共64年实测资料。2006年在《黑龙江省密山县青年水库汛限水位核定报告》中，对2004～2005年系列进行了还原计算，在2022年编制的《黑龙江省密山市青年水库除险加固工程可行性研究报告》（以下简称《可研报告》）中，对2006年～2020年系列进行了还原计算，上述成果经复核后均可采用。</w:t>
            </w:r>
          </w:p>
          <w:p w14:paraId="262BAFB5">
            <w:pPr>
              <w:pageBreakBefore w:val="0"/>
              <w:widowControl w:val="0"/>
              <w:kinsoku/>
              <w:wordWrap/>
              <w:overflowPunct/>
              <w:topLinePunct w:val="0"/>
              <w:autoSpaceDE/>
              <w:autoSpaceDN/>
              <w:bidi w:val="0"/>
              <w:adjustRightInd w:val="0"/>
              <w:snapToGrid w:val="0"/>
              <w:spacing w:line="360" w:lineRule="auto"/>
              <w:ind w:firstLine="480"/>
              <w:textAlignment w:val="auto"/>
              <w:rPr>
                <w:sz w:val="24"/>
                <w:szCs w:val="24"/>
              </w:rPr>
            </w:pPr>
            <w:r>
              <w:rPr>
                <w:sz w:val="24"/>
                <w:szCs w:val="24"/>
              </w:rPr>
              <w:t>青年水库来水量还原公式如下：</w:t>
            </w:r>
          </w:p>
          <w:p w14:paraId="0E4D57B0">
            <w:pPr>
              <w:pageBreakBefore w:val="0"/>
              <w:widowControl w:val="0"/>
              <w:kinsoku/>
              <w:wordWrap/>
              <w:overflowPunct/>
              <w:topLinePunct w:val="0"/>
              <w:autoSpaceDE/>
              <w:autoSpaceDN/>
              <w:bidi w:val="0"/>
              <w:adjustRightInd w:val="0"/>
              <w:snapToGrid w:val="0"/>
              <w:spacing w:line="360" w:lineRule="auto"/>
              <w:ind w:firstLine="480"/>
              <w:textAlignment w:val="auto"/>
              <w:rPr>
                <w:sz w:val="24"/>
                <w:szCs w:val="24"/>
              </w:rPr>
            </w:pPr>
            <w:r>
              <w:rPr>
                <w:sz w:val="24"/>
                <w:szCs w:val="24"/>
              </w:rPr>
              <w:t>W</w:t>
            </w:r>
            <w:r>
              <w:rPr>
                <w:sz w:val="24"/>
                <w:szCs w:val="24"/>
                <w:vertAlign w:val="subscript"/>
              </w:rPr>
              <w:t>坝</w:t>
            </w:r>
            <w:r>
              <w:rPr>
                <w:sz w:val="24"/>
                <w:szCs w:val="24"/>
              </w:rPr>
              <w:t>=［W</w:t>
            </w:r>
            <w:r>
              <w:rPr>
                <w:sz w:val="24"/>
                <w:szCs w:val="24"/>
                <w:vertAlign w:val="subscript"/>
              </w:rPr>
              <w:t>出</w:t>
            </w:r>
            <w:r>
              <w:rPr>
                <w:sz w:val="24"/>
                <w:szCs w:val="24"/>
              </w:rPr>
              <w:t>±</w:t>
            </w:r>
            <w:r>
              <w:rPr>
                <w:rFonts w:hint="eastAsia" w:ascii="宋体" w:hAnsi="宋体" w:cs="宋体"/>
                <w:sz w:val="24"/>
                <w:szCs w:val="24"/>
              </w:rPr>
              <w:t>△</w:t>
            </w:r>
            <w:r>
              <w:rPr>
                <w:sz w:val="24"/>
                <w:szCs w:val="24"/>
              </w:rPr>
              <w:t>V+0.1×〔E</w:t>
            </w:r>
            <w:r>
              <w:rPr>
                <w:sz w:val="24"/>
                <w:szCs w:val="24"/>
                <w:vertAlign w:val="subscript"/>
              </w:rPr>
              <w:t>水</w:t>
            </w:r>
            <w:r>
              <w:rPr>
                <w:sz w:val="24"/>
                <w:szCs w:val="24"/>
              </w:rPr>
              <w:t>+D-P〕×f］×（1+f/F）</w:t>
            </w:r>
          </w:p>
          <w:p w14:paraId="0C43E1FB">
            <w:pPr>
              <w:pageBreakBefore w:val="0"/>
              <w:widowControl w:val="0"/>
              <w:kinsoku/>
              <w:wordWrap/>
              <w:overflowPunct/>
              <w:topLinePunct w:val="0"/>
              <w:autoSpaceDE/>
              <w:autoSpaceDN/>
              <w:bidi w:val="0"/>
              <w:adjustRightInd w:val="0"/>
              <w:snapToGrid w:val="0"/>
              <w:spacing w:line="360" w:lineRule="auto"/>
              <w:ind w:firstLine="480"/>
              <w:textAlignment w:val="auto"/>
              <w:rPr>
                <w:sz w:val="24"/>
                <w:szCs w:val="24"/>
              </w:rPr>
            </w:pPr>
            <w:r>
              <w:rPr>
                <w:sz w:val="24"/>
                <w:szCs w:val="24"/>
              </w:rPr>
              <w:t>式中：W</w:t>
            </w:r>
            <w:r>
              <w:rPr>
                <w:sz w:val="24"/>
                <w:szCs w:val="24"/>
                <w:vertAlign w:val="subscript"/>
              </w:rPr>
              <w:t>坝</w:t>
            </w:r>
            <w:r>
              <w:rPr>
                <w:sz w:val="24"/>
                <w:szCs w:val="24"/>
              </w:rPr>
              <w:t xml:space="preserve"> — 坝址天然来水量，10</w:t>
            </w:r>
            <w:r>
              <w:rPr>
                <w:sz w:val="24"/>
                <w:szCs w:val="24"/>
                <w:vertAlign w:val="superscript"/>
              </w:rPr>
              <w:t>4</w:t>
            </w:r>
            <w:r>
              <w:rPr>
                <w:sz w:val="24"/>
                <w:szCs w:val="24"/>
              </w:rPr>
              <w:t>m</w:t>
            </w:r>
            <w:r>
              <w:rPr>
                <w:sz w:val="24"/>
                <w:szCs w:val="24"/>
                <w:vertAlign w:val="superscript"/>
              </w:rPr>
              <w:t>3</w:t>
            </w:r>
            <w:r>
              <w:rPr>
                <w:sz w:val="24"/>
                <w:szCs w:val="24"/>
              </w:rPr>
              <w:t>；</w:t>
            </w:r>
          </w:p>
          <w:p w14:paraId="593929BF">
            <w:pPr>
              <w:pageBreakBefore w:val="0"/>
              <w:widowControl w:val="0"/>
              <w:kinsoku/>
              <w:wordWrap/>
              <w:overflowPunct/>
              <w:topLinePunct w:val="0"/>
              <w:autoSpaceDE/>
              <w:autoSpaceDN/>
              <w:bidi w:val="0"/>
              <w:adjustRightInd w:val="0"/>
              <w:snapToGrid w:val="0"/>
              <w:spacing w:line="360" w:lineRule="auto"/>
              <w:ind w:firstLine="480"/>
              <w:textAlignment w:val="auto"/>
              <w:rPr>
                <w:sz w:val="24"/>
                <w:szCs w:val="24"/>
              </w:rPr>
            </w:pPr>
            <w:r>
              <w:rPr>
                <w:sz w:val="24"/>
                <w:szCs w:val="24"/>
              </w:rPr>
              <w:t xml:space="preserve">      W</w:t>
            </w:r>
            <w:r>
              <w:rPr>
                <w:sz w:val="24"/>
                <w:szCs w:val="24"/>
                <w:vertAlign w:val="subscript"/>
              </w:rPr>
              <w:t>出</w:t>
            </w:r>
            <w:r>
              <w:rPr>
                <w:sz w:val="24"/>
                <w:szCs w:val="24"/>
              </w:rPr>
              <w:t xml:space="preserve"> — 出库水量，10</w:t>
            </w:r>
            <w:r>
              <w:rPr>
                <w:sz w:val="24"/>
                <w:szCs w:val="24"/>
                <w:vertAlign w:val="superscript"/>
              </w:rPr>
              <w:t>4</w:t>
            </w:r>
            <w:r>
              <w:rPr>
                <w:sz w:val="24"/>
                <w:szCs w:val="24"/>
              </w:rPr>
              <w:t>m</w:t>
            </w:r>
            <w:r>
              <w:rPr>
                <w:sz w:val="24"/>
                <w:szCs w:val="24"/>
                <w:vertAlign w:val="superscript"/>
              </w:rPr>
              <w:t>3</w:t>
            </w:r>
            <w:r>
              <w:rPr>
                <w:sz w:val="24"/>
                <w:szCs w:val="24"/>
              </w:rPr>
              <w:t>；</w:t>
            </w:r>
          </w:p>
          <w:p w14:paraId="4C0B8FB6">
            <w:pPr>
              <w:pageBreakBefore w:val="0"/>
              <w:widowControl w:val="0"/>
              <w:kinsoku/>
              <w:wordWrap/>
              <w:overflowPunct/>
              <w:topLinePunct w:val="0"/>
              <w:autoSpaceDE/>
              <w:autoSpaceDN/>
              <w:bidi w:val="0"/>
              <w:adjustRightInd w:val="0"/>
              <w:snapToGrid w:val="0"/>
              <w:spacing w:line="360" w:lineRule="auto"/>
              <w:ind w:firstLine="480"/>
              <w:textAlignment w:val="auto"/>
              <w:rPr>
                <w:sz w:val="24"/>
                <w:szCs w:val="24"/>
              </w:rPr>
            </w:pPr>
            <w:r>
              <w:rPr>
                <w:sz w:val="24"/>
                <w:szCs w:val="24"/>
              </w:rPr>
              <w:t xml:space="preserve">      </w:t>
            </w:r>
            <w:r>
              <w:rPr>
                <w:rFonts w:hint="eastAsia" w:ascii="宋体" w:hAnsi="宋体" w:cs="宋体"/>
                <w:sz w:val="24"/>
                <w:szCs w:val="24"/>
              </w:rPr>
              <w:t>△</w:t>
            </w:r>
            <w:r>
              <w:rPr>
                <w:sz w:val="24"/>
                <w:szCs w:val="24"/>
              </w:rPr>
              <w:t>V— 时段始末库容变量，10</w:t>
            </w:r>
            <w:r>
              <w:rPr>
                <w:sz w:val="24"/>
                <w:szCs w:val="24"/>
                <w:vertAlign w:val="superscript"/>
              </w:rPr>
              <w:t>4</w:t>
            </w:r>
            <w:r>
              <w:rPr>
                <w:sz w:val="24"/>
                <w:szCs w:val="24"/>
              </w:rPr>
              <w:t>m</w:t>
            </w:r>
            <w:r>
              <w:rPr>
                <w:sz w:val="24"/>
                <w:szCs w:val="24"/>
                <w:vertAlign w:val="superscript"/>
              </w:rPr>
              <w:t>3</w:t>
            </w:r>
            <w:r>
              <w:rPr>
                <w:sz w:val="24"/>
                <w:szCs w:val="24"/>
              </w:rPr>
              <w:t>；</w:t>
            </w:r>
          </w:p>
          <w:p w14:paraId="657AC6EE">
            <w:pPr>
              <w:pageBreakBefore w:val="0"/>
              <w:widowControl w:val="0"/>
              <w:kinsoku/>
              <w:wordWrap/>
              <w:overflowPunct/>
              <w:topLinePunct w:val="0"/>
              <w:autoSpaceDE/>
              <w:autoSpaceDN/>
              <w:bidi w:val="0"/>
              <w:adjustRightInd w:val="0"/>
              <w:snapToGrid w:val="0"/>
              <w:spacing w:line="360" w:lineRule="auto"/>
              <w:ind w:firstLine="480"/>
              <w:textAlignment w:val="auto"/>
              <w:rPr>
                <w:sz w:val="24"/>
                <w:szCs w:val="24"/>
              </w:rPr>
            </w:pPr>
            <w:r>
              <w:rPr>
                <w:sz w:val="24"/>
                <w:szCs w:val="24"/>
              </w:rPr>
              <w:t xml:space="preserve">      E</w:t>
            </w:r>
            <w:r>
              <w:rPr>
                <w:sz w:val="24"/>
                <w:szCs w:val="24"/>
                <w:vertAlign w:val="subscript"/>
              </w:rPr>
              <w:t>水</w:t>
            </w:r>
            <w:r>
              <w:rPr>
                <w:sz w:val="24"/>
                <w:szCs w:val="24"/>
              </w:rPr>
              <w:t xml:space="preserve"> — 水面蒸发量，mm；</w:t>
            </w:r>
          </w:p>
          <w:p w14:paraId="6EEEEE72">
            <w:pPr>
              <w:pageBreakBefore w:val="0"/>
              <w:widowControl w:val="0"/>
              <w:kinsoku/>
              <w:wordWrap/>
              <w:overflowPunct/>
              <w:topLinePunct w:val="0"/>
              <w:autoSpaceDE/>
              <w:autoSpaceDN/>
              <w:bidi w:val="0"/>
              <w:adjustRightInd w:val="0"/>
              <w:snapToGrid w:val="0"/>
              <w:spacing w:line="360" w:lineRule="auto"/>
              <w:ind w:firstLine="480"/>
              <w:textAlignment w:val="auto"/>
              <w:rPr>
                <w:sz w:val="24"/>
                <w:szCs w:val="24"/>
              </w:rPr>
            </w:pPr>
            <w:r>
              <w:rPr>
                <w:sz w:val="24"/>
                <w:szCs w:val="24"/>
              </w:rPr>
              <w:t xml:space="preserve">      D—渗漏损失量，mm，根据水库实际情况，经分析采用1mm/d；</w:t>
            </w:r>
          </w:p>
          <w:p w14:paraId="209BD0C5">
            <w:pPr>
              <w:pageBreakBefore w:val="0"/>
              <w:widowControl w:val="0"/>
              <w:kinsoku/>
              <w:wordWrap/>
              <w:overflowPunct/>
              <w:topLinePunct w:val="0"/>
              <w:autoSpaceDE/>
              <w:autoSpaceDN/>
              <w:bidi w:val="0"/>
              <w:adjustRightInd w:val="0"/>
              <w:snapToGrid w:val="0"/>
              <w:spacing w:line="360" w:lineRule="auto"/>
              <w:ind w:firstLine="480"/>
              <w:textAlignment w:val="auto"/>
              <w:rPr>
                <w:sz w:val="24"/>
                <w:szCs w:val="24"/>
              </w:rPr>
            </w:pPr>
            <w:r>
              <w:rPr>
                <w:sz w:val="24"/>
                <w:szCs w:val="24"/>
              </w:rPr>
              <w:t xml:space="preserve">      P  — 降水量，mm；</w:t>
            </w:r>
          </w:p>
          <w:p w14:paraId="76B5F55A">
            <w:pPr>
              <w:pageBreakBefore w:val="0"/>
              <w:widowControl w:val="0"/>
              <w:kinsoku/>
              <w:wordWrap/>
              <w:overflowPunct/>
              <w:topLinePunct w:val="0"/>
              <w:autoSpaceDE/>
              <w:autoSpaceDN/>
              <w:bidi w:val="0"/>
              <w:adjustRightInd w:val="0"/>
              <w:snapToGrid w:val="0"/>
              <w:spacing w:line="360" w:lineRule="auto"/>
              <w:ind w:firstLine="480"/>
              <w:textAlignment w:val="auto"/>
              <w:rPr>
                <w:sz w:val="24"/>
                <w:szCs w:val="24"/>
              </w:rPr>
            </w:pPr>
            <w:r>
              <w:rPr>
                <w:sz w:val="24"/>
                <w:szCs w:val="24"/>
              </w:rPr>
              <w:t xml:space="preserve">      F  — 水库坝址集水面积，km</w:t>
            </w:r>
            <w:r>
              <w:rPr>
                <w:sz w:val="24"/>
                <w:szCs w:val="24"/>
                <w:vertAlign w:val="superscript"/>
              </w:rPr>
              <w:t>2</w:t>
            </w:r>
            <w:r>
              <w:rPr>
                <w:sz w:val="24"/>
                <w:szCs w:val="24"/>
              </w:rPr>
              <w:t>；</w:t>
            </w:r>
          </w:p>
          <w:p w14:paraId="778C567E">
            <w:pPr>
              <w:pageBreakBefore w:val="0"/>
              <w:widowControl w:val="0"/>
              <w:kinsoku/>
              <w:wordWrap/>
              <w:overflowPunct/>
              <w:topLinePunct w:val="0"/>
              <w:autoSpaceDE/>
              <w:autoSpaceDN/>
              <w:bidi w:val="0"/>
              <w:adjustRightInd w:val="0"/>
              <w:snapToGrid w:val="0"/>
              <w:spacing w:line="360" w:lineRule="auto"/>
              <w:ind w:firstLine="480"/>
              <w:textAlignment w:val="auto"/>
              <w:rPr>
                <w:sz w:val="24"/>
                <w:szCs w:val="24"/>
              </w:rPr>
            </w:pPr>
            <w:r>
              <w:rPr>
                <w:sz w:val="24"/>
                <w:szCs w:val="24"/>
              </w:rPr>
              <w:t xml:space="preserve">      f  — 平均库面面积，km</w:t>
            </w:r>
            <w:r>
              <w:rPr>
                <w:sz w:val="24"/>
                <w:szCs w:val="24"/>
                <w:vertAlign w:val="superscript"/>
              </w:rPr>
              <w:t>2</w:t>
            </w:r>
            <w:r>
              <w:rPr>
                <w:sz w:val="24"/>
                <w:szCs w:val="24"/>
              </w:rPr>
              <w:t>。</w:t>
            </w:r>
          </w:p>
          <w:p w14:paraId="249883F8">
            <w:pPr>
              <w:pageBreakBefore w:val="0"/>
              <w:widowControl w:val="0"/>
              <w:kinsoku/>
              <w:wordWrap/>
              <w:overflowPunct/>
              <w:topLinePunct w:val="0"/>
              <w:autoSpaceDE/>
              <w:autoSpaceDN/>
              <w:bidi w:val="0"/>
              <w:adjustRightInd w:val="0"/>
              <w:snapToGrid w:val="0"/>
              <w:spacing w:line="360" w:lineRule="auto"/>
              <w:ind w:firstLine="480"/>
              <w:textAlignment w:val="auto"/>
              <w:rPr>
                <w:bCs/>
                <w:kern w:val="10"/>
                <w:sz w:val="24"/>
                <w:szCs w:val="24"/>
              </w:rPr>
            </w:pPr>
            <w:r>
              <w:rPr>
                <w:sz w:val="24"/>
                <w:szCs w:val="24"/>
              </w:rPr>
              <w:t>在《可研报告》中将径流系列延长至2020年，本次复核后仍采用该成果。</w:t>
            </w:r>
            <w:r>
              <w:rPr>
                <w:bCs/>
                <w:kern w:val="10"/>
                <w:sz w:val="24"/>
                <w:szCs w:val="24"/>
              </w:rPr>
              <w:t>梨树镇、湖北闸水文站上游建有水库，还有许多拦河坝取水的灌区，为此应把受水利工程影响的年径流资料还原到天然情况。</w:t>
            </w:r>
          </w:p>
          <w:p w14:paraId="3CD5304C">
            <w:pPr>
              <w:pageBreakBefore w:val="0"/>
              <w:widowControl w:val="0"/>
              <w:kinsoku/>
              <w:wordWrap/>
              <w:overflowPunct/>
              <w:topLinePunct w:val="0"/>
              <w:autoSpaceDE/>
              <w:autoSpaceDN/>
              <w:bidi w:val="0"/>
              <w:adjustRightInd w:val="0"/>
              <w:snapToGrid w:val="0"/>
              <w:spacing w:line="360" w:lineRule="auto"/>
              <w:ind w:firstLine="480"/>
              <w:textAlignment w:val="auto"/>
              <w:rPr>
                <w:sz w:val="24"/>
                <w:szCs w:val="24"/>
              </w:rPr>
            </w:pPr>
            <w:r>
              <w:rPr>
                <w:bCs/>
                <w:kern w:val="10"/>
                <w:sz w:val="24"/>
                <w:szCs w:val="24"/>
              </w:rPr>
              <w:t>根据各水文站所在位置，通过实际调查，将水文站以上水库蓄变量、水库损失量、灌溉用水量和工业、居民用水量进行还原。穆棱站以上为山区，灌溉面积较少，故本次未进行灌溉用水还原，只进行了团结水库蓄水量还原；梨树镇、湖北闸水文站进行了水库水量还原和灌溉用水量还原。</w:t>
            </w:r>
          </w:p>
          <w:p w14:paraId="78355C8F">
            <w:pPr>
              <w:pStyle w:val="6"/>
              <w:pageBreakBefore w:val="0"/>
              <w:widowControl w:val="0"/>
              <w:kinsoku/>
              <w:wordWrap/>
              <w:overflowPunct/>
              <w:topLinePunct w:val="0"/>
              <w:autoSpaceDE/>
              <w:autoSpaceDN/>
              <w:bidi w:val="0"/>
              <w:adjustRightInd w:val="0"/>
              <w:snapToGrid w:val="0"/>
              <w:spacing w:line="360" w:lineRule="auto"/>
              <w:ind w:firstLine="480" w:firstLineChars="200"/>
              <w:textAlignment w:val="auto"/>
              <w:rPr>
                <w:sz w:val="24"/>
                <w:szCs w:val="24"/>
              </w:rPr>
            </w:pPr>
            <w:r>
              <w:rPr>
                <w:sz w:val="24"/>
                <w:szCs w:val="24"/>
              </w:rPr>
              <w:t>控制断面设计年径流坝下水位流量关系根据本次实测横断面数据，采用曼宁公式计算，其中n</w:t>
            </w:r>
            <w:r>
              <w:rPr>
                <w:sz w:val="24"/>
                <w:szCs w:val="24"/>
                <w:vertAlign w:val="subscript"/>
              </w:rPr>
              <w:t>主</w:t>
            </w:r>
            <w:r>
              <w:rPr>
                <w:sz w:val="24"/>
                <w:szCs w:val="24"/>
              </w:rPr>
              <w:t>=0.033，n</w:t>
            </w:r>
            <w:r>
              <w:rPr>
                <w:sz w:val="24"/>
                <w:szCs w:val="24"/>
                <w:vertAlign w:val="subscript"/>
              </w:rPr>
              <w:t>滩</w:t>
            </w:r>
            <w:r>
              <w:rPr>
                <w:sz w:val="24"/>
                <w:szCs w:val="24"/>
              </w:rPr>
              <w:t>=0.07，比降采用实测水面比降（1/830）。青年水库坝下200m处水位流量关系见</w:t>
            </w:r>
            <w:r>
              <w:rPr>
                <w:sz w:val="24"/>
                <w:szCs w:val="24"/>
              </w:rPr>
              <w:fldChar w:fldCharType="begin"/>
            </w:r>
            <w:r>
              <w:rPr>
                <w:sz w:val="24"/>
                <w:szCs w:val="24"/>
              </w:rPr>
              <w:instrText xml:space="preserve"> REF _Ref107756436 \h  \* MERGEFORMAT </w:instrText>
            </w:r>
            <w:r>
              <w:rPr>
                <w:sz w:val="24"/>
                <w:szCs w:val="24"/>
              </w:rPr>
              <w:fldChar w:fldCharType="separate"/>
            </w:r>
            <w:r>
              <w:rPr>
                <w:sz w:val="24"/>
                <w:szCs w:val="24"/>
              </w:rPr>
              <w:t>图</w:t>
            </w:r>
            <w:r>
              <w:rPr>
                <w:sz w:val="24"/>
                <w:szCs w:val="24"/>
              </w:rPr>
              <w:fldChar w:fldCharType="end"/>
            </w:r>
            <w:r>
              <w:rPr>
                <w:sz w:val="24"/>
                <w:szCs w:val="24"/>
              </w:rPr>
              <w:t>。</w:t>
            </w:r>
          </w:p>
          <w:p w14:paraId="14CA5B9E">
            <w:pPr>
              <w:rPr>
                <w:sz w:val="24"/>
                <w:szCs w:val="24"/>
              </w:rPr>
            </w:pPr>
          </w:p>
          <w:p w14:paraId="4DB71E3F">
            <w:pPr>
              <w:pStyle w:val="2"/>
              <w:rPr>
                <w:sz w:val="24"/>
                <w:szCs w:val="24"/>
              </w:rPr>
            </w:pPr>
          </w:p>
          <w:p w14:paraId="45164136">
            <w:pPr>
              <w:rPr>
                <w:sz w:val="24"/>
                <w:szCs w:val="24"/>
              </w:rPr>
            </w:pPr>
          </w:p>
          <w:p w14:paraId="3DC9083F">
            <w:pPr>
              <w:pStyle w:val="2"/>
              <w:rPr>
                <w:sz w:val="24"/>
                <w:szCs w:val="24"/>
              </w:rPr>
            </w:pPr>
          </w:p>
          <w:p w14:paraId="53BB9AB3">
            <w:pPr>
              <w:rPr>
                <w:sz w:val="24"/>
                <w:szCs w:val="24"/>
              </w:rPr>
            </w:pPr>
          </w:p>
          <w:p w14:paraId="21CC12DE">
            <w:pPr>
              <w:pStyle w:val="2"/>
              <w:rPr>
                <w:sz w:val="24"/>
                <w:szCs w:val="24"/>
              </w:rPr>
            </w:pPr>
          </w:p>
          <w:p w14:paraId="0B4CCA50">
            <w:pPr>
              <w:rPr>
                <w:sz w:val="24"/>
                <w:szCs w:val="24"/>
              </w:rPr>
            </w:pPr>
          </w:p>
          <w:p w14:paraId="2E0743A8">
            <w:pPr>
              <w:pStyle w:val="47"/>
              <w:keepNext/>
              <w:pageBreakBefore w:val="0"/>
              <w:widowControl w:val="0"/>
              <w:kinsoku/>
              <w:wordWrap/>
              <w:overflowPunct/>
              <w:topLinePunct w:val="0"/>
              <w:autoSpaceDE/>
              <w:autoSpaceDN/>
              <w:bidi w:val="0"/>
              <w:adjustRightInd w:val="0"/>
              <w:snapToGrid w:val="0"/>
              <w:spacing w:line="360" w:lineRule="auto"/>
              <w:textAlignment w:val="auto"/>
              <w:rPr>
                <w:sz w:val="24"/>
                <w:szCs w:val="24"/>
              </w:rPr>
            </w:pPr>
            <w:r>
              <w:rPr>
                <w:sz w:val="24"/>
                <w:szCs w:val="24"/>
              </w:rPr>
              <w:drawing>
                <wp:inline distT="0" distB="0" distL="114300" distR="114300">
                  <wp:extent cx="5160645" cy="4589780"/>
                  <wp:effectExtent l="0" t="0" r="1905" b="0"/>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19"/>
                          <a:srcRect t="3461" r="2893"/>
                          <a:stretch>
                            <a:fillRect/>
                          </a:stretch>
                        </pic:blipFill>
                        <pic:spPr>
                          <a:xfrm>
                            <a:off x="0" y="0"/>
                            <a:ext cx="5160645" cy="4589780"/>
                          </a:xfrm>
                          <a:prstGeom prst="rect">
                            <a:avLst/>
                          </a:prstGeom>
                          <a:noFill/>
                          <a:ln>
                            <a:noFill/>
                          </a:ln>
                        </pic:spPr>
                      </pic:pic>
                    </a:graphicData>
                  </a:graphic>
                </wp:inline>
              </w:drawing>
            </w:r>
          </w:p>
          <w:p w14:paraId="307BEB97">
            <w:pPr>
              <w:pStyle w:val="8"/>
              <w:pageBreakBefore w:val="0"/>
              <w:widowControl w:val="0"/>
              <w:kinsoku/>
              <w:wordWrap/>
              <w:overflowPunct/>
              <w:topLinePunct w:val="0"/>
              <w:autoSpaceDE/>
              <w:autoSpaceDN/>
              <w:bidi w:val="0"/>
              <w:adjustRightInd w:val="0"/>
              <w:snapToGrid w:val="0"/>
              <w:spacing w:line="360" w:lineRule="auto"/>
              <w:textAlignment w:val="auto"/>
              <w:rPr>
                <w:sz w:val="24"/>
                <w:szCs w:val="24"/>
              </w:rPr>
            </w:pPr>
            <w:bookmarkStart w:id="7" w:name="_Ref107756436"/>
            <w:r>
              <w:rPr>
                <w:sz w:val="24"/>
                <w:szCs w:val="24"/>
              </w:rPr>
              <w:t>图</w:t>
            </w:r>
            <w:r>
              <w:rPr>
                <w:rFonts w:hint="eastAsia"/>
                <w:sz w:val="24"/>
                <w:szCs w:val="24"/>
                <w:lang w:val="en-US" w:eastAsia="zh-CN"/>
              </w:rPr>
              <w:t>3</w:t>
            </w:r>
            <w:r>
              <w:rPr>
                <w:sz w:val="24"/>
                <w:szCs w:val="24"/>
              </w:rPr>
              <w:t>–</w:t>
            </w:r>
            <w:r>
              <w:rPr>
                <w:sz w:val="24"/>
                <w:szCs w:val="24"/>
              </w:rPr>
              <w:fldChar w:fldCharType="begin"/>
            </w:r>
            <w:r>
              <w:rPr>
                <w:sz w:val="24"/>
                <w:szCs w:val="24"/>
              </w:rPr>
              <w:instrText xml:space="preserve"> SEQ 图 \* ARABIC \s 2 </w:instrText>
            </w:r>
            <w:r>
              <w:rPr>
                <w:sz w:val="24"/>
                <w:szCs w:val="24"/>
              </w:rPr>
              <w:fldChar w:fldCharType="separate"/>
            </w:r>
            <w:r>
              <w:rPr>
                <w:sz w:val="24"/>
                <w:szCs w:val="24"/>
              </w:rPr>
              <w:t>1</w:t>
            </w:r>
            <w:r>
              <w:rPr>
                <w:sz w:val="24"/>
                <w:szCs w:val="24"/>
              </w:rPr>
              <w:fldChar w:fldCharType="end"/>
            </w:r>
            <w:bookmarkEnd w:id="7"/>
            <w:r>
              <w:rPr>
                <w:sz w:val="24"/>
                <w:szCs w:val="24"/>
              </w:rPr>
              <w:t xml:space="preserve">  青年水库坝下200m水位流量关系</w:t>
            </w:r>
          </w:p>
          <w:p w14:paraId="15A176B6">
            <w:pPr>
              <w:pageBreakBefore w:val="0"/>
              <w:widowControl w:val="0"/>
              <w:kinsoku/>
              <w:wordWrap/>
              <w:overflowPunct/>
              <w:topLinePunct w:val="0"/>
              <w:autoSpaceDE/>
              <w:autoSpaceDN/>
              <w:bidi w:val="0"/>
              <w:adjustRightInd w:val="0"/>
              <w:snapToGrid w:val="0"/>
              <w:spacing w:line="360" w:lineRule="auto"/>
              <w:ind w:firstLine="480"/>
              <w:textAlignment w:val="auto"/>
              <w:rPr>
                <w:sz w:val="24"/>
                <w:szCs w:val="24"/>
              </w:rPr>
            </w:pPr>
            <w:r>
              <w:rPr>
                <w:sz w:val="24"/>
                <w:szCs w:val="24"/>
              </w:rPr>
              <w:t>青年水库为多年调节水库，水库库区形成后，库区水位明显增高，库内流速明显减缓，水域环境从急流河道型转为缓流型，库区滞洪能力明显增强。正常蓄水位126.8m，相应库容为2.19×10</w:t>
            </w:r>
            <w:r>
              <w:rPr>
                <w:sz w:val="24"/>
                <w:szCs w:val="24"/>
                <w:vertAlign w:val="superscript"/>
              </w:rPr>
              <w:t>8</w:t>
            </w:r>
            <w:r>
              <w:rPr>
                <w:sz w:val="24"/>
                <w:szCs w:val="24"/>
              </w:rPr>
              <w:t>m</w:t>
            </w:r>
            <w:r>
              <w:rPr>
                <w:sz w:val="24"/>
                <w:szCs w:val="24"/>
                <w:vertAlign w:val="superscript"/>
              </w:rPr>
              <w:t>3</w:t>
            </w:r>
            <w:r>
              <w:rPr>
                <w:sz w:val="24"/>
                <w:szCs w:val="24"/>
              </w:rPr>
              <w:t>；死水位为121.0mm，对应死库容为0.29×10</w:t>
            </w:r>
            <w:r>
              <w:rPr>
                <w:sz w:val="24"/>
                <w:szCs w:val="24"/>
                <w:vertAlign w:val="superscript"/>
              </w:rPr>
              <w:t>8</w:t>
            </w:r>
            <w:r>
              <w:rPr>
                <w:sz w:val="24"/>
                <w:szCs w:val="24"/>
              </w:rPr>
              <w:t>m</w:t>
            </w:r>
            <w:r>
              <w:rPr>
                <w:sz w:val="24"/>
                <w:szCs w:val="24"/>
                <w:vertAlign w:val="superscript"/>
              </w:rPr>
              <w:t>3</w:t>
            </w:r>
            <w:r>
              <w:rPr>
                <w:sz w:val="24"/>
                <w:szCs w:val="24"/>
              </w:rPr>
              <w:t>；水库调节库容1.90×10</w:t>
            </w:r>
            <w:r>
              <w:rPr>
                <w:sz w:val="24"/>
                <w:szCs w:val="24"/>
                <w:vertAlign w:val="superscript"/>
              </w:rPr>
              <w:t>8</w:t>
            </w:r>
            <w:r>
              <w:rPr>
                <w:sz w:val="24"/>
                <w:szCs w:val="24"/>
              </w:rPr>
              <w:t>m</w:t>
            </w:r>
            <w:r>
              <w:rPr>
                <w:sz w:val="24"/>
                <w:szCs w:val="24"/>
                <w:vertAlign w:val="superscript"/>
              </w:rPr>
              <w:t>3</w:t>
            </w:r>
            <w:r>
              <w:rPr>
                <w:sz w:val="24"/>
                <w:szCs w:val="24"/>
              </w:rPr>
              <w:t>。水库调度运行时，水位在正常蓄水位126.8m与死水位121.0m之间变化，水位变幅为5.8m，水库水位、库容均较天然状态产生相应变化。但这种变化仅限于坝址上游河段。根据近几年水库出库流量监测数据了解到，除了个别月份溢洪道下泄水量以外，其余时段仅有坝体渗漏的少量水进入到下游河道，青年水库坝下河道已经形成了减水段，河道两侧的河流植被逐步发生变化，部分区域已被当地农民开垦种植了水稻等农作物。</w:t>
            </w:r>
          </w:p>
          <w:p w14:paraId="3026D758">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2" w:firstLineChars="200"/>
              <w:textAlignment w:val="auto"/>
              <w:rPr>
                <w:rFonts w:hint="default" w:ascii="Times New Roman" w:hAnsi="Times New Roman" w:cs="Times New Roman"/>
                <w:b/>
                <w:bCs/>
                <w:color w:val="auto"/>
                <w:kern w:val="0"/>
                <w:sz w:val="24"/>
                <w:szCs w:val="24"/>
                <w:lang w:val="en-US" w:eastAsia="zh-CN"/>
              </w:rPr>
            </w:pPr>
            <w:r>
              <w:rPr>
                <w:rFonts w:hint="default" w:ascii="Times New Roman" w:hAnsi="Times New Roman" w:cs="Times New Roman"/>
                <w:b/>
                <w:bCs/>
                <w:color w:val="auto"/>
                <w:kern w:val="0"/>
                <w:sz w:val="24"/>
                <w:szCs w:val="24"/>
                <w:lang w:val="en-US" w:eastAsia="zh-CN"/>
              </w:rPr>
              <w:t>5.大气环境质量现状</w:t>
            </w:r>
          </w:p>
          <w:p w14:paraId="50D90319">
            <w:pPr>
              <w:spacing w:line="360" w:lineRule="auto"/>
              <w:ind w:firstLine="480" w:firstLineChars="200"/>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本项目位于黑龙江省</w:t>
            </w:r>
            <w:r>
              <w:rPr>
                <w:rFonts w:hint="default" w:ascii="Times New Roman" w:hAnsi="Times New Roman" w:cs="Times New Roman"/>
                <w:color w:val="000000" w:themeColor="text1"/>
                <w:kern w:val="0"/>
                <w:sz w:val="24"/>
                <w:szCs w:val="24"/>
                <w:lang w:eastAsia="zh-CN"/>
                <w14:textFill>
                  <w14:solidFill>
                    <w14:schemeClr w14:val="tx1"/>
                  </w14:solidFill>
                </w14:textFill>
              </w:rPr>
              <w:t>鸡西市密山市，根据</w:t>
            </w:r>
            <w:r>
              <w:rPr>
                <w:rFonts w:hint="default" w:ascii="Times New Roman" w:hAnsi="Times New Roman" w:cs="Times New Roman"/>
                <w:color w:val="000000" w:themeColor="text1"/>
                <w:kern w:val="0"/>
                <w:sz w:val="24"/>
                <w:szCs w:val="24"/>
                <w14:textFill>
                  <w14:solidFill>
                    <w14:schemeClr w14:val="tx1"/>
                  </w14:solidFill>
                </w14:textFill>
              </w:rPr>
              <w:t>《202</w:t>
            </w:r>
            <w:r>
              <w:rPr>
                <w:rFonts w:hint="default" w:ascii="Times New Roman" w:hAnsi="Times New Roman" w:cs="Times New Roman"/>
                <w:color w:val="000000" w:themeColor="text1"/>
                <w:kern w:val="0"/>
                <w:sz w:val="24"/>
                <w:szCs w:val="24"/>
                <w:lang w:val="en-US" w:eastAsia="zh-CN"/>
                <w14:textFill>
                  <w14:solidFill>
                    <w14:schemeClr w14:val="tx1"/>
                  </w14:solidFill>
                </w14:textFill>
              </w:rPr>
              <w:t>4</w:t>
            </w:r>
            <w:r>
              <w:rPr>
                <w:rFonts w:hint="default" w:ascii="Times New Roman" w:hAnsi="Times New Roman" w:cs="Times New Roman"/>
                <w:color w:val="000000" w:themeColor="text1"/>
                <w:kern w:val="0"/>
                <w:sz w:val="24"/>
                <w:szCs w:val="24"/>
                <w14:textFill>
                  <w14:solidFill>
                    <w14:schemeClr w14:val="tx1"/>
                  </w14:solidFill>
                </w14:textFill>
              </w:rPr>
              <w:t>年黑龙江省生态环境质量状况》</w:t>
            </w:r>
            <w:r>
              <w:rPr>
                <w:rFonts w:hint="default" w:ascii="Times New Roman" w:hAnsi="Times New Roman" w:cs="Times New Roman"/>
                <w:color w:val="000000" w:themeColor="text1"/>
                <w:kern w:val="0"/>
                <w:sz w:val="24"/>
                <w:szCs w:val="24"/>
                <w:lang w:eastAsia="zh-CN"/>
                <w14:textFill>
                  <w14:solidFill>
                    <w14:schemeClr w14:val="tx1"/>
                  </w14:solidFill>
                </w14:textFill>
              </w:rPr>
              <w:t>，</w:t>
            </w:r>
            <w:r>
              <w:rPr>
                <w:rFonts w:hint="default" w:ascii="Times New Roman" w:hAnsi="Times New Roman" w:cs="Times New Roman"/>
                <w:color w:val="000000" w:themeColor="text1"/>
                <w:kern w:val="0"/>
                <w:sz w:val="24"/>
                <w:szCs w:val="24"/>
                <w:lang w:val="en-US" w:eastAsia="zh-CN"/>
                <w14:textFill>
                  <w14:solidFill>
                    <w14:schemeClr w14:val="tx1"/>
                  </w14:solidFill>
                </w14:textFill>
              </w:rPr>
              <w:t>2024年</w:t>
            </w:r>
            <w:r>
              <w:rPr>
                <w:rFonts w:hint="default" w:ascii="Times New Roman" w:hAnsi="Times New Roman" w:cs="Times New Roman"/>
                <w:color w:val="000000" w:themeColor="text1"/>
                <w:kern w:val="0"/>
                <w:sz w:val="24"/>
                <w:szCs w:val="24"/>
                <w:lang w:eastAsia="zh-CN"/>
                <w14:textFill>
                  <w14:solidFill>
                    <w14:schemeClr w14:val="tx1"/>
                  </w14:solidFill>
                </w14:textFill>
              </w:rPr>
              <w:t>鸡西市</w:t>
            </w:r>
            <w:r>
              <w:rPr>
                <w:rFonts w:hint="default" w:ascii="Times New Roman" w:hAnsi="Times New Roman" w:cs="Times New Roman"/>
                <w:color w:val="000000" w:themeColor="text1"/>
                <w:kern w:val="0"/>
                <w:sz w:val="24"/>
                <w:szCs w:val="24"/>
                <w14:textFill>
                  <w14:solidFill>
                    <w14:schemeClr w14:val="tx1"/>
                  </w14:solidFill>
                </w14:textFill>
              </w:rPr>
              <w:t>环境空气基本污染物PM</w:t>
            </w:r>
            <w:r>
              <w:rPr>
                <w:rFonts w:hint="default" w:ascii="Times New Roman" w:hAnsi="Times New Roman" w:cs="Times New Roman"/>
                <w:color w:val="000000" w:themeColor="text1"/>
                <w:kern w:val="0"/>
                <w:sz w:val="24"/>
                <w:szCs w:val="24"/>
                <w:vertAlign w:val="subscript"/>
                <w14:textFill>
                  <w14:solidFill>
                    <w14:schemeClr w14:val="tx1"/>
                  </w14:solidFill>
                </w14:textFill>
              </w:rPr>
              <w:t>10</w:t>
            </w:r>
            <w:r>
              <w:rPr>
                <w:rFonts w:hint="default" w:ascii="Times New Roman" w:hAnsi="Times New Roman" w:cs="Times New Roman"/>
                <w:color w:val="000000" w:themeColor="text1"/>
                <w:kern w:val="0"/>
                <w:sz w:val="24"/>
                <w:szCs w:val="24"/>
                <w14:textFill>
                  <w14:solidFill>
                    <w14:schemeClr w14:val="tx1"/>
                  </w14:solidFill>
                </w14:textFill>
              </w:rPr>
              <w:t>、PM</w:t>
            </w:r>
            <w:r>
              <w:rPr>
                <w:rFonts w:hint="default" w:ascii="Times New Roman" w:hAnsi="Times New Roman" w:cs="Times New Roman"/>
                <w:color w:val="000000" w:themeColor="text1"/>
                <w:kern w:val="0"/>
                <w:sz w:val="24"/>
                <w:szCs w:val="24"/>
                <w:vertAlign w:val="subscript"/>
                <w14:textFill>
                  <w14:solidFill>
                    <w14:schemeClr w14:val="tx1"/>
                  </w14:solidFill>
                </w14:textFill>
              </w:rPr>
              <w:t>2.5</w:t>
            </w:r>
            <w:r>
              <w:rPr>
                <w:rFonts w:hint="default" w:ascii="Times New Roman" w:hAnsi="Times New Roman" w:cs="Times New Roman"/>
                <w:color w:val="000000" w:themeColor="text1"/>
                <w:kern w:val="0"/>
                <w:sz w:val="24"/>
                <w:szCs w:val="24"/>
                <w14:textFill>
                  <w14:solidFill>
                    <w14:schemeClr w14:val="tx1"/>
                  </w14:solidFill>
                </w14:textFill>
              </w:rPr>
              <w:t>、SO</w:t>
            </w:r>
            <w:r>
              <w:rPr>
                <w:rFonts w:hint="default" w:ascii="Times New Roman" w:hAnsi="Times New Roman" w:cs="Times New Roman"/>
                <w:color w:val="000000" w:themeColor="text1"/>
                <w:kern w:val="0"/>
                <w:sz w:val="24"/>
                <w:szCs w:val="24"/>
                <w:vertAlign w:val="subscript"/>
                <w14:textFill>
                  <w14:solidFill>
                    <w14:schemeClr w14:val="tx1"/>
                  </w14:solidFill>
                </w14:textFill>
              </w:rPr>
              <w:t>2</w:t>
            </w:r>
            <w:r>
              <w:rPr>
                <w:rFonts w:hint="default" w:ascii="Times New Roman" w:hAnsi="Times New Roman" w:cs="Times New Roman"/>
                <w:color w:val="000000" w:themeColor="text1"/>
                <w:kern w:val="0"/>
                <w:sz w:val="24"/>
                <w:szCs w:val="24"/>
                <w14:textFill>
                  <w14:solidFill>
                    <w14:schemeClr w14:val="tx1"/>
                  </w14:solidFill>
                </w14:textFill>
              </w:rPr>
              <w:t>、NO</w:t>
            </w:r>
            <w:r>
              <w:rPr>
                <w:rFonts w:hint="default" w:ascii="Times New Roman" w:hAnsi="Times New Roman" w:cs="Times New Roman"/>
                <w:color w:val="000000" w:themeColor="text1"/>
                <w:kern w:val="0"/>
                <w:sz w:val="24"/>
                <w:szCs w:val="24"/>
                <w:vertAlign w:val="subscript"/>
                <w14:textFill>
                  <w14:solidFill>
                    <w14:schemeClr w14:val="tx1"/>
                  </w14:solidFill>
                </w14:textFill>
              </w:rPr>
              <w:t>2</w:t>
            </w:r>
            <w:r>
              <w:rPr>
                <w:rFonts w:hint="default" w:ascii="Times New Roman" w:hAnsi="Times New Roman" w:cs="Times New Roman"/>
                <w:color w:val="000000" w:themeColor="text1"/>
                <w:kern w:val="0"/>
                <w:sz w:val="24"/>
                <w:szCs w:val="24"/>
                <w14:textFill>
                  <w14:solidFill>
                    <w14:schemeClr w14:val="tx1"/>
                  </w14:solidFill>
                </w14:textFill>
              </w:rPr>
              <w:t>、CO和O</w:t>
            </w:r>
            <w:r>
              <w:rPr>
                <w:rFonts w:hint="default" w:ascii="Times New Roman" w:hAnsi="Times New Roman" w:cs="Times New Roman"/>
                <w:color w:val="000000" w:themeColor="text1"/>
                <w:kern w:val="0"/>
                <w:sz w:val="24"/>
                <w:szCs w:val="24"/>
                <w:vertAlign w:val="subscript"/>
                <w14:textFill>
                  <w14:solidFill>
                    <w14:schemeClr w14:val="tx1"/>
                  </w14:solidFill>
                </w14:textFill>
              </w:rPr>
              <w:t>3</w:t>
            </w:r>
            <w:r>
              <w:rPr>
                <w:rFonts w:hint="default" w:ascii="Times New Roman" w:hAnsi="Times New Roman" w:cs="Times New Roman"/>
                <w:color w:val="000000" w:themeColor="text1"/>
                <w:kern w:val="0"/>
                <w:sz w:val="24"/>
                <w:szCs w:val="24"/>
                <w14:textFill>
                  <w14:solidFill>
                    <w14:schemeClr w14:val="tx1"/>
                  </w14:solidFill>
                </w14:textFill>
              </w:rPr>
              <w:t>的环境空气质量及区域达标情况判定见表</w:t>
            </w:r>
            <w:r>
              <w:rPr>
                <w:rFonts w:hint="eastAsia" w:cs="Times New Roman"/>
                <w:color w:val="000000" w:themeColor="text1"/>
                <w:kern w:val="0"/>
                <w:sz w:val="24"/>
                <w:szCs w:val="24"/>
                <w:lang w:val="en-US" w:eastAsia="zh-CN"/>
                <w14:textFill>
                  <w14:solidFill>
                    <w14:schemeClr w14:val="tx1"/>
                  </w14:solidFill>
                </w14:textFill>
              </w:rPr>
              <w:t>3-2</w:t>
            </w:r>
            <w:r>
              <w:rPr>
                <w:rFonts w:hint="default" w:ascii="Times New Roman" w:hAnsi="Times New Roman" w:cs="Times New Roman"/>
                <w:color w:val="000000" w:themeColor="text1"/>
                <w:kern w:val="0"/>
                <w:sz w:val="24"/>
                <w:szCs w:val="24"/>
                <w14:textFill>
                  <w14:solidFill>
                    <w14:schemeClr w14:val="tx1"/>
                  </w14:solidFill>
                </w14:textFill>
              </w:rPr>
              <w:t>。</w:t>
            </w:r>
          </w:p>
          <w:p w14:paraId="5E190628">
            <w:pPr>
              <w:keepNext/>
              <w:adjustRightInd w:val="0"/>
              <w:snapToGrid w:val="0"/>
              <w:spacing w:line="360" w:lineRule="auto"/>
              <w:ind w:left="15" w:leftChars="-55" w:hanging="130" w:hangingChars="54"/>
              <w:jc w:val="center"/>
              <w:rPr>
                <w:rFonts w:hint="default" w:ascii="Times New Roman" w:hAnsi="Times New Roman" w:cs="Times New Roman"/>
                <w:b/>
                <w:color w:val="auto"/>
                <w:sz w:val="24"/>
                <w:szCs w:val="24"/>
              </w:rPr>
            </w:pPr>
            <w:r>
              <w:rPr>
                <w:rFonts w:hint="default" w:ascii="Times New Roman" w:hAnsi="Times New Roman" w:cs="Times New Roman"/>
                <w:b/>
                <w:color w:val="auto"/>
                <w:sz w:val="24"/>
                <w:szCs w:val="24"/>
              </w:rPr>
              <w:t>表</w:t>
            </w:r>
            <w:r>
              <w:rPr>
                <w:rFonts w:hint="eastAsia" w:cs="Times New Roman"/>
                <w:b/>
                <w:color w:val="auto"/>
                <w:sz w:val="24"/>
                <w:szCs w:val="24"/>
                <w:lang w:val="en-US" w:eastAsia="zh-CN"/>
              </w:rPr>
              <w:t xml:space="preserve">3-2   </w:t>
            </w:r>
            <w:r>
              <w:rPr>
                <w:rFonts w:hint="default" w:ascii="Times New Roman" w:hAnsi="Times New Roman" w:cs="Times New Roman"/>
                <w:b/>
                <w:color w:val="auto"/>
                <w:sz w:val="24"/>
                <w:szCs w:val="24"/>
              </w:rPr>
              <w:t>区域空气质量现状评价表单位：</w:t>
            </w:r>
            <w:r>
              <w:rPr>
                <w:rFonts w:hint="default" w:ascii="Times New Roman" w:hAnsi="Times New Roman" w:cs="Times New Roman"/>
                <w:color w:val="auto"/>
                <w:sz w:val="24"/>
                <w:szCs w:val="24"/>
              </w:rPr>
              <w:t>（μg/m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rPr>
              <w:t>）</w:t>
            </w:r>
          </w:p>
          <w:tbl>
            <w:tblPr>
              <w:tblStyle w:val="24"/>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0"/>
              <w:gridCol w:w="2192"/>
              <w:gridCol w:w="1225"/>
              <w:gridCol w:w="980"/>
              <w:gridCol w:w="1714"/>
              <w:gridCol w:w="1226"/>
            </w:tblGrid>
            <w:tr w14:paraId="368975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89" w:type="pct"/>
                  <w:vAlign w:val="center"/>
                </w:tcPr>
                <w:p w14:paraId="69F18A11">
                  <w:pPr>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污染物</w:t>
                  </w:r>
                </w:p>
              </w:tc>
              <w:tc>
                <w:tcPr>
                  <w:tcW w:w="1317" w:type="pct"/>
                  <w:vAlign w:val="center"/>
                </w:tcPr>
                <w:p w14:paraId="5B288A10">
                  <w:pPr>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评价指标</w:t>
                  </w:r>
                </w:p>
              </w:tc>
              <w:tc>
                <w:tcPr>
                  <w:tcW w:w="736" w:type="pct"/>
                  <w:vAlign w:val="center"/>
                </w:tcPr>
                <w:p w14:paraId="56662AD1">
                  <w:pPr>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现状浓度</w:t>
                  </w:r>
                </w:p>
              </w:tc>
              <w:tc>
                <w:tcPr>
                  <w:tcW w:w="589" w:type="pct"/>
                  <w:vAlign w:val="center"/>
                </w:tcPr>
                <w:p w14:paraId="51025B40">
                  <w:pPr>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标准值</w:t>
                  </w:r>
                </w:p>
              </w:tc>
              <w:tc>
                <w:tcPr>
                  <w:tcW w:w="1030" w:type="pct"/>
                  <w:vAlign w:val="center"/>
                </w:tcPr>
                <w:p w14:paraId="7C54BA3C">
                  <w:pPr>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占标率（%）</w:t>
                  </w:r>
                </w:p>
              </w:tc>
              <w:tc>
                <w:tcPr>
                  <w:tcW w:w="736" w:type="pct"/>
                  <w:vAlign w:val="center"/>
                </w:tcPr>
                <w:p w14:paraId="2A6DD68C">
                  <w:pPr>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达标情况</w:t>
                  </w:r>
                </w:p>
              </w:tc>
            </w:tr>
            <w:tr w14:paraId="6B6F4D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89" w:type="pct"/>
                  <w:vAlign w:val="center"/>
                </w:tcPr>
                <w:p w14:paraId="1BC2E12D">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PM</w:t>
                  </w:r>
                  <w:r>
                    <w:rPr>
                      <w:rFonts w:hint="default" w:ascii="Times New Roman" w:hAnsi="Times New Roman" w:cs="Times New Roman"/>
                      <w:color w:val="auto"/>
                      <w:sz w:val="21"/>
                      <w:szCs w:val="21"/>
                      <w:vertAlign w:val="subscript"/>
                    </w:rPr>
                    <w:t>2.5</w:t>
                  </w:r>
                </w:p>
              </w:tc>
              <w:tc>
                <w:tcPr>
                  <w:tcW w:w="1317" w:type="pct"/>
                  <w:vAlign w:val="center"/>
                </w:tcPr>
                <w:p w14:paraId="57D3BF72">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年平均浓度</w:t>
                  </w:r>
                </w:p>
              </w:tc>
              <w:tc>
                <w:tcPr>
                  <w:tcW w:w="736" w:type="pct"/>
                  <w:vAlign w:val="center"/>
                </w:tcPr>
                <w:p w14:paraId="20F43E7D">
                  <w:pPr>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27</w:t>
                  </w:r>
                </w:p>
              </w:tc>
              <w:tc>
                <w:tcPr>
                  <w:tcW w:w="589" w:type="pct"/>
                  <w:vAlign w:val="center"/>
                </w:tcPr>
                <w:p w14:paraId="776C0D03">
                  <w:pPr>
                    <w:jc w:val="center"/>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3</w:t>
                  </w:r>
                  <w:r>
                    <w:rPr>
                      <w:rFonts w:hint="eastAsia" w:cs="Times New Roman"/>
                      <w:color w:val="auto"/>
                      <w:sz w:val="21"/>
                      <w:szCs w:val="21"/>
                      <w:lang w:val="en-US" w:eastAsia="zh-CN"/>
                    </w:rPr>
                    <w:t>0</w:t>
                  </w:r>
                </w:p>
              </w:tc>
              <w:tc>
                <w:tcPr>
                  <w:tcW w:w="1030" w:type="pct"/>
                  <w:vAlign w:val="center"/>
                </w:tcPr>
                <w:p w14:paraId="0D021272">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90</w:t>
                  </w:r>
                </w:p>
              </w:tc>
              <w:tc>
                <w:tcPr>
                  <w:tcW w:w="736" w:type="pct"/>
                  <w:vAlign w:val="center"/>
                </w:tcPr>
                <w:p w14:paraId="320AD7D8">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r w14:paraId="368A8A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89" w:type="pct"/>
                  <w:vAlign w:val="center"/>
                </w:tcPr>
                <w:p w14:paraId="0C154A8E">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PM</w:t>
                  </w:r>
                  <w:r>
                    <w:rPr>
                      <w:rFonts w:hint="default" w:ascii="Times New Roman" w:hAnsi="Times New Roman" w:cs="Times New Roman"/>
                      <w:color w:val="auto"/>
                      <w:sz w:val="21"/>
                      <w:szCs w:val="21"/>
                      <w:vertAlign w:val="subscript"/>
                    </w:rPr>
                    <w:t>10</w:t>
                  </w:r>
                </w:p>
              </w:tc>
              <w:tc>
                <w:tcPr>
                  <w:tcW w:w="1317" w:type="pct"/>
                  <w:vAlign w:val="center"/>
                </w:tcPr>
                <w:p w14:paraId="04ECBB4E">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年平均浓度</w:t>
                  </w:r>
                </w:p>
              </w:tc>
              <w:tc>
                <w:tcPr>
                  <w:tcW w:w="736" w:type="pct"/>
                  <w:vAlign w:val="center"/>
                </w:tcPr>
                <w:p w14:paraId="46DEE6BC">
                  <w:pPr>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46</w:t>
                  </w:r>
                </w:p>
              </w:tc>
              <w:tc>
                <w:tcPr>
                  <w:tcW w:w="589" w:type="pct"/>
                  <w:vAlign w:val="center"/>
                </w:tcPr>
                <w:p w14:paraId="43972BD7">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60</w:t>
                  </w:r>
                </w:p>
              </w:tc>
              <w:tc>
                <w:tcPr>
                  <w:tcW w:w="1030" w:type="pct"/>
                  <w:vAlign w:val="center"/>
                </w:tcPr>
                <w:p w14:paraId="0A8AB3E5">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76.7</w:t>
                  </w:r>
                </w:p>
              </w:tc>
              <w:tc>
                <w:tcPr>
                  <w:tcW w:w="736" w:type="pct"/>
                  <w:vAlign w:val="center"/>
                </w:tcPr>
                <w:p w14:paraId="58B4657B">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r w14:paraId="3AD833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89" w:type="pct"/>
                  <w:shd w:val="clear" w:color="auto" w:fill="auto"/>
                  <w:vAlign w:val="center"/>
                </w:tcPr>
                <w:p w14:paraId="6AA47A56">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SO</w:t>
                  </w:r>
                  <w:r>
                    <w:rPr>
                      <w:rFonts w:hint="default" w:ascii="Times New Roman" w:hAnsi="Times New Roman" w:cs="Times New Roman"/>
                      <w:color w:val="auto"/>
                      <w:sz w:val="21"/>
                      <w:szCs w:val="21"/>
                      <w:vertAlign w:val="subscript"/>
                    </w:rPr>
                    <w:t>2</w:t>
                  </w:r>
                </w:p>
              </w:tc>
              <w:tc>
                <w:tcPr>
                  <w:tcW w:w="1317" w:type="pct"/>
                  <w:shd w:val="clear" w:color="auto" w:fill="auto"/>
                  <w:vAlign w:val="center"/>
                </w:tcPr>
                <w:p w14:paraId="3D7EEA18">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年平均浓度</w:t>
                  </w:r>
                </w:p>
              </w:tc>
              <w:tc>
                <w:tcPr>
                  <w:tcW w:w="736" w:type="pct"/>
                  <w:shd w:val="clear" w:color="auto" w:fill="auto"/>
                  <w:vAlign w:val="center"/>
                </w:tcPr>
                <w:p w14:paraId="1AEDFFAE">
                  <w:pP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8</w:t>
                  </w:r>
                </w:p>
              </w:tc>
              <w:tc>
                <w:tcPr>
                  <w:tcW w:w="589" w:type="pct"/>
                  <w:shd w:val="clear" w:color="auto" w:fill="auto"/>
                  <w:vAlign w:val="center"/>
                </w:tcPr>
                <w:p w14:paraId="402FA971">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60</w:t>
                  </w:r>
                </w:p>
              </w:tc>
              <w:tc>
                <w:tcPr>
                  <w:tcW w:w="1030" w:type="pct"/>
                  <w:shd w:val="clear" w:color="auto" w:fill="auto"/>
                  <w:vAlign w:val="center"/>
                </w:tcPr>
                <w:p w14:paraId="76471DD5">
                  <w:pP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13.33</w:t>
                  </w:r>
                </w:p>
              </w:tc>
              <w:tc>
                <w:tcPr>
                  <w:tcW w:w="736" w:type="pct"/>
                  <w:shd w:val="clear" w:color="auto" w:fill="auto"/>
                  <w:vAlign w:val="center"/>
                </w:tcPr>
                <w:p w14:paraId="55C42FDC">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达标</w:t>
                  </w:r>
                </w:p>
              </w:tc>
            </w:tr>
            <w:tr w14:paraId="2D36F2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89" w:type="pct"/>
                  <w:vAlign w:val="center"/>
                </w:tcPr>
                <w:p w14:paraId="0192B12C">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NO</w:t>
                  </w:r>
                  <w:r>
                    <w:rPr>
                      <w:rFonts w:hint="default" w:ascii="Times New Roman" w:hAnsi="Times New Roman" w:cs="Times New Roman"/>
                      <w:color w:val="auto"/>
                      <w:sz w:val="21"/>
                      <w:szCs w:val="21"/>
                      <w:vertAlign w:val="subscript"/>
                    </w:rPr>
                    <w:t>2</w:t>
                  </w:r>
                </w:p>
              </w:tc>
              <w:tc>
                <w:tcPr>
                  <w:tcW w:w="1317" w:type="pct"/>
                  <w:vAlign w:val="center"/>
                </w:tcPr>
                <w:p w14:paraId="7D861A6A">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年平均浓度</w:t>
                  </w:r>
                </w:p>
              </w:tc>
              <w:tc>
                <w:tcPr>
                  <w:tcW w:w="736" w:type="pct"/>
                  <w:vAlign w:val="center"/>
                </w:tcPr>
                <w:p w14:paraId="3A096786">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17</w:t>
                  </w:r>
                </w:p>
              </w:tc>
              <w:tc>
                <w:tcPr>
                  <w:tcW w:w="589" w:type="pct"/>
                  <w:vAlign w:val="center"/>
                </w:tcPr>
                <w:p w14:paraId="7691FCB5">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40</w:t>
                  </w:r>
                </w:p>
              </w:tc>
              <w:tc>
                <w:tcPr>
                  <w:tcW w:w="1030" w:type="pct"/>
                  <w:vAlign w:val="center"/>
                </w:tcPr>
                <w:p w14:paraId="1E06F873">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42.50</w:t>
                  </w:r>
                </w:p>
              </w:tc>
              <w:tc>
                <w:tcPr>
                  <w:tcW w:w="736" w:type="pct"/>
                  <w:vAlign w:val="center"/>
                </w:tcPr>
                <w:p w14:paraId="6A620AAF">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r w14:paraId="5AE961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89" w:type="pct"/>
                  <w:vAlign w:val="center"/>
                </w:tcPr>
                <w:p w14:paraId="638C97EF">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CO</w:t>
                  </w:r>
                </w:p>
              </w:tc>
              <w:tc>
                <w:tcPr>
                  <w:tcW w:w="2103" w:type="dxa"/>
                  <w:vAlign w:val="center"/>
                </w:tcPr>
                <w:p w14:paraId="7B840E8E">
                  <w:pPr>
                    <w:pStyle w:val="7"/>
                    <w:keepNext w:val="0"/>
                    <w:keepLines w:val="0"/>
                    <w:pageBreakBefore w:val="0"/>
                    <w:widowControl/>
                    <w:suppressLineNumbers w:val="0"/>
                    <w:shd w:val="clear" w:color="auto" w:fill="auto"/>
                    <w:tabs>
                      <w:tab w:val="left" w:pos="0"/>
                    </w:tabs>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highlight w:val="none"/>
                      <w:lang w:val="en-US" w:eastAsia="zh-CN"/>
                    </w:rPr>
                    <w:t>第95百分位数日平均质量浓度</w:t>
                  </w:r>
                </w:p>
              </w:tc>
              <w:tc>
                <w:tcPr>
                  <w:tcW w:w="736" w:type="pct"/>
                  <w:vAlign w:val="center"/>
                </w:tcPr>
                <w:p w14:paraId="6578CCA2">
                  <w:pPr>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1000</w:t>
                  </w:r>
                </w:p>
              </w:tc>
              <w:tc>
                <w:tcPr>
                  <w:tcW w:w="589" w:type="pct"/>
                  <w:vAlign w:val="center"/>
                </w:tcPr>
                <w:p w14:paraId="1F5BC83C">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4000</w:t>
                  </w:r>
                </w:p>
              </w:tc>
              <w:tc>
                <w:tcPr>
                  <w:tcW w:w="1030" w:type="pct"/>
                  <w:vAlign w:val="center"/>
                </w:tcPr>
                <w:p w14:paraId="6B867362">
                  <w:pPr>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25.00</w:t>
                  </w:r>
                </w:p>
              </w:tc>
              <w:tc>
                <w:tcPr>
                  <w:tcW w:w="736" w:type="pct"/>
                  <w:vAlign w:val="center"/>
                </w:tcPr>
                <w:p w14:paraId="2373136E">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r w14:paraId="129616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89" w:type="pct"/>
                  <w:vAlign w:val="center"/>
                </w:tcPr>
                <w:p w14:paraId="7004ACD8">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O</w:t>
                  </w:r>
                  <w:r>
                    <w:rPr>
                      <w:rFonts w:hint="default" w:ascii="Times New Roman" w:hAnsi="Times New Roman" w:cs="Times New Roman"/>
                      <w:color w:val="auto"/>
                      <w:sz w:val="21"/>
                      <w:szCs w:val="21"/>
                      <w:vertAlign w:val="subscript"/>
                    </w:rPr>
                    <w:t>3</w:t>
                  </w:r>
                </w:p>
              </w:tc>
              <w:tc>
                <w:tcPr>
                  <w:tcW w:w="2103" w:type="dxa"/>
                  <w:vAlign w:val="center"/>
                </w:tcPr>
                <w:p w14:paraId="62018F35">
                  <w:pPr>
                    <w:pStyle w:val="7"/>
                    <w:keepNext w:val="0"/>
                    <w:keepLines w:val="0"/>
                    <w:pageBreakBefore w:val="0"/>
                    <w:widowControl/>
                    <w:suppressLineNumbers w:val="0"/>
                    <w:shd w:val="clear" w:color="auto" w:fill="auto"/>
                    <w:tabs>
                      <w:tab w:val="left" w:pos="0"/>
                    </w:tabs>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highlight w:val="none"/>
                      <w:lang w:val="en-US" w:eastAsia="zh-CN"/>
                    </w:rPr>
                    <w:t>日最大8小时滑动平均值第90百分位数</w:t>
                  </w:r>
                </w:p>
              </w:tc>
              <w:tc>
                <w:tcPr>
                  <w:tcW w:w="736" w:type="pct"/>
                  <w:vAlign w:val="center"/>
                </w:tcPr>
                <w:p w14:paraId="3804AB76">
                  <w:pPr>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90</w:t>
                  </w:r>
                </w:p>
              </w:tc>
              <w:tc>
                <w:tcPr>
                  <w:tcW w:w="589" w:type="pct"/>
                  <w:vAlign w:val="center"/>
                </w:tcPr>
                <w:p w14:paraId="4B46DC28">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160</w:t>
                  </w:r>
                </w:p>
              </w:tc>
              <w:tc>
                <w:tcPr>
                  <w:tcW w:w="1030" w:type="pct"/>
                  <w:vAlign w:val="center"/>
                </w:tcPr>
                <w:p w14:paraId="19BE02DE">
                  <w:pPr>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56.25</w:t>
                  </w:r>
                </w:p>
              </w:tc>
              <w:tc>
                <w:tcPr>
                  <w:tcW w:w="736" w:type="pct"/>
                  <w:vAlign w:val="center"/>
                </w:tcPr>
                <w:p w14:paraId="6EFC0065">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bl>
          <w:p w14:paraId="6C657C13">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textAlignment w:val="auto"/>
              <w:rPr>
                <w:rFonts w:hint="default" w:ascii="Times New Roman" w:hAnsi="Times New Roman" w:cs="Times New Roman" w:eastAsiaTheme="minorEastAsia"/>
                <w:color w:val="auto"/>
                <w:sz w:val="24"/>
                <w:highlight w:val="none"/>
              </w:rPr>
            </w:pPr>
            <w:r>
              <w:rPr>
                <w:rFonts w:hint="default" w:ascii="Times New Roman" w:hAnsi="Times New Roman" w:cs="Times New Roman"/>
                <w:color w:val="auto"/>
                <w:kern w:val="0"/>
                <w:sz w:val="24"/>
                <w:szCs w:val="24"/>
              </w:rPr>
              <w:t>根据上表数据可知，202</w:t>
            </w:r>
            <w:r>
              <w:rPr>
                <w:rFonts w:hint="default" w:ascii="Times New Roman" w:hAnsi="Times New Roman" w:cs="Times New Roman"/>
                <w:color w:val="auto"/>
                <w:kern w:val="0"/>
                <w:sz w:val="24"/>
                <w:szCs w:val="24"/>
                <w:lang w:val="en-US" w:eastAsia="zh-CN"/>
              </w:rPr>
              <w:t>4</w:t>
            </w:r>
            <w:r>
              <w:rPr>
                <w:rFonts w:hint="default" w:ascii="Times New Roman" w:hAnsi="Times New Roman" w:cs="Times New Roman"/>
                <w:color w:val="auto"/>
                <w:kern w:val="0"/>
                <w:sz w:val="24"/>
                <w:szCs w:val="24"/>
              </w:rPr>
              <w:t>年</w:t>
            </w:r>
            <w:r>
              <w:rPr>
                <w:rFonts w:hint="default" w:ascii="Times New Roman" w:hAnsi="Times New Roman" w:cs="Times New Roman"/>
                <w:color w:val="auto"/>
                <w:kern w:val="0"/>
                <w:sz w:val="24"/>
                <w:szCs w:val="24"/>
                <w:lang w:eastAsia="zh-CN"/>
              </w:rPr>
              <w:t>鸡西</w:t>
            </w:r>
            <w:r>
              <w:rPr>
                <w:rFonts w:hint="default" w:ascii="Times New Roman" w:hAnsi="Times New Roman" w:cs="Times New Roman"/>
                <w:color w:val="auto"/>
                <w:kern w:val="0"/>
                <w:sz w:val="24"/>
                <w:szCs w:val="24"/>
              </w:rPr>
              <w:t>市区域空气质量满足《环境空气质量标准》（GB3095-</w:t>
            </w:r>
            <w:r>
              <w:rPr>
                <w:rFonts w:hint="eastAsia" w:cs="Times New Roman"/>
                <w:color w:val="auto"/>
                <w:kern w:val="0"/>
                <w:sz w:val="24"/>
                <w:szCs w:val="24"/>
                <w:lang w:val="en-US" w:eastAsia="zh-CN"/>
              </w:rPr>
              <w:t>2026</w:t>
            </w:r>
            <w:r>
              <w:rPr>
                <w:rFonts w:hint="default" w:ascii="Times New Roman" w:hAnsi="Times New Roman" w:cs="Times New Roman"/>
                <w:color w:val="auto"/>
                <w:kern w:val="0"/>
                <w:sz w:val="24"/>
                <w:szCs w:val="24"/>
              </w:rPr>
              <w:t>）的二级标准限值要求，</w:t>
            </w:r>
            <w:r>
              <w:rPr>
                <w:rFonts w:hint="default" w:ascii="Times New Roman" w:hAnsi="Times New Roman" w:cs="Times New Roman"/>
                <w:color w:val="auto"/>
                <w:kern w:val="0"/>
                <w:sz w:val="24"/>
                <w:szCs w:val="24"/>
                <w:lang w:eastAsia="zh-CN"/>
              </w:rPr>
              <w:t>鸡西</w:t>
            </w:r>
            <w:r>
              <w:rPr>
                <w:rFonts w:hint="default" w:ascii="Times New Roman" w:hAnsi="Times New Roman" w:cs="Times New Roman"/>
                <w:color w:val="auto"/>
                <w:kern w:val="0"/>
                <w:sz w:val="24"/>
                <w:szCs w:val="24"/>
              </w:rPr>
              <w:t>市属于环境空气质量达标区，空气环境质量良好。</w:t>
            </w:r>
          </w:p>
          <w:p w14:paraId="50EBCC8B">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bCs/>
                <w:color w:val="auto"/>
                <w:kern w:val="0"/>
                <w:sz w:val="24"/>
                <w:szCs w:val="24"/>
                <w:lang w:val="en-US" w:eastAsia="zh-CN"/>
              </w:rPr>
            </w:pPr>
            <w:r>
              <w:rPr>
                <w:rFonts w:hint="default" w:ascii="Times New Roman" w:hAnsi="Times New Roman" w:cs="Times New Roman"/>
                <w:b/>
                <w:bCs/>
                <w:color w:val="auto"/>
                <w:kern w:val="0"/>
                <w:sz w:val="24"/>
                <w:szCs w:val="24"/>
                <w:lang w:val="en-US" w:eastAsia="zh-CN"/>
              </w:rPr>
              <w:t>6.声环境质量现状</w:t>
            </w:r>
          </w:p>
          <w:p w14:paraId="2D5383F6">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根据现场踏勘，本项目发电厂房、</w:t>
            </w:r>
            <w:r>
              <w:rPr>
                <w:rFonts w:hint="default" w:ascii="Times New Roman" w:hAnsi="Times New Roman" w:cs="Times New Roman"/>
                <w:color w:val="auto"/>
                <w:sz w:val="24"/>
                <w:szCs w:val="24"/>
                <w:highlight w:val="none"/>
                <w:lang w:val="en-US" w:eastAsia="zh-CN"/>
              </w:rPr>
              <w:t>拦河坝</w:t>
            </w:r>
            <w:r>
              <w:rPr>
                <w:rFonts w:hint="default" w:ascii="Times New Roman" w:hAnsi="Times New Roman" w:eastAsia="宋体" w:cs="Times New Roman"/>
                <w:color w:val="auto"/>
                <w:sz w:val="24"/>
                <w:szCs w:val="24"/>
                <w:highlight w:val="none"/>
                <w:lang w:val="en-US" w:eastAsia="zh-CN"/>
              </w:rPr>
              <w:t>处50m范围内均无声环境保护目标，</w:t>
            </w:r>
            <w:r>
              <w:rPr>
                <w:rFonts w:hint="eastAsia" w:cs="Times New Roman"/>
                <w:color w:val="auto"/>
                <w:sz w:val="24"/>
                <w:szCs w:val="24"/>
                <w:highlight w:val="none"/>
                <w:lang w:val="en-US" w:eastAsia="zh-CN"/>
              </w:rPr>
              <w:t>并且水电站冬季已停机（水电站2022年至今停机状态），</w:t>
            </w:r>
            <w:r>
              <w:rPr>
                <w:rFonts w:hint="default" w:ascii="Times New Roman" w:hAnsi="Times New Roman" w:eastAsia="宋体" w:cs="Times New Roman"/>
                <w:color w:val="auto"/>
                <w:sz w:val="24"/>
                <w:szCs w:val="24"/>
                <w:highlight w:val="none"/>
                <w:lang w:val="en-US" w:eastAsia="zh-CN"/>
              </w:rPr>
              <w:t>因此不开展区域声环境质量现状调查。</w:t>
            </w:r>
          </w:p>
          <w:p w14:paraId="49A31724">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bCs/>
                <w:color w:val="auto"/>
                <w:kern w:val="0"/>
                <w:sz w:val="24"/>
                <w:szCs w:val="24"/>
                <w:lang w:val="en-US" w:eastAsia="zh-CN"/>
              </w:rPr>
            </w:pPr>
            <w:r>
              <w:rPr>
                <w:rFonts w:hint="default" w:ascii="Times New Roman" w:hAnsi="Times New Roman" w:cs="Times New Roman"/>
                <w:b/>
                <w:bCs/>
                <w:color w:val="auto"/>
                <w:kern w:val="0"/>
                <w:sz w:val="24"/>
                <w:szCs w:val="24"/>
                <w:lang w:val="en-US" w:eastAsia="zh-CN"/>
              </w:rPr>
              <w:t>7.土壤、地下水环境质量现状</w:t>
            </w:r>
            <w:r>
              <w:rPr>
                <w:rFonts w:hint="default" w:ascii="Times New Roman" w:hAnsi="Times New Roman" w:cs="Times New Roman"/>
                <w:b/>
                <w:bCs/>
                <w:color w:val="auto"/>
                <w:kern w:val="0"/>
                <w:sz w:val="24"/>
                <w:szCs w:val="24"/>
                <w:lang w:val="en-US" w:eastAsia="zh-CN"/>
              </w:rPr>
              <w:tab/>
            </w:r>
          </w:p>
          <w:p w14:paraId="595E3E01">
            <w:pPr>
              <w:spacing w:line="360" w:lineRule="auto"/>
              <w:ind w:firstLine="480" w:firstLineChars="200"/>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 w:val="24"/>
                <w:szCs w:val="24"/>
                <w:highlight w:val="none"/>
                <w:lang w:val="en-US" w:eastAsia="zh-CN"/>
              </w:rPr>
              <w:t>项目不涉及重金属及持久性污染物排放，项目运营期落实相应的污染防治措施后，生产过程不涉及地下水、土壤污染途径，因此不</w:t>
            </w:r>
            <w:r>
              <w:rPr>
                <w:rFonts w:hint="default" w:ascii="Times New Roman" w:hAnsi="Times New Roman" w:cs="Times New Roman"/>
                <w:color w:val="auto"/>
                <w:sz w:val="24"/>
                <w:szCs w:val="24"/>
                <w:highlight w:val="none"/>
                <w:lang w:val="en-US" w:eastAsia="zh-CN"/>
              </w:rPr>
              <w:t>开展</w:t>
            </w:r>
            <w:r>
              <w:rPr>
                <w:rFonts w:hint="default" w:ascii="Times New Roman" w:hAnsi="Times New Roman" w:eastAsia="宋体" w:cs="Times New Roman"/>
                <w:color w:val="auto"/>
                <w:sz w:val="24"/>
                <w:szCs w:val="24"/>
                <w:highlight w:val="none"/>
                <w:lang w:val="en-US" w:eastAsia="zh-CN"/>
              </w:rPr>
              <w:t>对项目所在地土壤及地下水环境质量现状调查。</w:t>
            </w:r>
          </w:p>
        </w:tc>
      </w:tr>
      <w:tr w14:paraId="7869AE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3" w:hRule="atLeast"/>
          <w:jc w:val="center"/>
        </w:trPr>
        <w:tc>
          <w:tcPr>
            <w:tcW w:w="895" w:type="dxa"/>
            <w:vAlign w:val="center"/>
          </w:tcPr>
          <w:p w14:paraId="18494EC9">
            <w:pPr>
              <w:adjustRightInd w:val="0"/>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bCs/>
                <w:color w:val="auto"/>
                <w:sz w:val="24"/>
                <w:szCs w:val="24"/>
                <w:highlight w:val="none"/>
              </w:rPr>
              <w:t>与项目有关的原有环境污染和生态破坏</w:t>
            </w:r>
            <w:r>
              <w:rPr>
                <w:rFonts w:hint="default" w:ascii="Times New Roman" w:hAnsi="Times New Roman" w:cs="Times New Roman" w:eastAsiaTheme="minorEastAsia"/>
                <w:bCs/>
                <w:color w:val="auto"/>
                <w:szCs w:val="21"/>
                <w:highlight w:val="none"/>
              </w:rPr>
              <w:t>问题</w:t>
            </w:r>
          </w:p>
        </w:tc>
        <w:tc>
          <w:tcPr>
            <w:tcW w:w="8262" w:type="dxa"/>
            <w:vAlign w:val="center"/>
          </w:tcPr>
          <w:p w14:paraId="49BEFE60">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eastAsia" w:cs="Times New Roman"/>
                <w:b/>
                <w:bCs/>
                <w:color w:val="auto"/>
                <w:sz w:val="24"/>
                <w:szCs w:val="24"/>
                <w:lang w:val="en-US" w:eastAsia="zh-CN"/>
              </w:rPr>
            </w:pPr>
            <w:r>
              <w:rPr>
                <w:rFonts w:hint="eastAsia" w:cs="Times New Roman"/>
                <w:b/>
                <w:bCs/>
                <w:color w:val="auto"/>
                <w:sz w:val="24"/>
                <w:szCs w:val="24"/>
                <w:lang w:val="en-US" w:eastAsia="zh-CN"/>
              </w:rPr>
              <w:t>1.环评手续</w:t>
            </w:r>
          </w:p>
          <w:p w14:paraId="5D48C5CC">
            <w:pPr>
              <w:pStyle w:val="77"/>
              <w:ind w:firstLine="480"/>
              <w:rPr>
                <w:sz w:val="24"/>
                <w:szCs w:val="24"/>
              </w:rPr>
            </w:pPr>
            <w:r>
              <w:rPr>
                <w:rFonts w:hint="eastAsia" w:cs="Times New Roman"/>
                <w:color w:val="auto"/>
                <w:sz w:val="24"/>
                <w:szCs w:val="24"/>
                <w:highlight w:val="none"/>
                <w:lang w:val="en-US" w:eastAsia="zh-CN"/>
              </w:rPr>
              <w:t>青年水库</w:t>
            </w:r>
            <w:r>
              <w:rPr>
                <w:rFonts w:hint="eastAsia" w:ascii="Times New Roman" w:hAnsi="Times New Roman" w:eastAsia="宋体" w:cs="Times New Roman"/>
                <w:color w:val="auto"/>
                <w:sz w:val="24"/>
                <w:szCs w:val="24"/>
                <w:highlight w:val="none"/>
                <w:lang w:val="en-US" w:eastAsia="zh-CN"/>
              </w:rPr>
              <w:t>及电站</w:t>
            </w:r>
            <w:r>
              <w:rPr>
                <w:rFonts w:hint="default" w:ascii="Times New Roman" w:hAnsi="Times New Roman" w:cs="Times New Roman"/>
                <w:color w:val="auto"/>
                <w:sz w:val="24"/>
                <w:szCs w:val="24"/>
                <w:highlight w:val="none"/>
                <w:lang w:val="en-US" w:eastAsia="zh-CN"/>
              </w:rPr>
              <w:t>始建于1958年</w:t>
            </w:r>
            <w:r>
              <w:rPr>
                <w:rFonts w:hint="eastAsia" w:ascii="Times New Roman" w:hAnsi="Times New Roman" w:cs="Times New Roman"/>
                <w:color w:val="auto"/>
                <w:sz w:val="24"/>
                <w:szCs w:val="24"/>
                <w:highlight w:val="none"/>
                <w:lang w:val="en-US" w:eastAsia="zh-CN"/>
              </w:rPr>
              <w:t>，</w:t>
            </w:r>
            <w:r>
              <w:rPr>
                <w:rFonts w:eastAsiaTheme="minorEastAsia"/>
                <w:sz w:val="24"/>
                <w:szCs w:val="24"/>
              </w:rPr>
              <w:t>1972年12月1日经水电部（72）水电字第80号文件批准初步设计。续建工程于1973年6月11日开工，黑龙江省水利勘测设计院承担了设计任务。密山县青年水库建设指挥部、黑龙江省水利第四工程处、原东北农垦总局等单位共同参加建设。1977年10月1日竣工，1978年11月黑龙江省建委组织有关单位进行了验收工作。</w:t>
            </w:r>
            <w:r>
              <w:rPr>
                <w:rFonts w:hint="eastAsia" w:cs="Times New Roman"/>
                <w:color w:val="auto"/>
                <w:sz w:val="24"/>
                <w:szCs w:val="24"/>
                <w:highlight w:val="none"/>
                <w:lang w:eastAsia="zh-CN"/>
              </w:rPr>
              <w:t>青年水库</w:t>
            </w:r>
            <w:r>
              <w:rPr>
                <w:rFonts w:hint="eastAsia" w:ascii="Times New Roman" w:hAnsi="Times New Roman" w:cs="Times New Roman"/>
                <w:color w:val="auto"/>
                <w:sz w:val="24"/>
                <w:szCs w:val="24"/>
                <w:highlight w:val="none"/>
                <w:lang w:val="en-US" w:eastAsia="zh-CN"/>
              </w:rPr>
              <w:t>第一次除险加固工程</w:t>
            </w:r>
            <w:r>
              <w:rPr>
                <w:rFonts w:hint="default" w:ascii="Times New Roman" w:hAnsi="Times New Roman" w:cs="Times New Roman"/>
                <w:color w:val="auto"/>
                <w:sz w:val="24"/>
                <w:szCs w:val="24"/>
                <w:highlight w:val="none"/>
                <w:lang w:val="en-US" w:eastAsia="zh-CN"/>
              </w:rPr>
              <w:t>于</w:t>
            </w:r>
            <w:r>
              <w:rPr>
                <w:rFonts w:hint="default" w:ascii="Times New Roman" w:hAnsi="Times New Roman" w:cs="Times New Roman"/>
                <w:color w:val="auto"/>
                <w:sz w:val="24"/>
                <w:szCs w:val="24"/>
                <w:highlight w:val="none"/>
              </w:rPr>
              <w:t>2002年</w:t>
            </w:r>
            <w:r>
              <w:rPr>
                <w:rFonts w:hint="eastAsia" w:ascii="Times New Roman" w:hAnsi="Times New Roman" w:cs="Times New Roman"/>
                <w:color w:val="auto"/>
                <w:sz w:val="24"/>
                <w:szCs w:val="24"/>
                <w:highlight w:val="none"/>
                <w:lang w:val="en-US" w:eastAsia="zh-CN"/>
              </w:rPr>
              <w:t>开工，</w:t>
            </w:r>
            <w:r>
              <w:rPr>
                <w:rFonts w:hint="eastAsia" w:ascii="Times New Roman" w:hAnsi="Times New Roman" w:eastAsia="宋体" w:cs="Times New Roman"/>
                <w:color w:val="auto"/>
                <w:sz w:val="24"/>
                <w:szCs w:val="24"/>
                <w:highlight w:val="none"/>
                <w:lang w:val="en-US" w:eastAsia="zh-CN"/>
              </w:rPr>
              <w:t>建设时间均早于环境保护法实施时间</w:t>
            </w:r>
            <w:r>
              <w:rPr>
                <w:rFonts w:hint="eastAsia" w:cs="Times New Roman"/>
                <w:color w:val="auto"/>
                <w:sz w:val="24"/>
                <w:szCs w:val="24"/>
                <w:highlight w:val="none"/>
                <w:lang w:val="en-US" w:eastAsia="zh-CN"/>
              </w:rPr>
              <w:t>。</w:t>
            </w:r>
          </w:p>
          <w:p w14:paraId="650E675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bCs/>
                <w:color w:val="auto"/>
                <w:sz w:val="24"/>
                <w:szCs w:val="24"/>
                <w:highlight w:val="none"/>
                <w:lang w:val="en-US" w:eastAsia="zh-CN"/>
              </w:rPr>
            </w:pPr>
            <w:r>
              <w:rPr>
                <w:rFonts w:hint="default" w:ascii="Times New Roman" w:hAnsi="Times New Roman" w:cs="Times New Roman"/>
                <w:color w:val="auto"/>
                <w:sz w:val="24"/>
                <w:szCs w:val="24"/>
                <w:highlight w:val="none"/>
              </w:rPr>
              <w:t>2012年9月10日，黑龙江省水利厅以（黑水发[2012]613号）《黑龙江省水利厅关于密山市青年水库电站增效扩容改造工程项目初步设计报告的批复》对《密山市青年水库电站增效扩容改造工程项目初步设计报告》进行批复。</w:t>
            </w:r>
            <w:r>
              <w:rPr>
                <w:rFonts w:hint="eastAsia" w:ascii="Times New Roman" w:hAnsi="Times New Roman" w:eastAsia="宋体" w:cs="Times New Roman"/>
                <w:color w:val="auto"/>
                <w:sz w:val="24"/>
                <w:szCs w:val="24"/>
                <w:highlight w:val="none"/>
                <w:lang w:val="en-US" w:eastAsia="zh-CN"/>
              </w:rPr>
              <w:t>增效扩容</w:t>
            </w:r>
            <w:r>
              <w:rPr>
                <w:rFonts w:hint="default" w:ascii="Times New Roman" w:hAnsi="Times New Roman" w:cs="Times New Roman"/>
                <w:color w:val="auto"/>
                <w:sz w:val="24"/>
                <w:szCs w:val="24"/>
                <w:highlight w:val="none"/>
                <w:lang w:val="en-US" w:eastAsia="zh-CN"/>
              </w:rPr>
              <w:t>工程开工</w:t>
            </w:r>
            <w:r>
              <w:rPr>
                <w:rFonts w:hint="default" w:ascii="Times New Roman" w:hAnsi="Times New Roman" w:eastAsia="宋体" w:cs="Times New Roman"/>
                <w:color w:val="auto"/>
                <w:sz w:val="24"/>
                <w:szCs w:val="24"/>
                <w:highlight w:val="none"/>
              </w:rPr>
              <w:t>时间为</w:t>
            </w:r>
            <w:r>
              <w:rPr>
                <w:rFonts w:hint="default" w:ascii="Times New Roman" w:hAnsi="Times New Roman" w:eastAsia="宋体" w:cs="Times New Roman"/>
                <w:bCs/>
                <w:color w:val="auto"/>
                <w:sz w:val="24"/>
                <w:szCs w:val="24"/>
                <w:highlight w:val="none"/>
                <w:lang w:val="en-US" w:eastAsia="zh-CN"/>
              </w:rPr>
              <w:t>2014年，</w:t>
            </w:r>
            <w:r>
              <w:rPr>
                <w:rFonts w:hint="default" w:ascii="Times New Roman" w:hAnsi="Times New Roman" w:eastAsia="宋体" w:cs="Times New Roman"/>
                <w:color w:val="auto"/>
                <w:sz w:val="24"/>
                <w:szCs w:val="24"/>
                <w:highlight w:val="none"/>
              </w:rPr>
              <w:t>改造完成时间为</w:t>
            </w:r>
            <w:r>
              <w:rPr>
                <w:rFonts w:hint="default" w:ascii="Times New Roman" w:hAnsi="Times New Roman" w:eastAsia="宋体" w:cs="Times New Roman"/>
                <w:bCs/>
                <w:color w:val="auto"/>
                <w:sz w:val="24"/>
                <w:szCs w:val="24"/>
                <w:highlight w:val="none"/>
                <w:lang w:val="en-US" w:eastAsia="zh-CN"/>
              </w:rPr>
              <w:t>2015年</w:t>
            </w:r>
            <w:r>
              <w:rPr>
                <w:rFonts w:hint="eastAsia" w:ascii="Times New Roman" w:hAnsi="Times New Roman" w:eastAsia="宋体" w:cs="Times New Roman"/>
                <w:bCs/>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未开展环境影响评价。</w:t>
            </w:r>
            <w:r>
              <w:rPr>
                <w:rFonts w:hint="eastAsia" w:ascii="Times New Roman" w:hAnsi="Times New Roman" w:eastAsia="宋体" w:cs="Times New Roman"/>
                <w:bCs/>
                <w:color w:val="auto"/>
                <w:sz w:val="24"/>
                <w:szCs w:val="24"/>
                <w:highlight w:val="none"/>
                <w:lang w:val="en-US" w:eastAsia="zh-CN"/>
              </w:rPr>
              <w:t>根据生态环境部2018年02月22日发布的《关于建设项目“未批先建”违法行为法律适用问题的意见》（环政法函</w:t>
            </w:r>
            <w:r>
              <w:rPr>
                <w:rFonts w:hint="default" w:ascii="Times New Roman" w:hAnsi="Times New Roman" w:cs="Times New Roman"/>
                <w:color w:val="auto"/>
                <w:sz w:val="24"/>
                <w:szCs w:val="24"/>
                <w:highlight w:val="none"/>
              </w:rPr>
              <w:t>〔20</w:t>
            </w:r>
            <w:r>
              <w:rPr>
                <w:rFonts w:hint="eastAsia" w:ascii="Times New Roman" w:hAnsi="Times New Roman" w:cs="Times New Roman"/>
                <w:color w:val="auto"/>
                <w:sz w:val="24"/>
                <w:szCs w:val="24"/>
                <w:highlight w:val="none"/>
                <w:lang w:val="en-US" w:eastAsia="zh-CN"/>
              </w:rPr>
              <w:t>18</w:t>
            </w:r>
            <w:r>
              <w:rPr>
                <w:rFonts w:hint="default" w:ascii="Times New Roman" w:hAnsi="Times New Roman" w:cs="Times New Roman"/>
                <w:color w:val="auto"/>
                <w:sz w:val="24"/>
                <w:szCs w:val="24"/>
                <w:highlight w:val="none"/>
              </w:rPr>
              <w:t>〕</w:t>
            </w:r>
            <w:r>
              <w:rPr>
                <w:rFonts w:hint="eastAsia" w:ascii="Times New Roman" w:hAnsi="Times New Roman" w:eastAsia="宋体" w:cs="Times New Roman"/>
                <w:bCs/>
                <w:color w:val="auto"/>
                <w:sz w:val="24"/>
                <w:szCs w:val="24"/>
                <w:highlight w:val="none"/>
                <w:lang w:val="en-US" w:eastAsia="zh-CN"/>
              </w:rPr>
              <w:t>31号）中指出“（一）相关法律规定——行政处罚法第二十九条规定：“违法行为在二年内未被发现的，不再给予行政处罚。法律另有规定的除外。前款规定的期限，从违法行为发生之日起计算；违法行为有连续或者继续状态的，从行为终了之日起计算。”“（二）追溯期限的起算时间——根据上述法律规定，“未批先建”违法行为的行政处罚追溯期限应当自建设行为终了之日起计算。因此，“未批先建”违法行为自建设行为终了之日起二年内未被发现的，环保部门应当遵守行政处罚法第二十九条的规定，不予行政处罚。”</w:t>
            </w:r>
          </w:p>
          <w:p w14:paraId="39D0769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cs="Times New Roman"/>
                <w:b/>
                <w:bCs/>
                <w:color w:val="auto"/>
                <w:sz w:val="24"/>
                <w:szCs w:val="24"/>
                <w:lang w:val="en-US" w:eastAsia="zh-CN"/>
              </w:rPr>
            </w:pPr>
            <w:r>
              <w:rPr>
                <w:rFonts w:hint="eastAsia" w:ascii="Times New Roman" w:hAnsi="Times New Roman" w:eastAsia="宋体" w:cs="Times New Roman"/>
                <w:bCs/>
                <w:color w:val="auto"/>
                <w:sz w:val="24"/>
                <w:szCs w:val="24"/>
                <w:highlight w:val="none"/>
                <w:lang w:val="en-US" w:eastAsia="zh-CN"/>
              </w:rPr>
              <w:t>本项目</w:t>
            </w:r>
            <w:r>
              <w:rPr>
                <w:rFonts w:hint="eastAsia" w:cs="Times New Roman"/>
                <w:bCs/>
                <w:color w:val="auto"/>
                <w:sz w:val="24"/>
                <w:szCs w:val="24"/>
                <w:highlight w:val="none"/>
                <w:lang w:val="en-US" w:eastAsia="zh-CN"/>
              </w:rPr>
              <w:t>已</w:t>
            </w:r>
            <w:r>
              <w:rPr>
                <w:rFonts w:hint="eastAsia" w:ascii="Times New Roman" w:hAnsi="Times New Roman" w:eastAsia="宋体" w:cs="Times New Roman"/>
                <w:bCs/>
                <w:color w:val="auto"/>
                <w:sz w:val="24"/>
                <w:szCs w:val="24"/>
                <w:highlight w:val="none"/>
                <w:lang w:val="en-US" w:eastAsia="zh-CN"/>
              </w:rPr>
              <w:t>建成投产超过10年，按环政法函</w:t>
            </w:r>
            <w:r>
              <w:rPr>
                <w:rFonts w:hint="default" w:ascii="Times New Roman" w:hAnsi="Times New Roman" w:cs="Times New Roman"/>
                <w:color w:val="auto"/>
                <w:sz w:val="24"/>
                <w:szCs w:val="24"/>
                <w:highlight w:val="none"/>
              </w:rPr>
              <w:t>〔20</w:t>
            </w:r>
            <w:r>
              <w:rPr>
                <w:rFonts w:hint="eastAsia" w:ascii="Times New Roman" w:hAnsi="Times New Roman" w:cs="Times New Roman"/>
                <w:color w:val="auto"/>
                <w:sz w:val="24"/>
                <w:szCs w:val="24"/>
                <w:highlight w:val="none"/>
                <w:lang w:val="en-US" w:eastAsia="zh-CN"/>
              </w:rPr>
              <w:t>18</w:t>
            </w:r>
            <w:r>
              <w:rPr>
                <w:rFonts w:hint="default" w:ascii="Times New Roman" w:hAnsi="Times New Roman" w:cs="Times New Roman"/>
                <w:color w:val="auto"/>
                <w:sz w:val="24"/>
                <w:szCs w:val="24"/>
                <w:highlight w:val="none"/>
              </w:rPr>
              <w:t>〕</w:t>
            </w:r>
            <w:r>
              <w:rPr>
                <w:rFonts w:hint="eastAsia" w:ascii="Times New Roman" w:hAnsi="Times New Roman" w:eastAsia="宋体" w:cs="Times New Roman"/>
                <w:bCs/>
                <w:color w:val="auto"/>
                <w:sz w:val="24"/>
                <w:szCs w:val="24"/>
                <w:highlight w:val="none"/>
                <w:lang w:val="en-US" w:eastAsia="zh-CN"/>
              </w:rPr>
              <w:t>31号要求，不予行政处罚。</w:t>
            </w:r>
            <w:r>
              <w:rPr>
                <w:rFonts w:hint="eastAsia" w:cs="Times New Roman"/>
                <w:bCs/>
                <w:color w:val="auto"/>
                <w:sz w:val="24"/>
                <w:szCs w:val="24"/>
                <w:highlight w:val="none"/>
                <w:lang w:val="en-US" w:eastAsia="zh-CN"/>
              </w:rPr>
              <w:t>2025年8月，黑龙江省水利厅下发《关于做好小水电监督检查发现问题整改通知单》，青年水库水电站缺少环保审批材料，需补充相关手续；2026年1月，密山市青年水库管理处委托黑龙江鑫润环保工程设计有限公司开展环境影响评价工作，环保手续正在履行中。</w:t>
            </w:r>
          </w:p>
          <w:p w14:paraId="506ABF58">
            <w:pPr>
              <w:keepNext w:val="0"/>
              <w:keepLines w:val="0"/>
              <w:pageBreakBefore w:val="0"/>
              <w:widowControl w:val="0"/>
              <w:kinsoku/>
              <w:wordWrap w:val="0"/>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rPr>
              <w:t>20</w:t>
            </w:r>
            <w:r>
              <w:rPr>
                <w:rFonts w:hint="eastAsia" w:ascii="Times New Roman" w:hAnsi="Times New Roman" w:cs="Times New Roman"/>
                <w:color w:val="auto"/>
                <w:sz w:val="24"/>
                <w:szCs w:val="24"/>
                <w:highlight w:val="none"/>
                <w:lang w:val="en-US" w:eastAsia="zh-CN"/>
              </w:rPr>
              <w:t>22</w:t>
            </w:r>
            <w:r>
              <w:rPr>
                <w:rFonts w:hint="default" w:ascii="Times New Roman" w:hAnsi="Times New Roman" w:cs="Times New Roman"/>
                <w:color w:val="auto"/>
                <w:sz w:val="24"/>
                <w:szCs w:val="24"/>
                <w:highlight w:val="none"/>
              </w:rPr>
              <w:t>年</w:t>
            </w:r>
            <w:r>
              <w:rPr>
                <w:rFonts w:hint="eastAsia" w:cs="Times New Roman"/>
                <w:color w:val="auto"/>
                <w:sz w:val="24"/>
                <w:szCs w:val="24"/>
                <w:highlight w:val="none"/>
                <w:lang w:val="en-US" w:eastAsia="zh-CN"/>
              </w:rPr>
              <w:t>1</w:t>
            </w:r>
            <w:r>
              <w:rPr>
                <w:rFonts w:hint="default" w:ascii="Times New Roman" w:hAnsi="Times New Roman" w:cs="Times New Roman"/>
                <w:color w:val="auto"/>
                <w:sz w:val="24"/>
                <w:szCs w:val="24"/>
                <w:highlight w:val="none"/>
              </w:rPr>
              <w:t>月，黑龙江省水利水电勘测设计研究院编制完成《</w:t>
            </w:r>
            <w:r>
              <w:rPr>
                <w:rFonts w:hint="default" w:ascii="Times New Roman" w:hAnsi="Times New Roman" w:cs="Times New Roman"/>
                <w:color w:val="auto"/>
                <w:sz w:val="24"/>
                <w:szCs w:val="24"/>
                <w:highlight w:val="none"/>
                <w:lang w:val="en-US" w:eastAsia="zh-CN"/>
              </w:rPr>
              <w:t>密山市青年水库除险加固工程项目可行性研究报告</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202</w:t>
            </w:r>
            <w:r>
              <w:rPr>
                <w:rFonts w:hint="eastAsia"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年</w:t>
            </w:r>
            <w:r>
              <w:rPr>
                <w:rFonts w:hint="eastAsia" w:cs="Times New Roman"/>
                <w:color w:val="auto"/>
                <w:sz w:val="24"/>
                <w:szCs w:val="24"/>
                <w:highlight w:val="none"/>
                <w:lang w:val="en-US" w:eastAsia="zh-CN"/>
              </w:rPr>
              <w:t>3</w:t>
            </w:r>
            <w:r>
              <w:rPr>
                <w:rFonts w:hint="default" w:ascii="Times New Roman" w:hAnsi="Times New Roman" w:cs="Times New Roman"/>
                <w:color w:val="auto"/>
                <w:sz w:val="24"/>
                <w:szCs w:val="24"/>
                <w:highlight w:val="none"/>
              </w:rPr>
              <w:t>月，</w:t>
            </w:r>
            <w:r>
              <w:rPr>
                <w:rFonts w:hint="eastAsia" w:cs="Times New Roman"/>
                <w:color w:val="auto"/>
                <w:sz w:val="24"/>
                <w:szCs w:val="24"/>
                <w:highlight w:val="none"/>
                <w:lang w:val="en-US" w:eastAsia="zh-CN"/>
              </w:rPr>
              <w:t>密山市</w:t>
            </w:r>
            <w:r>
              <w:rPr>
                <w:rFonts w:hint="default" w:ascii="Times New Roman" w:hAnsi="Times New Roman" w:cs="Times New Roman"/>
                <w:color w:val="auto"/>
                <w:sz w:val="24"/>
                <w:szCs w:val="24"/>
                <w:highlight w:val="none"/>
                <w:lang w:val="en-US" w:eastAsia="zh-CN"/>
              </w:rPr>
              <w:t>水务局以</w:t>
            </w:r>
            <w:r>
              <w:rPr>
                <w:rFonts w:hint="eastAsia" w:cs="Times New Roman"/>
                <w:color w:val="auto"/>
                <w:sz w:val="24"/>
                <w:szCs w:val="24"/>
                <w:highlight w:val="none"/>
                <w:lang w:val="en-US" w:eastAsia="zh-CN"/>
              </w:rPr>
              <w:t>密</w:t>
            </w:r>
            <w:r>
              <w:rPr>
                <w:rFonts w:hint="default" w:ascii="Times New Roman" w:hAnsi="Times New Roman" w:cs="Times New Roman"/>
                <w:color w:val="auto"/>
                <w:sz w:val="24"/>
                <w:szCs w:val="24"/>
                <w:highlight w:val="none"/>
                <w:lang w:val="en-US" w:eastAsia="zh-CN"/>
              </w:rPr>
              <w:t>水政发〔202</w:t>
            </w:r>
            <w:r>
              <w:rPr>
                <w:rFonts w:hint="eastAsia" w:cs="Times New Roman"/>
                <w:color w:val="auto"/>
                <w:sz w:val="24"/>
                <w:szCs w:val="24"/>
                <w:highlight w:val="none"/>
                <w:lang w:val="en-US" w:eastAsia="zh-CN"/>
              </w:rPr>
              <w:t>2</w:t>
            </w:r>
            <w:r>
              <w:rPr>
                <w:rFonts w:hint="default" w:ascii="Times New Roman" w:hAnsi="Times New Roman" w:cs="Times New Roman"/>
                <w:color w:val="auto"/>
                <w:sz w:val="24"/>
                <w:szCs w:val="24"/>
                <w:highlight w:val="none"/>
                <w:lang w:val="en-US" w:eastAsia="zh-CN"/>
              </w:rPr>
              <w:t>〕1</w:t>
            </w:r>
            <w:r>
              <w:rPr>
                <w:rFonts w:hint="eastAsia" w:cs="Times New Roman"/>
                <w:color w:val="auto"/>
                <w:sz w:val="24"/>
                <w:szCs w:val="24"/>
                <w:highlight w:val="none"/>
                <w:lang w:val="en-US" w:eastAsia="zh-CN"/>
              </w:rPr>
              <w:t>0</w:t>
            </w:r>
            <w:r>
              <w:rPr>
                <w:rFonts w:hint="default" w:ascii="Times New Roman" w:hAnsi="Times New Roman" w:cs="Times New Roman"/>
                <w:color w:val="auto"/>
                <w:sz w:val="24"/>
                <w:szCs w:val="24"/>
                <w:highlight w:val="none"/>
                <w:lang w:val="en-US" w:eastAsia="zh-CN"/>
              </w:rPr>
              <w:t>号文对</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初步设计报告</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进行批复</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202</w:t>
            </w:r>
            <w:r>
              <w:rPr>
                <w:rFonts w:hint="eastAsia"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年</w:t>
            </w:r>
            <w:r>
              <w:rPr>
                <w:rFonts w:hint="eastAsia" w:cs="Times New Roman"/>
                <w:color w:val="auto"/>
                <w:sz w:val="24"/>
                <w:szCs w:val="24"/>
                <w:highlight w:val="none"/>
                <w:lang w:val="en-US" w:eastAsia="zh-CN"/>
              </w:rPr>
              <w:t>7</w:t>
            </w:r>
            <w:r>
              <w:rPr>
                <w:rFonts w:hint="default" w:ascii="Times New Roman" w:hAnsi="Times New Roman" w:cs="Times New Roman"/>
                <w:color w:val="auto"/>
                <w:sz w:val="24"/>
                <w:szCs w:val="24"/>
                <w:highlight w:val="none"/>
              </w:rPr>
              <w:t>月，黑龙江省水利水电勘测设计研究院编制完成《黑龙江省密山市青年水库除险加固工程建设项目环境影响报告表》；202</w:t>
            </w:r>
            <w:r>
              <w:rPr>
                <w:rFonts w:hint="eastAsia"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年</w:t>
            </w:r>
            <w:r>
              <w:rPr>
                <w:rFonts w:hint="eastAsia" w:cs="Times New Roman"/>
                <w:color w:val="auto"/>
                <w:sz w:val="24"/>
                <w:szCs w:val="24"/>
                <w:highlight w:val="none"/>
                <w:lang w:val="en-US" w:eastAsia="zh-CN"/>
              </w:rPr>
              <w:t>8</w:t>
            </w:r>
            <w:r>
              <w:rPr>
                <w:rFonts w:hint="default" w:ascii="Times New Roman" w:hAnsi="Times New Roman" w:cs="Times New Roman"/>
                <w:color w:val="auto"/>
                <w:sz w:val="24"/>
                <w:szCs w:val="24"/>
                <w:highlight w:val="none"/>
              </w:rPr>
              <w:t>月，</w:t>
            </w:r>
            <w:r>
              <w:rPr>
                <w:rFonts w:hint="eastAsia" w:cs="Times New Roman"/>
                <w:color w:val="auto"/>
                <w:sz w:val="24"/>
                <w:szCs w:val="24"/>
                <w:highlight w:val="none"/>
                <w:lang w:val="en-US" w:eastAsia="zh-CN"/>
              </w:rPr>
              <w:t>密山</w:t>
            </w:r>
            <w:r>
              <w:rPr>
                <w:rFonts w:hint="default" w:ascii="Times New Roman" w:hAnsi="Times New Roman" w:cs="Times New Roman"/>
                <w:color w:val="auto"/>
                <w:sz w:val="24"/>
                <w:szCs w:val="24"/>
                <w:highlight w:val="none"/>
                <w:lang w:val="en-US" w:eastAsia="zh-CN"/>
              </w:rPr>
              <w:t>市生态环境局以</w:t>
            </w:r>
            <w:r>
              <w:rPr>
                <w:rFonts w:hint="eastAsia" w:cs="Times New Roman"/>
                <w:color w:val="auto"/>
                <w:sz w:val="24"/>
                <w:szCs w:val="24"/>
                <w:highlight w:val="none"/>
                <w:lang w:val="en-US" w:eastAsia="zh-CN"/>
              </w:rPr>
              <w:t>密</w:t>
            </w:r>
            <w:r>
              <w:rPr>
                <w:rFonts w:hint="default" w:ascii="Times New Roman" w:hAnsi="Times New Roman" w:cs="Times New Roman"/>
                <w:color w:val="auto"/>
                <w:sz w:val="24"/>
                <w:szCs w:val="24"/>
                <w:highlight w:val="none"/>
                <w:lang w:val="en-US" w:eastAsia="zh-CN"/>
              </w:rPr>
              <w:t>环建审〔202</w:t>
            </w:r>
            <w:r>
              <w:rPr>
                <w:rFonts w:hint="eastAsia" w:cs="Times New Roman"/>
                <w:color w:val="auto"/>
                <w:sz w:val="24"/>
                <w:szCs w:val="24"/>
                <w:highlight w:val="none"/>
                <w:lang w:val="en-US" w:eastAsia="zh-CN"/>
              </w:rPr>
              <w:t>2</w:t>
            </w:r>
            <w:r>
              <w:rPr>
                <w:rFonts w:hint="default" w:ascii="Times New Roman" w:hAnsi="Times New Roman" w:cs="Times New Roman"/>
                <w:color w:val="auto"/>
                <w:sz w:val="24"/>
                <w:szCs w:val="24"/>
                <w:highlight w:val="none"/>
                <w:lang w:val="en-US" w:eastAsia="zh-CN"/>
              </w:rPr>
              <w:t>〕1</w:t>
            </w:r>
            <w:r>
              <w:rPr>
                <w:rFonts w:hint="eastAsia" w:cs="Times New Roman"/>
                <w:color w:val="auto"/>
                <w:sz w:val="24"/>
                <w:szCs w:val="24"/>
                <w:highlight w:val="none"/>
                <w:lang w:val="en-US" w:eastAsia="zh-CN"/>
              </w:rPr>
              <w:t>4</w:t>
            </w:r>
            <w:r>
              <w:rPr>
                <w:rFonts w:hint="default" w:ascii="Times New Roman" w:hAnsi="Times New Roman" w:cs="Times New Roman"/>
                <w:color w:val="auto"/>
                <w:sz w:val="24"/>
                <w:szCs w:val="24"/>
                <w:highlight w:val="none"/>
                <w:lang w:val="en-US" w:eastAsia="zh-CN"/>
              </w:rPr>
              <w:t>号文对</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环境影响报告表</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进行批复</w:t>
            </w:r>
            <w:r>
              <w:rPr>
                <w:rFonts w:hint="default"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eastAsia="zh-CN"/>
              </w:rPr>
              <w:t>青年水库</w:t>
            </w:r>
            <w:r>
              <w:rPr>
                <w:rFonts w:hint="default" w:ascii="Times New Roman" w:hAnsi="Times New Roman" w:cs="Times New Roman"/>
                <w:color w:val="auto"/>
                <w:sz w:val="24"/>
                <w:szCs w:val="24"/>
                <w:highlight w:val="none"/>
              </w:rPr>
              <w:t>除险加固工程</w:t>
            </w:r>
            <w:r>
              <w:rPr>
                <w:rFonts w:hint="default" w:ascii="Times New Roman" w:hAnsi="Times New Roman" w:cs="Times New Roman"/>
                <w:color w:val="auto"/>
                <w:sz w:val="24"/>
                <w:szCs w:val="24"/>
                <w:highlight w:val="none"/>
                <w:lang w:val="en-US" w:eastAsia="zh-CN"/>
              </w:rPr>
              <w:t>于202</w:t>
            </w:r>
            <w:r>
              <w:rPr>
                <w:rFonts w:hint="eastAsia" w:cs="Times New Roman"/>
                <w:color w:val="auto"/>
                <w:sz w:val="24"/>
                <w:szCs w:val="24"/>
                <w:highlight w:val="none"/>
                <w:lang w:val="en-US" w:eastAsia="zh-CN"/>
              </w:rPr>
              <w:t>2</w:t>
            </w:r>
            <w:r>
              <w:rPr>
                <w:rFonts w:hint="default" w:ascii="Times New Roman" w:hAnsi="Times New Roman" w:cs="Times New Roman"/>
                <w:color w:val="auto"/>
                <w:sz w:val="24"/>
                <w:szCs w:val="24"/>
                <w:highlight w:val="none"/>
                <w:lang w:val="en-US" w:eastAsia="zh-CN"/>
              </w:rPr>
              <w:t>年</w:t>
            </w:r>
            <w:r>
              <w:rPr>
                <w:rFonts w:hint="eastAsia" w:cs="Times New Roman"/>
                <w:color w:val="auto"/>
                <w:sz w:val="24"/>
                <w:szCs w:val="24"/>
                <w:highlight w:val="none"/>
                <w:lang w:val="en-US" w:eastAsia="zh-CN"/>
              </w:rPr>
              <w:t>11</w:t>
            </w:r>
            <w:r>
              <w:rPr>
                <w:rFonts w:hint="default" w:ascii="Times New Roman" w:hAnsi="Times New Roman" w:cs="Times New Roman"/>
                <w:color w:val="auto"/>
                <w:sz w:val="24"/>
                <w:szCs w:val="24"/>
                <w:highlight w:val="none"/>
                <w:lang w:val="en-US" w:eastAsia="zh-CN"/>
              </w:rPr>
              <w:t>月开工</w:t>
            </w:r>
            <w:r>
              <w:rPr>
                <w:rFonts w:hint="eastAsia" w:ascii="Times New Roman" w:hAnsi="Times New Roman" w:cs="Times New Roman"/>
                <w:color w:val="auto"/>
                <w:sz w:val="24"/>
                <w:szCs w:val="24"/>
                <w:highlight w:val="none"/>
                <w:lang w:val="en-US" w:eastAsia="zh-CN"/>
              </w:rPr>
              <w:t>。</w:t>
            </w:r>
            <w:r>
              <w:rPr>
                <w:rFonts w:hint="eastAsia" w:cs="Times New Roman"/>
                <w:color w:val="auto"/>
                <w:sz w:val="24"/>
                <w:szCs w:val="24"/>
                <w:highlight w:val="none"/>
                <w:lang w:val="en-US" w:eastAsia="zh-CN"/>
              </w:rPr>
              <w:t>暂未进行环保验收。</w:t>
            </w:r>
          </w:p>
          <w:p w14:paraId="4C7184E5">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eastAsia" w:cs="Times New Roman"/>
                <w:b/>
                <w:bCs/>
                <w:color w:val="auto"/>
                <w:sz w:val="24"/>
                <w:szCs w:val="24"/>
                <w:lang w:val="en-US" w:eastAsia="zh-CN"/>
              </w:rPr>
            </w:pPr>
            <w:r>
              <w:rPr>
                <w:rFonts w:hint="eastAsia" w:cs="Times New Roman"/>
                <w:b/>
                <w:bCs/>
                <w:color w:val="auto"/>
                <w:sz w:val="24"/>
                <w:szCs w:val="24"/>
                <w:lang w:val="en-US" w:eastAsia="zh-CN"/>
              </w:rPr>
              <w:t>2.现有污染源分析</w:t>
            </w:r>
          </w:p>
          <w:p w14:paraId="464D51D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本项目属增效扩容工程，与本项目有关的原有环境污染为原工程污染源。</w:t>
            </w:r>
          </w:p>
          <w:p w14:paraId="4B04A79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（1）废水</w:t>
            </w:r>
          </w:p>
          <w:p w14:paraId="298F0D6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电站</w:t>
            </w:r>
            <w:r>
              <w:rPr>
                <w:rFonts w:hint="default" w:ascii="Times New Roman" w:hAnsi="Times New Roman" w:eastAsia="宋体" w:cs="Times New Roman"/>
                <w:color w:val="auto"/>
                <w:sz w:val="24"/>
                <w:szCs w:val="24"/>
                <w:highlight w:val="none"/>
                <w:lang w:val="en-US" w:eastAsia="zh-CN"/>
              </w:rPr>
              <w:t>运营期无生产废水产生</w:t>
            </w:r>
            <w:r>
              <w:rPr>
                <w:rFonts w:hint="eastAsia" w:ascii="Times New Roman" w:hAnsi="Times New Roman" w:eastAsia="宋体" w:cs="Times New Roman"/>
                <w:color w:val="auto"/>
                <w:sz w:val="24"/>
                <w:szCs w:val="24"/>
                <w:highlight w:val="none"/>
                <w:lang w:val="en-US" w:eastAsia="zh-CN"/>
              </w:rPr>
              <w:t>，仅</w:t>
            </w:r>
            <w:r>
              <w:rPr>
                <w:rFonts w:hint="default" w:ascii="Times New Roman" w:hAnsi="Times New Roman" w:eastAsia="宋体" w:cs="Times New Roman"/>
                <w:color w:val="auto"/>
                <w:sz w:val="24"/>
                <w:szCs w:val="24"/>
                <w:highlight w:val="none"/>
                <w:lang w:val="en-US" w:eastAsia="zh-CN"/>
              </w:rPr>
              <w:t>工作人员</w:t>
            </w:r>
            <w:r>
              <w:rPr>
                <w:rFonts w:hint="eastAsia" w:ascii="Times New Roman" w:hAnsi="Times New Roman" w:eastAsia="宋体" w:cs="Times New Roman"/>
                <w:color w:val="auto"/>
                <w:sz w:val="24"/>
                <w:szCs w:val="24"/>
                <w:highlight w:val="none"/>
                <w:lang w:val="en-US" w:eastAsia="zh-CN"/>
              </w:rPr>
              <w:t>办公生活</w:t>
            </w:r>
            <w:r>
              <w:rPr>
                <w:rFonts w:hint="default" w:ascii="Times New Roman" w:hAnsi="Times New Roman" w:eastAsia="宋体" w:cs="Times New Roman"/>
                <w:color w:val="auto"/>
                <w:sz w:val="24"/>
                <w:szCs w:val="24"/>
                <w:highlight w:val="none"/>
                <w:lang w:val="en-US" w:eastAsia="zh-CN"/>
              </w:rPr>
              <w:t>产生生活污水。项目</w:t>
            </w:r>
            <w:r>
              <w:rPr>
                <w:rFonts w:hint="eastAsia" w:ascii="Times New Roman" w:hAnsi="Times New Roman" w:eastAsia="宋体" w:cs="Times New Roman"/>
                <w:color w:val="auto"/>
                <w:sz w:val="24"/>
                <w:szCs w:val="24"/>
                <w:highlight w:val="none"/>
                <w:lang w:val="en-US" w:eastAsia="zh-CN"/>
              </w:rPr>
              <w:t>常驻管理</w:t>
            </w:r>
            <w:r>
              <w:rPr>
                <w:rFonts w:hint="eastAsia" w:cs="Times New Roman"/>
                <w:color w:val="auto"/>
                <w:sz w:val="24"/>
                <w:szCs w:val="24"/>
                <w:highlight w:val="none"/>
                <w:lang w:val="en-US" w:eastAsia="zh-CN"/>
              </w:rPr>
              <w:t>人员25</w:t>
            </w:r>
            <w:r>
              <w:rPr>
                <w:rFonts w:hint="default" w:ascii="Times New Roman" w:hAnsi="Times New Roman" w:eastAsia="宋体" w:cs="Times New Roman"/>
                <w:color w:val="auto"/>
                <w:sz w:val="24"/>
                <w:szCs w:val="24"/>
                <w:highlight w:val="none"/>
                <w:lang w:val="en-US" w:eastAsia="zh-CN"/>
              </w:rPr>
              <w:t>人，</w:t>
            </w:r>
            <w:r>
              <w:rPr>
                <w:rFonts w:hint="default" w:ascii="Times New Roman" w:hAnsi="Times New Roman" w:eastAsia="宋体" w:cs="Times New Roman"/>
                <w:color w:val="auto"/>
                <w:kern w:val="0"/>
                <w:sz w:val="24"/>
                <w:szCs w:val="24"/>
                <w:highlight w:val="none"/>
                <w:lang w:val="en-US" w:eastAsia="zh-CN"/>
              </w:rPr>
              <w:t>根据《黑龙江省用水定额》（DB23/T727-202</w:t>
            </w:r>
            <w:r>
              <w:rPr>
                <w:rFonts w:hint="eastAsia" w:ascii="Times New Roman" w:hAnsi="Times New Roman" w:eastAsia="宋体" w:cs="Times New Roman"/>
                <w:color w:val="auto"/>
                <w:kern w:val="0"/>
                <w:sz w:val="24"/>
                <w:szCs w:val="24"/>
                <w:highlight w:val="none"/>
                <w:lang w:val="en-US" w:eastAsia="zh-CN"/>
              </w:rPr>
              <w:t>5</w:t>
            </w:r>
            <w:r>
              <w:rPr>
                <w:rFonts w:hint="default" w:ascii="Times New Roman" w:hAnsi="Times New Roman" w:eastAsia="宋体" w:cs="Times New Roman"/>
                <w:color w:val="auto"/>
                <w:kern w:val="0"/>
                <w:sz w:val="24"/>
                <w:szCs w:val="24"/>
                <w:highlight w:val="none"/>
                <w:lang w:val="en-US" w:eastAsia="zh-CN"/>
              </w:rPr>
              <w:t>）可知，员工生活用水定额按</w:t>
            </w:r>
            <w:r>
              <w:rPr>
                <w:rFonts w:hint="eastAsia" w:ascii="Times New Roman" w:hAnsi="Times New Roman" w:eastAsia="宋体" w:cs="Times New Roman"/>
                <w:color w:val="auto"/>
                <w:kern w:val="0"/>
                <w:sz w:val="24"/>
                <w:szCs w:val="24"/>
                <w:highlight w:val="none"/>
                <w:lang w:val="en-US" w:eastAsia="zh-CN"/>
              </w:rPr>
              <w:t>10</w:t>
            </w:r>
            <w:r>
              <w:rPr>
                <w:rFonts w:hint="default" w:ascii="Times New Roman" w:hAnsi="Times New Roman" w:eastAsia="宋体" w:cs="Times New Roman"/>
                <w:color w:val="auto"/>
                <w:kern w:val="0"/>
                <w:sz w:val="24"/>
                <w:szCs w:val="24"/>
                <w:highlight w:val="none"/>
                <w:lang w:val="en-US" w:eastAsia="zh-CN"/>
              </w:rPr>
              <w:t>0L/人·d计，</w:t>
            </w:r>
            <w:r>
              <w:rPr>
                <w:rFonts w:hint="default" w:ascii="Times New Roman" w:hAnsi="Times New Roman" w:cs="Times New Roman"/>
                <w:color w:val="auto"/>
                <w:kern w:val="0"/>
                <w:sz w:val="24"/>
                <w:szCs w:val="24"/>
              </w:rPr>
              <w:t>则员工生活用水量为</w:t>
            </w:r>
            <w:r>
              <w:rPr>
                <w:rFonts w:hint="eastAsia" w:cs="Times New Roman"/>
                <w:color w:val="auto"/>
                <w:kern w:val="0"/>
                <w:sz w:val="24"/>
                <w:szCs w:val="24"/>
                <w:lang w:val="en-US" w:eastAsia="zh-CN"/>
              </w:rPr>
              <w:t>2.5</w:t>
            </w:r>
            <w:r>
              <w:rPr>
                <w:rFonts w:hint="default" w:ascii="Times New Roman" w:hAnsi="Times New Roman" w:cs="Times New Roman"/>
                <w:color w:val="auto"/>
                <w:kern w:val="0"/>
                <w:sz w:val="24"/>
                <w:szCs w:val="24"/>
              </w:rPr>
              <w:t>m</w:t>
            </w:r>
            <w:r>
              <w:rPr>
                <w:rFonts w:hint="default" w:ascii="Times New Roman" w:hAnsi="Times New Roman" w:cs="Times New Roman"/>
                <w:color w:val="auto"/>
                <w:kern w:val="0"/>
                <w:sz w:val="24"/>
                <w:szCs w:val="24"/>
                <w:vertAlign w:val="superscript"/>
              </w:rPr>
              <w:t>3</w:t>
            </w:r>
            <w:r>
              <w:rPr>
                <w:rFonts w:hint="default" w:ascii="Times New Roman" w:hAnsi="Times New Roman" w:cs="Times New Roman"/>
                <w:color w:val="auto"/>
                <w:kern w:val="0"/>
                <w:sz w:val="24"/>
                <w:szCs w:val="24"/>
              </w:rPr>
              <w:t>/d，污水排放系数取0.8，则员工生活污水产生量为</w:t>
            </w:r>
            <w:r>
              <w:rPr>
                <w:rFonts w:hint="eastAsia" w:cs="Times New Roman"/>
                <w:color w:val="auto"/>
                <w:kern w:val="0"/>
                <w:sz w:val="24"/>
                <w:szCs w:val="24"/>
                <w:lang w:val="en-US" w:eastAsia="zh-CN"/>
              </w:rPr>
              <w:t>2.</w:t>
            </w:r>
            <w:r>
              <w:rPr>
                <w:rFonts w:hint="default" w:ascii="Times New Roman" w:hAnsi="Times New Roman" w:cs="Times New Roman"/>
                <w:color w:val="auto"/>
                <w:kern w:val="0"/>
                <w:sz w:val="24"/>
                <w:szCs w:val="24"/>
                <w:lang w:val="en-US" w:eastAsia="zh-CN"/>
              </w:rPr>
              <w:t>0</w:t>
            </w:r>
            <w:r>
              <w:rPr>
                <w:rFonts w:hint="default" w:ascii="Times New Roman" w:hAnsi="Times New Roman" w:cs="Times New Roman"/>
                <w:color w:val="auto"/>
                <w:kern w:val="0"/>
                <w:sz w:val="24"/>
                <w:szCs w:val="24"/>
              </w:rPr>
              <w:t>m</w:t>
            </w:r>
            <w:r>
              <w:rPr>
                <w:rFonts w:hint="default" w:ascii="Times New Roman" w:hAnsi="Times New Roman" w:cs="Times New Roman"/>
                <w:color w:val="auto"/>
                <w:kern w:val="0"/>
                <w:sz w:val="24"/>
                <w:szCs w:val="24"/>
                <w:vertAlign w:val="superscript"/>
              </w:rPr>
              <w:t>3</w:t>
            </w:r>
            <w:r>
              <w:rPr>
                <w:rFonts w:hint="default" w:ascii="Times New Roman" w:hAnsi="Times New Roman" w:cs="Times New Roman"/>
                <w:color w:val="auto"/>
                <w:kern w:val="0"/>
                <w:sz w:val="24"/>
                <w:szCs w:val="24"/>
              </w:rPr>
              <w:t>/d。</w:t>
            </w:r>
            <w:r>
              <w:rPr>
                <w:rFonts w:hint="eastAsia" w:ascii="Times New Roman" w:hAnsi="Times New Roman" w:cs="Times New Roman"/>
                <w:color w:val="auto"/>
                <w:sz w:val="24"/>
                <w:szCs w:val="24"/>
                <w:highlight w:val="none"/>
                <w:lang w:val="en-US" w:eastAsia="zh-CN"/>
              </w:rPr>
              <w:t>污水中主要污染物有SS、CODcr、BOD</w:t>
            </w:r>
            <w:r>
              <w:rPr>
                <w:rFonts w:hint="eastAsia" w:ascii="Times New Roman" w:hAnsi="Times New Roman" w:cs="Times New Roman"/>
                <w:color w:val="auto"/>
                <w:sz w:val="24"/>
                <w:szCs w:val="24"/>
                <w:highlight w:val="none"/>
                <w:vertAlign w:val="subscript"/>
                <w:lang w:val="en-US" w:eastAsia="zh-CN"/>
              </w:rPr>
              <w:t>5</w:t>
            </w:r>
            <w:r>
              <w:rPr>
                <w:rFonts w:hint="eastAsia" w:ascii="Times New Roman" w:hAnsi="Times New Roman" w:cs="Times New Roman"/>
                <w:color w:val="auto"/>
                <w:sz w:val="24"/>
                <w:szCs w:val="24"/>
                <w:highlight w:val="none"/>
                <w:lang w:val="en-US" w:eastAsia="zh-CN"/>
              </w:rPr>
              <w:t>、NH</w:t>
            </w:r>
            <w:r>
              <w:rPr>
                <w:rFonts w:hint="eastAsia" w:ascii="Times New Roman" w:hAnsi="Times New Roman" w:cs="Times New Roman"/>
                <w:color w:val="auto"/>
                <w:sz w:val="24"/>
                <w:szCs w:val="24"/>
                <w:highlight w:val="none"/>
                <w:vertAlign w:val="subscript"/>
                <w:lang w:val="en-US" w:eastAsia="zh-CN"/>
              </w:rPr>
              <w:t>3</w:t>
            </w:r>
            <w:r>
              <w:rPr>
                <w:rFonts w:hint="eastAsia" w:ascii="Times New Roman" w:hAnsi="Times New Roman" w:cs="Times New Roman"/>
                <w:color w:val="auto"/>
                <w:sz w:val="24"/>
                <w:szCs w:val="24"/>
                <w:highlight w:val="none"/>
                <w:lang w:val="en-US" w:eastAsia="zh-CN"/>
              </w:rPr>
              <w:t>-N。现有项目施工期施工人员生活污水定期清淘，外运堆肥。</w:t>
            </w:r>
          </w:p>
          <w:p w14:paraId="4C479FD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olor w:val="auto"/>
                <w:sz w:val="24"/>
                <w:szCs w:val="24"/>
                <w:lang w:val="en-US" w:eastAsia="zh-CN"/>
              </w:rPr>
            </w:pPr>
            <w:r>
              <w:rPr>
                <w:rFonts w:hint="eastAsia"/>
                <w:color w:val="auto"/>
                <w:sz w:val="24"/>
                <w:szCs w:val="24"/>
                <w:lang w:val="en-US" w:eastAsia="zh-CN"/>
              </w:rPr>
              <w:t>（2）噪声</w:t>
            </w:r>
          </w:p>
          <w:p w14:paraId="3DEFC87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olor w:val="auto"/>
                <w:sz w:val="24"/>
                <w:szCs w:val="24"/>
                <w:lang w:val="en-US" w:eastAsia="zh-CN"/>
              </w:rPr>
            </w:pPr>
            <w:r>
              <w:rPr>
                <w:rFonts w:hint="eastAsia"/>
                <w:color w:val="auto"/>
                <w:sz w:val="24"/>
                <w:szCs w:val="24"/>
                <w:lang w:val="en-US" w:eastAsia="zh-CN"/>
              </w:rPr>
              <w:t>根据调查，电站工程主要噪声源为发电机组、变压器等发电设备运行噪声，噪声源强约70~85dB（A）。通过选用低噪声设备并采取减振、隔声、消声措施、经距离衰减及加强绿化后噪声对周边环境的影响小。</w:t>
            </w:r>
          </w:p>
          <w:p w14:paraId="514407A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color w:val="auto"/>
                <w:sz w:val="24"/>
                <w:szCs w:val="24"/>
                <w:lang w:val="en-US" w:eastAsia="zh-CN"/>
              </w:rPr>
            </w:pPr>
            <w:r>
              <w:rPr>
                <w:rFonts w:hint="default"/>
                <w:color w:val="auto"/>
                <w:sz w:val="24"/>
                <w:szCs w:val="24"/>
                <w:lang w:val="en-US" w:eastAsia="zh-CN"/>
              </w:rPr>
              <w:t>（</w:t>
            </w:r>
            <w:r>
              <w:rPr>
                <w:rFonts w:hint="eastAsia"/>
                <w:color w:val="auto"/>
                <w:sz w:val="24"/>
                <w:szCs w:val="24"/>
                <w:lang w:val="en-US" w:eastAsia="zh-CN"/>
              </w:rPr>
              <w:t>3</w:t>
            </w:r>
            <w:r>
              <w:rPr>
                <w:rFonts w:hint="default"/>
                <w:color w:val="auto"/>
                <w:sz w:val="24"/>
                <w:szCs w:val="24"/>
                <w:lang w:val="en-US" w:eastAsia="zh-CN"/>
              </w:rPr>
              <w:t>）固体废物</w:t>
            </w:r>
          </w:p>
          <w:p w14:paraId="45ABC53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color w:val="auto"/>
                <w:sz w:val="24"/>
                <w:szCs w:val="24"/>
                <w:lang w:val="en-US" w:eastAsia="zh-CN"/>
              </w:rPr>
            </w:pPr>
            <w:r>
              <w:rPr>
                <w:rFonts w:hint="eastAsia"/>
                <w:color w:val="auto"/>
                <w:sz w:val="24"/>
                <w:szCs w:val="24"/>
                <w:lang w:val="en-US" w:eastAsia="zh-CN"/>
              </w:rPr>
              <w:t>青年水库</w:t>
            </w:r>
            <w:r>
              <w:rPr>
                <w:rFonts w:hint="default"/>
                <w:color w:val="auto"/>
                <w:sz w:val="24"/>
                <w:szCs w:val="24"/>
                <w:lang w:val="en-US" w:eastAsia="zh-CN"/>
              </w:rPr>
              <w:t>电站运营期的固体废弃物包括员工生活垃圾、水面浮渣和设备机械维修产生的废机油。</w:t>
            </w:r>
          </w:p>
          <w:p w14:paraId="0379C24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color w:val="auto"/>
                <w:sz w:val="24"/>
                <w:szCs w:val="24"/>
                <w:lang w:val="en-US" w:eastAsia="zh-CN"/>
              </w:rPr>
            </w:pPr>
            <w:r>
              <w:rPr>
                <w:rFonts w:hint="default"/>
                <w:color w:val="auto"/>
                <w:sz w:val="24"/>
                <w:szCs w:val="24"/>
                <w:lang w:val="en-US" w:eastAsia="zh-CN"/>
              </w:rPr>
              <w:t>生活垃圾：电站生活垃圾产生量为</w:t>
            </w:r>
            <w:r>
              <w:rPr>
                <w:rFonts w:hint="eastAsia" w:cs="Times New Roman"/>
                <w:color w:val="auto"/>
                <w:kern w:val="0"/>
                <w:sz w:val="24"/>
                <w:szCs w:val="24"/>
                <w:lang w:val="en-US" w:eastAsia="zh-CN"/>
              </w:rPr>
              <w:t>0.025</w:t>
            </w:r>
            <w:r>
              <w:rPr>
                <w:rFonts w:hint="default" w:ascii="Times New Roman" w:hAnsi="Times New Roman" w:eastAsia="宋体" w:cs="Times New Roman"/>
                <w:color w:val="auto"/>
                <w:kern w:val="0"/>
                <w:sz w:val="24"/>
                <w:szCs w:val="24"/>
                <w:lang w:val="en-US" w:eastAsia="zh-CN"/>
              </w:rPr>
              <w:t>t</w:t>
            </w:r>
            <w:r>
              <w:rPr>
                <w:rFonts w:hint="default" w:ascii="Times New Roman" w:hAnsi="Times New Roman" w:eastAsia="宋体" w:cs="Times New Roman"/>
                <w:color w:val="auto"/>
                <w:kern w:val="0"/>
                <w:sz w:val="24"/>
                <w:szCs w:val="24"/>
              </w:rPr>
              <w:t>/</w:t>
            </w:r>
            <w:r>
              <w:rPr>
                <w:rFonts w:hint="eastAsia" w:cs="Times New Roman"/>
                <w:color w:val="auto"/>
                <w:kern w:val="0"/>
                <w:sz w:val="24"/>
                <w:szCs w:val="24"/>
                <w:lang w:val="en-US" w:eastAsia="zh-CN"/>
              </w:rPr>
              <w:t>d</w:t>
            </w:r>
            <w:r>
              <w:rPr>
                <w:rFonts w:hint="default"/>
                <w:color w:val="auto"/>
                <w:sz w:val="24"/>
                <w:szCs w:val="24"/>
                <w:lang w:val="en-US" w:eastAsia="zh-CN"/>
              </w:rPr>
              <w:t>，收集后委托当地环卫部门清运处理。</w:t>
            </w:r>
          </w:p>
          <w:p w14:paraId="06DA6B4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color w:val="auto"/>
                <w:sz w:val="24"/>
                <w:szCs w:val="24"/>
                <w:lang w:val="en-US" w:eastAsia="zh-CN"/>
              </w:rPr>
            </w:pPr>
            <w:r>
              <w:rPr>
                <w:rFonts w:hint="default"/>
                <w:color w:val="auto"/>
                <w:sz w:val="24"/>
                <w:szCs w:val="24"/>
                <w:lang w:val="en-US" w:eastAsia="zh-CN"/>
              </w:rPr>
              <w:t>水面浮渣：受降雨等因素影响，大坝上会堆积部分枯木、落叶等浮渣，电站输水洞设置有拦污栅阻隔水体漂浮的浮渣，日常运行过程中需定期清理，年清理浮渣约</w:t>
            </w:r>
            <w:r>
              <w:rPr>
                <w:rFonts w:hint="eastAsia"/>
                <w:color w:val="auto"/>
                <w:sz w:val="24"/>
                <w:szCs w:val="24"/>
                <w:lang w:val="en-US" w:eastAsia="zh-CN"/>
              </w:rPr>
              <w:t>5</w:t>
            </w:r>
            <w:r>
              <w:rPr>
                <w:rFonts w:hint="default"/>
                <w:color w:val="auto"/>
                <w:sz w:val="24"/>
                <w:szCs w:val="24"/>
                <w:lang w:val="en-US" w:eastAsia="zh-CN"/>
              </w:rPr>
              <w:t>t/a，其中枯枝落叶等收集后直接用作周边绿化覆土，塑料或其他杂物集中收集委托环卫部门清运。</w:t>
            </w:r>
          </w:p>
          <w:p w14:paraId="2E56042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color w:val="auto"/>
                <w:sz w:val="24"/>
                <w:szCs w:val="24"/>
                <w:lang w:val="en-US" w:eastAsia="zh-CN"/>
              </w:rPr>
            </w:pPr>
            <w:r>
              <w:rPr>
                <w:rFonts w:hint="default"/>
                <w:color w:val="auto"/>
                <w:sz w:val="24"/>
                <w:szCs w:val="24"/>
                <w:lang w:val="en-US" w:eastAsia="zh-CN"/>
              </w:rPr>
              <w:t>危险废物：电站运行过程中的设备保养维修将产生一定量的废机油，其中废机油产生量约为0.0</w:t>
            </w:r>
            <w:r>
              <w:rPr>
                <w:rFonts w:hint="eastAsia"/>
                <w:color w:val="auto"/>
                <w:sz w:val="24"/>
                <w:szCs w:val="24"/>
                <w:lang w:val="en-US" w:eastAsia="zh-CN"/>
              </w:rPr>
              <w:t>2</w:t>
            </w:r>
            <w:r>
              <w:rPr>
                <w:rFonts w:hint="default"/>
                <w:color w:val="auto"/>
                <w:sz w:val="24"/>
                <w:szCs w:val="24"/>
                <w:lang w:val="en-US" w:eastAsia="zh-CN"/>
              </w:rPr>
              <w:t>t/a。依据《国家危险废物名录》（2025年版），废机油属危险废物（类别HW08，编号900-214-08）。</w:t>
            </w:r>
          </w:p>
          <w:p w14:paraId="76BEC3C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cs="Times New Roman"/>
                <w:color w:val="auto"/>
                <w:sz w:val="24"/>
                <w:szCs w:val="24"/>
                <w:lang w:val="en-US" w:eastAsia="zh-CN"/>
              </w:rPr>
            </w:pPr>
            <w:r>
              <w:rPr>
                <w:rFonts w:hint="eastAsia" w:cs="Times New Roman"/>
                <w:color w:val="auto"/>
                <w:sz w:val="24"/>
                <w:szCs w:val="24"/>
                <w:lang w:val="en-US" w:eastAsia="zh-CN"/>
              </w:rPr>
              <w:t>（4）生态环境</w:t>
            </w:r>
          </w:p>
          <w:p w14:paraId="2D6044E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s="Times New Roman"/>
                <w:color w:val="auto"/>
                <w:sz w:val="24"/>
                <w:szCs w:val="24"/>
                <w:lang w:val="en-US" w:eastAsia="zh-CN"/>
              </w:rPr>
            </w:pPr>
            <w:r>
              <w:rPr>
                <w:rFonts w:hint="eastAsia" w:cs="Times New Roman"/>
                <w:color w:val="auto"/>
                <w:sz w:val="24"/>
                <w:szCs w:val="24"/>
                <w:lang w:val="en-US" w:eastAsia="zh-CN"/>
              </w:rPr>
              <w:t>青年水库电站为坝后式电站，生态流量核定为</w:t>
            </w:r>
            <w:r>
              <w:rPr>
                <w:color w:val="auto"/>
                <w:kern w:val="0"/>
                <w:sz w:val="24"/>
                <w:szCs w:val="24"/>
              </w:rPr>
              <w:t>汛期0.29m</w:t>
            </w:r>
            <w:r>
              <w:rPr>
                <w:color w:val="auto"/>
                <w:kern w:val="0"/>
                <w:sz w:val="24"/>
                <w:szCs w:val="24"/>
                <w:vertAlign w:val="superscript"/>
              </w:rPr>
              <w:t>3</w:t>
            </w:r>
            <w:r>
              <w:rPr>
                <w:color w:val="auto"/>
                <w:kern w:val="0"/>
                <w:sz w:val="24"/>
                <w:szCs w:val="24"/>
              </w:rPr>
              <w:t>/s，非汛期为0.18m</w:t>
            </w:r>
            <w:r>
              <w:rPr>
                <w:color w:val="auto"/>
                <w:kern w:val="0"/>
                <w:sz w:val="24"/>
                <w:szCs w:val="24"/>
                <w:vertAlign w:val="superscript"/>
              </w:rPr>
              <w:t>3</w:t>
            </w:r>
            <w:r>
              <w:rPr>
                <w:color w:val="auto"/>
                <w:kern w:val="0"/>
                <w:sz w:val="24"/>
                <w:szCs w:val="24"/>
              </w:rPr>
              <w:t>/s</w:t>
            </w:r>
            <w:r>
              <w:rPr>
                <w:rFonts w:hint="eastAsia" w:cs="Times New Roman"/>
                <w:color w:val="auto"/>
                <w:sz w:val="24"/>
                <w:szCs w:val="24"/>
                <w:lang w:val="en-US" w:eastAsia="zh-CN"/>
              </w:rPr>
              <w:t>，水电站已设有生态流量泄放设施及生态流量在线监控设施来确保生态流量的下泄，且发电后用水归入下游河道，水量无损失，基本没有减脱水河段。水电站于1978年投入运行，已稳定运行多年，所在区域动、植物资源已恢复到自然状态，水电站对该区域生态环境影响较小。</w:t>
            </w:r>
          </w:p>
          <w:p w14:paraId="7D741887">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cs="Times New Roman"/>
                <w:b/>
                <w:bCs/>
                <w:color w:val="auto"/>
                <w:sz w:val="24"/>
                <w:szCs w:val="24"/>
                <w:lang w:val="en-US" w:eastAsia="zh-CN"/>
              </w:rPr>
              <w:t>3.环境问题</w:t>
            </w:r>
          </w:p>
          <w:p w14:paraId="1D997ED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（1）水资源问题</w:t>
            </w:r>
          </w:p>
          <w:p w14:paraId="555994B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rPr>
              <w:t>电站原设计发电量</w:t>
            </w:r>
            <w:r>
              <w:rPr>
                <w:rFonts w:hint="eastAsia" w:cs="Times New Roman"/>
                <w:color w:val="auto"/>
                <w:sz w:val="24"/>
                <w:szCs w:val="24"/>
                <w:lang w:val="en-US" w:eastAsia="zh-CN"/>
              </w:rPr>
              <w:t>211</w:t>
            </w:r>
            <w:r>
              <w:rPr>
                <w:rFonts w:hint="default" w:ascii="Times New Roman" w:hAnsi="Times New Roman" w:cs="Times New Roman"/>
                <w:color w:val="auto"/>
                <w:sz w:val="24"/>
                <w:szCs w:val="24"/>
              </w:rPr>
              <w:t>×10</w:t>
            </w:r>
            <w:r>
              <w:rPr>
                <w:rFonts w:hint="default" w:ascii="Times New Roman" w:hAnsi="Times New Roman" w:cs="Times New Roman"/>
                <w:color w:val="auto"/>
                <w:sz w:val="24"/>
                <w:szCs w:val="24"/>
                <w:vertAlign w:val="superscript"/>
              </w:rPr>
              <w:t>4</w:t>
            </w:r>
            <w:r>
              <w:rPr>
                <w:rFonts w:hint="eastAsia" w:cs="Times New Roman"/>
                <w:color w:val="auto"/>
                <w:sz w:val="24"/>
                <w:szCs w:val="24"/>
                <w:lang w:eastAsia="zh-CN"/>
              </w:rPr>
              <w:t>kW</w:t>
            </w:r>
            <w:r>
              <w:rPr>
                <w:rFonts w:hint="default" w:ascii="Times New Roman" w:hAnsi="Times New Roman" w:cs="Times New Roman"/>
                <w:color w:val="auto"/>
                <w:sz w:val="24"/>
                <w:szCs w:val="24"/>
                <w:lang w:eastAsia="zh-CN"/>
              </w:rPr>
              <w:t>·h</w:t>
            </w:r>
            <w:r>
              <w:rPr>
                <w:rFonts w:hint="default" w:ascii="Times New Roman" w:hAnsi="Times New Roman" w:cs="Times New Roman"/>
                <w:color w:val="auto"/>
                <w:sz w:val="24"/>
                <w:szCs w:val="24"/>
              </w:rPr>
              <w:t xml:space="preserve"> /a，近几年实际年均发电量</w:t>
            </w:r>
            <w:r>
              <w:rPr>
                <w:rFonts w:hint="eastAsia" w:cs="Times New Roman"/>
                <w:color w:val="auto"/>
                <w:sz w:val="24"/>
                <w:szCs w:val="24"/>
                <w:lang w:val="en-US" w:eastAsia="zh-CN"/>
              </w:rPr>
              <w:t>40-45</w:t>
            </w:r>
            <w:r>
              <w:rPr>
                <w:rFonts w:hint="default" w:ascii="Times New Roman" w:hAnsi="Times New Roman" w:cs="Times New Roman"/>
                <w:color w:val="auto"/>
                <w:sz w:val="24"/>
                <w:szCs w:val="24"/>
              </w:rPr>
              <w:t>×10</w:t>
            </w:r>
            <w:r>
              <w:rPr>
                <w:rFonts w:hint="default" w:ascii="Times New Roman" w:hAnsi="Times New Roman" w:cs="Times New Roman"/>
                <w:color w:val="auto"/>
                <w:sz w:val="24"/>
                <w:szCs w:val="24"/>
                <w:vertAlign w:val="superscript"/>
              </w:rPr>
              <w:t>4</w:t>
            </w:r>
            <w:r>
              <w:rPr>
                <w:rFonts w:hint="eastAsia" w:cs="Times New Roman"/>
                <w:color w:val="auto"/>
                <w:sz w:val="24"/>
                <w:szCs w:val="24"/>
                <w:lang w:eastAsia="zh-CN"/>
              </w:rPr>
              <w:t>kW</w:t>
            </w:r>
            <w:r>
              <w:rPr>
                <w:rFonts w:hint="default" w:ascii="Times New Roman" w:hAnsi="Times New Roman" w:cs="Times New Roman"/>
                <w:color w:val="auto"/>
                <w:sz w:val="24"/>
                <w:szCs w:val="24"/>
                <w:lang w:eastAsia="zh-CN"/>
              </w:rPr>
              <w:t>·h</w:t>
            </w:r>
            <w:r>
              <w:rPr>
                <w:rFonts w:hint="default" w:ascii="Times New Roman" w:hAnsi="Times New Roman" w:cs="Times New Roman"/>
                <w:color w:val="auto"/>
                <w:sz w:val="24"/>
                <w:szCs w:val="24"/>
              </w:rPr>
              <w:t xml:space="preserve"> /a，相差较大，主要是由于电站是利用灌溉放水和弃水发电，近些年来随着下游灌溉用水增加，水库低水位运行时间长，与原设计水头运行范围有一定差异，而且随着机组老化，效率下降严重，导致电站最大出力</w:t>
            </w:r>
            <w:r>
              <w:rPr>
                <w:rFonts w:hint="eastAsia" w:cs="Times New Roman"/>
                <w:color w:val="auto"/>
                <w:sz w:val="24"/>
                <w:szCs w:val="24"/>
                <w:lang w:val="en-US" w:eastAsia="zh-CN"/>
              </w:rPr>
              <w:t>只达30%</w:t>
            </w:r>
            <w:r>
              <w:rPr>
                <w:rFonts w:hint="default" w:ascii="Times New Roman" w:hAnsi="Times New Roman" w:cs="Times New Roman"/>
                <w:color w:val="auto"/>
                <w:sz w:val="24"/>
                <w:szCs w:val="24"/>
              </w:rPr>
              <w:t>，尤其在小</w:t>
            </w:r>
            <w:r>
              <w:rPr>
                <w:rFonts w:hint="default" w:ascii="Times New Roman" w:hAnsi="Times New Roman" w:cs="Times New Roman"/>
                <w:color w:val="auto"/>
                <w:sz w:val="24"/>
                <w:szCs w:val="24"/>
                <w:highlight w:val="none"/>
              </w:rPr>
              <w:t>流量、低水头情况下，甚至不能发电，使宝贵的水能资源得不到充分</w:t>
            </w:r>
            <w:r>
              <w:rPr>
                <w:rFonts w:hint="default" w:ascii="Times New Roman" w:hAnsi="Times New Roman" w:cs="Times New Roman"/>
                <w:color w:val="auto"/>
                <w:sz w:val="24"/>
                <w:szCs w:val="24"/>
                <w:highlight w:val="none"/>
                <w:lang w:eastAsia="zh-CN"/>
              </w:rPr>
              <w:t>地</w:t>
            </w:r>
            <w:r>
              <w:rPr>
                <w:rFonts w:hint="default" w:ascii="Times New Roman" w:hAnsi="Times New Roman" w:cs="Times New Roman"/>
                <w:color w:val="auto"/>
                <w:sz w:val="24"/>
                <w:szCs w:val="24"/>
                <w:highlight w:val="none"/>
              </w:rPr>
              <w:t>利用，造成水资源的严重浪费。</w:t>
            </w:r>
          </w:p>
          <w:p w14:paraId="4D039D1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措施：</w:t>
            </w:r>
            <w:r>
              <w:rPr>
                <w:rFonts w:hint="eastAsia" w:ascii="Times New Roman" w:hAnsi="Times New Roman" w:cs="Times New Roman"/>
                <w:color w:val="auto"/>
                <w:sz w:val="24"/>
                <w:szCs w:val="24"/>
                <w:highlight w:val="none"/>
                <w:lang w:val="en-US" w:eastAsia="zh-CN"/>
              </w:rPr>
              <w:t>本次</w:t>
            </w:r>
            <w:r>
              <w:rPr>
                <w:rFonts w:hint="default" w:ascii="Times New Roman" w:hAnsi="Times New Roman" w:cs="Times New Roman"/>
                <w:color w:val="auto"/>
                <w:sz w:val="24"/>
                <w:szCs w:val="24"/>
                <w:highlight w:val="none"/>
                <w:lang w:val="en-US" w:eastAsia="zh-CN"/>
              </w:rPr>
              <w:t>增效扩容改造后总装机容量</w:t>
            </w:r>
            <w:r>
              <w:rPr>
                <w:rFonts w:hint="eastAsia" w:cs="Times New Roman"/>
                <w:color w:val="auto"/>
                <w:sz w:val="24"/>
                <w:szCs w:val="24"/>
                <w:highlight w:val="none"/>
                <w:lang w:val="en-US" w:eastAsia="zh-CN"/>
              </w:rPr>
              <w:t>增加80kW</w:t>
            </w:r>
            <w:r>
              <w:rPr>
                <w:rFonts w:hint="default" w:ascii="Times New Roman" w:hAnsi="Times New Roman" w:cs="Times New Roman"/>
                <w:color w:val="auto"/>
                <w:sz w:val="24"/>
                <w:szCs w:val="24"/>
                <w:highlight w:val="none"/>
                <w:lang w:val="en-US" w:eastAsia="zh-CN"/>
              </w:rPr>
              <w:t>，多</w:t>
            </w:r>
            <w:r>
              <w:rPr>
                <w:rFonts w:hint="default" w:ascii="Times New Roman" w:hAnsi="Times New Roman" w:eastAsia="宋体" w:cs="Times New Roman"/>
                <w:color w:val="auto"/>
                <w:sz w:val="24"/>
                <w:szCs w:val="24"/>
                <w:highlight w:val="none"/>
              </w:rPr>
              <w:t>年平均发电量</w:t>
            </w:r>
            <w:r>
              <w:rPr>
                <w:rFonts w:hint="eastAsia" w:ascii="Times New Roman" w:hAnsi="Times New Roman" w:eastAsia="宋体" w:cs="Times New Roman"/>
                <w:color w:val="auto"/>
                <w:sz w:val="24"/>
                <w:szCs w:val="24"/>
                <w:highlight w:val="none"/>
                <w:lang w:val="en-US" w:eastAsia="zh-CN"/>
              </w:rPr>
              <w:t>提升至</w:t>
            </w:r>
            <w:r>
              <w:rPr>
                <w:rFonts w:hint="eastAsia" w:cs="Times New Roman"/>
                <w:color w:val="auto"/>
                <w:sz w:val="24"/>
                <w:szCs w:val="24"/>
                <w:highlight w:val="none"/>
                <w:lang w:val="en-US" w:eastAsia="zh-CN"/>
              </w:rPr>
              <w:t>101.62</w:t>
            </w:r>
            <w:r>
              <w:rPr>
                <w:rFonts w:hint="default" w:ascii="Times New Roman" w:hAnsi="Times New Roman" w:eastAsia="宋体" w:cs="Times New Roman"/>
                <w:color w:val="auto"/>
                <w:sz w:val="24"/>
                <w:szCs w:val="24"/>
                <w:highlight w:val="none"/>
              </w:rPr>
              <w:t>×10</w:t>
            </w:r>
            <w:r>
              <w:rPr>
                <w:rFonts w:hint="default" w:ascii="Times New Roman" w:hAnsi="Times New Roman" w:eastAsia="宋体" w:cs="Times New Roman"/>
                <w:color w:val="auto"/>
                <w:sz w:val="24"/>
                <w:szCs w:val="24"/>
                <w:highlight w:val="none"/>
                <w:vertAlign w:val="superscript"/>
              </w:rPr>
              <w:t>4</w:t>
            </w:r>
            <w:r>
              <w:rPr>
                <w:rFonts w:hint="eastAsia" w:cs="Times New Roman"/>
                <w:color w:val="auto"/>
                <w:sz w:val="24"/>
                <w:szCs w:val="24"/>
                <w:highlight w:val="none"/>
                <w:lang w:eastAsia="zh-CN"/>
              </w:rPr>
              <w:t>kW</w:t>
            </w:r>
            <w:r>
              <w:rPr>
                <w:rFonts w:hint="default" w:ascii="Times New Roman" w:hAnsi="Times New Roman" w:cs="Times New Roman"/>
                <w:color w:val="auto"/>
                <w:sz w:val="24"/>
                <w:szCs w:val="24"/>
                <w:highlight w:val="none"/>
                <w:lang w:eastAsia="zh-CN"/>
              </w:rPr>
              <w:t>·h</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增加年发电量</w:t>
            </w:r>
            <w:r>
              <w:rPr>
                <w:rFonts w:hint="eastAsia" w:cs="Times New Roman"/>
                <w:color w:val="auto"/>
                <w:sz w:val="24"/>
                <w:szCs w:val="24"/>
                <w:highlight w:val="none"/>
                <w:lang w:val="en-US" w:eastAsia="zh-CN"/>
              </w:rPr>
              <w:t>56.62</w:t>
            </w:r>
            <w:r>
              <w:rPr>
                <w:rFonts w:hint="default" w:ascii="Times New Roman" w:hAnsi="Times New Roman" w:eastAsia="宋体" w:cs="Times New Roman"/>
                <w:color w:val="auto"/>
                <w:sz w:val="24"/>
                <w:szCs w:val="24"/>
                <w:highlight w:val="none"/>
              </w:rPr>
              <w:t>×10</w:t>
            </w:r>
            <w:r>
              <w:rPr>
                <w:rFonts w:hint="default" w:ascii="Times New Roman" w:hAnsi="Times New Roman" w:eastAsia="宋体" w:cs="Times New Roman"/>
                <w:color w:val="auto"/>
                <w:sz w:val="24"/>
                <w:szCs w:val="24"/>
                <w:highlight w:val="none"/>
                <w:vertAlign w:val="superscript"/>
              </w:rPr>
              <w:t>4</w:t>
            </w:r>
            <w:r>
              <w:rPr>
                <w:rFonts w:hint="eastAsia" w:cs="Times New Roman"/>
                <w:color w:val="auto"/>
                <w:sz w:val="24"/>
                <w:szCs w:val="24"/>
                <w:highlight w:val="none"/>
                <w:lang w:eastAsia="zh-CN"/>
              </w:rPr>
              <w:t>kW</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h</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可有效利用水资源，解决水资源浪费问题。</w:t>
            </w:r>
          </w:p>
          <w:p w14:paraId="4D87788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（2）水环境问题</w:t>
            </w:r>
          </w:p>
          <w:p w14:paraId="0E4AA63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lang w:val="en-US" w:eastAsia="zh-CN"/>
              </w:rPr>
            </w:pPr>
            <w:r>
              <w:rPr>
                <w:rFonts w:hint="eastAsia" w:cs="Times New Roman"/>
                <w:color w:val="auto"/>
                <w:sz w:val="24"/>
                <w:szCs w:val="24"/>
                <w:lang w:val="en-US" w:eastAsia="zh-CN"/>
              </w:rPr>
              <w:t>青年水库</w:t>
            </w:r>
            <w:r>
              <w:rPr>
                <w:rFonts w:hint="default" w:ascii="Times New Roman" w:hAnsi="Times New Roman" w:cs="Times New Roman"/>
                <w:color w:val="auto"/>
                <w:sz w:val="24"/>
                <w:szCs w:val="24"/>
                <w:lang w:val="en-US" w:eastAsia="zh-CN"/>
              </w:rPr>
              <w:t>上游无集中式点源分布，污染源主要以农村生活等面源为主。</w:t>
            </w:r>
            <w:r>
              <w:rPr>
                <w:rFonts w:hint="default" w:ascii="Times New Roman" w:hAnsi="Times New Roman" w:cs="Times New Roman"/>
                <w:color w:val="auto"/>
                <w:kern w:val="0"/>
                <w:sz w:val="24"/>
                <w:szCs w:val="24"/>
              </w:rPr>
              <w:t>水电站发电属清洁生产，生产过程无生产废水产生，</w:t>
            </w:r>
            <w:r>
              <w:rPr>
                <w:rFonts w:hint="default" w:ascii="Times New Roman" w:hAnsi="Times New Roman" w:cs="Times New Roman"/>
                <w:color w:val="auto"/>
                <w:sz w:val="24"/>
                <w:szCs w:val="24"/>
                <w:lang w:val="en-US" w:eastAsia="zh-CN"/>
              </w:rPr>
              <w:t>主要是</w:t>
            </w:r>
            <w:r>
              <w:rPr>
                <w:rFonts w:hint="eastAsia" w:cs="Times New Roman"/>
                <w:color w:val="auto"/>
                <w:sz w:val="24"/>
                <w:szCs w:val="24"/>
                <w:lang w:val="en-US" w:eastAsia="zh-CN"/>
              </w:rPr>
              <w:t>由于水库</w:t>
            </w:r>
            <w:r>
              <w:rPr>
                <w:rFonts w:hint="default" w:ascii="Times New Roman" w:hAnsi="Times New Roman" w:cs="Times New Roman"/>
                <w:color w:val="auto"/>
                <w:sz w:val="24"/>
                <w:szCs w:val="24"/>
                <w:lang w:val="en-US" w:eastAsia="zh-CN"/>
              </w:rPr>
              <w:t>上游分布有农村生活污染和农业面源，加之</w:t>
            </w:r>
            <w:r>
              <w:rPr>
                <w:rFonts w:hint="eastAsia" w:cs="Times New Roman"/>
                <w:color w:val="auto"/>
                <w:sz w:val="24"/>
                <w:szCs w:val="24"/>
                <w:lang w:val="en-US" w:eastAsia="zh-CN"/>
              </w:rPr>
              <w:t>裴德河</w:t>
            </w:r>
            <w:r>
              <w:rPr>
                <w:rFonts w:hint="default" w:ascii="Times New Roman" w:hAnsi="Times New Roman" w:cs="Times New Roman"/>
                <w:color w:val="auto"/>
                <w:sz w:val="24"/>
                <w:szCs w:val="24"/>
                <w:lang w:val="en-US" w:eastAsia="zh-CN"/>
              </w:rPr>
              <w:t>为季节性河流，水体自净能力较差。</w:t>
            </w:r>
          </w:p>
          <w:p w14:paraId="76AF945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s="Times New Roman"/>
                <w:color w:val="auto"/>
                <w:sz w:val="24"/>
                <w:szCs w:val="24"/>
                <w:lang w:val="en-US" w:eastAsia="zh-CN"/>
              </w:rPr>
            </w:pPr>
            <w:r>
              <w:rPr>
                <w:rFonts w:hint="eastAsia" w:cs="Times New Roman"/>
                <w:color w:val="auto"/>
                <w:sz w:val="24"/>
                <w:szCs w:val="24"/>
                <w:lang w:val="en-US" w:eastAsia="zh-CN"/>
              </w:rPr>
              <w:t>（3）危废未规范化处理问题</w:t>
            </w:r>
          </w:p>
          <w:p w14:paraId="0E01FBE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cs="Times New Roman"/>
                <w:color w:val="auto"/>
                <w:sz w:val="24"/>
                <w:szCs w:val="24"/>
                <w:lang w:val="en-US" w:eastAsia="zh-CN"/>
              </w:rPr>
            </w:pPr>
            <w:r>
              <w:rPr>
                <w:rFonts w:hint="default"/>
                <w:color w:val="auto"/>
                <w:sz w:val="24"/>
                <w:szCs w:val="24"/>
                <w:lang w:val="en-US" w:eastAsia="zh-CN"/>
              </w:rPr>
              <w:t>电站运行过程中产生的废机油</w:t>
            </w:r>
            <w:r>
              <w:rPr>
                <w:rFonts w:hint="eastAsia"/>
                <w:color w:val="auto"/>
                <w:sz w:val="24"/>
                <w:szCs w:val="24"/>
                <w:lang w:val="en-US" w:eastAsia="zh-CN"/>
              </w:rPr>
              <w:t>利用废油桶收集后暂存在厂房内一角</w:t>
            </w:r>
            <w:r>
              <w:rPr>
                <w:rFonts w:hint="default"/>
                <w:color w:val="auto"/>
                <w:sz w:val="24"/>
                <w:szCs w:val="24"/>
                <w:lang w:val="en-US" w:eastAsia="zh-CN"/>
              </w:rPr>
              <w:t>，</w:t>
            </w:r>
            <w:r>
              <w:rPr>
                <w:rFonts w:hint="eastAsia"/>
                <w:color w:val="auto"/>
                <w:sz w:val="24"/>
                <w:szCs w:val="24"/>
                <w:lang w:val="en-US" w:eastAsia="zh-CN"/>
              </w:rPr>
              <w:t>不定期转运至有</w:t>
            </w:r>
            <w:r>
              <w:rPr>
                <w:rFonts w:hint="default" w:cs="Times New Roman"/>
                <w:color w:val="auto"/>
                <w:sz w:val="24"/>
                <w:szCs w:val="24"/>
                <w:lang w:val="en-US" w:eastAsia="zh-CN"/>
              </w:rPr>
              <w:t>危险废物处置资质</w:t>
            </w:r>
            <w:r>
              <w:rPr>
                <w:rFonts w:hint="eastAsia" w:cs="Times New Roman"/>
                <w:color w:val="auto"/>
                <w:sz w:val="24"/>
                <w:szCs w:val="24"/>
                <w:lang w:val="en-US" w:eastAsia="zh-CN"/>
              </w:rPr>
              <w:t>的</w:t>
            </w:r>
            <w:r>
              <w:rPr>
                <w:rFonts w:hint="default" w:cs="Times New Roman"/>
                <w:color w:val="auto"/>
                <w:sz w:val="24"/>
                <w:szCs w:val="24"/>
                <w:lang w:val="en-US" w:eastAsia="zh-CN"/>
              </w:rPr>
              <w:t>单位</w:t>
            </w:r>
            <w:r>
              <w:rPr>
                <w:rFonts w:hint="eastAsia"/>
                <w:color w:val="auto"/>
                <w:sz w:val="24"/>
                <w:szCs w:val="24"/>
                <w:lang w:val="en-US" w:eastAsia="zh-CN"/>
              </w:rPr>
              <w:t>。</w:t>
            </w:r>
            <w:r>
              <w:rPr>
                <w:rFonts w:hint="eastAsia" w:cs="Times New Roman"/>
                <w:color w:val="auto"/>
                <w:sz w:val="24"/>
                <w:szCs w:val="24"/>
                <w:lang w:val="en-US" w:eastAsia="zh-CN"/>
              </w:rPr>
              <w:t>水</w:t>
            </w:r>
            <w:r>
              <w:rPr>
                <w:rFonts w:hint="default" w:cs="Times New Roman"/>
                <w:color w:val="auto"/>
                <w:sz w:val="24"/>
                <w:szCs w:val="24"/>
                <w:lang w:val="en-US" w:eastAsia="zh-CN"/>
              </w:rPr>
              <w:t>电站</w:t>
            </w:r>
            <w:r>
              <w:rPr>
                <w:rFonts w:hint="eastAsia" w:cs="Times New Roman"/>
                <w:color w:val="auto"/>
                <w:sz w:val="24"/>
                <w:szCs w:val="24"/>
                <w:lang w:val="en-US" w:eastAsia="zh-CN"/>
              </w:rPr>
              <w:t>目前</w:t>
            </w:r>
            <w:r>
              <w:rPr>
                <w:rFonts w:hint="default" w:cs="Times New Roman"/>
                <w:color w:val="auto"/>
                <w:sz w:val="24"/>
                <w:szCs w:val="24"/>
                <w:lang w:val="en-US" w:eastAsia="zh-CN"/>
              </w:rPr>
              <w:t>未与有危险废物处置资质单位</w:t>
            </w:r>
            <w:r>
              <w:rPr>
                <w:rFonts w:hint="eastAsia" w:cs="Times New Roman"/>
                <w:color w:val="auto"/>
                <w:sz w:val="24"/>
                <w:szCs w:val="24"/>
                <w:lang w:val="en-US" w:eastAsia="zh-CN"/>
              </w:rPr>
              <w:t>正式</w:t>
            </w:r>
            <w:r>
              <w:rPr>
                <w:rFonts w:hint="default" w:cs="Times New Roman"/>
                <w:color w:val="auto"/>
                <w:sz w:val="24"/>
                <w:szCs w:val="24"/>
                <w:lang w:val="en-US" w:eastAsia="zh-CN"/>
              </w:rPr>
              <w:t>签订危险废物处置协议，运行过程产生的危险废物</w:t>
            </w:r>
            <w:r>
              <w:rPr>
                <w:rFonts w:hint="eastAsia" w:cs="Times New Roman"/>
                <w:color w:val="auto"/>
                <w:sz w:val="24"/>
                <w:szCs w:val="24"/>
                <w:lang w:val="en-US" w:eastAsia="zh-CN"/>
              </w:rPr>
              <w:t>长期暂存在厂房内，未设立危废贮存点</w:t>
            </w:r>
            <w:r>
              <w:rPr>
                <w:rFonts w:hint="default" w:cs="Times New Roman"/>
                <w:color w:val="auto"/>
                <w:sz w:val="24"/>
                <w:szCs w:val="24"/>
                <w:lang w:val="en-US" w:eastAsia="zh-CN"/>
              </w:rPr>
              <w:t>；未建立危险废物管理台账。</w:t>
            </w:r>
          </w:p>
          <w:p w14:paraId="3FAD697B">
            <w:pPr>
              <w:spacing w:line="360" w:lineRule="auto"/>
              <w:ind w:firstLine="480" w:firstLineChars="200"/>
              <w:rPr>
                <w:rFonts w:hint="eastAsia"/>
                <w:color w:val="auto"/>
                <w:sz w:val="24"/>
                <w:szCs w:val="24"/>
                <w:lang w:eastAsia="zh-CN"/>
              </w:rPr>
            </w:pPr>
            <w:r>
              <w:rPr>
                <w:rFonts w:hint="eastAsia" w:cs="Times New Roman"/>
                <w:color w:val="auto"/>
                <w:sz w:val="24"/>
                <w:szCs w:val="24"/>
                <w:lang w:val="en-US" w:eastAsia="zh-CN"/>
              </w:rPr>
              <w:t>措施：</w:t>
            </w:r>
            <w:r>
              <w:rPr>
                <w:rFonts w:hint="eastAsia"/>
                <w:color w:val="auto"/>
                <w:sz w:val="24"/>
                <w:szCs w:val="24"/>
                <w:lang w:val="en-US" w:eastAsia="zh-CN"/>
              </w:rPr>
              <w:t>本次环评建议</w:t>
            </w:r>
            <w:r>
              <w:rPr>
                <w:rFonts w:hint="eastAsia" w:ascii="Times New Roman" w:hAnsi="Times New Roman" w:eastAsia="宋体" w:cs="Times New Roman"/>
                <w:color w:val="auto"/>
                <w:kern w:val="0"/>
                <w:sz w:val="24"/>
                <w:szCs w:val="24"/>
                <w:lang w:val="en-US" w:eastAsia="zh-CN"/>
              </w:rPr>
              <w:t>设置危废</w:t>
            </w:r>
            <w:r>
              <w:rPr>
                <w:rFonts w:hint="eastAsia" w:cs="Times New Roman"/>
                <w:color w:val="auto"/>
                <w:kern w:val="0"/>
                <w:sz w:val="24"/>
                <w:szCs w:val="24"/>
                <w:lang w:val="en-US" w:eastAsia="zh-CN"/>
              </w:rPr>
              <w:t>贮存点，</w:t>
            </w:r>
            <w:r>
              <w:rPr>
                <w:rFonts w:hint="eastAsia"/>
                <w:color w:val="auto"/>
                <w:sz w:val="24"/>
                <w:szCs w:val="24"/>
                <w:lang w:val="en-US" w:eastAsia="zh-CN"/>
              </w:rPr>
              <w:t>建设单位</w:t>
            </w:r>
            <w:r>
              <w:rPr>
                <w:rFonts w:hint="eastAsia"/>
                <w:color w:val="auto"/>
                <w:sz w:val="24"/>
                <w:szCs w:val="24"/>
              </w:rPr>
              <w:t>签订危废转运协议，做好危废管理台账，按《危险废物转移管理办法》（生态环境部、公安部、交通运输部令第23号）要求转运</w:t>
            </w:r>
            <w:r>
              <w:rPr>
                <w:rFonts w:hint="eastAsia"/>
                <w:color w:val="auto"/>
                <w:sz w:val="24"/>
                <w:szCs w:val="24"/>
                <w:lang w:eastAsia="zh-CN"/>
              </w:rPr>
              <w:t>。</w:t>
            </w:r>
          </w:p>
          <w:p w14:paraId="6E249BBB">
            <w:pPr>
              <w:pStyle w:val="2"/>
              <w:rPr>
                <w:rFonts w:hint="eastAsia"/>
                <w:color w:val="auto"/>
                <w:sz w:val="24"/>
                <w:szCs w:val="24"/>
                <w:lang w:eastAsia="zh-CN"/>
              </w:rPr>
            </w:pPr>
          </w:p>
          <w:p w14:paraId="11BF3F90">
            <w:pPr>
              <w:rPr>
                <w:rFonts w:hint="eastAsia"/>
                <w:color w:val="auto"/>
                <w:sz w:val="24"/>
                <w:szCs w:val="24"/>
                <w:lang w:eastAsia="zh-CN"/>
              </w:rPr>
            </w:pPr>
          </w:p>
          <w:p w14:paraId="00AB749D">
            <w:pPr>
              <w:pStyle w:val="2"/>
              <w:rPr>
                <w:rFonts w:hint="eastAsia"/>
                <w:color w:val="auto"/>
                <w:sz w:val="24"/>
                <w:szCs w:val="24"/>
                <w:lang w:eastAsia="zh-CN"/>
              </w:rPr>
            </w:pPr>
          </w:p>
          <w:p w14:paraId="5D9C4678">
            <w:pPr>
              <w:rPr>
                <w:rFonts w:hint="eastAsia"/>
                <w:color w:val="auto"/>
                <w:sz w:val="24"/>
                <w:szCs w:val="24"/>
                <w:lang w:eastAsia="zh-CN"/>
              </w:rPr>
            </w:pPr>
          </w:p>
          <w:p w14:paraId="58AA6A3B">
            <w:pPr>
              <w:pStyle w:val="2"/>
              <w:rPr>
                <w:rFonts w:hint="eastAsia"/>
                <w:color w:val="auto"/>
                <w:sz w:val="24"/>
                <w:szCs w:val="24"/>
                <w:lang w:eastAsia="zh-CN"/>
              </w:rPr>
            </w:pPr>
          </w:p>
          <w:p w14:paraId="1C2B936D">
            <w:pPr>
              <w:rPr>
                <w:rFonts w:hint="eastAsia"/>
                <w:color w:val="auto"/>
                <w:sz w:val="24"/>
                <w:szCs w:val="24"/>
                <w:lang w:eastAsia="zh-CN"/>
              </w:rPr>
            </w:pPr>
          </w:p>
          <w:p w14:paraId="569CDE07">
            <w:pPr>
              <w:pStyle w:val="2"/>
              <w:rPr>
                <w:rFonts w:hint="eastAsia"/>
                <w:color w:val="auto"/>
                <w:sz w:val="24"/>
                <w:szCs w:val="24"/>
                <w:lang w:eastAsia="zh-CN"/>
              </w:rPr>
            </w:pPr>
          </w:p>
          <w:p w14:paraId="60BE23C6">
            <w:pPr>
              <w:rPr>
                <w:rFonts w:hint="eastAsia"/>
                <w:color w:val="auto"/>
                <w:sz w:val="24"/>
                <w:szCs w:val="24"/>
                <w:lang w:eastAsia="zh-CN"/>
              </w:rPr>
            </w:pPr>
          </w:p>
          <w:p w14:paraId="4D864DB0">
            <w:pPr>
              <w:pStyle w:val="2"/>
              <w:rPr>
                <w:rFonts w:hint="eastAsia"/>
                <w:color w:val="auto"/>
                <w:sz w:val="24"/>
                <w:szCs w:val="24"/>
                <w:lang w:eastAsia="zh-CN"/>
              </w:rPr>
            </w:pPr>
          </w:p>
          <w:p w14:paraId="684F1289">
            <w:pPr>
              <w:pStyle w:val="2"/>
              <w:ind w:left="0" w:leftChars="0" w:firstLine="0" w:firstLineChars="0"/>
              <w:rPr>
                <w:rFonts w:hint="eastAsia"/>
                <w:lang w:val="en-US" w:eastAsia="zh-CN"/>
              </w:rPr>
            </w:pPr>
          </w:p>
        </w:tc>
      </w:tr>
      <w:tr w14:paraId="350527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480" w:hRule="atLeast"/>
          <w:jc w:val="center"/>
        </w:trPr>
        <w:tc>
          <w:tcPr>
            <w:tcW w:w="895" w:type="dxa"/>
            <w:vAlign w:val="center"/>
          </w:tcPr>
          <w:p w14:paraId="71AE7D5F">
            <w:pPr>
              <w:adjustRightInd w:val="0"/>
              <w:snapToGrid w:val="0"/>
              <w:jc w:val="center"/>
              <w:rPr>
                <w:rFonts w:hint="default" w:ascii="Times New Roman" w:hAnsi="Times New Roman" w:cs="Times New Roman" w:eastAsiaTheme="minorEastAsia"/>
                <w:bCs/>
                <w:color w:val="auto"/>
                <w:szCs w:val="21"/>
              </w:rPr>
            </w:pPr>
            <w:r>
              <w:rPr>
                <w:rFonts w:hint="default" w:ascii="Times New Roman" w:hAnsi="Times New Roman" w:cs="Times New Roman" w:eastAsiaTheme="minorEastAsia"/>
                <w:color w:val="auto"/>
                <w:kern w:val="0"/>
                <w:sz w:val="24"/>
                <w:szCs w:val="24"/>
              </w:rPr>
              <w:t>生态环境保护目标</w:t>
            </w:r>
          </w:p>
        </w:tc>
        <w:tc>
          <w:tcPr>
            <w:tcW w:w="8262" w:type="dxa"/>
          </w:tcPr>
          <w:p w14:paraId="0367B6D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lang w:val="en-US" w:eastAsia="zh-CN"/>
              </w:rPr>
            </w:pPr>
            <w:bookmarkStart w:id="8" w:name="_Hlk111815021"/>
            <w:r>
              <w:rPr>
                <w:rFonts w:hint="eastAsia"/>
                <w:color w:val="auto"/>
                <w:sz w:val="24"/>
                <w:szCs w:val="24"/>
              </w:rPr>
              <w:t xml:space="preserve">本工程建设后，水库库容、正常蓄水位等指标不变，未改变坝址上下游水文情势，施工期及运行期均不排污，根据《环境影响评价技术导则 </w:t>
            </w:r>
            <w:r>
              <w:rPr>
                <w:color w:val="auto"/>
                <w:sz w:val="24"/>
                <w:szCs w:val="24"/>
              </w:rPr>
              <w:t xml:space="preserve"> </w:t>
            </w:r>
            <w:r>
              <w:rPr>
                <w:rFonts w:hint="eastAsia"/>
                <w:color w:val="auto"/>
                <w:sz w:val="24"/>
                <w:szCs w:val="24"/>
              </w:rPr>
              <w:t>地表水环境》（H</w:t>
            </w:r>
            <w:r>
              <w:rPr>
                <w:color w:val="auto"/>
                <w:sz w:val="24"/>
                <w:szCs w:val="24"/>
              </w:rPr>
              <w:t>J 2.3-2018</w:t>
            </w:r>
            <w:r>
              <w:rPr>
                <w:rFonts w:hint="eastAsia"/>
                <w:color w:val="auto"/>
                <w:sz w:val="24"/>
                <w:szCs w:val="24"/>
              </w:rPr>
              <w:t>）本次地表水环境不设置评价范围，</w:t>
            </w:r>
            <w:r>
              <w:rPr>
                <w:rFonts w:hint="eastAsia" w:cs="Times New Roman"/>
                <w:color w:val="auto"/>
                <w:sz w:val="24"/>
                <w:szCs w:val="24"/>
                <w:lang w:val="en-US" w:eastAsia="zh-CN"/>
              </w:rPr>
              <w:t>青年水库</w:t>
            </w:r>
            <w:r>
              <w:rPr>
                <w:rFonts w:hint="default" w:ascii="Times New Roman" w:hAnsi="Times New Roman" w:cs="Times New Roman"/>
                <w:color w:val="auto"/>
                <w:sz w:val="24"/>
                <w:szCs w:val="24"/>
                <w:lang w:val="en-US" w:eastAsia="zh-CN"/>
              </w:rPr>
              <w:t>电站是</w:t>
            </w:r>
            <w:r>
              <w:rPr>
                <w:rFonts w:hint="eastAsia" w:cs="Times New Roman"/>
                <w:color w:val="auto"/>
                <w:sz w:val="24"/>
                <w:szCs w:val="24"/>
                <w:lang w:val="en-US" w:eastAsia="zh-CN"/>
              </w:rPr>
              <w:t>穆棱河</w:t>
            </w:r>
            <w:r>
              <w:rPr>
                <w:rFonts w:hint="default" w:ascii="Times New Roman" w:hAnsi="Times New Roman" w:cs="Times New Roman"/>
                <w:color w:val="auto"/>
                <w:sz w:val="24"/>
                <w:szCs w:val="24"/>
                <w:lang w:val="en-US" w:eastAsia="zh-CN"/>
              </w:rPr>
              <w:t>二级支流</w:t>
            </w:r>
            <w:r>
              <w:rPr>
                <w:rFonts w:hint="eastAsia" w:cs="Times New Roman"/>
                <w:color w:val="auto"/>
                <w:sz w:val="24"/>
                <w:szCs w:val="24"/>
                <w:lang w:val="en-US" w:eastAsia="zh-CN"/>
              </w:rPr>
              <w:t>裴德</w:t>
            </w:r>
            <w:r>
              <w:rPr>
                <w:rFonts w:hint="default" w:ascii="Times New Roman" w:hAnsi="Times New Roman" w:cs="Times New Roman"/>
                <w:color w:val="auto"/>
                <w:sz w:val="24"/>
                <w:szCs w:val="24"/>
                <w:lang w:val="en-US" w:eastAsia="zh-CN"/>
              </w:rPr>
              <w:t>河下游的坝式水电站，因此本项目地表水环境保护目标为</w:t>
            </w:r>
            <w:r>
              <w:rPr>
                <w:rFonts w:hint="eastAsia" w:cs="Times New Roman"/>
                <w:color w:val="auto"/>
                <w:sz w:val="24"/>
                <w:szCs w:val="24"/>
                <w:lang w:val="en-US" w:eastAsia="zh-CN"/>
              </w:rPr>
              <w:t>青年水库</w:t>
            </w:r>
            <w:r>
              <w:rPr>
                <w:rFonts w:hint="default" w:ascii="Times New Roman" w:hAnsi="Times New Roman" w:cs="Times New Roman"/>
                <w:color w:val="auto"/>
                <w:sz w:val="24"/>
                <w:szCs w:val="24"/>
                <w:lang w:val="en-US" w:eastAsia="zh-CN"/>
              </w:rPr>
              <w:t>和</w:t>
            </w:r>
            <w:r>
              <w:rPr>
                <w:rFonts w:hint="eastAsia" w:cs="Times New Roman"/>
                <w:color w:val="auto"/>
                <w:sz w:val="24"/>
                <w:szCs w:val="24"/>
                <w:lang w:val="en-US" w:eastAsia="zh-CN"/>
              </w:rPr>
              <w:t>裴德</w:t>
            </w:r>
            <w:r>
              <w:rPr>
                <w:rFonts w:hint="default" w:ascii="Times New Roman" w:hAnsi="Times New Roman" w:cs="Times New Roman"/>
                <w:color w:val="auto"/>
                <w:sz w:val="24"/>
                <w:szCs w:val="24"/>
                <w:lang w:val="en-US" w:eastAsia="zh-CN"/>
              </w:rPr>
              <w:t>河。</w:t>
            </w:r>
          </w:p>
          <w:p w14:paraId="4CE5ABA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sz w:val="24"/>
                <w:szCs w:val="24"/>
              </w:rPr>
            </w:pPr>
            <w:r>
              <w:rPr>
                <w:rFonts w:hint="eastAsia"/>
                <w:color w:val="auto"/>
                <w:sz w:val="24"/>
                <w:szCs w:val="24"/>
              </w:rPr>
              <w:t xml:space="preserve">根据《环境影响评价技术导则 </w:t>
            </w:r>
            <w:r>
              <w:rPr>
                <w:color w:val="auto"/>
                <w:sz w:val="24"/>
                <w:szCs w:val="24"/>
              </w:rPr>
              <w:t xml:space="preserve"> </w:t>
            </w:r>
            <w:r>
              <w:rPr>
                <w:rFonts w:hint="eastAsia"/>
                <w:color w:val="auto"/>
                <w:sz w:val="24"/>
                <w:szCs w:val="24"/>
              </w:rPr>
              <w:t>声环境》（H</w:t>
            </w:r>
            <w:r>
              <w:rPr>
                <w:color w:val="auto"/>
                <w:sz w:val="24"/>
                <w:szCs w:val="24"/>
              </w:rPr>
              <w:t>J 2.4-2021</w:t>
            </w:r>
            <w:r>
              <w:rPr>
                <w:rFonts w:hint="eastAsia"/>
                <w:color w:val="auto"/>
                <w:sz w:val="24"/>
                <w:szCs w:val="24"/>
              </w:rPr>
              <w:t>），本次评价声环境评价范围确定为工程施工边界外2</w:t>
            </w:r>
            <w:r>
              <w:rPr>
                <w:color w:val="auto"/>
                <w:sz w:val="24"/>
                <w:szCs w:val="24"/>
              </w:rPr>
              <w:t>00m</w:t>
            </w:r>
            <w:r>
              <w:rPr>
                <w:rFonts w:hint="eastAsia"/>
                <w:color w:val="auto"/>
                <w:sz w:val="24"/>
                <w:szCs w:val="24"/>
              </w:rPr>
              <w:t>范围内，环境保护目标为2</w:t>
            </w:r>
            <w:r>
              <w:rPr>
                <w:color w:val="auto"/>
                <w:sz w:val="24"/>
                <w:szCs w:val="24"/>
              </w:rPr>
              <w:t>00m</w:t>
            </w:r>
            <w:r>
              <w:rPr>
                <w:rFonts w:hint="eastAsia"/>
                <w:color w:val="auto"/>
                <w:sz w:val="24"/>
                <w:szCs w:val="24"/>
              </w:rPr>
              <w:t>范围内的村屯，即兴利村。</w:t>
            </w:r>
          </w:p>
          <w:p w14:paraId="3B10451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sz w:val="24"/>
                <w:szCs w:val="24"/>
              </w:rPr>
            </w:pPr>
            <w:r>
              <w:rPr>
                <w:rFonts w:hint="eastAsia"/>
                <w:color w:val="auto"/>
                <w:sz w:val="24"/>
                <w:szCs w:val="24"/>
              </w:rPr>
              <w:t xml:space="preserve">根据《环境影响评价技术导则 </w:t>
            </w:r>
            <w:r>
              <w:rPr>
                <w:color w:val="auto"/>
                <w:sz w:val="24"/>
                <w:szCs w:val="24"/>
              </w:rPr>
              <w:t xml:space="preserve"> </w:t>
            </w:r>
            <w:r>
              <w:rPr>
                <w:rFonts w:hint="eastAsia"/>
                <w:color w:val="auto"/>
                <w:sz w:val="24"/>
                <w:szCs w:val="24"/>
              </w:rPr>
              <w:t>大气环境》（H</w:t>
            </w:r>
            <w:r>
              <w:rPr>
                <w:color w:val="auto"/>
                <w:sz w:val="24"/>
                <w:szCs w:val="24"/>
              </w:rPr>
              <w:t>J 2.2-2018</w:t>
            </w:r>
            <w:r>
              <w:rPr>
                <w:rFonts w:hint="eastAsia"/>
                <w:color w:val="auto"/>
                <w:sz w:val="24"/>
                <w:szCs w:val="24"/>
              </w:rPr>
              <w:t>）大气环境不设置评价范围，环境保护目标为临近工程施工的村屯，即兴利村。</w:t>
            </w:r>
          </w:p>
          <w:p w14:paraId="5328738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sz w:val="24"/>
                <w:szCs w:val="24"/>
              </w:rPr>
            </w:pPr>
            <w:r>
              <w:rPr>
                <w:rFonts w:hint="eastAsia"/>
                <w:color w:val="auto"/>
                <w:sz w:val="24"/>
                <w:szCs w:val="24"/>
              </w:rPr>
              <w:t>工程建设未</w:t>
            </w:r>
            <w:r>
              <w:rPr>
                <w:rFonts w:hint="eastAsia"/>
                <w:color w:val="auto"/>
                <w:sz w:val="24"/>
                <w:szCs w:val="24"/>
                <w:lang w:val="en-US" w:eastAsia="zh-CN"/>
              </w:rPr>
              <w:t>新</w:t>
            </w:r>
            <w:r>
              <w:rPr>
                <w:rFonts w:hint="eastAsia"/>
                <w:color w:val="auto"/>
                <w:sz w:val="24"/>
                <w:szCs w:val="24"/>
              </w:rPr>
              <w:t xml:space="preserve">增永久占地，未改变坝址上下游水文情势，且工程不涉及自然保护区、风景名胜区、自然公园、生态保护红线等环境敏感区，根据《环境影响评价技术导则 </w:t>
            </w:r>
            <w:r>
              <w:rPr>
                <w:color w:val="auto"/>
                <w:sz w:val="24"/>
                <w:szCs w:val="24"/>
              </w:rPr>
              <w:t xml:space="preserve"> </w:t>
            </w:r>
            <w:r>
              <w:rPr>
                <w:rFonts w:hint="eastAsia"/>
                <w:color w:val="auto"/>
                <w:sz w:val="24"/>
                <w:szCs w:val="24"/>
              </w:rPr>
              <w:t>生态影响》（H</w:t>
            </w:r>
            <w:r>
              <w:rPr>
                <w:color w:val="auto"/>
                <w:sz w:val="24"/>
                <w:szCs w:val="24"/>
              </w:rPr>
              <w:t>J 19-2022</w:t>
            </w:r>
            <w:r>
              <w:rPr>
                <w:rFonts w:hint="eastAsia"/>
                <w:color w:val="auto"/>
                <w:sz w:val="24"/>
                <w:szCs w:val="24"/>
              </w:rPr>
              <w:t>），本次生态环境评价以主体工程区、临时工程区边界外3</w:t>
            </w:r>
            <w:r>
              <w:rPr>
                <w:color w:val="auto"/>
                <w:sz w:val="24"/>
                <w:szCs w:val="24"/>
              </w:rPr>
              <w:t>00m</w:t>
            </w:r>
            <w:r>
              <w:rPr>
                <w:rFonts w:hint="eastAsia"/>
                <w:color w:val="auto"/>
                <w:sz w:val="24"/>
                <w:szCs w:val="24"/>
              </w:rPr>
              <w:t>作为评价范围，评价范围内无珍稀濒危野生动物集中分布，故生态环境保护目标为</w:t>
            </w:r>
            <w:r>
              <w:rPr>
                <w:color w:val="auto"/>
                <w:sz w:val="24"/>
                <w:szCs w:val="24"/>
              </w:rPr>
              <w:t>300m</w:t>
            </w:r>
            <w:r>
              <w:rPr>
                <w:rFonts w:hint="eastAsia"/>
                <w:color w:val="auto"/>
                <w:sz w:val="24"/>
                <w:szCs w:val="24"/>
              </w:rPr>
              <w:t>范围内的陆生生态及水生生态系统</w:t>
            </w:r>
            <w:r>
              <w:rPr>
                <w:color w:val="auto"/>
                <w:sz w:val="24"/>
                <w:szCs w:val="24"/>
              </w:rPr>
              <w:t>。</w:t>
            </w:r>
          </w:p>
          <w:bookmarkEnd w:id="8"/>
          <w:p w14:paraId="1D04061E">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color w:val="auto"/>
                <w:kern w:val="0"/>
                <w:sz w:val="24"/>
                <w:szCs w:val="24"/>
              </w:rPr>
            </w:pPr>
            <w:r>
              <w:rPr>
                <w:b/>
                <w:bCs/>
                <w:color w:val="auto"/>
                <w:kern w:val="0"/>
                <w:sz w:val="24"/>
                <w:szCs w:val="24"/>
              </w:rPr>
              <w:t>表3</w:t>
            </w:r>
            <w:r>
              <w:rPr>
                <w:rFonts w:hint="eastAsia"/>
                <w:b/>
                <w:bCs/>
                <w:color w:val="auto"/>
                <w:kern w:val="0"/>
                <w:sz w:val="24"/>
                <w:szCs w:val="24"/>
                <w:lang w:val="en-US" w:eastAsia="zh-CN"/>
              </w:rPr>
              <w:t>-3</w:t>
            </w:r>
            <w:r>
              <w:rPr>
                <w:b/>
                <w:bCs/>
                <w:color w:val="auto"/>
                <w:kern w:val="0"/>
                <w:sz w:val="24"/>
                <w:szCs w:val="24"/>
              </w:rPr>
              <w:t xml:space="preserve"> </w:t>
            </w:r>
            <w:r>
              <w:rPr>
                <w:rFonts w:hint="eastAsia"/>
                <w:b/>
                <w:bCs/>
                <w:color w:val="auto"/>
                <w:kern w:val="0"/>
                <w:sz w:val="24"/>
                <w:szCs w:val="24"/>
              </w:rPr>
              <w:t>生态</w:t>
            </w:r>
            <w:r>
              <w:rPr>
                <w:b/>
                <w:bCs/>
                <w:color w:val="auto"/>
                <w:kern w:val="0"/>
                <w:sz w:val="24"/>
                <w:szCs w:val="24"/>
              </w:rPr>
              <w:t>环境保护目标一览表</w:t>
            </w:r>
          </w:p>
          <w:tbl>
            <w:tblPr>
              <w:tblStyle w:val="24"/>
              <w:tblW w:w="4998"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12"/>
              <w:gridCol w:w="1612"/>
              <w:gridCol w:w="1382"/>
              <w:gridCol w:w="2091"/>
              <w:gridCol w:w="2334"/>
            </w:tblGrid>
            <w:tr w14:paraId="2687874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47" w:type="pct"/>
                  <w:tcBorders>
                    <w:left w:val="single" w:color="auto" w:sz="0" w:space="0"/>
                    <w:right w:val="single" w:color="auto" w:sz="4" w:space="0"/>
                  </w:tcBorders>
                  <w:shd w:val="clear" w:color="auto" w:fill="auto"/>
                  <w:noWrap w:val="0"/>
                  <w:tcMar>
                    <w:left w:w="0" w:type="dxa"/>
                    <w:right w:w="0" w:type="dxa"/>
                  </w:tcMar>
                  <w:vAlign w:val="center"/>
                </w:tcPr>
                <w:p w14:paraId="35A2D1C1">
                  <w:pPr>
                    <w:widowControl/>
                    <w:jc w:val="center"/>
                    <w:rPr>
                      <w:color w:val="auto"/>
                      <w:kern w:val="0"/>
                      <w:sz w:val="21"/>
                      <w:szCs w:val="21"/>
                    </w:rPr>
                  </w:pPr>
                  <w:bookmarkStart w:id="9" w:name="_Hlk107750595"/>
                  <w:r>
                    <w:rPr>
                      <w:color w:val="auto"/>
                      <w:kern w:val="0"/>
                      <w:sz w:val="21"/>
                      <w:szCs w:val="21"/>
                    </w:rPr>
                    <w:t>环境要素</w:t>
                  </w:r>
                </w:p>
              </w:tc>
              <w:tc>
                <w:tcPr>
                  <w:tcW w:w="967" w:type="pct"/>
                  <w:tcBorders>
                    <w:left w:val="single" w:color="auto" w:sz="4" w:space="0"/>
                    <w:right w:val="single" w:color="auto" w:sz="4" w:space="0"/>
                  </w:tcBorders>
                  <w:shd w:val="clear" w:color="auto" w:fill="auto"/>
                  <w:noWrap w:val="0"/>
                  <w:tcMar>
                    <w:left w:w="0" w:type="dxa"/>
                    <w:right w:w="0" w:type="dxa"/>
                  </w:tcMar>
                  <w:vAlign w:val="center"/>
                </w:tcPr>
                <w:p w14:paraId="39B5B004">
                  <w:pPr>
                    <w:widowControl/>
                    <w:jc w:val="center"/>
                    <w:rPr>
                      <w:color w:val="auto"/>
                      <w:kern w:val="0"/>
                      <w:sz w:val="21"/>
                      <w:szCs w:val="21"/>
                    </w:rPr>
                  </w:pPr>
                  <w:r>
                    <w:rPr>
                      <w:color w:val="auto"/>
                      <w:kern w:val="0"/>
                      <w:sz w:val="21"/>
                      <w:szCs w:val="21"/>
                    </w:rPr>
                    <w:t>敏感点名称</w:t>
                  </w:r>
                </w:p>
              </w:tc>
              <w:tc>
                <w:tcPr>
                  <w:tcW w:w="829" w:type="pct"/>
                  <w:tcBorders>
                    <w:left w:val="single" w:color="auto" w:sz="4" w:space="0"/>
                    <w:right w:val="single" w:color="auto" w:sz="4" w:space="0"/>
                  </w:tcBorders>
                  <w:shd w:val="clear" w:color="auto" w:fill="auto"/>
                  <w:noWrap w:val="0"/>
                  <w:tcMar>
                    <w:left w:w="0" w:type="dxa"/>
                    <w:right w:w="0" w:type="dxa"/>
                  </w:tcMar>
                  <w:vAlign w:val="center"/>
                </w:tcPr>
                <w:p w14:paraId="539865AD">
                  <w:pPr>
                    <w:widowControl/>
                    <w:jc w:val="center"/>
                    <w:rPr>
                      <w:color w:val="auto"/>
                      <w:kern w:val="0"/>
                      <w:sz w:val="21"/>
                      <w:szCs w:val="21"/>
                    </w:rPr>
                  </w:pPr>
                  <w:r>
                    <w:rPr>
                      <w:color w:val="auto"/>
                      <w:kern w:val="0"/>
                      <w:sz w:val="21"/>
                      <w:szCs w:val="21"/>
                    </w:rPr>
                    <w:t>保护</w:t>
                  </w:r>
                  <w:r>
                    <w:rPr>
                      <w:rFonts w:hint="eastAsia"/>
                      <w:color w:val="auto"/>
                      <w:kern w:val="0"/>
                      <w:sz w:val="21"/>
                      <w:szCs w:val="21"/>
                    </w:rPr>
                    <w:t>对象</w:t>
                  </w:r>
                </w:p>
              </w:tc>
              <w:tc>
                <w:tcPr>
                  <w:tcW w:w="1254" w:type="pct"/>
                  <w:tcBorders>
                    <w:left w:val="single" w:color="auto" w:sz="4" w:space="0"/>
                    <w:right w:val="single" w:color="auto" w:sz="4" w:space="0"/>
                  </w:tcBorders>
                  <w:shd w:val="clear" w:color="auto" w:fill="auto"/>
                  <w:noWrap w:val="0"/>
                  <w:tcMar>
                    <w:left w:w="0" w:type="dxa"/>
                    <w:right w:w="0" w:type="dxa"/>
                  </w:tcMar>
                  <w:vAlign w:val="center"/>
                </w:tcPr>
                <w:p w14:paraId="1266762D">
                  <w:pPr>
                    <w:widowControl/>
                    <w:jc w:val="center"/>
                    <w:rPr>
                      <w:color w:val="auto"/>
                      <w:kern w:val="0"/>
                      <w:sz w:val="21"/>
                      <w:szCs w:val="21"/>
                    </w:rPr>
                  </w:pPr>
                  <w:r>
                    <w:rPr>
                      <w:color w:val="auto"/>
                      <w:kern w:val="0"/>
                      <w:sz w:val="21"/>
                      <w:szCs w:val="21"/>
                    </w:rPr>
                    <w:t>与工程位置关系</w:t>
                  </w:r>
                </w:p>
              </w:tc>
              <w:tc>
                <w:tcPr>
                  <w:tcW w:w="1400" w:type="pct"/>
                  <w:tcBorders>
                    <w:left w:val="single" w:color="auto" w:sz="4" w:space="0"/>
                    <w:right w:val="single" w:color="auto" w:sz="4" w:space="0"/>
                  </w:tcBorders>
                  <w:shd w:val="clear" w:color="auto" w:fill="auto"/>
                  <w:noWrap w:val="0"/>
                  <w:tcMar>
                    <w:left w:w="0" w:type="dxa"/>
                    <w:right w:w="0" w:type="dxa"/>
                  </w:tcMar>
                  <w:vAlign w:val="center"/>
                </w:tcPr>
                <w:p w14:paraId="46191347">
                  <w:pPr>
                    <w:widowControl/>
                    <w:jc w:val="center"/>
                    <w:rPr>
                      <w:rFonts w:hint="eastAsia"/>
                      <w:color w:val="auto"/>
                      <w:kern w:val="0"/>
                      <w:sz w:val="21"/>
                      <w:szCs w:val="21"/>
                    </w:rPr>
                  </w:pPr>
                  <w:r>
                    <w:rPr>
                      <w:rFonts w:hint="eastAsia"/>
                      <w:color w:val="auto"/>
                      <w:kern w:val="0"/>
                      <w:sz w:val="21"/>
                      <w:szCs w:val="21"/>
                    </w:rPr>
                    <w:t>保护目标</w:t>
                  </w:r>
                </w:p>
              </w:tc>
            </w:tr>
            <w:tr w14:paraId="1C7089E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47" w:type="pct"/>
                  <w:tcBorders>
                    <w:left w:val="single" w:color="auto" w:sz="4" w:space="0"/>
                    <w:right w:val="single" w:color="auto" w:sz="4" w:space="0"/>
                  </w:tcBorders>
                  <w:shd w:val="clear" w:color="auto" w:fill="auto"/>
                  <w:noWrap w:val="0"/>
                  <w:tcMar>
                    <w:left w:w="0" w:type="dxa"/>
                    <w:right w:w="0" w:type="dxa"/>
                  </w:tcMar>
                  <w:vAlign w:val="center"/>
                </w:tcPr>
                <w:p w14:paraId="06E51D73">
                  <w:pPr>
                    <w:widowControl/>
                    <w:jc w:val="center"/>
                    <w:rPr>
                      <w:color w:val="auto"/>
                      <w:kern w:val="0"/>
                      <w:sz w:val="21"/>
                      <w:szCs w:val="21"/>
                    </w:rPr>
                  </w:pPr>
                  <w:r>
                    <w:rPr>
                      <w:color w:val="auto"/>
                      <w:kern w:val="0"/>
                      <w:sz w:val="21"/>
                      <w:szCs w:val="21"/>
                    </w:rPr>
                    <w:t>地表水</w:t>
                  </w:r>
                </w:p>
                <w:p w14:paraId="0872CB99">
                  <w:pPr>
                    <w:widowControl/>
                    <w:jc w:val="center"/>
                    <w:rPr>
                      <w:color w:val="auto"/>
                      <w:kern w:val="0"/>
                      <w:sz w:val="21"/>
                      <w:szCs w:val="21"/>
                    </w:rPr>
                  </w:pPr>
                  <w:r>
                    <w:rPr>
                      <w:color w:val="auto"/>
                      <w:kern w:val="0"/>
                      <w:sz w:val="21"/>
                      <w:szCs w:val="21"/>
                    </w:rPr>
                    <w:t>环境</w:t>
                  </w:r>
                </w:p>
              </w:tc>
              <w:tc>
                <w:tcPr>
                  <w:tcW w:w="967" w:type="pct"/>
                  <w:tcBorders>
                    <w:left w:val="single" w:color="auto" w:sz="4" w:space="0"/>
                    <w:right w:val="single" w:color="auto" w:sz="4" w:space="0"/>
                  </w:tcBorders>
                  <w:shd w:val="clear" w:color="auto" w:fill="auto"/>
                  <w:noWrap w:val="0"/>
                  <w:tcMar>
                    <w:left w:w="0" w:type="dxa"/>
                    <w:right w:w="0" w:type="dxa"/>
                  </w:tcMar>
                  <w:vAlign w:val="center"/>
                </w:tcPr>
                <w:p w14:paraId="0F21321D">
                  <w:pPr>
                    <w:pStyle w:val="80"/>
                    <w:rPr>
                      <w:color w:val="auto"/>
                      <w:sz w:val="21"/>
                      <w:szCs w:val="21"/>
                    </w:rPr>
                  </w:pPr>
                  <w:r>
                    <w:rPr>
                      <w:rFonts w:hint="eastAsia"/>
                      <w:color w:val="auto"/>
                      <w:sz w:val="21"/>
                      <w:szCs w:val="21"/>
                    </w:rPr>
                    <w:t>裴德河、青年水库</w:t>
                  </w:r>
                </w:p>
              </w:tc>
              <w:tc>
                <w:tcPr>
                  <w:tcW w:w="829" w:type="pct"/>
                  <w:tcBorders>
                    <w:left w:val="single" w:color="auto" w:sz="4" w:space="0"/>
                    <w:right w:val="single" w:color="auto" w:sz="4" w:space="0"/>
                  </w:tcBorders>
                  <w:shd w:val="clear" w:color="auto" w:fill="auto"/>
                  <w:noWrap w:val="0"/>
                  <w:tcMar>
                    <w:left w:w="0" w:type="dxa"/>
                    <w:right w:w="0" w:type="dxa"/>
                  </w:tcMar>
                  <w:vAlign w:val="center"/>
                </w:tcPr>
                <w:p w14:paraId="38625A45">
                  <w:pPr>
                    <w:pStyle w:val="80"/>
                    <w:rPr>
                      <w:color w:val="auto"/>
                      <w:sz w:val="21"/>
                      <w:szCs w:val="21"/>
                    </w:rPr>
                  </w:pPr>
                  <w:r>
                    <w:rPr>
                      <w:rFonts w:hint="eastAsia"/>
                      <w:color w:val="auto"/>
                      <w:sz w:val="21"/>
                      <w:szCs w:val="21"/>
                    </w:rPr>
                    <w:t>地表水水质</w:t>
                  </w:r>
                </w:p>
              </w:tc>
              <w:tc>
                <w:tcPr>
                  <w:tcW w:w="1254" w:type="pct"/>
                  <w:tcBorders>
                    <w:left w:val="single" w:color="auto" w:sz="4" w:space="0"/>
                    <w:right w:val="single" w:color="auto" w:sz="4" w:space="0"/>
                  </w:tcBorders>
                  <w:shd w:val="clear" w:color="auto" w:fill="auto"/>
                  <w:noWrap w:val="0"/>
                  <w:tcMar>
                    <w:left w:w="0" w:type="dxa"/>
                    <w:right w:w="0" w:type="dxa"/>
                  </w:tcMar>
                  <w:vAlign w:val="center"/>
                </w:tcPr>
                <w:p w14:paraId="114A2BEA">
                  <w:pPr>
                    <w:pStyle w:val="80"/>
                    <w:rPr>
                      <w:color w:val="auto"/>
                      <w:sz w:val="21"/>
                      <w:szCs w:val="21"/>
                    </w:rPr>
                  </w:pPr>
                  <w:r>
                    <w:rPr>
                      <w:rFonts w:hint="eastAsia"/>
                      <w:color w:val="auto"/>
                      <w:sz w:val="21"/>
                      <w:szCs w:val="21"/>
                    </w:rPr>
                    <w:t>工程位于青年水库坝址</w:t>
                  </w:r>
                </w:p>
              </w:tc>
              <w:tc>
                <w:tcPr>
                  <w:tcW w:w="1400" w:type="pct"/>
                  <w:tcBorders>
                    <w:left w:val="single" w:color="auto" w:sz="4" w:space="0"/>
                    <w:right w:val="single" w:color="auto" w:sz="4" w:space="0"/>
                  </w:tcBorders>
                  <w:shd w:val="clear" w:color="auto" w:fill="auto"/>
                  <w:noWrap w:val="0"/>
                  <w:tcMar>
                    <w:left w:w="0" w:type="dxa"/>
                    <w:right w:w="0" w:type="dxa"/>
                  </w:tcMar>
                  <w:vAlign w:val="center"/>
                </w:tcPr>
                <w:p w14:paraId="0B932E33">
                  <w:pPr>
                    <w:widowControl/>
                    <w:jc w:val="center"/>
                    <w:rPr>
                      <w:color w:val="auto"/>
                      <w:kern w:val="0"/>
                      <w:sz w:val="21"/>
                      <w:szCs w:val="21"/>
                    </w:rPr>
                  </w:pPr>
                  <w:r>
                    <w:rPr>
                      <w:color w:val="auto"/>
                      <w:kern w:val="0"/>
                      <w:sz w:val="21"/>
                      <w:szCs w:val="21"/>
                    </w:rPr>
                    <w:t>《地表水环境质量标准》（GB3838-2002）</w:t>
                  </w:r>
                  <w:r>
                    <w:rPr>
                      <w:rFonts w:hint="eastAsia" w:ascii="宋体" w:hAnsi="宋体" w:cs="宋体"/>
                      <w:color w:val="auto"/>
                      <w:kern w:val="0"/>
                      <w:sz w:val="21"/>
                      <w:szCs w:val="21"/>
                    </w:rPr>
                    <w:t>Ⅲ</w:t>
                  </w:r>
                  <w:r>
                    <w:rPr>
                      <w:color w:val="auto"/>
                      <w:kern w:val="0"/>
                      <w:sz w:val="21"/>
                      <w:szCs w:val="21"/>
                    </w:rPr>
                    <w:t>类</w:t>
                  </w:r>
                </w:p>
              </w:tc>
            </w:tr>
            <w:bookmarkEnd w:id="9"/>
            <w:tr w14:paraId="0AA5B04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47" w:type="pct"/>
                  <w:tcBorders>
                    <w:left w:val="single" w:color="auto" w:sz="4" w:space="0"/>
                    <w:right w:val="single" w:color="auto" w:sz="4" w:space="0"/>
                  </w:tcBorders>
                  <w:shd w:val="clear" w:color="auto" w:fill="auto"/>
                  <w:noWrap w:val="0"/>
                  <w:tcMar>
                    <w:left w:w="0" w:type="dxa"/>
                    <w:right w:w="0" w:type="dxa"/>
                  </w:tcMar>
                  <w:vAlign w:val="center"/>
                </w:tcPr>
                <w:p w14:paraId="0E43AE87">
                  <w:pPr>
                    <w:jc w:val="center"/>
                    <w:rPr>
                      <w:color w:val="auto"/>
                      <w:kern w:val="0"/>
                      <w:sz w:val="21"/>
                      <w:szCs w:val="21"/>
                    </w:rPr>
                  </w:pPr>
                  <w:r>
                    <w:rPr>
                      <w:color w:val="auto"/>
                      <w:kern w:val="0"/>
                      <w:sz w:val="21"/>
                      <w:szCs w:val="21"/>
                    </w:rPr>
                    <w:t>声环境及</w:t>
                  </w:r>
                </w:p>
                <w:p w14:paraId="285B6CC8">
                  <w:pPr>
                    <w:jc w:val="center"/>
                    <w:rPr>
                      <w:color w:val="auto"/>
                      <w:kern w:val="0"/>
                      <w:sz w:val="21"/>
                      <w:szCs w:val="21"/>
                    </w:rPr>
                  </w:pPr>
                  <w:r>
                    <w:rPr>
                      <w:color w:val="auto"/>
                      <w:kern w:val="0"/>
                      <w:sz w:val="21"/>
                      <w:szCs w:val="21"/>
                    </w:rPr>
                    <w:t>大气环境</w:t>
                  </w:r>
                </w:p>
              </w:tc>
              <w:tc>
                <w:tcPr>
                  <w:tcW w:w="967" w:type="pct"/>
                  <w:tcBorders>
                    <w:left w:val="single" w:color="auto" w:sz="4" w:space="0"/>
                    <w:right w:val="single" w:color="auto" w:sz="4" w:space="0"/>
                  </w:tcBorders>
                  <w:shd w:val="clear" w:color="auto" w:fill="auto"/>
                  <w:noWrap w:val="0"/>
                  <w:tcMar>
                    <w:left w:w="0" w:type="dxa"/>
                    <w:right w:w="0" w:type="dxa"/>
                  </w:tcMar>
                  <w:vAlign w:val="center"/>
                </w:tcPr>
                <w:p w14:paraId="61858BEC">
                  <w:pPr>
                    <w:pStyle w:val="80"/>
                    <w:rPr>
                      <w:color w:val="auto"/>
                      <w:sz w:val="21"/>
                      <w:szCs w:val="21"/>
                    </w:rPr>
                  </w:pPr>
                  <w:r>
                    <w:rPr>
                      <w:rFonts w:hint="eastAsia"/>
                      <w:color w:val="auto"/>
                      <w:sz w:val="21"/>
                      <w:szCs w:val="21"/>
                    </w:rPr>
                    <w:t>兴利村</w:t>
                  </w:r>
                </w:p>
              </w:tc>
              <w:tc>
                <w:tcPr>
                  <w:tcW w:w="829" w:type="pct"/>
                  <w:tcBorders>
                    <w:left w:val="single" w:color="auto" w:sz="4" w:space="0"/>
                    <w:right w:val="single" w:color="auto" w:sz="4" w:space="0"/>
                  </w:tcBorders>
                  <w:shd w:val="clear" w:color="auto" w:fill="auto"/>
                  <w:noWrap w:val="0"/>
                  <w:tcMar>
                    <w:left w:w="0" w:type="dxa"/>
                    <w:right w:w="0" w:type="dxa"/>
                  </w:tcMar>
                  <w:vAlign w:val="center"/>
                </w:tcPr>
                <w:p w14:paraId="388EE229">
                  <w:pPr>
                    <w:pStyle w:val="80"/>
                    <w:rPr>
                      <w:color w:val="auto"/>
                      <w:sz w:val="21"/>
                      <w:szCs w:val="21"/>
                    </w:rPr>
                  </w:pPr>
                  <w:r>
                    <w:rPr>
                      <w:color w:val="auto"/>
                      <w:sz w:val="21"/>
                      <w:szCs w:val="21"/>
                    </w:rPr>
                    <w:t>10</w:t>
                  </w:r>
                  <w:r>
                    <w:rPr>
                      <w:rFonts w:hint="eastAsia"/>
                      <w:color w:val="auto"/>
                      <w:sz w:val="21"/>
                      <w:szCs w:val="21"/>
                    </w:rPr>
                    <w:t>户</w:t>
                  </w:r>
                  <w:r>
                    <w:rPr>
                      <w:color w:val="auto"/>
                      <w:sz w:val="21"/>
                      <w:szCs w:val="21"/>
                    </w:rPr>
                    <w:t>/30</w:t>
                  </w:r>
                  <w:r>
                    <w:rPr>
                      <w:rFonts w:hint="eastAsia"/>
                      <w:color w:val="auto"/>
                      <w:sz w:val="21"/>
                      <w:szCs w:val="21"/>
                    </w:rPr>
                    <w:t>人</w:t>
                  </w:r>
                </w:p>
              </w:tc>
              <w:tc>
                <w:tcPr>
                  <w:tcW w:w="1254" w:type="pct"/>
                  <w:tcBorders>
                    <w:left w:val="single" w:color="auto" w:sz="4" w:space="0"/>
                    <w:right w:val="single" w:color="auto" w:sz="4" w:space="0"/>
                  </w:tcBorders>
                  <w:shd w:val="clear" w:color="auto" w:fill="auto"/>
                  <w:noWrap w:val="0"/>
                  <w:tcMar>
                    <w:left w:w="0" w:type="dxa"/>
                    <w:right w:w="0" w:type="dxa"/>
                  </w:tcMar>
                  <w:vAlign w:val="center"/>
                </w:tcPr>
                <w:p w14:paraId="1AC09EAE">
                  <w:pPr>
                    <w:pStyle w:val="80"/>
                    <w:rPr>
                      <w:color w:val="auto"/>
                      <w:sz w:val="21"/>
                      <w:szCs w:val="21"/>
                    </w:rPr>
                  </w:pPr>
                  <w:r>
                    <w:rPr>
                      <w:rFonts w:hint="eastAsia"/>
                      <w:color w:val="auto"/>
                      <w:sz w:val="21"/>
                      <w:szCs w:val="21"/>
                      <w:lang w:val="en-US" w:eastAsia="zh-CN"/>
                    </w:rPr>
                    <w:t>电站</w:t>
                  </w:r>
                  <w:r>
                    <w:rPr>
                      <w:rFonts w:hint="eastAsia"/>
                      <w:color w:val="auto"/>
                      <w:sz w:val="21"/>
                      <w:szCs w:val="21"/>
                    </w:rPr>
                    <w:t>南侧</w:t>
                  </w:r>
                  <w:r>
                    <w:rPr>
                      <w:color w:val="auto"/>
                      <w:sz w:val="21"/>
                      <w:szCs w:val="21"/>
                    </w:rPr>
                    <w:t>200m</w:t>
                  </w:r>
                </w:p>
              </w:tc>
              <w:tc>
                <w:tcPr>
                  <w:tcW w:w="1400" w:type="pct"/>
                  <w:tcBorders>
                    <w:left w:val="single" w:color="auto" w:sz="4" w:space="0"/>
                    <w:right w:val="single" w:color="auto" w:sz="4" w:space="0"/>
                  </w:tcBorders>
                  <w:shd w:val="clear" w:color="auto" w:fill="auto"/>
                  <w:noWrap w:val="0"/>
                  <w:tcMar>
                    <w:left w:w="0" w:type="dxa"/>
                    <w:right w:w="0" w:type="dxa"/>
                  </w:tcMar>
                  <w:vAlign w:val="center"/>
                </w:tcPr>
                <w:p w14:paraId="38A94F1E">
                  <w:pPr>
                    <w:widowControl/>
                    <w:jc w:val="center"/>
                    <w:rPr>
                      <w:color w:val="auto"/>
                      <w:kern w:val="0"/>
                      <w:sz w:val="21"/>
                      <w:szCs w:val="21"/>
                    </w:rPr>
                  </w:pPr>
                  <w:r>
                    <w:rPr>
                      <w:color w:val="auto"/>
                      <w:kern w:val="0"/>
                      <w:sz w:val="21"/>
                      <w:szCs w:val="21"/>
                    </w:rPr>
                    <w:t>《声环境质量标准》（GB3096-2008）1类标准</w:t>
                  </w:r>
                </w:p>
                <w:p w14:paraId="775844FC">
                  <w:pPr>
                    <w:widowControl/>
                    <w:jc w:val="center"/>
                    <w:rPr>
                      <w:color w:val="auto"/>
                      <w:kern w:val="0"/>
                      <w:sz w:val="21"/>
                      <w:szCs w:val="21"/>
                    </w:rPr>
                  </w:pPr>
                  <w:r>
                    <w:rPr>
                      <w:color w:val="auto"/>
                      <w:kern w:val="0"/>
                      <w:sz w:val="21"/>
                      <w:szCs w:val="21"/>
                    </w:rPr>
                    <w:t>《环境空气质量标准》（GB3095-20</w:t>
                  </w:r>
                  <w:r>
                    <w:rPr>
                      <w:rFonts w:hint="eastAsia"/>
                      <w:color w:val="auto"/>
                      <w:kern w:val="0"/>
                      <w:sz w:val="21"/>
                      <w:szCs w:val="21"/>
                      <w:lang w:val="en-US" w:eastAsia="zh-CN"/>
                    </w:rPr>
                    <w:t>26</w:t>
                  </w:r>
                  <w:r>
                    <w:rPr>
                      <w:color w:val="auto"/>
                      <w:kern w:val="0"/>
                      <w:sz w:val="21"/>
                      <w:szCs w:val="21"/>
                    </w:rPr>
                    <w:t>）</w:t>
                  </w:r>
                  <w:r>
                    <w:rPr>
                      <w:rFonts w:hint="eastAsia"/>
                      <w:color w:val="auto"/>
                      <w:kern w:val="0"/>
                      <w:sz w:val="21"/>
                      <w:szCs w:val="21"/>
                    </w:rPr>
                    <w:t>及其修改单</w:t>
                  </w:r>
                  <w:r>
                    <w:rPr>
                      <w:color w:val="auto"/>
                      <w:kern w:val="0"/>
                      <w:sz w:val="21"/>
                      <w:szCs w:val="21"/>
                    </w:rPr>
                    <w:t>二级标准</w:t>
                  </w:r>
                </w:p>
              </w:tc>
            </w:tr>
            <w:tr w14:paraId="0CA00DD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47" w:type="pct"/>
                  <w:tcBorders>
                    <w:left w:val="single" w:color="auto" w:sz="4" w:space="0"/>
                    <w:right w:val="single" w:color="auto" w:sz="4" w:space="0"/>
                  </w:tcBorders>
                  <w:shd w:val="clear" w:color="auto" w:fill="auto"/>
                  <w:noWrap w:val="0"/>
                  <w:tcMar>
                    <w:left w:w="0" w:type="dxa"/>
                    <w:right w:w="0" w:type="dxa"/>
                  </w:tcMar>
                  <w:vAlign w:val="center"/>
                </w:tcPr>
                <w:p w14:paraId="3777A9F9">
                  <w:pPr>
                    <w:widowControl/>
                    <w:jc w:val="center"/>
                    <w:rPr>
                      <w:color w:val="auto"/>
                      <w:kern w:val="0"/>
                      <w:sz w:val="21"/>
                      <w:szCs w:val="21"/>
                    </w:rPr>
                  </w:pPr>
                  <w:r>
                    <w:rPr>
                      <w:color w:val="auto"/>
                      <w:kern w:val="0"/>
                      <w:sz w:val="21"/>
                      <w:szCs w:val="21"/>
                    </w:rPr>
                    <w:t>生态环境</w:t>
                  </w:r>
                </w:p>
              </w:tc>
              <w:tc>
                <w:tcPr>
                  <w:tcW w:w="967" w:type="pct"/>
                  <w:tcBorders>
                    <w:left w:val="single" w:color="auto" w:sz="4" w:space="0"/>
                    <w:right w:val="single" w:color="auto" w:sz="4" w:space="0"/>
                  </w:tcBorders>
                  <w:shd w:val="clear" w:color="auto" w:fill="auto"/>
                  <w:noWrap w:val="0"/>
                  <w:tcMar>
                    <w:left w:w="0" w:type="dxa"/>
                    <w:right w:w="0" w:type="dxa"/>
                  </w:tcMar>
                  <w:vAlign w:val="center"/>
                </w:tcPr>
                <w:p w14:paraId="407E2D13">
                  <w:pPr>
                    <w:pStyle w:val="80"/>
                    <w:rPr>
                      <w:color w:val="auto"/>
                      <w:sz w:val="21"/>
                      <w:szCs w:val="21"/>
                    </w:rPr>
                  </w:pPr>
                  <w:r>
                    <w:rPr>
                      <w:rFonts w:hint="eastAsia"/>
                      <w:color w:val="auto"/>
                      <w:sz w:val="21"/>
                      <w:szCs w:val="21"/>
                    </w:rPr>
                    <w:t>陆生植物、陆生动物、水生鱼类</w:t>
                  </w:r>
                </w:p>
              </w:tc>
              <w:tc>
                <w:tcPr>
                  <w:tcW w:w="829" w:type="pct"/>
                  <w:tcBorders>
                    <w:left w:val="single" w:color="auto" w:sz="4" w:space="0"/>
                    <w:right w:val="single" w:color="auto" w:sz="4" w:space="0"/>
                  </w:tcBorders>
                  <w:shd w:val="clear" w:color="auto" w:fill="auto"/>
                  <w:noWrap w:val="0"/>
                  <w:tcMar>
                    <w:left w:w="0" w:type="dxa"/>
                    <w:right w:w="0" w:type="dxa"/>
                  </w:tcMar>
                  <w:vAlign w:val="center"/>
                </w:tcPr>
                <w:p w14:paraId="3DA5A02E">
                  <w:pPr>
                    <w:pStyle w:val="80"/>
                    <w:rPr>
                      <w:color w:val="auto"/>
                      <w:sz w:val="21"/>
                      <w:szCs w:val="21"/>
                    </w:rPr>
                  </w:pPr>
                  <w:r>
                    <w:rPr>
                      <w:rFonts w:hint="eastAsia"/>
                      <w:color w:val="auto"/>
                      <w:sz w:val="21"/>
                      <w:szCs w:val="21"/>
                    </w:rPr>
                    <w:t>陆生植物、动物及鱼类</w:t>
                  </w:r>
                </w:p>
              </w:tc>
              <w:tc>
                <w:tcPr>
                  <w:tcW w:w="1254" w:type="pct"/>
                  <w:tcBorders>
                    <w:left w:val="single" w:color="auto" w:sz="4" w:space="0"/>
                    <w:right w:val="single" w:color="auto" w:sz="4" w:space="0"/>
                  </w:tcBorders>
                  <w:shd w:val="clear" w:color="auto" w:fill="auto"/>
                  <w:noWrap w:val="0"/>
                  <w:tcMar>
                    <w:left w:w="0" w:type="dxa"/>
                    <w:right w:w="0" w:type="dxa"/>
                  </w:tcMar>
                  <w:vAlign w:val="center"/>
                </w:tcPr>
                <w:p w14:paraId="4815A4C1">
                  <w:pPr>
                    <w:pStyle w:val="80"/>
                    <w:rPr>
                      <w:color w:val="auto"/>
                      <w:sz w:val="21"/>
                      <w:szCs w:val="21"/>
                    </w:rPr>
                  </w:pPr>
                  <w:r>
                    <w:rPr>
                      <w:rFonts w:hint="eastAsia"/>
                      <w:color w:val="auto"/>
                      <w:sz w:val="21"/>
                      <w:szCs w:val="21"/>
                    </w:rPr>
                    <w:t>青年水库及坝址下游</w:t>
                  </w:r>
                </w:p>
              </w:tc>
              <w:tc>
                <w:tcPr>
                  <w:tcW w:w="1400" w:type="pct"/>
                  <w:tcBorders>
                    <w:left w:val="single" w:color="auto" w:sz="4" w:space="0"/>
                    <w:right w:val="single" w:color="auto" w:sz="4" w:space="0"/>
                  </w:tcBorders>
                  <w:shd w:val="clear" w:color="auto" w:fill="auto"/>
                  <w:noWrap w:val="0"/>
                  <w:tcMar>
                    <w:left w:w="0" w:type="dxa"/>
                    <w:right w:w="0" w:type="dxa"/>
                  </w:tcMar>
                  <w:vAlign w:val="center"/>
                </w:tcPr>
                <w:p w14:paraId="0952BEC2">
                  <w:pPr>
                    <w:pStyle w:val="80"/>
                    <w:rPr>
                      <w:color w:val="auto"/>
                      <w:sz w:val="21"/>
                      <w:szCs w:val="21"/>
                    </w:rPr>
                  </w:pPr>
                  <w:r>
                    <w:rPr>
                      <w:rFonts w:hint="eastAsia"/>
                      <w:color w:val="auto"/>
                      <w:sz w:val="21"/>
                      <w:szCs w:val="21"/>
                    </w:rPr>
                    <w:t>保护陆生生态和水生生态系统的完整性</w:t>
                  </w:r>
                </w:p>
              </w:tc>
            </w:tr>
          </w:tbl>
          <w:p w14:paraId="2CB7644E">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lang w:val="en-US" w:eastAsia="zh-CN"/>
              </w:rPr>
            </w:pPr>
          </w:p>
        </w:tc>
      </w:tr>
      <w:tr w14:paraId="27A820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95" w:type="dxa"/>
            <w:vAlign w:val="center"/>
          </w:tcPr>
          <w:p w14:paraId="66CD9084">
            <w:pPr>
              <w:adjustRightInd w:val="0"/>
              <w:snapToGrid w:val="0"/>
              <w:jc w:val="center"/>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评价</w:t>
            </w:r>
          </w:p>
          <w:p w14:paraId="5D584CF5">
            <w:pPr>
              <w:adjustRightInd w:val="0"/>
              <w:snapToGrid w:val="0"/>
              <w:jc w:val="center"/>
              <w:rPr>
                <w:rFonts w:hint="default" w:ascii="Times New Roman" w:hAnsi="Times New Roman" w:cs="Times New Roman" w:eastAsiaTheme="minorEastAsia"/>
                <w:color w:val="auto"/>
                <w:kern w:val="0"/>
                <w:szCs w:val="21"/>
              </w:rPr>
            </w:pPr>
            <w:r>
              <w:rPr>
                <w:rFonts w:hint="default" w:ascii="Times New Roman" w:hAnsi="Times New Roman" w:cs="Times New Roman" w:eastAsiaTheme="minorEastAsia"/>
                <w:color w:val="auto"/>
                <w:kern w:val="0"/>
                <w:sz w:val="24"/>
                <w:szCs w:val="24"/>
              </w:rPr>
              <w:t>标准</w:t>
            </w:r>
          </w:p>
        </w:tc>
        <w:tc>
          <w:tcPr>
            <w:tcW w:w="8262" w:type="dxa"/>
            <w:vAlign w:val="center"/>
          </w:tcPr>
          <w:p w14:paraId="0CA41CBD">
            <w:pPr>
              <w:spacing w:line="360" w:lineRule="auto"/>
              <w:ind w:firstLine="420" w:firstLineChars="200"/>
              <w:rPr>
                <w:color w:val="auto"/>
                <w:kern w:val="0"/>
                <w:sz w:val="24"/>
                <w:szCs w:val="24"/>
              </w:rPr>
            </w:pPr>
            <w:r>
              <w:rPr>
                <w:color w:val="auto"/>
                <w:kern w:val="0"/>
                <w:szCs w:val="21"/>
              </w:rPr>
              <w:t>（</w:t>
            </w:r>
            <w:r>
              <w:rPr>
                <w:color w:val="auto"/>
                <w:kern w:val="0"/>
                <w:sz w:val="24"/>
                <w:szCs w:val="24"/>
              </w:rPr>
              <w:t>1）地表水</w:t>
            </w:r>
          </w:p>
          <w:p w14:paraId="0512EED0">
            <w:pPr>
              <w:spacing w:line="360" w:lineRule="auto"/>
              <w:ind w:firstLine="480" w:firstLineChars="200"/>
              <w:rPr>
                <w:color w:val="auto"/>
                <w:kern w:val="0"/>
                <w:sz w:val="24"/>
                <w:szCs w:val="24"/>
              </w:rPr>
            </w:pPr>
            <w:r>
              <w:rPr>
                <w:color w:val="auto"/>
                <w:kern w:val="0"/>
                <w:sz w:val="24"/>
                <w:szCs w:val="24"/>
              </w:rPr>
              <w:t>根据</w:t>
            </w:r>
            <w:r>
              <w:rPr>
                <w:rFonts w:hint="default" w:ascii="Times New Roman" w:hAnsi="Times New Roman" w:eastAsia="宋体" w:cs="Times New Roman"/>
                <w:color w:val="auto"/>
                <w:sz w:val="24"/>
                <w:szCs w:val="24"/>
                <w:highlight w:val="none"/>
                <w:lang w:val="en-US" w:eastAsia="zh-CN"/>
              </w:rPr>
              <w:t>根据《黑龙江省水环境生态补偿办法》（黑环发</w:t>
            </w:r>
            <w:r>
              <w:rPr>
                <w:rFonts w:hint="eastAsia" w:ascii="Times New Roman" w:hAnsi="Times New Roman" w:eastAsia="宋体" w:cs="Times New Roman"/>
                <w:color w:val="auto"/>
                <w:sz w:val="24"/>
                <w:szCs w:val="24"/>
                <w:highlight w:val="none"/>
                <w:lang w:val="en-US" w:eastAsia="zh-CN"/>
              </w:rPr>
              <w:t>〔2024〕22号</w:t>
            </w:r>
            <w:r>
              <w:rPr>
                <w:rFonts w:hint="default"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w:t>
            </w:r>
            <w:r>
              <w:rPr>
                <w:rFonts w:hint="eastAsia"/>
                <w:color w:val="auto"/>
                <w:kern w:val="0"/>
                <w:sz w:val="24"/>
                <w:szCs w:val="24"/>
              </w:rPr>
              <w:t>工程位于水功能一级区为裴德河密山市开发利用区，二级区为裴德河密山市农业用水区（青年水库库尾至入穆棱河河口），水质目标为</w:t>
            </w:r>
            <w:r>
              <w:rPr>
                <w:rFonts w:hint="eastAsia" w:ascii="宋体" w:hAnsi="宋体" w:cs="宋体"/>
                <w:color w:val="auto"/>
                <w:kern w:val="0"/>
                <w:sz w:val="24"/>
                <w:szCs w:val="24"/>
              </w:rPr>
              <w:t>Ⅲ</w:t>
            </w:r>
            <w:r>
              <w:rPr>
                <w:color w:val="auto"/>
                <w:kern w:val="0"/>
                <w:sz w:val="24"/>
                <w:szCs w:val="24"/>
              </w:rPr>
              <w:t>类。标准限值见表3</w:t>
            </w:r>
            <w:r>
              <w:rPr>
                <w:rFonts w:hint="eastAsia"/>
                <w:color w:val="auto"/>
                <w:kern w:val="0"/>
                <w:sz w:val="24"/>
                <w:szCs w:val="24"/>
                <w:lang w:val="en-US" w:eastAsia="zh-CN"/>
              </w:rPr>
              <w:t>-4</w:t>
            </w:r>
            <w:r>
              <w:rPr>
                <w:color w:val="auto"/>
                <w:kern w:val="0"/>
                <w:sz w:val="24"/>
                <w:szCs w:val="24"/>
              </w:rPr>
              <w:t>。</w:t>
            </w:r>
          </w:p>
          <w:p w14:paraId="3447DB5F">
            <w:pPr>
              <w:spacing w:line="360" w:lineRule="auto"/>
              <w:jc w:val="center"/>
              <w:rPr>
                <w:b/>
                <w:bCs/>
                <w:color w:val="auto"/>
                <w:kern w:val="0"/>
                <w:sz w:val="24"/>
                <w:szCs w:val="24"/>
              </w:rPr>
            </w:pPr>
          </w:p>
          <w:p w14:paraId="31E2372E">
            <w:pPr>
              <w:spacing w:line="360" w:lineRule="auto"/>
              <w:jc w:val="center"/>
              <w:rPr>
                <w:b/>
                <w:bCs/>
                <w:color w:val="auto"/>
                <w:kern w:val="0"/>
                <w:sz w:val="24"/>
                <w:szCs w:val="24"/>
              </w:rPr>
            </w:pPr>
          </w:p>
          <w:p w14:paraId="173FA880">
            <w:pPr>
              <w:spacing w:line="360" w:lineRule="auto"/>
              <w:jc w:val="center"/>
              <w:rPr>
                <w:b/>
                <w:bCs/>
                <w:color w:val="auto"/>
                <w:kern w:val="0"/>
                <w:sz w:val="24"/>
                <w:szCs w:val="24"/>
              </w:rPr>
            </w:pPr>
          </w:p>
          <w:p w14:paraId="00A6FF93">
            <w:pPr>
              <w:spacing w:line="360" w:lineRule="auto"/>
              <w:jc w:val="center"/>
              <w:rPr>
                <w:b/>
                <w:bCs/>
                <w:color w:val="auto"/>
                <w:kern w:val="0"/>
                <w:sz w:val="24"/>
                <w:szCs w:val="24"/>
              </w:rPr>
            </w:pPr>
            <w:r>
              <w:rPr>
                <w:b/>
                <w:bCs/>
                <w:color w:val="auto"/>
                <w:kern w:val="0"/>
                <w:sz w:val="24"/>
                <w:szCs w:val="24"/>
              </w:rPr>
              <w:t>表3</w:t>
            </w:r>
            <w:r>
              <w:rPr>
                <w:rFonts w:hint="eastAsia"/>
                <w:b/>
                <w:bCs/>
                <w:color w:val="auto"/>
                <w:kern w:val="0"/>
                <w:sz w:val="24"/>
                <w:szCs w:val="24"/>
                <w:lang w:val="en-US" w:eastAsia="zh-CN"/>
              </w:rPr>
              <w:t>-4</w:t>
            </w:r>
            <w:r>
              <w:rPr>
                <w:b/>
                <w:bCs/>
                <w:color w:val="auto"/>
                <w:kern w:val="0"/>
                <w:sz w:val="24"/>
                <w:szCs w:val="24"/>
              </w:rPr>
              <w:t xml:space="preserve"> 地表水环境质量标准</w:t>
            </w:r>
          </w:p>
          <w:tbl>
            <w:tblPr>
              <w:tblStyle w:val="24"/>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42"/>
              <w:gridCol w:w="1985"/>
              <w:gridCol w:w="1322"/>
              <w:gridCol w:w="1658"/>
              <w:gridCol w:w="2327"/>
            </w:tblGrid>
            <w:tr w14:paraId="01CB5F9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5" w:type="pct"/>
                  <w:tcBorders>
                    <w:left w:val="single" w:color="auto" w:sz="0" w:space="0"/>
                  </w:tcBorders>
                  <w:noWrap w:val="0"/>
                  <w:vAlign w:val="center"/>
                </w:tcPr>
                <w:p w14:paraId="6907AE12">
                  <w:pPr>
                    <w:jc w:val="center"/>
                    <w:rPr>
                      <w:color w:val="auto"/>
                      <w:szCs w:val="21"/>
                    </w:rPr>
                  </w:pPr>
                  <w:r>
                    <w:rPr>
                      <w:color w:val="auto"/>
                      <w:szCs w:val="21"/>
                    </w:rPr>
                    <w:t>序号</w:t>
                  </w:r>
                </w:p>
              </w:tc>
              <w:tc>
                <w:tcPr>
                  <w:tcW w:w="1191" w:type="pct"/>
                  <w:noWrap w:val="0"/>
                  <w:vAlign w:val="center"/>
                </w:tcPr>
                <w:p w14:paraId="126A6CD7">
                  <w:pPr>
                    <w:jc w:val="center"/>
                    <w:rPr>
                      <w:color w:val="auto"/>
                      <w:szCs w:val="21"/>
                    </w:rPr>
                  </w:pPr>
                  <w:r>
                    <w:rPr>
                      <w:color w:val="auto"/>
                      <w:szCs w:val="21"/>
                    </w:rPr>
                    <w:t>项目</w:t>
                  </w:r>
                </w:p>
              </w:tc>
              <w:tc>
                <w:tcPr>
                  <w:tcW w:w="793" w:type="pct"/>
                  <w:noWrap w:val="0"/>
                  <w:vAlign w:val="center"/>
                </w:tcPr>
                <w:p w14:paraId="1BBA3F9F">
                  <w:pPr>
                    <w:widowControl/>
                    <w:jc w:val="center"/>
                    <w:rPr>
                      <w:color w:val="auto"/>
                      <w:kern w:val="0"/>
                      <w:szCs w:val="21"/>
                    </w:rPr>
                  </w:pPr>
                  <w:r>
                    <w:rPr>
                      <w:color w:val="auto"/>
                      <w:kern w:val="0"/>
                      <w:szCs w:val="21"/>
                    </w:rPr>
                    <w:t>单位</w:t>
                  </w:r>
                </w:p>
              </w:tc>
              <w:tc>
                <w:tcPr>
                  <w:tcW w:w="995" w:type="pct"/>
                  <w:noWrap w:val="0"/>
                  <w:vAlign w:val="center"/>
                </w:tcPr>
                <w:p w14:paraId="2FEABA7A">
                  <w:pPr>
                    <w:jc w:val="center"/>
                    <w:rPr>
                      <w:color w:val="auto"/>
                      <w:szCs w:val="21"/>
                    </w:rPr>
                  </w:pPr>
                  <w:r>
                    <w:rPr>
                      <w:rFonts w:hint="eastAsia" w:ascii="宋体" w:hAnsi="宋体" w:cs="宋体"/>
                      <w:color w:val="auto"/>
                      <w:szCs w:val="21"/>
                    </w:rPr>
                    <w:t>Ⅲ</w:t>
                  </w:r>
                  <w:r>
                    <w:rPr>
                      <w:color w:val="auto"/>
                      <w:szCs w:val="21"/>
                    </w:rPr>
                    <w:t>类标准值</w:t>
                  </w:r>
                </w:p>
              </w:tc>
              <w:tc>
                <w:tcPr>
                  <w:tcW w:w="1396" w:type="pct"/>
                  <w:tcBorders>
                    <w:right w:val="single" w:color="auto" w:sz="4" w:space="0"/>
                  </w:tcBorders>
                  <w:noWrap w:val="0"/>
                  <w:vAlign w:val="center"/>
                </w:tcPr>
                <w:p w14:paraId="749A5825">
                  <w:pPr>
                    <w:widowControl/>
                    <w:jc w:val="center"/>
                    <w:rPr>
                      <w:color w:val="auto"/>
                      <w:kern w:val="0"/>
                      <w:szCs w:val="21"/>
                    </w:rPr>
                  </w:pPr>
                  <w:r>
                    <w:rPr>
                      <w:color w:val="auto"/>
                      <w:szCs w:val="21"/>
                    </w:rPr>
                    <w:t>标准来源</w:t>
                  </w:r>
                </w:p>
              </w:tc>
            </w:tr>
            <w:tr w14:paraId="724DA36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625" w:type="pct"/>
                  <w:tcBorders>
                    <w:left w:val="single" w:color="auto" w:sz="4" w:space="0"/>
                  </w:tcBorders>
                  <w:noWrap w:val="0"/>
                  <w:vAlign w:val="center"/>
                </w:tcPr>
                <w:p w14:paraId="1E194C7D">
                  <w:pPr>
                    <w:widowControl/>
                    <w:jc w:val="center"/>
                    <w:rPr>
                      <w:color w:val="auto"/>
                      <w:kern w:val="0"/>
                      <w:szCs w:val="21"/>
                    </w:rPr>
                  </w:pPr>
                  <w:r>
                    <w:rPr>
                      <w:color w:val="auto"/>
                      <w:kern w:val="0"/>
                      <w:szCs w:val="21"/>
                    </w:rPr>
                    <w:t>1</w:t>
                  </w:r>
                </w:p>
              </w:tc>
              <w:tc>
                <w:tcPr>
                  <w:tcW w:w="1191" w:type="pct"/>
                  <w:noWrap w:val="0"/>
                  <w:vAlign w:val="center"/>
                </w:tcPr>
                <w:p w14:paraId="0C388EBF">
                  <w:pPr>
                    <w:widowControl/>
                    <w:jc w:val="center"/>
                    <w:rPr>
                      <w:color w:val="auto"/>
                      <w:kern w:val="0"/>
                      <w:szCs w:val="21"/>
                    </w:rPr>
                  </w:pPr>
                  <w:r>
                    <w:rPr>
                      <w:color w:val="auto"/>
                      <w:kern w:val="0"/>
                      <w:szCs w:val="21"/>
                    </w:rPr>
                    <w:t>pH</w:t>
                  </w:r>
                </w:p>
              </w:tc>
              <w:tc>
                <w:tcPr>
                  <w:tcW w:w="793" w:type="pct"/>
                  <w:noWrap w:val="0"/>
                  <w:vAlign w:val="center"/>
                </w:tcPr>
                <w:p w14:paraId="00299B5E">
                  <w:pPr>
                    <w:jc w:val="center"/>
                    <w:rPr>
                      <w:color w:val="auto"/>
                      <w:szCs w:val="21"/>
                    </w:rPr>
                  </w:pPr>
                  <w:r>
                    <w:rPr>
                      <w:color w:val="auto"/>
                      <w:szCs w:val="21"/>
                    </w:rPr>
                    <w:t>无量纲</w:t>
                  </w:r>
                </w:p>
              </w:tc>
              <w:tc>
                <w:tcPr>
                  <w:tcW w:w="995" w:type="pct"/>
                  <w:noWrap w:val="0"/>
                  <w:vAlign w:val="center"/>
                </w:tcPr>
                <w:p w14:paraId="465EB3C7">
                  <w:pPr>
                    <w:jc w:val="center"/>
                    <w:rPr>
                      <w:color w:val="auto"/>
                      <w:szCs w:val="21"/>
                    </w:rPr>
                  </w:pPr>
                  <w:r>
                    <w:rPr>
                      <w:color w:val="auto"/>
                      <w:szCs w:val="21"/>
                    </w:rPr>
                    <w:t>6-9</w:t>
                  </w:r>
                </w:p>
              </w:tc>
              <w:tc>
                <w:tcPr>
                  <w:tcW w:w="1396" w:type="pct"/>
                  <w:vMerge w:val="restart"/>
                  <w:tcBorders>
                    <w:right w:val="single" w:color="auto" w:sz="4" w:space="0"/>
                  </w:tcBorders>
                  <w:noWrap w:val="0"/>
                  <w:vAlign w:val="center"/>
                </w:tcPr>
                <w:p w14:paraId="317D78EA">
                  <w:pPr>
                    <w:pStyle w:val="81"/>
                    <w:rPr>
                      <w:color w:val="auto"/>
                      <w:szCs w:val="21"/>
                    </w:rPr>
                  </w:pPr>
                  <w:r>
                    <w:rPr>
                      <w:color w:val="auto"/>
                      <w:szCs w:val="21"/>
                    </w:rPr>
                    <w:t>《地表水环境</w:t>
                  </w:r>
                </w:p>
                <w:p w14:paraId="7F050767">
                  <w:pPr>
                    <w:pStyle w:val="81"/>
                    <w:rPr>
                      <w:color w:val="auto"/>
                      <w:szCs w:val="21"/>
                    </w:rPr>
                  </w:pPr>
                  <w:r>
                    <w:rPr>
                      <w:color w:val="auto"/>
                      <w:szCs w:val="21"/>
                    </w:rPr>
                    <w:t>质量标准》</w:t>
                  </w:r>
                </w:p>
                <w:p w14:paraId="73E5747C">
                  <w:pPr>
                    <w:jc w:val="center"/>
                    <w:rPr>
                      <w:color w:val="auto"/>
                      <w:szCs w:val="21"/>
                    </w:rPr>
                  </w:pPr>
                  <w:r>
                    <w:rPr>
                      <w:color w:val="auto"/>
                      <w:szCs w:val="21"/>
                    </w:rPr>
                    <w:t>（GB3838-2002）</w:t>
                  </w:r>
                </w:p>
              </w:tc>
            </w:tr>
            <w:tr w14:paraId="35E0549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5" w:type="pct"/>
                  <w:tcBorders>
                    <w:left w:val="single" w:color="auto" w:sz="4" w:space="0"/>
                  </w:tcBorders>
                  <w:noWrap w:val="0"/>
                  <w:vAlign w:val="center"/>
                </w:tcPr>
                <w:p w14:paraId="6E6C7B68">
                  <w:pPr>
                    <w:widowControl/>
                    <w:jc w:val="center"/>
                    <w:rPr>
                      <w:color w:val="auto"/>
                      <w:kern w:val="0"/>
                      <w:szCs w:val="21"/>
                    </w:rPr>
                  </w:pPr>
                  <w:r>
                    <w:rPr>
                      <w:color w:val="auto"/>
                      <w:kern w:val="0"/>
                      <w:szCs w:val="21"/>
                    </w:rPr>
                    <w:t>2</w:t>
                  </w:r>
                </w:p>
              </w:tc>
              <w:tc>
                <w:tcPr>
                  <w:tcW w:w="1191" w:type="pct"/>
                  <w:noWrap w:val="0"/>
                  <w:vAlign w:val="center"/>
                </w:tcPr>
                <w:p w14:paraId="0D0A1A26">
                  <w:pPr>
                    <w:widowControl/>
                    <w:jc w:val="center"/>
                    <w:rPr>
                      <w:color w:val="auto"/>
                      <w:kern w:val="0"/>
                      <w:szCs w:val="21"/>
                    </w:rPr>
                  </w:pPr>
                  <w:r>
                    <w:rPr>
                      <w:color w:val="auto"/>
                      <w:kern w:val="0"/>
                      <w:szCs w:val="21"/>
                    </w:rPr>
                    <w:t>溶解氧</w:t>
                  </w:r>
                </w:p>
              </w:tc>
              <w:tc>
                <w:tcPr>
                  <w:tcW w:w="793" w:type="pct"/>
                  <w:noWrap w:val="0"/>
                  <w:vAlign w:val="center"/>
                </w:tcPr>
                <w:p w14:paraId="391B6D60">
                  <w:pPr>
                    <w:jc w:val="center"/>
                    <w:rPr>
                      <w:color w:val="auto"/>
                      <w:szCs w:val="21"/>
                    </w:rPr>
                  </w:pPr>
                  <w:r>
                    <w:rPr>
                      <w:color w:val="auto"/>
                      <w:szCs w:val="21"/>
                    </w:rPr>
                    <w:t>mg/L</w:t>
                  </w:r>
                </w:p>
              </w:tc>
              <w:tc>
                <w:tcPr>
                  <w:tcW w:w="995" w:type="pct"/>
                  <w:noWrap w:val="0"/>
                  <w:vAlign w:val="center"/>
                </w:tcPr>
                <w:p w14:paraId="42EDEC9E">
                  <w:pPr>
                    <w:jc w:val="center"/>
                    <w:rPr>
                      <w:color w:val="auto"/>
                      <w:szCs w:val="21"/>
                    </w:rPr>
                  </w:pPr>
                  <w:r>
                    <w:rPr>
                      <w:color w:val="auto"/>
                      <w:szCs w:val="21"/>
                    </w:rPr>
                    <w:t>≥5.0</w:t>
                  </w:r>
                </w:p>
              </w:tc>
              <w:tc>
                <w:tcPr>
                  <w:tcW w:w="1396" w:type="pct"/>
                  <w:vMerge w:val="continue"/>
                  <w:tcBorders>
                    <w:right w:val="single" w:color="auto" w:sz="4" w:space="0"/>
                  </w:tcBorders>
                  <w:noWrap w:val="0"/>
                  <w:vAlign w:val="center"/>
                </w:tcPr>
                <w:p w14:paraId="691E2DAF">
                  <w:pPr>
                    <w:jc w:val="center"/>
                    <w:rPr>
                      <w:color w:val="auto"/>
                      <w:szCs w:val="21"/>
                    </w:rPr>
                  </w:pPr>
                </w:p>
              </w:tc>
            </w:tr>
            <w:tr w14:paraId="511423D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5" w:type="pct"/>
                  <w:tcBorders>
                    <w:left w:val="single" w:color="auto" w:sz="4" w:space="0"/>
                  </w:tcBorders>
                  <w:noWrap w:val="0"/>
                  <w:vAlign w:val="center"/>
                </w:tcPr>
                <w:p w14:paraId="359D5DBB">
                  <w:pPr>
                    <w:widowControl/>
                    <w:jc w:val="center"/>
                    <w:rPr>
                      <w:color w:val="auto"/>
                      <w:kern w:val="0"/>
                      <w:szCs w:val="21"/>
                    </w:rPr>
                  </w:pPr>
                  <w:r>
                    <w:rPr>
                      <w:color w:val="auto"/>
                      <w:kern w:val="0"/>
                      <w:szCs w:val="21"/>
                    </w:rPr>
                    <w:t>3</w:t>
                  </w:r>
                </w:p>
              </w:tc>
              <w:tc>
                <w:tcPr>
                  <w:tcW w:w="1191" w:type="pct"/>
                  <w:noWrap w:val="0"/>
                  <w:vAlign w:val="center"/>
                </w:tcPr>
                <w:p w14:paraId="2DFB7E4F">
                  <w:pPr>
                    <w:widowControl/>
                    <w:jc w:val="center"/>
                    <w:rPr>
                      <w:color w:val="auto"/>
                      <w:kern w:val="0"/>
                      <w:szCs w:val="21"/>
                    </w:rPr>
                  </w:pPr>
                  <w:r>
                    <w:rPr>
                      <w:color w:val="auto"/>
                      <w:kern w:val="0"/>
                      <w:szCs w:val="21"/>
                    </w:rPr>
                    <w:t>化学需氧量</w:t>
                  </w:r>
                </w:p>
              </w:tc>
              <w:tc>
                <w:tcPr>
                  <w:tcW w:w="793" w:type="pct"/>
                  <w:noWrap w:val="0"/>
                  <w:vAlign w:val="center"/>
                </w:tcPr>
                <w:p w14:paraId="2B8520A9">
                  <w:pPr>
                    <w:jc w:val="center"/>
                    <w:rPr>
                      <w:color w:val="auto"/>
                      <w:szCs w:val="21"/>
                    </w:rPr>
                  </w:pPr>
                  <w:r>
                    <w:rPr>
                      <w:color w:val="auto"/>
                      <w:szCs w:val="21"/>
                    </w:rPr>
                    <w:t>mg/L</w:t>
                  </w:r>
                </w:p>
              </w:tc>
              <w:tc>
                <w:tcPr>
                  <w:tcW w:w="995" w:type="pct"/>
                  <w:noWrap w:val="0"/>
                  <w:vAlign w:val="center"/>
                </w:tcPr>
                <w:p w14:paraId="4444954C">
                  <w:pPr>
                    <w:jc w:val="center"/>
                    <w:rPr>
                      <w:color w:val="auto"/>
                      <w:szCs w:val="21"/>
                    </w:rPr>
                  </w:pPr>
                  <w:r>
                    <w:rPr>
                      <w:color w:val="auto"/>
                      <w:szCs w:val="21"/>
                    </w:rPr>
                    <w:t>≤20.0</w:t>
                  </w:r>
                </w:p>
              </w:tc>
              <w:tc>
                <w:tcPr>
                  <w:tcW w:w="1396" w:type="pct"/>
                  <w:vMerge w:val="continue"/>
                  <w:tcBorders>
                    <w:right w:val="single" w:color="auto" w:sz="4" w:space="0"/>
                  </w:tcBorders>
                  <w:noWrap w:val="0"/>
                  <w:vAlign w:val="center"/>
                </w:tcPr>
                <w:p w14:paraId="43F1D816">
                  <w:pPr>
                    <w:jc w:val="center"/>
                    <w:rPr>
                      <w:color w:val="auto"/>
                      <w:szCs w:val="21"/>
                    </w:rPr>
                  </w:pPr>
                </w:p>
              </w:tc>
            </w:tr>
            <w:tr w14:paraId="19F8E9A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5" w:type="pct"/>
                  <w:tcBorders>
                    <w:left w:val="single" w:color="auto" w:sz="4" w:space="0"/>
                  </w:tcBorders>
                  <w:noWrap w:val="0"/>
                  <w:vAlign w:val="center"/>
                </w:tcPr>
                <w:p w14:paraId="0EF5D03C">
                  <w:pPr>
                    <w:widowControl/>
                    <w:jc w:val="center"/>
                    <w:rPr>
                      <w:color w:val="auto"/>
                      <w:kern w:val="0"/>
                      <w:szCs w:val="21"/>
                    </w:rPr>
                  </w:pPr>
                  <w:r>
                    <w:rPr>
                      <w:color w:val="auto"/>
                      <w:kern w:val="0"/>
                      <w:szCs w:val="21"/>
                    </w:rPr>
                    <w:t>4</w:t>
                  </w:r>
                </w:p>
              </w:tc>
              <w:tc>
                <w:tcPr>
                  <w:tcW w:w="1191" w:type="pct"/>
                  <w:noWrap w:val="0"/>
                  <w:vAlign w:val="center"/>
                </w:tcPr>
                <w:p w14:paraId="1E333ED8">
                  <w:pPr>
                    <w:widowControl/>
                    <w:jc w:val="center"/>
                    <w:rPr>
                      <w:color w:val="auto"/>
                      <w:kern w:val="0"/>
                      <w:szCs w:val="21"/>
                    </w:rPr>
                  </w:pPr>
                  <w:r>
                    <w:rPr>
                      <w:color w:val="auto"/>
                      <w:kern w:val="0"/>
                      <w:szCs w:val="21"/>
                    </w:rPr>
                    <w:t>高锰酸盐指数</w:t>
                  </w:r>
                </w:p>
              </w:tc>
              <w:tc>
                <w:tcPr>
                  <w:tcW w:w="793" w:type="pct"/>
                  <w:noWrap w:val="0"/>
                  <w:vAlign w:val="center"/>
                </w:tcPr>
                <w:p w14:paraId="7D26827D">
                  <w:pPr>
                    <w:jc w:val="center"/>
                    <w:rPr>
                      <w:color w:val="auto"/>
                      <w:szCs w:val="21"/>
                    </w:rPr>
                  </w:pPr>
                  <w:r>
                    <w:rPr>
                      <w:color w:val="auto"/>
                      <w:szCs w:val="21"/>
                    </w:rPr>
                    <w:t>mg/L</w:t>
                  </w:r>
                </w:p>
              </w:tc>
              <w:tc>
                <w:tcPr>
                  <w:tcW w:w="995" w:type="pct"/>
                  <w:noWrap w:val="0"/>
                  <w:vAlign w:val="center"/>
                </w:tcPr>
                <w:p w14:paraId="23116F3C">
                  <w:pPr>
                    <w:jc w:val="center"/>
                    <w:rPr>
                      <w:color w:val="auto"/>
                      <w:szCs w:val="21"/>
                    </w:rPr>
                  </w:pPr>
                  <w:r>
                    <w:rPr>
                      <w:color w:val="auto"/>
                      <w:szCs w:val="21"/>
                    </w:rPr>
                    <w:t>≤6.0</w:t>
                  </w:r>
                </w:p>
              </w:tc>
              <w:tc>
                <w:tcPr>
                  <w:tcW w:w="1396" w:type="pct"/>
                  <w:vMerge w:val="continue"/>
                  <w:tcBorders>
                    <w:right w:val="single" w:color="auto" w:sz="4" w:space="0"/>
                  </w:tcBorders>
                  <w:noWrap w:val="0"/>
                  <w:vAlign w:val="center"/>
                </w:tcPr>
                <w:p w14:paraId="27F66C2C">
                  <w:pPr>
                    <w:jc w:val="center"/>
                    <w:rPr>
                      <w:color w:val="auto"/>
                      <w:szCs w:val="21"/>
                    </w:rPr>
                  </w:pPr>
                </w:p>
              </w:tc>
            </w:tr>
            <w:tr w14:paraId="5C6CA2A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625" w:type="pct"/>
                  <w:tcBorders>
                    <w:left w:val="single" w:color="auto" w:sz="4" w:space="0"/>
                  </w:tcBorders>
                  <w:noWrap w:val="0"/>
                  <w:vAlign w:val="center"/>
                </w:tcPr>
                <w:p w14:paraId="14B5D6B5">
                  <w:pPr>
                    <w:widowControl/>
                    <w:jc w:val="center"/>
                    <w:rPr>
                      <w:color w:val="auto"/>
                      <w:kern w:val="0"/>
                      <w:szCs w:val="21"/>
                    </w:rPr>
                  </w:pPr>
                  <w:r>
                    <w:rPr>
                      <w:color w:val="auto"/>
                      <w:kern w:val="0"/>
                      <w:szCs w:val="21"/>
                    </w:rPr>
                    <w:t>5</w:t>
                  </w:r>
                </w:p>
              </w:tc>
              <w:tc>
                <w:tcPr>
                  <w:tcW w:w="1191" w:type="pct"/>
                  <w:noWrap w:val="0"/>
                  <w:vAlign w:val="center"/>
                </w:tcPr>
                <w:p w14:paraId="76AFF7C1">
                  <w:pPr>
                    <w:widowControl/>
                    <w:jc w:val="center"/>
                    <w:rPr>
                      <w:color w:val="auto"/>
                      <w:kern w:val="0"/>
                      <w:szCs w:val="21"/>
                    </w:rPr>
                  </w:pPr>
                  <w:r>
                    <w:rPr>
                      <w:color w:val="auto"/>
                      <w:kern w:val="0"/>
                      <w:szCs w:val="21"/>
                    </w:rPr>
                    <w:t>BOD</w:t>
                  </w:r>
                  <w:r>
                    <w:rPr>
                      <w:color w:val="auto"/>
                      <w:kern w:val="0"/>
                      <w:szCs w:val="21"/>
                      <w:vertAlign w:val="subscript"/>
                    </w:rPr>
                    <w:t>5</w:t>
                  </w:r>
                </w:p>
              </w:tc>
              <w:tc>
                <w:tcPr>
                  <w:tcW w:w="793" w:type="pct"/>
                  <w:noWrap w:val="0"/>
                  <w:vAlign w:val="center"/>
                </w:tcPr>
                <w:p w14:paraId="77174D8B">
                  <w:pPr>
                    <w:jc w:val="center"/>
                    <w:rPr>
                      <w:color w:val="auto"/>
                      <w:szCs w:val="21"/>
                    </w:rPr>
                  </w:pPr>
                  <w:r>
                    <w:rPr>
                      <w:color w:val="auto"/>
                      <w:szCs w:val="21"/>
                    </w:rPr>
                    <w:t>mg/L</w:t>
                  </w:r>
                </w:p>
              </w:tc>
              <w:tc>
                <w:tcPr>
                  <w:tcW w:w="995" w:type="pct"/>
                  <w:noWrap w:val="0"/>
                  <w:vAlign w:val="center"/>
                </w:tcPr>
                <w:p w14:paraId="74FCF882">
                  <w:pPr>
                    <w:jc w:val="center"/>
                    <w:rPr>
                      <w:color w:val="auto"/>
                      <w:szCs w:val="21"/>
                    </w:rPr>
                  </w:pPr>
                  <w:r>
                    <w:rPr>
                      <w:color w:val="auto"/>
                      <w:szCs w:val="21"/>
                    </w:rPr>
                    <w:t>≤4.0</w:t>
                  </w:r>
                </w:p>
              </w:tc>
              <w:tc>
                <w:tcPr>
                  <w:tcW w:w="1396" w:type="pct"/>
                  <w:vMerge w:val="continue"/>
                  <w:tcBorders>
                    <w:right w:val="single" w:color="auto" w:sz="4" w:space="0"/>
                  </w:tcBorders>
                  <w:noWrap w:val="0"/>
                  <w:vAlign w:val="center"/>
                </w:tcPr>
                <w:p w14:paraId="5C0B1EA5">
                  <w:pPr>
                    <w:jc w:val="center"/>
                    <w:rPr>
                      <w:color w:val="auto"/>
                      <w:szCs w:val="21"/>
                    </w:rPr>
                  </w:pPr>
                </w:p>
              </w:tc>
            </w:tr>
            <w:tr w14:paraId="53F156E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625" w:type="pct"/>
                  <w:tcBorders>
                    <w:left w:val="single" w:color="auto" w:sz="4" w:space="0"/>
                  </w:tcBorders>
                  <w:noWrap w:val="0"/>
                  <w:vAlign w:val="center"/>
                </w:tcPr>
                <w:p w14:paraId="1641B137">
                  <w:pPr>
                    <w:widowControl/>
                    <w:jc w:val="center"/>
                    <w:rPr>
                      <w:color w:val="auto"/>
                      <w:kern w:val="0"/>
                      <w:szCs w:val="21"/>
                    </w:rPr>
                  </w:pPr>
                  <w:r>
                    <w:rPr>
                      <w:color w:val="auto"/>
                      <w:kern w:val="0"/>
                      <w:szCs w:val="21"/>
                    </w:rPr>
                    <w:t>6</w:t>
                  </w:r>
                </w:p>
              </w:tc>
              <w:tc>
                <w:tcPr>
                  <w:tcW w:w="1191" w:type="pct"/>
                  <w:noWrap w:val="0"/>
                  <w:vAlign w:val="center"/>
                </w:tcPr>
                <w:p w14:paraId="425C7A92">
                  <w:pPr>
                    <w:widowControl/>
                    <w:jc w:val="center"/>
                    <w:rPr>
                      <w:color w:val="auto"/>
                      <w:kern w:val="0"/>
                      <w:szCs w:val="21"/>
                    </w:rPr>
                  </w:pPr>
                  <w:r>
                    <w:rPr>
                      <w:color w:val="auto"/>
                      <w:kern w:val="0"/>
                      <w:szCs w:val="21"/>
                    </w:rPr>
                    <w:t>氨氮</w:t>
                  </w:r>
                </w:p>
              </w:tc>
              <w:tc>
                <w:tcPr>
                  <w:tcW w:w="793" w:type="pct"/>
                  <w:noWrap w:val="0"/>
                  <w:vAlign w:val="center"/>
                </w:tcPr>
                <w:p w14:paraId="21B5BCAB">
                  <w:pPr>
                    <w:jc w:val="center"/>
                    <w:rPr>
                      <w:color w:val="auto"/>
                      <w:szCs w:val="21"/>
                    </w:rPr>
                  </w:pPr>
                  <w:r>
                    <w:rPr>
                      <w:color w:val="auto"/>
                      <w:szCs w:val="21"/>
                    </w:rPr>
                    <w:t>mg/L</w:t>
                  </w:r>
                </w:p>
              </w:tc>
              <w:tc>
                <w:tcPr>
                  <w:tcW w:w="995" w:type="pct"/>
                  <w:noWrap w:val="0"/>
                  <w:vAlign w:val="center"/>
                </w:tcPr>
                <w:p w14:paraId="0D5B820A">
                  <w:pPr>
                    <w:jc w:val="center"/>
                    <w:rPr>
                      <w:color w:val="auto"/>
                      <w:szCs w:val="21"/>
                    </w:rPr>
                  </w:pPr>
                  <w:r>
                    <w:rPr>
                      <w:color w:val="auto"/>
                      <w:szCs w:val="21"/>
                    </w:rPr>
                    <w:t>≤1.00</w:t>
                  </w:r>
                </w:p>
              </w:tc>
              <w:tc>
                <w:tcPr>
                  <w:tcW w:w="1396" w:type="pct"/>
                  <w:vMerge w:val="continue"/>
                  <w:tcBorders>
                    <w:right w:val="single" w:color="auto" w:sz="4" w:space="0"/>
                  </w:tcBorders>
                  <w:noWrap w:val="0"/>
                  <w:vAlign w:val="center"/>
                </w:tcPr>
                <w:p w14:paraId="6082A34C">
                  <w:pPr>
                    <w:jc w:val="center"/>
                    <w:rPr>
                      <w:color w:val="auto"/>
                      <w:szCs w:val="21"/>
                    </w:rPr>
                  </w:pPr>
                </w:p>
              </w:tc>
            </w:tr>
            <w:tr w14:paraId="7AF9047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25" w:type="pct"/>
                  <w:tcBorders>
                    <w:left w:val="single" w:color="auto" w:sz="4" w:space="0"/>
                  </w:tcBorders>
                  <w:noWrap w:val="0"/>
                  <w:vAlign w:val="center"/>
                </w:tcPr>
                <w:p w14:paraId="1796474E">
                  <w:pPr>
                    <w:widowControl/>
                    <w:jc w:val="center"/>
                    <w:rPr>
                      <w:color w:val="auto"/>
                      <w:kern w:val="0"/>
                      <w:szCs w:val="21"/>
                    </w:rPr>
                  </w:pPr>
                  <w:r>
                    <w:rPr>
                      <w:color w:val="auto"/>
                      <w:kern w:val="0"/>
                      <w:szCs w:val="21"/>
                    </w:rPr>
                    <w:t>7</w:t>
                  </w:r>
                </w:p>
              </w:tc>
              <w:tc>
                <w:tcPr>
                  <w:tcW w:w="1191" w:type="pct"/>
                  <w:noWrap w:val="0"/>
                  <w:vAlign w:val="center"/>
                </w:tcPr>
                <w:p w14:paraId="4B8BCA3B">
                  <w:pPr>
                    <w:widowControl/>
                    <w:jc w:val="center"/>
                    <w:rPr>
                      <w:color w:val="auto"/>
                      <w:kern w:val="0"/>
                      <w:szCs w:val="21"/>
                    </w:rPr>
                  </w:pPr>
                  <w:r>
                    <w:rPr>
                      <w:color w:val="auto"/>
                      <w:kern w:val="0"/>
                      <w:szCs w:val="21"/>
                    </w:rPr>
                    <w:t>氰化物</w:t>
                  </w:r>
                </w:p>
              </w:tc>
              <w:tc>
                <w:tcPr>
                  <w:tcW w:w="793" w:type="pct"/>
                  <w:noWrap w:val="0"/>
                  <w:vAlign w:val="center"/>
                </w:tcPr>
                <w:p w14:paraId="5990A37A">
                  <w:pPr>
                    <w:jc w:val="center"/>
                    <w:rPr>
                      <w:color w:val="auto"/>
                      <w:szCs w:val="21"/>
                    </w:rPr>
                  </w:pPr>
                  <w:r>
                    <w:rPr>
                      <w:color w:val="auto"/>
                      <w:szCs w:val="21"/>
                    </w:rPr>
                    <w:t>mg/L</w:t>
                  </w:r>
                </w:p>
              </w:tc>
              <w:tc>
                <w:tcPr>
                  <w:tcW w:w="995" w:type="pct"/>
                  <w:noWrap w:val="0"/>
                  <w:vAlign w:val="center"/>
                </w:tcPr>
                <w:p w14:paraId="1A781A7A">
                  <w:pPr>
                    <w:jc w:val="center"/>
                    <w:rPr>
                      <w:color w:val="auto"/>
                      <w:szCs w:val="21"/>
                    </w:rPr>
                  </w:pPr>
                  <w:r>
                    <w:rPr>
                      <w:color w:val="auto"/>
                      <w:szCs w:val="21"/>
                    </w:rPr>
                    <w:t>≤0.02</w:t>
                  </w:r>
                </w:p>
              </w:tc>
              <w:tc>
                <w:tcPr>
                  <w:tcW w:w="1396" w:type="pct"/>
                  <w:vMerge w:val="continue"/>
                  <w:tcBorders>
                    <w:right w:val="single" w:color="auto" w:sz="4" w:space="0"/>
                  </w:tcBorders>
                  <w:noWrap w:val="0"/>
                  <w:vAlign w:val="center"/>
                </w:tcPr>
                <w:p w14:paraId="1C77D1D3">
                  <w:pPr>
                    <w:jc w:val="center"/>
                    <w:rPr>
                      <w:color w:val="auto"/>
                      <w:szCs w:val="21"/>
                    </w:rPr>
                  </w:pPr>
                </w:p>
              </w:tc>
            </w:tr>
            <w:tr w14:paraId="5FB5F13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5" w:type="pct"/>
                  <w:tcBorders>
                    <w:left w:val="single" w:color="auto" w:sz="4" w:space="0"/>
                  </w:tcBorders>
                  <w:noWrap w:val="0"/>
                  <w:vAlign w:val="center"/>
                </w:tcPr>
                <w:p w14:paraId="1717ABC0">
                  <w:pPr>
                    <w:widowControl/>
                    <w:jc w:val="center"/>
                    <w:rPr>
                      <w:color w:val="auto"/>
                      <w:kern w:val="0"/>
                      <w:szCs w:val="21"/>
                    </w:rPr>
                  </w:pPr>
                  <w:r>
                    <w:rPr>
                      <w:color w:val="auto"/>
                      <w:kern w:val="0"/>
                      <w:szCs w:val="21"/>
                    </w:rPr>
                    <w:t>8</w:t>
                  </w:r>
                </w:p>
              </w:tc>
              <w:tc>
                <w:tcPr>
                  <w:tcW w:w="1191" w:type="pct"/>
                  <w:noWrap w:val="0"/>
                  <w:vAlign w:val="center"/>
                </w:tcPr>
                <w:p w14:paraId="2F400A38">
                  <w:pPr>
                    <w:widowControl/>
                    <w:jc w:val="center"/>
                    <w:rPr>
                      <w:color w:val="auto"/>
                      <w:kern w:val="0"/>
                      <w:szCs w:val="21"/>
                    </w:rPr>
                  </w:pPr>
                  <w:r>
                    <w:rPr>
                      <w:color w:val="auto"/>
                      <w:kern w:val="0"/>
                      <w:szCs w:val="21"/>
                    </w:rPr>
                    <w:t>氟化物</w:t>
                  </w:r>
                </w:p>
              </w:tc>
              <w:tc>
                <w:tcPr>
                  <w:tcW w:w="793" w:type="pct"/>
                  <w:noWrap w:val="0"/>
                  <w:vAlign w:val="center"/>
                </w:tcPr>
                <w:p w14:paraId="223516C2">
                  <w:pPr>
                    <w:jc w:val="center"/>
                    <w:rPr>
                      <w:color w:val="auto"/>
                      <w:szCs w:val="21"/>
                    </w:rPr>
                  </w:pPr>
                  <w:r>
                    <w:rPr>
                      <w:color w:val="auto"/>
                      <w:szCs w:val="21"/>
                    </w:rPr>
                    <w:t>mg/L</w:t>
                  </w:r>
                </w:p>
              </w:tc>
              <w:tc>
                <w:tcPr>
                  <w:tcW w:w="995" w:type="pct"/>
                  <w:noWrap w:val="0"/>
                  <w:vAlign w:val="center"/>
                </w:tcPr>
                <w:p w14:paraId="4646D7C9">
                  <w:pPr>
                    <w:jc w:val="center"/>
                    <w:rPr>
                      <w:color w:val="auto"/>
                      <w:szCs w:val="21"/>
                    </w:rPr>
                  </w:pPr>
                  <w:r>
                    <w:rPr>
                      <w:color w:val="auto"/>
                      <w:szCs w:val="21"/>
                    </w:rPr>
                    <w:t>≤1.00</w:t>
                  </w:r>
                </w:p>
              </w:tc>
              <w:tc>
                <w:tcPr>
                  <w:tcW w:w="1396" w:type="pct"/>
                  <w:vMerge w:val="continue"/>
                  <w:tcBorders>
                    <w:right w:val="single" w:color="auto" w:sz="4" w:space="0"/>
                  </w:tcBorders>
                  <w:noWrap w:val="0"/>
                  <w:vAlign w:val="center"/>
                </w:tcPr>
                <w:p w14:paraId="41A5FE57">
                  <w:pPr>
                    <w:jc w:val="center"/>
                    <w:rPr>
                      <w:color w:val="auto"/>
                      <w:szCs w:val="21"/>
                    </w:rPr>
                  </w:pPr>
                </w:p>
              </w:tc>
            </w:tr>
            <w:tr w14:paraId="5860C1A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625" w:type="pct"/>
                  <w:tcBorders>
                    <w:left w:val="single" w:color="auto" w:sz="4" w:space="0"/>
                  </w:tcBorders>
                  <w:noWrap w:val="0"/>
                  <w:vAlign w:val="center"/>
                </w:tcPr>
                <w:p w14:paraId="432E029F">
                  <w:pPr>
                    <w:widowControl/>
                    <w:jc w:val="center"/>
                    <w:rPr>
                      <w:color w:val="auto"/>
                      <w:kern w:val="0"/>
                      <w:szCs w:val="21"/>
                    </w:rPr>
                  </w:pPr>
                  <w:r>
                    <w:rPr>
                      <w:color w:val="auto"/>
                      <w:kern w:val="0"/>
                      <w:szCs w:val="21"/>
                    </w:rPr>
                    <w:t>9</w:t>
                  </w:r>
                </w:p>
              </w:tc>
              <w:tc>
                <w:tcPr>
                  <w:tcW w:w="1191" w:type="pct"/>
                  <w:noWrap w:val="0"/>
                  <w:vAlign w:val="center"/>
                </w:tcPr>
                <w:p w14:paraId="14FB5CED">
                  <w:pPr>
                    <w:widowControl/>
                    <w:jc w:val="center"/>
                    <w:rPr>
                      <w:color w:val="auto"/>
                      <w:kern w:val="0"/>
                      <w:szCs w:val="21"/>
                    </w:rPr>
                  </w:pPr>
                  <w:r>
                    <w:rPr>
                      <w:color w:val="auto"/>
                      <w:kern w:val="0"/>
                      <w:szCs w:val="21"/>
                    </w:rPr>
                    <w:t>硫化物</w:t>
                  </w:r>
                </w:p>
              </w:tc>
              <w:tc>
                <w:tcPr>
                  <w:tcW w:w="793" w:type="pct"/>
                  <w:noWrap w:val="0"/>
                  <w:vAlign w:val="center"/>
                </w:tcPr>
                <w:p w14:paraId="5BE0BAA1">
                  <w:pPr>
                    <w:jc w:val="center"/>
                    <w:rPr>
                      <w:color w:val="auto"/>
                      <w:szCs w:val="21"/>
                    </w:rPr>
                  </w:pPr>
                  <w:r>
                    <w:rPr>
                      <w:color w:val="auto"/>
                      <w:szCs w:val="21"/>
                    </w:rPr>
                    <w:t>mg/L</w:t>
                  </w:r>
                </w:p>
              </w:tc>
              <w:tc>
                <w:tcPr>
                  <w:tcW w:w="995" w:type="pct"/>
                  <w:noWrap w:val="0"/>
                  <w:vAlign w:val="center"/>
                </w:tcPr>
                <w:p w14:paraId="2F5D1493">
                  <w:pPr>
                    <w:jc w:val="center"/>
                    <w:rPr>
                      <w:color w:val="auto"/>
                      <w:szCs w:val="21"/>
                    </w:rPr>
                  </w:pPr>
                  <w:r>
                    <w:rPr>
                      <w:color w:val="auto"/>
                      <w:szCs w:val="21"/>
                    </w:rPr>
                    <w:t>≤0.2</w:t>
                  </w:r>
                </w:p>
              </w:tc>
              <w:tc>
                <w:tcPr>
                  <w:tcW w:w="1396" w:type="pct"/>
                  <w:vMerge w:val="continue"/>
                  <w:tcBorders>
                    <w:right w:val="single" w:color="auto" w:sz="4" w:space="0"/>
                  </w:tcBorders>
                  <w:noWrap w:val="0"/>
                  <w:vAlign w:val="center"/>
                </w:tcPr>
                <w:p w14:paraId="60B972C4">
                  <w:pPr>
                    <w:jc w:val="center"/>
                    <w:rPr>
                      <w:color w:val="auto"/>
                      <w:szCs w:val="21"/>
                    </w:rPr>
                  </w:pPr>
                </w:p>
              </w:tc>
            </w:tr>
            <w:tr w14:paraId="255CE00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625" w:type="pct"/>
                  <w:tcBorders>
                    <w:left w:val="single" w:color="auto" w:sz="4" w:space="0"/>
                  </w:tcBorders>
                  <w:noWrap w:val="0"/>
                  <w:vAlign w:val="center"/>
                </w:tcPr>
                <w:p w14:paraId="7DAEA25E">
                  <w:pPr>
                    <w:widowControl/>
                    <w:jc w:val="center"/>
                    <w:rPr>
                      <w:color w:val="auto"/>
                      <w:kern w:val="0"/>
                      <w:szCs w:val="21"/>
                    </w:rPr>
                  </w:pPr>
                  <w:r>
                    <w:rPr>
                      <w:color w:val="auto"/>
                      <w:kern w:val="0"/>
                      <w:szCs w:val="21"/>
                    </w:rPr>
                    <w:t>10</w:t>
                  </w:r>
                </w:p>
              </w:tc>
              <w:tc>
                <w:tcPr>
                  <w:tcW w:w="1191" w:type="pct"/>
                  <w:noWrap w:val="0"/>
                  <w:vAlign w:val="center"/>
                </w:tcPr>
                <w:p w14:paraId="54AF6958">
                  <w:pPr>
                    <w:widowControl/>
                    <w:jc w:val="center"/>
                    <w:rPr>
                      <w:color w:val="auto"/>
                      <w:kern w:val="0"/>
                      <w:szCs w:val="21"/>
                    </w:rPr>
                  </w:pPr>
                  <w:r>
                    <w:rPr>
                      <w:color w:val="auto"/>
                      <w:kern w:val="0"/>
                      <w:szCs w:val="21"/>
                    </w:rPr>
                    <w:t>挥发酚</w:t>
                  </w:r>
                </w:p>
              </w:tc>
              <w:tc>
                <w:tcPr>
                  <w:tcW w:w="793" w:type="pct"/>
                  <w:noWrap w:val="0"/>
                  <w:vAlign w:val="center"/>
                </w:tcPr>
                <w:p w14:paraId="2B214720">
                  <w:pPr>
                    <w:jc w:val="center"/>
                    <w:rPr>
                      <w:color w:val="auto"/>
                      <w:szCs w:val="21"/>
                    </w:rPr>
                  </w:pPr>
                  <w:r>
                    <w:rPr>
                      <w:color w:val="auto"/>
                      <w:szCs w:val="21"/>
                    </w:rPr>
                    <w:t>mg/L</w:t>
                  </w:r>
                </w:p>
              </w:tc>
              <w:tc>
                <w:tcPr>
                  <w:tcW w:w="995" w:type="pct"/>
                  <w:noWrap w:val="0"/>
                  <w:vAlign w:val="center"/>
                </w:tcPr>
                <w:p w14:paraId="6B3E168A">
                  <w:pPr>
                    <w:jc w:val="center"/>
                    <w:rPr>
                      <w:color w:val="auto"/>
                      <w:szCs w:val="21"/>
                    </w:rPr>
                  </w:pPr>
                  <w:r>
                    <w:rPr>
                      <w:color w:val="auto"/>
                      <w:szCs w:val="21"/>
                    </w:rPr>
                    <w:t>≤0.005</w:t>
                  </w:r>
                </w:p>
              </w:tc>
              <w:tc>
                <w:tcPr>
                  <w:tcW w:w="1396" w:type="pct"/>
                  <w:vMerge w:val="continue"/>
                  <w:tcBorders>
                    <w:right w:val="single" w:color="auto" w:sz="4" w:space="0"/>
                  </w:tcBorders>
                  <w:noWrap w:val="0"/>
                  <w:vAlign w:val="center"/>
                </w:tcPr>
                <w:p w14:paraId="40B049D0">
                  <w:pPr>
                    <w:jc w:val="center"/>
                    <w:rPr>
                      <w:color w:val="auto"/>
                      <w:szCs w:val="21"/>
                    </w:rPr>
                  </w:pPr>
                </w:p>
              </w:tc>
            </w:tr>
            <w:tr w14:paraId="7E486FA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625" w:type="pct"/>
                  <w:tcBorders>
                    <w:left w:val="single" w:color="auto" w:sz="4" w:space="0"/>
                  </w:tcBorders>
                  <w:noWrap w:val="0"/>
                  <w:vAlign w:val="center"/>
                </w:tcPr>
                <w:p w14:paraId="6E8E1A5D">
                  <w:pPr>
                    <w:widowControl/>
                    <w:jc w:val="center"/>
                    <w:rPr>
                      <w:color w:val="auto"/>
                      <w:kern w:val="0"/>
                      <w:szCs w:val="21"/>
                    </w:rPr>
                  </w:pPr>
                  <w:r>
                    <w:rPr>
                      <w:color w:val="auto"/>
                      <w:kern w:val="0"/>
                      <w:szCs w:val="21"/>
                    </w:rPr>
                    <w:t>11</w:t>
                  </w:r>
                </w:p>
              </w:tc>
              <w:tc>
                <w:tcPr>
                  <w:tcW w:w="1191" w:type="pct"/>
                  <w:noWrap w:val="0"/>
                  <w:vAlign w:val="center"/>
                </w:tcPr>
                <w:p w14:paraId="295D39F3">
                  <w:pPr>
                    <w:widowControl/>
                    <w:jc w:val="center"/>
                    <w:rPr>
                      <w:color w:val="auto"/>
                      <w:kern w:val="0"/>
                      <w:szCs w:val="21"/>
                    </w:rPr>
                  </w:pPr>
                  <w:r>
                    <w:rPr>
                      <w:color w:val="auto"/>
                      <w:kern w:val="0"/>
                      <w:szCs w:val="21"/>
                    </w:rPr>
                    <w:t>六价铬</w:t>
                  </w:r>
                </w:p>
              </w:tc>
              <w:tc>
                <w:tcPr>
                  <w:tcW w:w="793" w:type="pct"/>
                  <w:noWrap w:val="0"/>
                  <w:vAlign w:val="center"/>
                </w:tcPr>
                <w:p w14:paraId="130515F5">
                  <w:pPr>
                    <w:jc w:val="center"/>
                    <w:rPr>
                      <w:color w:val="auto"/>
                      <w:szCs w:val="21"/>
                    </w:rPr>
                  </w:pPr>
                  <w:r>
                    <w:rPr>
                      <w:color w:val="auto"/>
                      <w:szCs w:val="21"/>
                    </w:rPr>
                    <w:t>mg/L</w:t>
                  </w:r>
                </w:p>
              </w:tc>
              <w:tc>
                <w:tcPr>
                  <w:tcW w:w="995" w:type="pct"/>
                  <w:noWrap w:val="0"/>
                  <w:vAlign w:val="center"/>
                </w:tcPr>
                <w:p w14:paraId="0EC4E7DA">
                  <w:pPr>
                    <w:jc w:val="center"/>
                    <w:rPr>
                      <w:color w:val="auto"/>
                      <w:szCs w:val="21"/>
                    </w:rPr>
                  </w:pPr>
                  <w:r>
                    <w:rPr>
                      <w:color w:val="auto"/>
                      <w:szCs w:val="21"/>
                    </w:rPr>
                    <w:t>≤0.05</w:t>
                  </w:r>
                </w:p>
              </w:tc>
              <w:tc>
                <w:tcPr>
                  <w:tcW w:w="1396" w:type="pct"/>
                  <w:vMerge w:val="continue"/>
                  <w:tcBorders>
                    <w:right w:val="single" w:color="auto" w:sz="4" w:space="0"/>
                  </w:tcBorders>
                  <w:noWrap w:val="0"/>
                  <w:vAlign w:val="center"/>
                </w:tcPr>
                <w:p w14:paraId="37FA3FC8">
                  <w:pPr>
                    <w:jc w:val="center"/>
                    <w:rPr>
                      <w:color w:val="auto"/>
                      <w:szCs w:val="21"/>
                    </w:rPr>
                  </w:pPr>
                </w:p>
              </w:tc>
            </w:tr>
            <w:tr w14:paraId="4E80808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625" w:type="pct"/>
                  <w:tcBorders>
                    <w:left w:val="single" w:color="auto" w:sz="4" w:space="0"/>
                  </w:tcBorders>
                  <w:noWrap w:val="0"/>
                  <w:vAlign w:val="center"/>
                </w:tcPr>
                <w:p w14:paraId="4DF6E303">
                  <w:pPr>
                    <w:widowControl/>
                    <w:jc w:val="center"/>
                    <w:rPr>
                      <w:color w:val="auto"/>
                      <w:kern w:val="0"/>
                      <w:szCs w:val="21"/>
                    </w:rPr>
                  </w:pPr>
                  <w:r>
                    <w:rPr>
                      <w:color w:val="auto"/>
                      <w:kern w:val="0"/>
                      <w:szCs w:val="21"/>
                    </w:rPr>
                    <w:t>12</w:t>
                  </w:r>
                </w:p>
              </w:tc>
              <w:tc>
                <w:tcPr>
                  <w:tcW w:w="1191" w:type="pct"/>
                  <w:noWrap w:val="0"/>
                  <w:vAlign w:val="center"/>
                </w:tcPr>
                <w:p w14:paraId="210991C8">
                  <w:pPr>
                    <w:widowControl/>
                    <w:jc w:val="center"/>
                    <w:rPr>
                      <w:color w:val="auto"/>
                      <w:kern w:val="0"/>
                      <w:szCs w:val="21"/>
                    </w:rPr>
                  </w:pPr>
                  <w:r>
                    <w:rPr>
                      <w:color w:val="auto"/>
                      <w:kern w:val="0"/>
                      <w:szCs w:val="21"/>
                    </w:rPr>
                    <w:t>石油类</w:t>
                  </w:r>
                </w:p>
              </w:tc>
              <w:tc>
                <w:tcPr>
                  <w:tcW w:w="793" w:type="pct"/>
                  <w:noWrap w:val="0"/>
                  <w:vAlign w:val="center"/>
                </w:tcPr>
                <w:p w14:paraId="6744711E">
                  <w:pPr>
                    <w:jc w:val="center"/>
                    <w:rPr>
                      <w:color w:val="auto"/>
                      <w:szCs w:val="21"/>
                    </w:rPr>
                  </w:pPr>
                  <w:r>
                    <w:rPr>
                      <w:color w:val="auto"/>
                      <w:szCs w:val="21"/>
                    </w:rPr>
                    <w:t>mg/L</w:t>
                  </w:r>
                </w:p>
              </w:tc>
              <w:tc>
                <w:tcPr>
                  <w:tcW w:w="995" w:type="pct"/>
                  <w:noWrap w:val="0"/>
                  <w:vAlign w:val="center"/>
                </w:tcPr>
                <w:p w14:paraId="6E67ED86">
                  <w:pPr>
                    <w:jc w:val="center"/>
                    <w:rPr>
                      <w:color w:val="auto"/>
                      <w:szCs w:val="21"/>
                    </w:rPr>
                  </w:pPr>
                  <w:r>
                    <w:rPr>
                      <w:color w:val="auto"/>
                      <w:szCs w:val="21"/>
                    </w:rPr>
                    <w:t>≤0.05</w:t>
                  </w:r>
                </w:p>
              </w:tc>
              <w:tc>
                <w:tcPr>
                  <w:tcW w:w="1396" w:type="pct"/>
                  <w:vMerge w:val="continue"/>
                  <w:tcBorders>
                    <w:right w:val="single" w:color="auto" w:sz="4" w:space="0"/>
                  </w:tcBorders>
                  <w:noWrap w:val="0"/>
                  <w:vAlign w:val="center"/>
                </w:tcPr>
                <w:p w14:paraId="5106A780">
                  <w:pPr>
                    <w:jc w:val="center"/>
                    <w:rPr>
                      <w:color w:val="auto"/>
                      <w:szCs w:val="21"/>
                    </w:rPr>
                  </w:pPr>
                </w:p>
              </w:tc>
            </w:tr>
            <w:tr w14:paraId="63AE5B8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25" w:type="pct"/>
                  <w:tcBorders>
                    <w:left w:val="single" w:color="auto" w:sz="4" w:space="0"/>
                  </w:tcBorders>
                  <w:noWrap w:val="0"/>
                  <w:vAlign w:val="center"/>
                </w:tcPr>
                <w:p w14:paraId="0F7C5ED0">
                  <w:pPr>
                    <w:widowControl/>
                    <w:jc w:val="center"/>
                    <w:rPr>
                      <w:color w:val="auto"/>
                      <w:kern w:val="0"/>
                      <w:szCs w:val="21"/>
                    </w:rPr>
                  </w:pPr>
                  <w:r>
                    <w:rPr>
                      <w:color w:val="auto"/>
                      <w:kern w:val="0"/>
                      <w:szCs w:val="21"/>
                    </w:rPr>
                    <w:t>13</w:t>
                  </w:r>
                </w:p>
              </w:tc>
              <w:tc>
                <w:tcPr>
                  <w:tcW w:w="1191" w:type="pct"/>
                  <w:noWrap w:val="0"/>
                  <w:vAlign w:val="center"/>
                </w:tcPr>
                <w:p w14:paraId="436BF38C">
                  <w:pPr>
                    <w:widowControl/>
                    <w:jc w:val="center"/>
                    <w:rPr>
                      <w:color w:val="auto"/>
                      <w:kern w:val="0"/>
                      <w:szCs w:val="21"/>
                    </w:rPr>
                  </w:pPr>
                  <w:r>
                    <w:rPr>
                      <w:color w:val="auto"/>
                      <w:kern w:val="0"/>
                      <w:szCs w:val="21"/>
                    </w:rPr>
                    <w:t>总磷</w:t>
                  </w:r>
                </w:p>
              </w:tc>
              <w:tc>
                <w:tcPr>
                  <w:tcW w:w="793" w:type="pct"/>
                  <w:noWrap w:val="0"/>
                  <w:vAlign w:val="center"/>
                </w:tcPr>
                <w:p w14:paraId="06D900DA">
                  <w:pPr>
                    <w:jc w:val="center"/>
                    <w:rPr>
                      <w:color w:val="auto"/>
                      <w:szCs w:val="21"/>
                    </w:rPr>
                  </w:pPr>
                  <w:r>
                    <w:rPr>
                      <w:color w:val="auto"/>
                      <w:szCs w:val="21"/>
                    </w:rPr>
                    <w:t>mg/L</w:t>
                  </w:r>
                </w:p>
              </w:tc>
              <w:tc>
                <w:tcPr>
                  <w:tcW w:w="995" w:type="pct"/>
                  <w:noWrap w:val="0"/>
                  <w:vAlign w:val="center"/>
                </w:tcPr>
                <w:p w14:paraId="5ECA3D87">
                  <w:pPr>
                    <w:jc w:val="center"/>
                    <w:rPr>
                      <w:color w:val="auto"/>
                      <w:szCs w:val="21"/>
                    </w:rPr>
                  </w:pPr>
                  <w:r>
                    <w:rPr>
                      <w:color w:val="auto"/>
                      <w:szCs w:val="21"/>
                    </w:rPr>
                    <w:t>≤0.20</w:t>
                  </w:r>
                </w:p>
              </w:tc>
              <w:tc>
                <w:tcPr>
                  <w:tcW w:w="1396" w:type="pct"/>
                  <w:vMerge w:val="continue"/>
                  <w:tcBorders>
                    <w:right w:val="single" w:color="auto" w:sz="4" w:space="0"/>
                  </w:tcBorders>
                  <w:noWrap w:val="0"/>
                  <w:vAlign w:val="center"/>
                </w:tcPr>
                <w:p w14:paraId="50717FF8">
                  <w:pPr>
                    <w:jc w:val="center"/>
                    <w:rPr>
                      <w:color w:val="auto"/>
                      <w:szCs w:val="21"/>
                    </w:rPr>
                  </w:pPr>
                </w:p>
              </w:tc>
            </w:tr>
            <w:tr w14:paraId="7B6ED25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25" w:type="pct"/>
                  <w:tcBorders>
                    <w:left w:val="single" w:color="auto" w:sz="4" w:space="0"/>
                  </w:tcBorders>
                  <w:noWrap w:val="0"/>
                  <w:vAlign w:val="center"/>
                </w:tcPr>
                <w:p w14:paraId="1C547332">
                  <w:pPr>
                    <w:widowControl/>
                    <w:jc w:val="center"/>
                    <w:rPr>
                      <w:color w:val="auto"/>
                      <w:kern w:val="0"/>
                      <w:szCs w:val="21"/>
                    </w:rPr>
                  </w:pPr>
                  <w:r>
                    <w:rPr>
                      <w:color w:val="auto"/>
                      <w:kern w:val="0"/>
                      <w:szCs w:val="21"/>
                    </w:rPr>
                    <w:t>14</w:t>
                  </w:r>
                </w:p>
              </w:tc>
              <w:tc>
                <w:tcPr>
                  <w:tcW w:w="1191" w:type="pct"/>
                  <w:noWrap w:val="0"/>
                  <w:vAlign w:val="center"/>
                </w:tcPr>
                <w:p w14:paraId="47C73AA9">
                  <w:pPr>
                    <w:widowControl/>
                    <w:jc w:val="center"/>
                    <w:rPr>
                      <w:color w:val="auto"/>
                      <w:kern w:val="0"/>
                      <w:szCs w:val="21"/>
                    </w:rPr>
                  </w:pPr>
                  <w:r>
                    <w:rPr>
                      <w:color w:val="auto"/>
                      <w:kern w:val="0"/>
                      <w:szCs w:val="21"/>
                    </w:rPr>
                    <w:t>总氮</w:t>
                  </w:r>
                </w:p>
              </w:tc>
              <w:tc>
                <w:tcPr>
                  <w:tcW w:w="793" w:type="pct"/>
                  <w:noWrap w:val="0"/>
                  <w:vAlign w:val="center"/>
                </w:tcPr>
                <w:p w14:paraId="450F0CED">
                  <w:pPr>
                    <w:jc w:val="center"/>
                    <w:rPr>
                      <w:color w:val="auto"/>
                      <w:szCs w:val="21"/>
                    </w:rPr>
                  </w:pPr>
                  <w:r>
                    <w:rPr>
                      <w:color w:val="auto"/>
                      <w:szCs w:val="21"/>
                    </w:rPr>
                    <w:t>mg/L</w:t>
                  </w:r>
                </w:p>
              </w:tc>
              <w:tc>
                <w:tcPr>
                  <w:tcW w:w="995" w:type="pct"/>
                  <w:noWrap w:val="0"/>
                  <w:vAlign w:val="center"/>
                </w:tcPr>
                <w:p w14:paraId="3084269F">
                  <w:pPr>
                    <w:jc w:val="center"/>
                    <w:rPr>
                      <w:color w:val="auto"/>
                      <w:szCs w:val="21"/>
                    </w:rPr>
                  </w:pPr>
                  <w:r>
                    <w:rPr>
                      <w:color w:val="auto"/>
                      <w:szCs w:val="21"/>
                    </w:rPr>
                    <w:t>≤1.0</w:t>
                  </w:r>
                </w:p>
              </w:tc>
              <w:tc>
                <w:tcPr>
                  <w:tcW w:w="1396" w:type="pct"/>
                  <w:vMerge w:val="continue"/>
                  <w:tcBorders>
                    <w:right w:val="single" w:color="auto" w:sz="4" w:space="0"/>
                  </w:tcBorders>
                  <w:noWrap w:val="0"/>
                  <w:vAlign w:val="center"/>
                </w:tcPr>
                <w:p w14:paraId="6331D221">
                  <w:pPr>
                    <w:jc w:val="center"/>
                    <w:rPr>
                      <w:color w:val="auto"/>
                      <w:szCs w:val="21"/>
                    </w:rPr>
                  </w:pPr>
                </w:p>
              </w:tc>
            </w:tr>
            <w:tr w14:paraId="4832290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5" w:type="pct"/>
                  <w:tcBorders>
                    <w:left w:val="single" w:color="auto" w:sz="4" w:space="0"/>
                  </w:tcBorders>
                  <w:noWrap w:val="0"/>
                  <w:vAlign w:val="center"/>
                </w:tcPr>
                <w:p w14:paraId="40BA0B10">
                  <w:pPr>
                    <w:widowControl/>
                    <w:jc w:val="center"/>
                    <w:rPr>
                      <w:color w:val="auto"/>
                      <w:kern w:val="0"/>
                      <w:szCs w:val="21"/>
                    </w:rPr>
                  </w:pPr>
                  <w:r>
                    <w:rPr>
                      <w:color w:val="auto"/>
                      <w:kern w:val="0"/>
                      <w:szCs w:val="21"/>
                    </w:rPr>
                    <w:t>15</w:t>
                  </w:r>
                </w:p>
              </w:tc>
              <w:tc>
                <w:tcPr>
                  <w:tcW w:w="1191" w:type="pct"/>
                  <w:noWrap w:val="0"/>
                  <w:vAlign w:val="center"/>
                </w:tcPr>
                <w:p w14:paraId="0274F42F">
                  <w:pPr>
                    <w:widowControl/>
                    <w:jc w:val="center"/>
                    <w:rPr>
                      <w:color w:val="auto"/>
                      <w:kern w:val="0"/>
                      <w:szCs w:val="21"/>
                    </w:rPr>
                  </w:pPr>
                  <w:r>
                    <w:rPr>
                      <w:color w:val="auto"/>
                      <w:kern w:val="0"/>
                      <w:szCs w:val="21"/>
                    </w:rPr>
                    <w:t>粪大肠菌群</w:t>
                  </w:r>
                </w:p>
              </w:tc>
              <w:tc>
                <w:tcPr>
                  <w:tcW w:w="793" w:type="pct"/>
                  <w:noWrap w:val="0"/>
                  <w:vAlign w:val="center"/>
                </w:tcPr>
                <w:p w14:paraId="4ECE488A">
                  <w:pPr>
                    <w:jc w:val="center"/>
                    <w:rPr>
                      <w:color w:val="auto"/>
                      <w:szCs w:val="21"/>
                    </w:rPr>
                  </w:pPr>
                  <w:r>
                    <w:rPr>
                      <w:color w:val="auto"/>
                      <w:szCs w:val="21"/>
                    </w:rPr>
                    <w:t>个/L</w:t>
                  </w:r>
                </w:p>
              </w:tc>
              <w:tc>
                <w:tcPr>
                  <w:tcW w:w="995" w:type="pct"/>
                  <w:noWrap w:val="0"/>
                  <w:vAlign w:val="center"/>
                </w:tcPr>
                <w:p w14:paraId="463ECD79">
                  <w:pPr>
                    <w:jc w:val="center"/>
                    <w:rPr>
                      <w:color w:val="auto"/>
                      <w:szCs w:val="21"/>
                    </w:rPr>
                  </w:pPr>
                  <w:r>
                    <w:rPr>
                      <w:color w:val="auto"/>
                      <w:szCs w:val="21"/>
                    </w:rPr>
                    <w:t>≤10000</w:t>
                  </w:r>
                </w:p>
              </w:tc>
              <w:tc>
                <w:tcPr>
                  <w:tcW w:w="1396" w:type="pct"/>
                  <w:vMerge w:val="continue"/>
                  <w:tcBorders>
                    <w:right w:val="single" w:color="auto" w:sz="4" w:space="0"/>
                  </w:tcBorders>
                  <w:noWrap w:val="0"/>
                  <w:vAlign w:val="center"/>
                </w:tcPr>
                <w:p w14:paraId="6A085952">
                  <w:pPr>
                    <w:jc w:val="center"/>
                    <w:rPr>
                      <w:color w:val="auto"/>
                      <w:szCs w:val="21"/>
                    </w:rPr>
                  </w:pPr>
                </w:p>
              </w:tc>
            </w:tr>
          </w:tbl>
          <w:p w14:paraId="54F927E5">
            <w:pPr>
              <w:spacing w:before="120" w:beforeLines="50" w:line="360" w:lineRule="auto"/>
              <w:ind w:firstLine="480" w:firstLineChars="200"/>
              <w:rPr>
                <w:color w:val="auto"/>
                <w:kern w:val="0"/>
                <w:sz w:val="24"/>
                <w:szCs w:val="24"/>
              </w:rPr>
            </w:pPr>
            <w:r>
              <w:rPr>
                <w:color w:val="auto"/>
                <w:kern w:val="0"/>
                <w:sz w:val="24"/>
                <w:szCs w:val="24"/>
              </w:rPr>
              <w:t>（</w:t>
            </w:r>
            <w:r>
              <w:rPr>
                <w:rFonts w:hint="eastAsia"/>
                <w:color w:val="auto"/>
                <w:kern w:val="0"/>
                <w:sz w:val="24"/>
                <w:szCs w:val="24"/>
                <w:lang w:val="en-US" w:eastAsia="zh-CN"/>
              </w:rPr>
              <w:t>2</w:t>
            </w:r>
            <w:r>
              <w:rPr>
                <w:color w:val="auto"/>
                <w:kern w:val="0"/>
                <w:sz w:val="24"/>
                <w:szCs w:val="24"/>
              </w:rPr>
              <w:t>）大气环境</w:t>
            </w:r>
          </w:p>
          <w:p w14:paraId="30F386B1">
            <w:pPr>
              <w:spacing w:line="360" w:lineRule="auto"/>
              <w:ind w:firstLine="480" w:firstLineChars="200"/>
              <w:rPr>
                <w:color w:val="auto"/>
                <w:kern w:val="0"/>
                <w:sz w:val="24"/>
                <w:szCs w:val="24"/>
              </w:rPr>
            </w:pPr>
            <w:r>
              <w:rPr>
                <w:color w:val="auto"/>
                <w:kern w:val="0"/>
                <w:sz w:val="24"/>
                <w:szCs w:val="24"/>
              </w:rPr>
              <w:t>根据《环境空气质量标准》（GB3095-20</w:t>
            </w:r>
            <w:r>
              <w:rPr>
                <w:rFonts w:hint="eastAsia"/>
                <w:color w:val="auto"/>
                <w:kern w:val="0"/>
                <w:sz w:val="24"/>
                <w:szCs w:val="24"/>
                <w:lang w:val="en-US" w:eastAsia="zh-CN"/>
              </w:rPr>
              <w:t>26</w:t>
            </w:r>
            <w:r>
              <w:rPr>
                <w:color w:val="auto"/>
                <w:kern w:val="0"/>
                <w:sz w:val="24"/>
                <w:szCs w:val="24"/>
              </w:rPr>
              <w:t>）</w:t>
            </w:r>
            <w:r>
              <w:rPr>
                <w:rFonts w:hint="eastAsia"/>
                <w:color w:val="auto"/>
                <w:kern w:val="0"/>
                <w:sz w:val="24"/>
                <w:szCs w:val="24"/>
              </w:rPr>
              <w:t>及其修改单</w:t>
            </w:r>
            <w:r>
              <w:rPr>
                <w:color w:val="auto"/>
                <w:kern w:val="0"/>
                <w:sz w:val="24"/>
                <w:szCs w:val="24"/>
              </w:rPr>
              <w:t>，区域</w:t>
            </w:r>
            <w:r>
              <w:rPr>
                <w:rFonts w:hint="eastAsia"/>
                <w:color w:val="auto"/>
                <w:kern w:val="0"/>
                <w:sz w:val="24"/>
                <w:szCs w:val="24"/>
              </w:rPr>
              <w:t>环境空气</w:t>
            </w:r>
            <w:r>
              <w:rPr>
                <w:color w:val="auto"/>
                <w:kern w:val="0"/>
                <w:sz w:val="24"/>
                <w:szCs w:val="24"/>
              </w:rPr>
              <w:t>执行二级</w:t>
            </w:r>
            <w:r>
              <w:rPr>
                <w:rFonts w:hint="eastAsia"/>
                <w:color w:val="auto"/>
                <w:kern w:val="0"/>
                <w:sz w:val="24"/>
                <w:szCs w:val="24"/>
                <w:lang w:val="en-US" w:eastAsia="zh-CN"/>
              </w:rPr>
              <w:t>标准</w:t>
            </w:r>
            <w:r>
              <w:rPr>
                <w:color w:val="auto"/>
                <w:kern w:val="0"/>
                <w:sz w:val="24"/>
                <w:szCs w:val="24"/>
              </w:rPr>
              <w:t>浓度限值，详见表3</w:t>
            </w:r>
            <w:r>
              <w:rPr>
                <w:rFonts w:hint="eastAsia"/>
                <w:color w:val="auto"/>
                <w:kern w:val="0"/>
                <w:sz w:val="24"/>
                <w:szCs w:val="24"/>
                <w:lang w:val="en-US" w:eastAsia="zh-CN"/>
              </w:rPr>
              <w:t>-5</w:t>
            </w:r>
            <w:r>
              <w:rPr>
                <w:color w:val="auto"/>
                <w:kern w:val="0"/>
                <w:sz w:val="24"/>
                <w:szCs w:val="24"/>
              </w:rPr>
              <w:t>。</w:t>
            </w:r>
          </w:p>
          <w:p w14:paraId="54E9A6DA">
            <w:pPr>
              <w:spacing w:line="360" w:lineRule="auto"/>
              <w:jc w:val="center"/>
              <w:rPr>
                <w:b/>
                <w:bCs/>
                <w:color w:val="auto"/>
                <w:kern w:val="0"/>
                <w:sz w:val="24"/>
                <w:szCs w:val="24"/>
              </w:rPr>
            </w:pPr>
            <w:r>
              <w:rPr>
                <w:b/>
                <w:bCs/>
                <w:color w:val="auto"/>
                <w:kern w:val="0"/>
                <w:sz w:val="24"/>
                <w:szCs w:val="24"/>
              </w:rPr>
              <w:t>表3</w:t>
            </w:r>
            <w:r>
              <w:rPr>
                <w:rFonts w:hint="eastAsia"/>
                <w:b/>
                <w:bCs/>
                <w:color w:val="auto"/>
                <w:kern w:val="0"/>
                <w:sz w:val="24"/>
                <w:szCs w:val="24"/>
                <w:lang w:val="en-US" w:eastAsia="zh-CN"/>
              </w:rPr>
              <w:t>-5</w:t>
            </w:r>
            <w:r>
              <w:rPr>
                <w:b/>
                <w:bCs/>
                <w:color w:val="auto"/>
                <w:kern w:val="0"/>
                <w:sz w:val="24"/>
                <w:szCs w:val="24"/>
              </w:rPr>
              <w:t xml:space="preserve"> 环境空气质量标准</w:t>
            </w:r>
          </w:p>
          <w:tbl>
            <w:tblPr>
              <w:tblStyle w:val="24"/>
              <w:tblW w:w="8334"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74"/>
              <w:gridCol w:w="2214"/>
              <w:gridCol w:w="2813"/>
              <w:gridCol w:w="1433"/>
            </w:tblGrid>
            <w:tr w14:paraId="04E5A2E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124" w:type="pct"/>
                  <w:tcBorders>
                    <w:left w:val="single" w:color="auto" w:sz="0" w:space="0"/>
                  </w:tcBorders>
                  <w:noWrap w:val="0"/>
                  <w:vAlign w:val="center"/>
                </w:tcPr>
                <w:p w14:paraId="5CD95C40">
                  <w:pPr>
                    <w:jc w:val="center"/>
                    <w:rPr>
                      <w:color w:val="auto"/>
                      <w:szCs w:val="21"/>
                    </w:rPr>
                  </w:pPr>
                  <w:r>
                    <w:rPr>
                      <w:color w:val="auto"/>
                      <w:szCs w:val="21"/>
                    </w:rPr>
                    <w:t>污染物名称</w:t>
                  </w:r>
                </w:p>
              </w:tc>
              <w:tc>
                <w:tcPr>
                  <w:tcW w:w="1328" w:type="pct"/>
                  <w:noWrap w:val="0"/>
                  <w:vAlign w:val="center"/>
                </w:tcPr>
                <w:p w14:paraId="6F27F874">
                  <w:pPr>
                    <w:jc w:val="center"/>
                    <w:rPr>
                      <w:color w:val="auto"/>
                      <w:szCs w:val="21"/>
                    </w:rPr>
                  </w:pPr>
                  <w:r>
                    <w:rPr>
                      <w:color w:val="auto"/>
                      <w:szCs w:val="21"/>
                    </w:rPr>
                    <w:t>取值时间</w:t>
                  </w:r>
                </w:p>
              </w:tc>
              <w:tc>
                <w:tcPr>
                  <w:tcW w:w="1687" w:type="pct"/>
                  <w:noWrap w:val="0"/>
                  <w:vAlign w:val="center"/>
                </w:tcPr>
                <w:p w14:paraId="1A8C3471">
                  <w:pPr>
                    <w:jc w:val="center"/>
                    <w:rPr>
                      <w:color w:val="auto"/>
                      <w:szCs w:val="21"/>
                    </w:rPr>
                  </w:pPr>
                  <w:r>
                    <w:rPr>
                      <w:rFonts w:hint="eastAsia"/>
                      <w:color w:val="auto"/>
                      <w:szCs w:val="21"/>
                      <w:lang w:val="en-US" w:eastAsia="zh-CN"/>
                    </w:rPr>
                    <w:t>过渡阶段</w:t>
                  </w:r>
                  <w:r>
                    <w:rPr>
                      <w:color w:val="auto"/>
                      <w:szCs w:val="21"/>
                    </w:rPr>
                    <w:t>二级标准浓度限值</w:t>
                  </w:r>
                </w:p>
              </w:tc>
              <w:tc>
                <w:tcPr>
                  <w:tcW w:w="859" w:type="pct"/>
                  <w:tcBorders>
                    <w:right w:val="single" w:color="auto" w:sz="4" w:space="0"/>
                  </w:tcBorders>
                  <w:noWrap w:val="0"/>
                  <w:vAlign w:val="center"/>
                </w:tcPr>
                <w:p w14:paraId="027A7B44">
                  <w:pPr>
                    <w:jc w:val="center"/>
                    <w:rPr>
                      <w:color w:val="auto"/>
                      <w:szCs w:val="21"/>
                    </w:rPr>
                  </w:pPr>
                  <w:r>
                    <w:rPr>
                      <w:color w:val="auto"/>
                      <w:szCs w:val="21"/>
                    </w:rPr>
                    <w:t>浓度单位</w:t>
                  </w:r>
                </w:p>
              </w:tc>
            </w:tr>
            <w:tr w14:paraId="61D2341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124" w:type="pct"/>
                  <w:vMerge w:val="restart"/>
                  <w:tcBorders>
                    <w:left w:val="single" w:color="auto" w:sz="4" w:space="0"/>
                  </w:tcBorders>
                  <w:noWrap w:val="0"/>
                  <w:vAlign w:val="center"/>
                </w:tcPr>
                <w:p w14:paraId="518B1F30">
                  <w:pPr>
                    <w:jc w:val="center"/>
                    <w:rPr>
                      <w:color w:val="auto"/>
                      <w:szCs w:val="21"/>
                    </w:rPr>
                  </w:pPr>
                  <w:r>
                    <w:rPr>
                      <w:rFonts w:hint="eastAsia"/>
                      <w:color w:val="auto"/>
                      <w:szCs w:val="21"/>
                    </w:rPr>
                    <w:t>总悬浮颗粒物</w:t>
                  </w:r>
                </w:p>
                <w:p w14:paraId="04DCB25F">
                  <w:pPr>
                    <w:jc w:val="center"/>
                    <w:rPr>
                      <w:rFonts w:hint="eastAsia"/>
                      <w:color w:val="auto"/>
                      <w:szCs w:val="21"/>
                    </w:rPr>
                  </w:pPr>
                  <w:r>
                    <w:rPr>
                      <w:rFonts w:hint="eastAsia"/>
                      <w:color w:val="auto"/>
                      <w:szCs w:val="21"/>
                    </w:rPr>
                    <w:t>（T</w:t>
                  </w:r>
                  <w:r>
                    <w:rPr>
                      <w:color w:val="auto"/>
                      <w:szCs w:val="21"/>
                    </w:rPr>
                    <w:t>SP</w:t>
                  </w:r>
                  <w:r>
                    <w:rPr>
                      <w:rFonts w:hint="eastAsia"/>
                      <w:color w:val="auto"/>
                      <w:szCs w:val="21"/>
                    </w:rPr>
                    <w:t>）</w:t>
                  </w:r>
                </w:p>
              </w:tc>
              <w:tc>
                <w:tcPr>
                  <w:tcW w:w="1328" w:type="pct"/>
                  <w:noWrap w:val="0"/>
                  <w:vAlign w:val="center"/>
                </w:tcPr>
                <w:p w14:paraId="1FA33368">
                  <w:pPr>
                    <w:jc w:val="center"/>
                    <w:rPr>
                      <w:color w:val="auto"/>
                      <w:szCs w:val="21"/>
                    </w:rPr>
                  </w:pPr>
                  <w:r>
                    <w:rPr>
                      <w:color w:val="auto"/>
                      <w:szCs w:val="21"/>
                    </w:rPr>
                    <w:t>年平均</w:t>
                  </w:r>
                </w:p>
              </w:tc>
              <w:tc>
                <w:tcPr>
                  <w:tcW w:w="1687" w:type="pct"/>
                  <w:noWrap w:val="0"/>
                  <w:vAlign w:val="center"/>
                </w:tcPr>
                <w:p w14:paraId="168B9327">
                  <w:pPr>
                    <w:jc w:val="center"/>
                    <w:rPr>
                      <w:color w:val="auto"/>
                      <w:szCs w:val="21"/>
                    </w:rPr>
                  </w:pPr>
                  <w:r>
                    <w:rPr>
                      <w:rFonts w:hint="eastAsia"/>
                      <w:color w:val="auto"/>
                      <w:szCs w:val="21"/>
                    </w:rPr>
                    <w:t>2</w:t>
                  </w:r>
                  <w:r>
                    <w:rPr>
                      <w:color w:val="auto"/>
                      <w:szCs w:val="21"/>
                    </w:rPr>
                    <w:t>00</w:t>
                  </w:r>
                </w:p>
              </w:tc>
              <w:tc>
                <w:tcPr>
                  <w:tcW w:w="859" w:type="pct"/>
                  <w:vMerge w:val="restart"/>
                  <w:tcBorders>
                    <w:right w:val="single" w:color="auto" w:sz="4" w:space="0"/>
                  </w:tcBorders>
                  <w:noWrap w:val="0"/>
                  <w:vAlign w:val="center"/>
                </w:tcPr>
                <w:p w14:paraId="3B7C6336">
                  <w:pPr>
                    <w:jc w:val="center"/>
                    <w:rPr>
                      <w:color w:val="auto"/>
                      <w:szCs w:val="21"/>
                    </w:rPr>
                  </w:pPr>
                  <w:r>
                    <w:rPr>
                      <w:color w:val="auto"/>
                      <w:szCs w:val="21"/>
                    </w:rPr>
                    <w:t>μg/m</w:t>
                  </w:r>
                  <w:r>
                    <w:rPr>
                      <w:color w:val="auto"/>
                      <w:szCs w:val="21"/>
                      <w:vertAlign w:val="superscript"/>
                    </w:rPr>
                    <w:t>3</w:t>
                  </w:r>
                </w:p>
              </w:tc>
            </w:tr>
            <w:tr w14:paraId="42CDACF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124" w:type="pct"/>
                  <w:vMerge w:val="continue"/>
                  <w:tcBorders>
                    <w:left w:val="single" w:color="auto" w:sz="4" w:space="0"/>
                  </w:tcBorders>
                  <w:noWrap w:val="0"/>
                  <w:vAlign w:val="center"/>
                </w:tcPr>
                <w:p w14:paraId="1C3EF43A">
                  <w:pPr>
                    <w:jc w:val="center"/>
                    <w:rPr>
                      <w:color w:val="auto"/>
                      <w:szCs w:val="21"/>
                    </w:rPr>
                  </w:pPr>
                </w:p>
              </w:tc>
              <w:tc>
                <w:tcPr>
                  <w:tcW w:w="1328" w:type="pct"/>
                  <w:noWrap w:val="0"/>
                  <w:vAlign w:val="center"/>
                </w:tcPr>
                <w:p w14:paraId="6A72CD8F">
                  <w:pPr>
                    <w:jc w:val="center"/>
                    <w:rPr>
                      <w:color w:val="auto"/>
                      <w:szCs w:val="21"/>
                    </w:rPr>
                  </w:pPr>
                  <w:r>
                    <w:rPr>
                      <w:color w:val="auto"/>
                      <w:szCs w:val="21"/>
                    </w:rPr>
                    <w:t>24h平均</w:t>
                  </w:r>
                </w:p>
              </w:tc>
              <w:tc>
                <w:tcPr>
                  <w:tcW w:w="1687" w:type="pct"/>
                  <w:noWrap w:val="0"/>
                  <w:vAlign w:val="center"/>
                </w:tcPr>
                <w:p w14:paraId="20B14323">
                  <w:pPr>
                    <w:jc w:val="center"/>
                    <w:rPr>
                      <w:color w:val="auto"/>
                      <w:szCs w:val="21"/>
                    </w:rPr>
                  </w:pPr>
                  <w:r>
                    <w:rPr>
                      <w:rFonts w:hint="eastAsia"/>
                      <w:color w:val="auto"/>
                      <w:szCs w:val="21"/>
                    </w:rPr>
                    <w:t>3</w:t>
                  </w:r>
                  <w:r>
                    <w:rPr>
                      <w:color w:val="auto"/>
                      <w:szCs w:val="21"/>
                    </w:rPr>
                    <w:t>00</w:t>
                  </w:r>
                </w:p>
              </w:tc>
              <w:tc>
                <w:tcPr>
                  <w:tcW w:w="859" w:type="pct"/>
                  <w:vMerge w:val="continue"/>
                  <w:tcBorders>
                    <w:right w:val="single" w:color="auto" w:sz="4" w:space="0"/>
                  </w:tcBorders>
                  <w:noWrap w:val="0"/>
                  <w:vAlign w:val="center"/>
                </w:tcPr>
                <w:p w14:paraId="72C6E97F">
                  <w:pPr>
                    <w:jc w:val="center"/>
                    <w:rPr>
                      <w:color w:val="auto"/>
                      <w:szCs w:val="21"/>
                    </w:rPr>
                  </w:pPr>
                </w:p>
              </w:tc>
            </w:tr>
            <w:tr w14:paraId="6637E6A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124" w:type="pct"/>
                  <w:vMerge w:val="restart"/>
                  <w:tcBorders>
                    <w:left w:val="single" w:color="auto" w:sz="4" w:space="0"/>
                  </w:tcBorders>
                  <w:noWrap w:val="0"/>
                  <w:vAlign w:val="center"/>
                </w:tcPr>
                <w:p w14:paraId="2D46DBDF">
                  <w:pPr>
                    <w:jc w:val="center"/>
                    <w:rPr>
                      <w:color w:val="auto"/>
                      <w:szCs w:val="21"/>
                    </w:rPr>
                  </w:pPr>
                  <w:r>
                    <w:rPr>
                      <w:color w:val="auto"/>
                      <w:szCs w:val="21"/>
                    </w:rPr>
                    <w:t>颗粒物（PM</w:t>
                  </w:r>
                  <w:r>
                    <w:rPr>
                      <w:color w:val="auto"/>
                      <w:szCs w:val="21"/>
                      <w:vertAlign w:val="subscript"/>
                    </w:rPr>
                    <w:t>10</w:t>
                  </w:r>
                  <w:r>
                    <w:rPr>
                      <w:color w:val="auto"/>
                      <w:szCs w:val="21"/>
                    </w:rPr>
                    <w:t>）</w:t>
                  </w:r>
                </w:p>
              </w:tc>
              <w:tc>
                <w:tcPr>
                  <w:tcW w:w="1328" w:type="pct"/>
                  <w:noWrap w:val="0"/>
                  <w:vAlign w:val="center"/>
                </w:tcPr>
                <w:p w14:paraId="1E505C4B">
                  <w:pPr>
                    <w:jc w:val="center"/>
                    <w:rPr>
                      <w:color w:val="auto"/>
                      <w:szCs w:val="21"/>
                    </w:rPr>
                  </w:pPr>
                  <w:r>
                    <w:rPr>
                      <w:color w:val="auto"/>
                      <w:szCs w:val="21"/>
                    </w:rPr>
                    <w:t>年平均</w:t>
                  </w:r>
                </w:p>
              </w:tc>
              <w:tc>
                <w:tcPr>
                  <w:tcW w:w="1687" w:type="pct"/>
                  <w:noWrap w:val="0"/>
                  <w:vAlign w:val="center"/>
                </w:tcPr>
                <w:p w14:paraId="488C2605">
                  <w:pPr>
                    <w:jc w:val="center"/>
                    <w:rPr>
                      <w:rFonts w:hint="default" w:eastAsia="宋体"/>
                      <w:color w:val="auto"/>
                      <w:szCs w:val="21"/>
                      <w:lang w:val="en-US" w:eastAsia="zh-CN"/>
                    </w:rPr>
                  </w:pPr>
                  <w:r>
                    <w:rPr>
                      <w:rFonts w:hint="eastAsia"/>
                      <w:color w:val="auto"/>
                      <w:szCs w:val="21"/>
                      <w:lang w:val="en-US" w:eastAsia="zh-CN"/>
                    </w:rPr>
                    <w:t>60</w:t>
                  </w:r>
                </w:p>
              </w:tc>
              <w:tc>
                <w:tcPr>
                  <w:tcW w:w="859" w:type="pct"/>
                  <w:vMerge w:val="continue"/>
                  <w:tcBorders>
                    <w:right w:val="single" w:color="auto" w:sz="4" w:space="0"/>
                  </w:tcBorders>
                  <w:noWrap w:val="0"/>
                  <w:vAlign w:val="center"/>
                </w:tcPr>
                <w:p w14:paraId="6479CE83">
                  <w:pPr>
                    <w:jc w:val="center"/>
                    <w:rPr>
                      <w:color w:val="auto"/>
                      <w:szCs w:val="21"/>
                    </w:rPr>
                  </w:pPr>
                </w:p>
              </w:tc>
            </w:tr>
            <w:tr w14:paraId="410DCCA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43" w:hRule="atLeast"/>
                <w:jc w:val="center"/>
              </w:trPr>
              <w:tc>
                <w:tcPr>
                  <w:tcW w:w="1124" w:type="pct"/>
                  <w:vMerge w:val="continue"/>
                  <w:tcBorders>
                    <w:left w:val="single" w:color="auto" w:sz="4" w:space="0"/>
                  </w:tcBorders>
                  <w:noWrap w:val="0"/>
                  <w:vAlign w:val="center"/>
                </w:tcPr>
                <w:p w14:paraId="33AF879F">
                  <w:pPr>
                    <w:jc w:val="center"/>
                    <w:rPr>
                      <w:color w:val="auto"/>
                      <w:szCs w:val="21"/>
                    </w:rPr>
                  </w:pPr>
                </w:p>
              </w:tc>
              <w:tc>
                <w:tcPr>
                  <w:tcW w:w="1328" w:type="pct"/>
                  <w:noWrap w:val="0"/>
                  <w:vAlign w:val="center"/>
                </w:tcPr>
                <w:p w14:paraId="637A8873">
                  <w:pPr>
                    <w:jc w:val="center"/>
                    <w:rPr>
                      <w:color w:val="auto"/>
                      <w:szCs w:val="21"/>
                    </w:rPr>
                  </w:pPr>
                  <w:r>
                    <w:rPr>
                      <w:color w:val="auto"/>
                      <w:szCs w:val="21"/>
                    </w:rPr>
                    <w:t>24h平均</w:t>
                  </w:r>
                </w:p>
              </w:tc>
              <w:tc>
                <w:tcPr>
                  <w:tcW w:w="1687" w:type="pct"/>
                  <w:noWrap w:val="0"/>
                  <w:vAlign w:val="center"/>
                </w:tcPr>
                <w:p w14:paraId="69CFDE82">
                  <w:pPr>
                    <w:jc w:val="center"/>
                    <w:rPr>
                      <w:color w:val="auto"/>
                      <w:szCs w:val="21"/>
                    </w:rPr>
                  </w:pPr>
                  <w:r>
                    <w:rPr>
                      <w:color w:val="auto"/>
                      <w:szCs w:val="21"/>
                    </w:rPr>
                    <w:t>1</w:t>
                  </w:r>
                  <w:r>
                    <w:rPr>
                      <w:rFonts w:hint="eastAsia"/>
                      <w:color w:val="auto"/>
                      <w:szCs w:val="21"/>
                      <w:lang w:val="en-US" w:eastAsia="zh-CN"/>
                    </w:rPr>
                    <w:t>2</w:t>
                  </w:r>
                  <w:r>
                    <w:rPr>
                      <w:color w:val="auto"/>
                      <w:szCs w:val="21"/>
                    </w:rPr>
                    <w:t>0</w:t>
                  </w:r>
                </w:p>
              </w:tc>
              <w:tc>
                <w:tcPr>
                  <w:tcW w:w="859" w:type="pct"/>
                  <w:vMerge w:val="continue"/>
                  <w:tcBorders>
                    <w:right w:val="single" w:color="auto" w:sz="4" w:space="0"/>
                  </w:tcBorders>
                  <w:noWrap w:val="0"/>
                  <w:vAlign w:val="center"/>
                </w:tcPr>
                <w:p w14:paraId="63F285A7">
                  <w:pPr>
                    <w:jc w:val="center"/>
                    <w:rPr>
                      <w:color w:val="auto"/>
                      <w:szCs w:val="21"/>
                    </w:rPr>
                  </w:pPr>
                </w:p>
              </w:tc>
            </w:tr>
            <w:tr w14:paraId="1CD2367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124" w:type="pct"/>
                  <w:vMerge w:val="restart"/>
                  <w:tcBorders>
                    <w:left w:val="single" w:color="auto" w:sz="4" w:space="0"/>
                  </w:tcBorders>
                  <w:noWrap w:val="0"/>
                  <w:vAlign w:val="center"/>
                </w:tcPr>
                <w:p w14:paraId="562AC1D8">
                  <w:pPr>
                    <w:jc w:val="center"/>
                    <w:rPr>
                      <w:color w:val="auto"/>
                      <w:szCs w:val="21"/>
                    </w:rPr>
                  </w:pPr>
                  <w:r>
                    <w:rPr>
                      <w:color w:val="auto"/>
                      <w:szCs w:val="21"/>
                    </w:rPr>
                    <w:t>颗粒物（PM</w:t>
                  </w:r>
                  <w:r>
                    <w:rPr>
                      <w:color w:val="auto"/>
                      <w:szCs w:val="21"/>
                      <w:vertAlign w:val="subscript"/>
                    </w:rPr>
                    <w:t>2.5</w:t>
                  </w:r>
                  <w:r>
                    <w:rPr>
                      <w:color w:val="auto"/>
                      <w:szCs w:val="21"/>
                    </w:rPr>
                    <w:t>）</w:t>
                  </w:r>
                </w:p>
              </w:tc>
              <w:tc>
                <w:tcPr>
                  <w:tcW w:w="1328" w:type="pct"/>
                  <w:noWrap w:val="0"/>
                  <w:vAlign w:val="center"/>
                </w:tcPr>
                <w:p w14:paraId="72215544">
                  <w:pPr>
                    <w:jc w:val="center"/>
                    <w:rPr>
                      <w:color w:val="auto"/>
                      <w:szCs w:val="21"/>
                    </w:rPr>
                  </w:pPr>
                  <w:r>
                    <w:rPr>
                      <w:color w:val="auto"/>
                      <w:szCs w:val="21"/>
                    </w:rPr>
                    <w:t>年平均</w:t>
                  </w:r>
                </w:p>
              </w:tc>
              <w:tc>
                <w:tcPr>
                  <w:tcW w:w="1687" w:type="pct"/>
                  <w:noWrap w:val="0"/>
                  <w:vAlign w:val="center"/>
                </w:tcPr>
                <w:p w14:paraId="0B35466A">
                  <w:pPr>
                    <w:jc w:val="center"/>
                    <w:rPr>
                      <w:rFonts w:hint="default"/>
                      <w:color w:val="auto"/>
                      <w:szCs w:val="21"/>
                      <w:lang w:val="en-US"/>
                    </w:rPr>
                  </w:pPr>
                  <w:r>
                    <w:rPr>
                      <w:rFonts w:hint="eastAsia"/>
                      <w:color w:val="auto"/>
                      <w:szCs w:val="21"/>
                      <w:lang w:val="en-US" w:eastAsia="zh-CN"/>
                    </w:rPr>
                    <w:t>30</w:t>
                  </w:r>
                </w:p>
              </w:tc>
              <w:tc>
                <w:tcPr>
                  <w:tcW w:w="859" w:type="pct"/>
                  <w:vMerge w:val="continue"/>
                  <w:tcBorders>
                    <w:right w:val="single" w:color="auto" w:sz="4" w:space="0"/>
                  </w:tcBorders>
                  <w:noWrap w:val="0"/>
                  <w:vAlign w:val="center"/>
                </w:tcPr>
                <w:p w14:paraId="27130C5E">
                  <w:pPr>
                    <w:jc w:val="center"/>
                    <w:rPr>
                      <w:color w:val="auto"/>
                      <w:szCs w:val="21"/>
                    </w:rPr>
                  </w:pPr>
                </w:p>
              </w:tc>
            </w:tr>
            <w:tr w14:paraId="6033A49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124" w:type="pct"/>
                  <w:vMerge w:val="continue"/>
                  <w:tcBorders>
                    <w:left w:val="single" w:color="auto" w:sz="4" w:space="0"/>
                  </w:tcBorders>
                  <w:noWrap w:val="0"/>
                  <w:vAlign w:val="center"/>
                </w:tcPr>
                <w:p w14:paraId="7E936C0F">
                  <w:pPr>
                    <w:jc w:val="center"/>
                    <w:rPr>
                      <w:color w:val="auto"/>
                      <w:szCs w:val="21"/>
                    </w:rPr>
                  </w:pPr>
                </w:p>
              </w:tc>
              <w:tc>
                <w:tcPr>
                  <w:tcW w:w="1328" w:type="pct"/>
                  <w:noWrap w:val="0"/>
                  <w:vAlign w:val="center"/>
                </w:tcPr>
                <w:p w14:paraId="5EA6CD81">
                  <w:pPr>
                    <w:jc w:val="center"/>
                    <w:rPr>
                      <w:color w:val="auto"/>
                      <w:szCs w:val="21"/>
                    </w:rPr>
                  </w:pPr>
                  <w:r>
                    <w:rPr>
                      <w:color w:val="auto"/>
                      <w:szCs w:val="21"/>
                    </w:rPr>
                    <w:t>24h平均</w:t>
                  </w:r>
                </w:p>
              </w:tc>
              <w:tc>
                <w:tcPr>
                  <w:tcW w:w="1687" w:type="pct"/>
                  <w:noWrap w:val="0"/>
                  <w:vAlign w:val="center"/>
                </w:tcPr>
                <w:p w14:paraId="0CC9A9BA">
                  <w:pPr>
                    <w:jc w:val="center"/>
                    <w:rPr>
                      <w:rFonts w:hint="default" w:eastAsia="宋体"/>
                      <w:color w:val="auto"/>
                      <w:szCs w:val="21"/>
                      <w:lang w:val="en-US" w:eastAsia="zh-CN"/>
                    </w:rPr>
                  </w:pPr>
                  <w:r>
                    <w:rPr>
                      <w:rFonts w:hint="eastAsia"/>
                      <w:color w:val="auto"/>
                      <w:szCs w:val="21"/>
                      <w:lang w:val="en-US" w:eastAsia="zh-CN"/>
                    </w:rPr>
                    <w:t>60</w:t>
                  </w:r>
                </w:p>
              </w:tc>
              <w:tc>
                <w:tcPr>
                  <w:tcW w:w="859" w:type="pct"/>
                  <w:vMerge w:val="continue"/>
                  <w:tcBorders>
                    <w:right w:val="single" w:color="auto" w:sz="4" w:space="0"/>
                  </w:tcBorders>
                  <w:noWrap w:val="0"/>
                  <w:vAlign w:val="center"/>
                </w:tcPr>
                <w:p w14:paraId="226B53AC">
                  <w:pPr>
                    <w:jc w:val="center"/>
                    <w:rPr>
                      <w:color w:val="auto"/>
                      <w:szCs w:val="21"/>
                    </w:rPr>
                  </w:pPr>
                </w:p>
              </w:tc>
            </w:tr>
            <w:tr w14:paraId="53474F8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124" w:type="pct"/>
                  <w:vMerge w:val="restart"/>
                  <w:tcBorders>
                    <w:left w:val="single" w:color="auto" w:sz="4" w:space="0"/>
                  </w:tcBorders>
                  <w:noWrap w:val="0"/>
                  <w:vAlign w:val="center"/>
                </w:tcPr>
                <w:p w14:paraId="1EDDE330">
                  <w:pPr>
                    <w:jc w:val="center"/>
                    <w:rPr>
                      <w:color w:val="auto"/>
                      <w:szCs w:val="21"/>
                    </w:rPr>
                  </w:pPr>
                  <w:r>
                    <w:rPr>
                      <w:color w:val="auto"/>
                      <w:szCs w:val="21"/>
                    </w:rPr>
                    <w:t>SO</w:t>
                  </w:r>
                  <w:r>
                    <w:rPr>
                      <w:color w:val="auto"/>
                      <w:szCs w:val="21"/>
                      <w:vertAlign w:val="subscript"/>
                    </w:rPr>
                    <w:t>2</w:t>
                  </w:r>
                </w:p>
              </w:tc>
              <w:tc>
                <w:tcPr>
                  <w:tcW w:w="1328" w:type="pct"/>
                  <w:noWrap w:val="0"/>
                  <w:vAlign w:val="center"/>
                </w:tcPr>
                <w:p w14:paraId="28BF87E7">
                  <w:pPr>
                    <w:jc w:val="center"/>
                    <w:rPr>
                      <w:color w:val="auto"/>
                      <w:szCs w:val="21"/>
                    </w:rPr>
                  </w:pPr>
                  <w:r>
                    <w:rPr>
                      <w:color w:val="auto"/>
                      <w:szCs w:val="21"/>
                    </w:rPr>
                    <w:t>年平均</w:t>
                  </w:r>
                </w:p>
              </w:tc>
              <w:tc>
                <w:tcPr>
                  <w:tcW w:w="1687" w:type="pct"/>
                  <w:noWrap w:val="0"/>
                  <w:vAlign w:val="center"/>
                </w:tcPr>
                <w:p w14:paraId="65BBB52D">
                  <w:pPr>
                    <w:jc w:val="center"/>
                    <w:rPr>
                      <w:color w:val="auto"/>
                      <w:szCs w:val="21"/>
                    </w:rPr>
                  </w:pPr>
                  <w:r>
                    <w:rPr>
                      <w:color w:val="auto"/>
                      <w:szCs w:val="21"/>
                    </w:rPr>
                    <w:t>60</w:t>
                  </w:r>
                </w:p>
              </w:tc>
              <w:tc>
                <w:tcPr>
                  <w:tcW w:w="859" w:type="pct"/>
                  <w:vMerge w:val="continue"/>
                  <w:tcBorders>
                    <w:right w:val="single" w:color="auto" w:sz="4" w:space="0"/>
                  </w:tcBorders>
                  <w:noWrap w:val="0"/>
                  <w:vAlign w:val="center"/>
                </w:tcPr>
                <w:p w14:paraId="2AE40B2E">
                  <w:pPr>
                    <w:jc w:val="center"/>
                    <w:rPr>
                      <w:color w:val="auto"/>
                      <w:szCs w:val="21"/>
                    </w:rPr>
                  </w:pPr>
                </w:p>
              </w:tc>
            </w:tr>
            <w:tr w14:paraId="23F0AB8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124" w:type="pct"/>
                  <w:vMerge w:val="continue"/>
                  <w:tcBorders>
                    <w:left w:val="single" w:color="auto" w:sz="4" w:space="0"/>
                  </w:tcBorders>
                  <w:noWrap w:val="0"/>
                  <w:vAlign w:val="center"/>
                </w:tcPr>
                <w:p w14:paraId="6070DF5F">
                  <w:pPr>
                    <w:jc w:val="center"/>
                    <w:rPr>
                      <w:color w:val="auto"/>
                      <w:szCs w:val="21"/>
                    </w:rPr>
                  </w:pPr>
                </w:p>
              </w:tc>
              <w:tc>
                <w:tcPr>
                  <w:tcW w:w="1328" w:type="pct"/>
                  <w:noWrap w:val="0"/>
                  <w:vAlign w:val="center"/>
                </w:tcPr>
                <w:p w14:paraId="29F0886F">
                  <w:pPr>
                    <w:jc w:val="center"/>
                    <w:rPr>
                      <w:color w:val="auto"/>
                      <w:szCs w:val="21"/>
                    </w:rPr>
                  </w:pPr>
                  <w:r>
                    <w:rPr>
                      <w:color w:val="auto"/>
                      <w:szCs w:val="21"/>
                    </w:rPr>
                    <w:t>24h平均</w:t>
                  </w:r>
                </w:p>
              </w:tc>
              <w:tc>
                <w:tcPr>
                  <w:tcW w:w="1687" w:type="pct"/>
                  <w:noWrap w:val="0"/>
                  <w:vAlign w:val="center"/>
                </w:tcPr>
                <w:p w14:paraId="4C997C8D">
                  <w:pPr>
                    <w:jc w:val="center"/>
                    <w:rPr>
                      <w:color w:val="auto"/>
                      <w:szCs w:val="21"/>
                    </w:rPr>
                  </w:pPr>
                  <w:r>
                    <w:rPr>
                      <w:color w:val="auto"/>
                      <w:szCs w:val="21"/>
                    </w:rPr>
                    <w:t>150</w:t>
                  </w:r>
                </w:p>
              </w:tc>
              <w:tc>
                <w:tcPr>
                  <w:tcW w:w="859" w:type="pct"/>
                  <w:vMerge w:val="continue"/>
                  <w:tcBorders>
                    <w:right w:val="single" w:color="auto" w:sz="4" w:space="0"/>
                  </w:tcBorders>
                  <w:noWrap w:val="0"/>
                  <w:vAlign w:val="center"/>
                </w:tcPr>
                <w:p w14:paraId="2D6DE6CC">
                  <w:pPr>
                    <w:jc w:val="center"/>
                    <w:rPr>
                      <w:color w:val="auto"/>
                      <w:szCs w:val="21"/>
                    </w:rPr>
                  </w:pPr>
                </w:p>
              </w:tc>
            </w:tr>
            <w:tr w14:paraId="542A062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124" w:type="pct"/>
                  <w:vMerge w:val="continue"/>
                  <w:tcBorders>
                    <w:left w:val="single" w:color="auto" w:sz="4" w:space="0"/>
                  </w:tcBorders>
                  <w:noWrap w:val="0"/>
                  <w:vAlign w:val="center"/>
                </w:tcPr>
                <w:p w14:paraId="1C568F76">
                  <w:pPr>
                    <w:jc w:val="center"/>
                    <w:rPr>
                      <w:color w:val="auto"/>
                      <w:szCs w:val="21"/>
                    </w:rPr>
                  </w:pPr>
                </w:p>
              </w:tc>
              <w:tc>
                <w:tcPr>
                  <w:tcW w:w="1328" w:type="pct"/>
                  <w:noWrap w:val="0"/>
                  <w:vAlign w:val="center"/>
                </w:tcPr>
                <w:p w14:paraId="2A4292E5">
                  <w:pPr>
                    <w:jc w:val="center"/>
                    <w:rPr>
                      <w:color w:val="auto"/>
                      <w:szCs w:val="21"/>
                    </w:rPr>
                  </w:pPr>
                  <w:r>
                    <w:rPr>
                      <w:color w:val="auto"/>
                      <w:szCs w:val="21"/>
                    </w:rPr>
                    <w:t>1h平均</w:t>
                  </w:r>
                </w:p>
              </w:tc>
              <w:tc>
                <w:tcPr>
                  <w:tcW w:w="1687" w:type="pct"/>
                  <w:noWrap w:val="0"/>
                  <w:vAlign w:val="center"/>
                </w:tcPr>
                <w:p w14:paraId="355FE68B">
                  <w:pPr>
                    <w:jc w:val="center"/>
                    <w:rPr>
                      <w:color w:val="auto"/>
                      <w:szCs w:val="21"/>
                    </w:rPr>
                  </w:pPr>
                  <w:r>
                    <w:rPr>
                      <w:color w:val="auto"/>
                      <w:szCs w:val="21"/>
                    </w:rPr>
                    <w:t>500</w:t>
                  </w:r>
                </w:p>
              </w:tc>
              <w:tc>
                <w:tcPr>
                  <w:tcW w:w="859" w:type="pct"/>
                  <w:vMerge w:val="continue"/>
                  <w:tcBorders>
                    <w:right w:val="single" w:color="auto" w:sz="4" w:space="0"/>
                  </w:tcBorders>
                  <w:noWrap w:val="0"/>
                  <w:vAlign w:val="center"/>
                </w:tcPr>
                <w:p w14:paraId="72638410">
                  <w:pPr>
                    <w:jc w:val="center"/>
                    <w:rPr>
                      <w:color w:val="auto"/>
                      <w:szCs w:val="21"/>
                    </w:rPr>
                  </w:pPr>
                </w:p>
              </w:tc>
            </w:tr>
            <w:tr w14:paraId="3040B83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124" w:type="pct"/>
                  <w:vMerge w:val="restart"/>
                  <w:tcBorders>
                    <w:left w:val="single" w:color="auto" w:sz="4" w:space="0"/>
                  </w:tcBorders>
                  <w:noWrap w:val="0"/>
                  <w:vAlign w:val="center"/>
                </w:tcPr>
                <w:p w14:paraId="3A9CEDB6">
                  <w:pPr>
                    <w:jc w:val="center"/>
                    <w:rPr>
                      <w:color w:val="auto"/>
                      <w:szCs w:val="21"/>
                    </w:rPr>
                  </w:pPr>
                  <w:r>
                    <w:rPr>
                      <w:color w:val="auto"/>
                      <w:szCs w:val="21"/>
                    </w:rPr>
                    <w:t>NO</w:t>
                  </w:r>
                  <w:r>
                    <w:rPr>
                      <w:color w:val="auto"/>
                      <w:szCs w:val="21"/>
                      <w:vertAlign w:val="subscript"/>
                    </w:rPr>
                    <w:t>2</w:t>
                  </w:r>
                </w:p>
              </w:tc>
              <w:tc>
                <w:tcPr>
                  <w:tcW w:w="1328" w:type="pct"/>
                  <w:noWrap w:val="0"/>
                  <w:vAlign w:val="center"/>
                </w:tcPr>
                <w:p w14:paraId="2CE89F81">
                  <w:pPr>
                    <w:jc w:val="center"/>
                    <w:rPr>
                      <w:color w:val="auto"/>
                      <w:szCs w:val="21"/>
                    </w:rPr>
                  </w:pPr>
                  <w:r>
                    <w:rPr>
                      <w:color w:val="auto"/>
                      <w:szCs w:val="21"/>
                    </w:rPr>
                    <w:t>年平均</w:t>
                  </w:r>
                </w:p>
              </w:tc>
              <w:tc>
                <w:tcPr>
                  <w:tcW w:w="1687" w:type="pct"/>
                  <w:noWrap w:val="0"/>
                  <w:vAlign w:val="center"/>
                </w:tcPr>
                <w:p w14:paraId="1B9DF321">
                  <w:pPr>
                    <w:jc w:val="center"/>
                    <w:rPr>
                      <w:color w:val="auto"/>
                      <w:szCs w:val="21"/>
                    </w:rPr>
                  </w:pPr>
                  <w:r>
                    <w:rPr>
                      <w:color w:val="auto"/>
                      <w:szCs w:val="21"/>
                    </w:rPr>
                    <w:t>40</w:t>
                  </w:r>
                </w:p>
              </w:tc>
              <w:tc>
                <w:tcPr>
                  <w:tcW w:w="859" w:type="pct"/>
                  <w:vMerge w:val="continue"/>
                  <w:tcBorders>
                    <w:right w:val="single" w:color="auto" w:sz="4" w:space="0"/>
                  </w:tcBorders>
                  <w:noWrap w:val="0"/>
                  <w:vAlign w:val="center"/>
                </w:tcPr>
                <w:p w14:paraId="0CE75CB2">
                  <w:pPr>
                    <w:jc w:val="center"/>
                    <w:rPr>
                      <w:color w:val="auto"/>
                      <w:szCs w:val="21"/>
                    </w:rPr>
                  </w:pPr>
                </w:p>
              </w:tc>
            </w:tr>
            <w:tr w14:paraId="290807A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124" w:type="pct"/>
                  <w:vMerge w:val="continue"/>
                  <w:tcBorders>
                    <w:left w:val="single" w:color="auto" w:sz="4" w:space="0"/>
                  </w:tcBorders>
                  <w:noWrap w:val="0"/>
                  <w:vAlign w:val="center"/>
                </w:tcPr>
                <w:p w14:paraId="4231C876">
                  <w:pPr>
                    <w:jc w:val="center"/>
                    <w:rPr>
                      <w:color w:val="auto"/>
                      <w:szCs w:val="21"/>
                    </w:rPr>
                  </w:pPr>
                </w:p>
              </w:tc>
              <w:tc>
                <w:tcPr>
                  <w:tcW w:w="1328" w:type="pct"/>
                  <w:noWrap w:val="0"/>
                  <w:vAlign w:val="center"/>
                </w:tcPr>
                <w:p w14:paraId="5C007C5D">
                  <w:pPr>
                    <w:jc w:val="center"/>
                    <w:rPr>
                      <w:color w:val="auto"/>
                      <w:szCs w:val="21"/>
                    </w:rPr>
                  </w:pPr>
                  <w:r>
                    <w:rPr>
                      <w:color w:val="auto"/>
                      <w:szCs w:val="21"/>
                    </w:rPr>
                    <w:t>24h平均</w:t>
                  </w:r>
                </w:p>
              </w:tc>
              <w:tc>
                <w:tcPr>
                  <w:tcW w:w="1687" w:type="pct"/>
                  <w:noWrap w:val="0"/>
                  <w:vAlign w:val="center"/>
                </w:tcPr>
                <w:p w14:paraId="422088B8">
                  <w:pPr>
                    <w:jc w:val="center"/>
                    <w:rPr>
                      <w:color w:val="auto"/>
                      <w:szCs w:val="21"/>
                    </w:rPr>
                  </w:pPr>
                  <w:r>
                    <w:rPr>
                      <w:color w:val="auto"/>
                      <w:szCs w:val="21"/>
                    </w:rPr>
                    <w:t>80</w:t>
                  </w:r>
                </w:p>
              </w:tc>
              <w:tc>
                <w:tcPr>
                  <w:tcW w:w="859" w:type="pct"/>
                  <w:vMerge w:val="continue"/>
                  <w:tcBorders>
                    <w:right w:val="single" w:color="auto" w:sz="4" w:space="0"/>
                  </w:tcBorders>
                  <w:noWrap w:val="0"/>
                  <w:vAlign w:val="center"/>
                </w:tcPr>
                <w:p w14:paraId="709AD246">
                  <w:pPr>
                    <w:jc w:val="center"/>
                    <w:rPr>
                      <w:color w:val="auto"/>
                      <w:szCs w:val="21"/>
                    </w:rPr>
                  </w:pPr>
                </w:p>
              </w:tc>
            </w:tr>
            <w:tr w14:paraId="13BECE7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124" w:type="pct"/>
                  <w:vMerge w:val="continue"/>
                  <w:tcBorders>
                    <w:left w:val="single" w:color="auto" w:sz="4" w:space="0"/>
                  </w:tcBorders>
                  <w:noWrap w:val="0"/>
                  <w:vAlign w:val="center"/>
                </w:tcPr>
                <w:p w14:paraId="0DCBCE73">
                  <w:pPr>
                    <w:jc w:val="center"/>
                    <w:rPr>
                      <w:color w:val="auto"/>
                      <w:szCs w:val="21"/>
                    </w:rPr>
                  </w:pPr>
                </w:p>
              </w:tc>
              <w:tc>
                <w:tcPr>
                  <w:tcW w:w="1328" w:type="pct"/>
                  <w:noWrap w:val="0"/>
                  <w:vAlign w:val="center"/>
                </w:tcPr>
                <w:p w14:paraId="6029FA38">
                  <w:pPr>
                    <w:jc w:val="center"/>
                    <w:rPr>
                      <w:color w:val="auto"/>
                      <w:szCs w:val="21"/>
                    </w:rPr>
                  </w:pPr>
                  <w:r>
                    <w:rPr>
                      <w:color w:val="auto"/>
                      <w:szCs w:val="21"/>
                    </w:rPr>
                    <w:t>1h平均</w:t>
                  </w:r>
                </w:p>
              </w:tc>
              <w:tc>
                <w:tcPr>
                  <w:tcW w:w="1687" w:type="pct"/>
                  <w:noWrap w:val="0"/>
                  <w:vAlign w:val="center"/>
                </w:tcPr>
                <w:p w14:paraId="4B811C19">
                  <w:pPr>
                    <w:jc w:val="center"/>
                    <w:rPr>
                      <w:color w:val="auto"/>
                      <w:szCs w:val="21"/>
                    </w:rPr>
                  </w:pPr>
                  <w:r>
                    <w:rPr>
                      <w:color w:val="auto"/>
                      <w:szCs w:val="21"/>
                    </w:rPr>
                    <w:t>200</w:t>
                  </w:r>
                </w:p>
              </w:tc>
              <w:tc>
                <w:tcPr>
                  <w:tcW w:w="859" w:type="pct"/>
                  <w:vMerge w:val="continue"/>
                  <w:tcBorders>
                    <w:right w:val="single" w:color="auto" w:sz="4" w:space="0"/>
                  </w:tcBorders>
                  <w:noWrap w:val="0"/>
                  <w:vAlign w:val="center"/>
                </w:tcPr>
                <w:p w14:paraId="3E1FFCA3">
                  <w:pPr>
                    <w:jc w:val="center"/>
                    <w:rPr>
                      <w:color w:val="auto"/>
                      <w:szCs w:val="21"/>
                    </w:rPr>
                  </w:pPr>
                </w:p>
              </w:tc>
            </w:tr>
            <w:tr w14:paraId="3E353D0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124" w:type="pct"/>
                  <w:vMerge w:val="restart"/>
                  <w:tcBorders>
                    <w:left w:val="single" w:color="auto" w:sz="4" w:space="0"/>
                  </w:tcBorders>
                  <w:noWrap w:val="0"/>
                  <w:vAlign w:val="center"/>
                </w:tcPr>
                <w:p w14:paraId="32A68633">
                  <w:pPr>
                    <w:jc w:val="center"/>
                    <w:rPr>
                      <w:color w:val="auto"/>
                      <w:szCs w:val="21"/>
                    </w:rPr>
                  </w:pPr>
                  <w:r>
                    <w:rPr>
                      <w:color w:val="auto"/>
                      <w:szCs w:val="21"/>
                    </w:rPr>
                    <w:t>CO</w:t>
                  </w:r>
                </w:p>
              </w:tc>
              <w:tc>
                <w:tcPr>
                  <w:tcW w:w="1328" w:type="pct"/>
                  <w:noWrap w:val="0"/>
                  <w:vAlign w:val="center"/>
                </w:tcPr>
                <w:p w14:paraId="41B169EE">
                  <w:pPr>
                    <w:jc w:val="center"/>
                    <w:rPr>
                      <w:color w:val="auto"/>
                      <w:szCs w:val="21"/>
                    </w:rPr>
                  </w:pPr>
                  <w:r>
                    <w:rPr>
                      <w:color w:val="auto"/>
                      <w:szCs w:val="21"/>
                    </w:rPr>
                    <w:t>24h平均</w:t>
                  </w:r>
                </w:p>
              </w:tc>
              <w:tc>
                <w:tcPr>
                  <w:tcW w:w="1687" w:type="pct"/>
                  <w:noWrap w:val="0"/>
                  <w:vAlign w:val="center"/>
                </w:tcPr>
                <w:p w14:paraId="316776FD">
                  <w:pPr>
                    <w:jc w:val="center"/>
                    <w:rPr>
                      <w:color w:val="auto"/>
                      <w:szCs w:val="21"/>
                    </w:rPr>
                  </w:pPr>
                  <w:r>
                    <w:rPr>
                      <w:color w:val="auto"/>
                      <w:szCs w:val="21"/>
                    </w:rPr>
                    <w:t>4</w:t>
                  </w:r>
                </w:p>
              </w:tc>
              <w:tc>
                <w:tcPr>
                  <w:tcW w:w="859" w:type="pct"/>
                  <w:vMerge w:val="restart"/>
                  <w:tcBorders>
                    <w:right w:val="single" w:color="auto" w:sz="4" w:space="0"/>
                  </w:tcBorders>
                  <w:noWrap w:val="0"/>
                  <w:vAlign w:val="center"/>
                </w:tcPr>
                <w:p w14:paraId="1FB77456">
                  <w:pPr>
                    <w:jc w:val="center"/>
                    <w:rPr>
                      <w:color w:val="auto"/>
                      <w:szCs w:val="21"/>
                    </w:rPr>
                  </w:pPr>
                  <w:r>
                    <w:rPr>
                      <w:color w:val="auto"/>
                      <w:szCs w:val="21"/>
                    </w:rPr>
                    <w:t>mg/m</w:t>
                  </w:r>
                  <w:r>
                    <w:rPr>
                      <w:color w:val="auto"/>
                      <w:szCs w:val="21"/>
                      <w:vertAlign w:val="superscript"/>
                    </w:rPr>
                    <w:t>3</w:t>
                  </w:r>
                </w:p>
              </w:tc>
            </w:tr>
            <w:tr w14:paraId="4975214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124" w:type="pct"/>
                  <w:vMerge w:val="continue"/>
                  <w:tcBorders>
                    <w:left w:val="single" w:color="auto" w:sz="4" w:space="0"/>
                  </w:tcBorders>
                  <w:noWrap w:val="0"/>
                  <w:vAlign w:val="center"/>
                </w:tcPr>
                <w:p w14:paraId="2CBFB8A8">
                  <w:pPr>
                    <w:jc w:val="center"/>
                    <w:rPr>
                      <w:color w:val="auto"/>
                      <w:szCs w:val="21"/>
                    </w:rPr>
                  </w:pPr>
                </w:p>
              </w:tc>
              <w:tc>
                <w:tcPr>
                  <w:tcW w:w="1328" w:type="pct"/>
                  <w:noWrap w:val="0"/>
                  <w:vAlign w:val="center"/>
                </w:tcPr>
                <w:p w14:paraId="03BC2B8A">
                  <w:pPr>
                    <w:jc w:val="center"/>
                    <w:rPr>
                      <w:color w:val="auto"/>
                      <w:szCs w:val="21"/>
                    </w:rPr>
                  </w:pPr>
                  <w:r>
                    <w:rPr>
                      <w:color w:val="auto"/>
                      <w:szCs w:val="21"/>
                    </w:rPr>
                    <w:t>1h平均</w:t>
                  </w:r>
                </w:p>
              </w:tc>
              <w:tc>
                <w:tcPr>
                  <w:tcW w:w="1687" w:type="pct"/>
                  <w:noWrap w:val="0"/>
                  <w:vAlign w:val="center"/>
                </w:tcPr>
                <w:p w14:paraId="7E3C7235">
                  <w:pPr>
                    <w:jc w:val="center"/>
                    <w:rPr>
                      <w:color w:val="auto"/>
                      <w:szCs w:val="21"/>
                    </w:rPr>
                  </w:pPr>
                  <w:r>
                    <w:rPr>
                      <w:color w:val="auto"/>
                      <w:szCs w:val="21"/>
                    </w:rPr>
                    <w:t>10</w:t>
                  </w:r>
                </w:p>
              </w:tc>
              <w:tc>
                <w:tcPr>
                  <w:tcW w:w="859" w:type="pct"/>
                  <w:vMerge w:val="continue"/>
                  <w:tcBorders>
                    <w:right w:val="single" w:color="auto" w:sz="4" w:space="0"/>
                  </w:tcBorders>
                  <w:noWrap w:val="0"/>
                  <w:vAlign w:val="center"/>
                </w:tcPr>
                <w:p w14:paraId="159977DD">
                  <w:pPr>
                    <w:jc w:val="center"/>
                    <w:rPr>
                      <w:color w:val="auto"/>
                      <w:szCs w:val="21"/>
                    </w:rPr>
                  </w:pPr>
                </w:p>
              </w:tc>
            </w:tr>
            <w:tr w14:paraId="7F0ABBD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124" w:type="pct"/>
                  <w:vMerge w:val="restart"/>
                  <w:tcBorders>
                    <w:left w:val="single" w:color="auto" w:sz="4" w:space="0"/>
                  </w:tcBorders>
                  <w:noWrap w:val="0"/>
                  <w:vAlign w:val="center"/>
                </w:tcPr>
                <w:p w14:paraId="4B2C7BA0">
                  <w:pPr>
                    <w:jc w:val="center"/>
                    <w:rPr>
                      <w:color w:val="auto"/>
                      <w:szCs w:val="21"/>
                    </w:rPr>
                  </w:pPr>
                  <w:r>
                    <w:rPr>
                      <w:color w:val="auto"/>
                      <w:szCs w:val="21"/>
                    </w:rPr>
                    <w:t>O</w:t>
                  </w:r>
                  <w:r>
                    <w:rPr>
                      <w:color w:val="auto"/>
                      <w:szCs w:val="21"/>
                      <w:vertAlign w:val="subscript"/>
                    </w:rPr>
                    <w:t>3</w:t>
                  </w:r>
                </w:p>
              </w:tc>
              <w:tc>
                <w:tcPr>
                  <w:tcW w:w="1328" w:type="pct"/>
                  <w:noWrap w:val="0"/>
                  <w:vAlign w:val="center"/>
                </w:tcPr>
                <w:p w14:paraId="398DE01A">
                  <w:pPr>
                    <w:jc w:val="center"/>
                    <w:rPr>
                      <w:color w:val="auto"/>
                      <w:szCs w:val="21"/>
                    </w:rPr>
                  </w:pPr>
                  <w:r>
                    <w:rPr>
                      <w:color w:val="auto"/>
                      <w:szCs w:val="21"/>
                    </w:rPr>
                    <w:t>日最大8小时平均</w:t>
                  </w:r>
                </w:p>
              </w:tc>
              <w:tc>
                <w:tcPr>
                  <w:tcW w:w="1687" w:type="pct"/>
                  <w:noWrap w:val="0"/>
                  <w:vAlign w:val="center"/>
                </w:tcPr>
                <w:p w14:paraId="76E1FF1F">
                  <w:pPr>
                    <w:jc w:val="center"/>
                    <w:rPr>
                      <w:color w:val="auto"/>
                      <w:szCs w:val="21"/>
                    </w:rPr>
                  </w:pPr>
                  <w:r>
                    <w:rPr>
                      <w:color w:val="auto"/>
                      <w:szCs w:val="21"/>
                    </w:rPr>
                    <w:t>160</w:t>
                  </w:r>
                </w:p>
              </w:tc>
              <w:tc>
                <w:tcPr>
                  <w:tcW w:w="859" w:type="pct"/>
                  <w:vMerge w:val="restart"/>
                  <w:tcBorders>
                    <w:right w:val="single" w:color="auto" w:sz="4" w:space="0"/>
                  </w:tcBorders>
                  <w:noWrap w:val="0"/>
                  <w:vAlign w:val="center"/>
                </w:tcPr>
                <w:p w14:paraId="3EC1324D">
                  <w:pPr>
                    <w:jc w:val="center"/>
                    <w:rPr>
                      <w:color w:val="auto"/>
                      <w:szCs w:val="21"/>
                    </w:rPr>
                  </w:pPr>
                  <w:r>
                    <w:rPr>
                      <w:color w:val="auto"/>
                      <w:szCs w:val="21"/>
                    </w:rPr>
                    <w:t>μg/m</w:t>
                  </w:r>
                  <w:r>
                    <w:rPr>
                      <w:color w:val="auto"/>
                      <w:szCs w:val="21"/>
                      <w:vertAlign w:val="superscript"/>
                    </w:rPr>
                    <w:t>3</w:t>
                  </w:r>
                </w:p>
              </w:tc>
            </w:tr>
            <w:tr w14:paraId="5400C4F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124" w:type="pct"/>
                  <w:vMerge w:val="continue"/>
                  <w:tcBorders>
                    <w:left w:val="single" w:color="auto" w:sz="4" w:space="0"/>
                  </w:tcBorders>
                  <w:noWrap w:val="0"/>
                  <w:vAlign w:val="center"/>
                </w:tcPr>
                <w:p w14:paraId="733AA1F8">
                  <w:pPr>
                    <w:jc w:val="center"/>
                    <w:rPr>
                      <w:color w:val="auto"/>
                      <w:szCs w:val="21"/>
                    </w:rPr>
                  </w:pPr>
                </w:p>
              </w:tc>
              <w:tc>
                <w:tcPr>
                  <w:tcW w:w="1328" w:type="pct"/>
                  <w:noWrap w:val="0"/>
                  <w:vAlign w:val="center"/>
                </w:tcPr>
                <w:p w14:paraId="53249ABB">
                  <w:pPr>
                    <w:jc w:val="center"/>
                    <w:rPr>
                      <w:color w:val="auto"/>
                      <w:szCs w:val="21"/>
                    </w:rPr>
                  </w:pPr>
                  <w:r>
                    <w:rPr>
                      <w:color w:val="auto"/>
                      <w:szCs w:val="21"/>
                    </w:rPr>
                    <w:t>一小时平均</w:t>
                  </w:r>
                </w:p>
              </w:tc>
              <w:tc>
                <w:tcPr>
                  <w:tcW w:w="1687" w:type="pct"/>
                  <w:noWrap w:val="0"/>
                  <w:vAlign w:val="center"/>
                </w:tcPr>
                <w:p w14:paraId="53DEF9A1">
                  <w:pPr>
                    <w:jc w:val="center"/>
                    <w:rPr>
                      <w:color w:val="auto"/>
                      <w:szCs w:val="21"/>
                    </w:rPr>
                  </w:pPr>
                  <w:r>
                    <w:rPr>
                      <w:color w:val="auto"/>
                      <w:szCs w:val="21"/>
                    </w:rPr>
                    <w:t>200</w:t>
                  </w:r>
                </w:p>
              </w:tc>
              <w:tc>
                <w:tcPr>
                  <w:tcW w:w="859" w:type="pct"/>
                  <w:vMerge w:val="continue"/>
                  <w:tcBorders>
                    <w:right w:val="single" w:color="auto" w:sz="4" w:space="0"/>
                  </w:tcBorders>
                  <w:noWrap w:val="0"/>
                  <w:vAlign w:val="center"/>
                </w:tcPr>
                <w:p w14:paraId="02990844">
                  <w:pPr>
                    <w:jc w:val="center"/>
                    <w:rPr>
                      <w:color w:val="auto"/>
                      <w:szCs w:val="21"/>
                    </w:rPr>
                  </w:pPr>
                </w:p>
              </w:tc>
            </w:tr>
          </w:tbl>
          <w:p w14:paraId="218E9377">
            <w:pPr>
              <w:spacing w:before="120" w:beforeLines="50" w:line="360" w:lineRule="auto"/>
              <w:ind w:firstLine="480" w:firstLineChars="200"/>
              <w:rPr>
                <w:color w:val="auto"/>
                <w:kern w:val="0"/>
                <w:sz w:val="24"/>
                <w:szCs w:val="24"/>
              </w:rPr>
            </w:pPr>
            <w:r>
              <w:rPr>
                <w:color w:val="auto"/>
                <w:kern w:val="0"/>
                <w:sz w:val="24"/>
                <w:szCs w:val="24"/>
              </w:rPr>
              <w:t>（</w:t>
            </w:r>
            <w:r>
              <w:rPr>
                <w:rFonts w:hint="eastAsia"/>
                <w:color w:val="auto"/>
                <w:kern w:val="0"/>
                <w:sz w:val="24"/>
                <w:szCs w:val="24"/>
                <w:lang w:val="en-US" w:eastAsia="zh-CN"/>
              </w:rPr>
              <w:t>3</w:t>
            </w:r>
            <w:r>
              <w:rPr>
                <w:color w:val="auto"/>
                <w:kern w:val="0"/>
                <w:sz w:val="24"/>
                <w:szCs w:val="24"/>
              </w:rPr>
              <w:t>）声环境</w:t>
            </w:r>
          </w:p>
          <w:p w14:paraId="6293C6D3">
            <w:pPr>
              <w:spacing w:line="360" w:lineRule="auto"/>
              <w:ind w:firstLine="480" w:firstLineChars="200"/>
              <w:rPr>
                <w:color w:val="auto"/>
                <w:kern w:val="0"/>
                <w:sz w:val="24"/>
                <w:szCs w:val="24"/>
              </w:rPr>
            </w:pPr>
            <w:r>
              <w:rPr>
                <w:color w:val="auto"/>
                <w:kern w:val="0"/>
                <w:sz w:val="24"/>
                <w:szCs w:val="24"/>
              </w:rPr>
              <w:t>根据《声环境质量标准》（GB3096-2008），工程所在区域位于农村区域声环境功能区为1类，执行1类标准。</w:t>
            </w:r>
          </w:p>
          <w:p w14:paraId="162D5946">
            <w:pPr>
              <w:spacing w:line="360" w:lineRule="auto"/>
              <w:jc w:val="center"/>
              <w:rPr>
                <w:b/>
                <w:bCs/>
                <w:color w:val="auto"/>
                <w:kern w:val="0"/>
                <w:sz w:val="24"/>
                <w:szCs w:val="24"/>
              </w:rPr>
            </w:pPr>
            <w:r>
              <w:rPr>
                <w:b/>
                <w:bCs/>
                <w:color w:val="auto"/>
                <w:kern w:val="0"/>
                <w:sz w:val="24"/>
                <w:szCs w:val="24"/>
              </w:rPr>
              <w:t>表3</w:t>
            </w:r>
            <w:r>
              <w:rPr>
                <w:rFonts w:hint="eastAsia"/>
                <w:b/>
                <w:bCs/>
                <w:color w:val="auto"/>
                <w:kern w:val="0"/>
                <w:sz w:val="24"/>
                <w:szCs w:val="24"/>
                <w:lang w:val="en-US" w:eastAsia="zh-CN"/>
              </w:rPr>
              <w:t>-6</w:t>
            </w:r>
            <w:r>
              <w:rPr>
                <w:b/>
                <w:bCs/>
                <w:color w:val="auto"/>
                <w:kern w:val="0"/>
                <w:sz w:val="24"/>
                <w:szCs w:val="24"/>
              </w:rPr>
              <w:t>声环境质量标准</w:t>
            </w:r>
          </w:p>
          <w:tbl>
            <w:tblPr>
              <w:tblStyle w:val="2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762"/>
              <w:gridCol w:w="2785"/>
              <w:gridCol w:w="2787"/>
            </w:tblGrid>
            <w:tr w14:paraId="0025DC1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1657" w:type="pct"/>
                  <w:tcBorders>
                    <w:left w:val="single" w:color="auto" w:sz="0" w:space="0"/>
                  </w:tcBorders>
                  <w:noWrap w:val="0"/>
                  <w:vAlign w:val="center"/>
                </w:tcPr>
                <w:p w14:paraId="20B3135A">
                  <w:pPr>
                    <w:jc w:val="center"/>
                    <w:rPr>
                      <w:color w:val="auto"/>
                      <w:szCs w:val="21"/>
                    </w:rPr>
                  </w:pPr>
                  <w:r>
                    <w:rPr>
                      <w:color w:val="auto"/>
                      <w:szCs w:val="21"/>
                    </w:rPr>
                    <w:t>类别</w:t>
                  </w:r>
                </w:p>
              </w:tc>
              <w:tc>
                <w:tcPr>
                  <w:tcW w:w="1671" w:type="pct"/>
                  <w:noWrap w:val="0"/>
                  <w:vAlign w:val="center"/>
                </w:tcPr>
                <w:p w14:paraId="564106A0">
                  <w:pPr>
                    <w:jc w:val="center"/>
                    <w:rPr>
                      <w:color w:val="auto"/>
                      <w:szCs w:val="21"/>
                    </w:rPr>
                  </w:pPr>
                  <w:r>
                    <w:rPr>
                      <w:color w:val="auto"/>
                      <w:szCs w:val="21"/>
                    </w:rPr>
                    <w:t>昼间</w:t>
                  </w:r>
                </w:p>
              </w:tc>
              <w:tc>
                <w:tcPr>
                  <w:tcW w:w="1672" w:type="pct"/>
                  <w:tcBorders>
                    <w:right w:val="single" w:color="auto" w:sz="4" w:space="0"/>
                  </w:tcBorders>
                  <w:noWrap w:val="0"/>
                  <w:vAlign w:val="center"/>
                </w:tcPr>
                <w:p w14:paraId="055AD415">
                  <w:pPr>
                    <w:jc w:val="center"/>
                    <w:rPr>
                      <w:color w:val="auto"/>
                      <w:szCs w:val="21"/>
                    </w:rPr>
                  </w:pPr>
                  <w:r>
                    <w:rPr>
                      <w:color w:val="auto"/>
                      <w:szCs w:val="21"/>
                    </w:rPr>
                    <w:t>夜间</w:t>
                  </w:r>
                </w:p>
              </w:tc>
            </w:tr>
            <w:tr w14:paraId="1B9927A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1657" w:type="pct"/>
                  <w:tcBorders>
                    <w:left w:val="single" w:color="auto" w:sz="4" w:space="0"/>
                  </w:tcBorders>
                  <w:noWrap w:val="0"/>
                  <w:vAlign w:val="center"/>
                </w:tcPr>
                <w:p w14:paraId="55D24D1B">
                  <w:pPr>
                    <w:jc w:val="center"/>
                    <w:rPr>
                      <w:color w:val="auto"/>
                      <w:szCs w:val="21"/>
                    </w:rPr>
                  </w:pPr>
                  <w:r>
                    <w:rPr>
                      <w:color w:val="auto"/>
                      <w:szCs w:val="21"/>
                    </w:rPr>
                    <w:t>1类</w:t>
                  </w:r>
                </w:p>
              </w:tc>
              <w:tc>
                <w:tcPr>
                  <w:tcW w:w="1671" w:type="pct"/>
                  <w:noWrap w:val="0"/>
                  <w:vAlign w:val="center"/>
                </w:tcPr>
                <w:p w14:paraId="754FDFDD">
                  <w:pPr>
                    <w:jc w:val="center"/>
                    <w:rPr>
                      <w:bCs/>
                      <w:color w:val="auto"/>
                      <w:szCs w:val="21"/>
                    </w:rPr>
                  </w:pPr>
                  <w:r>
                    <w:rPr>
                      <w:bCs/>
                      <w:color w:val="auto"/>
                      <w:szCs w:val="21"/>
                    </w:rPr>
                    <w:t>55dB(A)</w:t>
                  </w:r>
                </w:p>
              </w:tc>
              <w:tc>
                <w:tcPr>
                  <w:tcW w:w="1672" w:type="pct"/>
                  <w:tcBorders>
                    <w:right w:val="single" w:color="auto" w:sz="4" w:space="0"/>
                  </w:tcBorders>
                  <w:noWrap w:val="0"/>
                  <w:vAlign w:val="center"/>
                </w:tcPr>
                <w:p w14:paraId="39DB6607">
                  <w:pPr>
                    <w:jc w:val="center"/>
                    <w:rPr>
                      <w:bCs/>
                      <w:color w:val="auto"/>
                      <w:szCs w:val="21"/>
                    </w:rPr>
                  </w:pPr>
                  <w:r>
                    <w:rPr>
                      <w:bCs/>
                      <w:color w:val="auto"/>
                      <w:szCs w:val="21"/>
                    </w:rPr>
                    <w:t>45dB(A)</w:t>
                  </w:r>
                </w:p>
              </w:tc>
            </w:tr>
          </w:tbl>
          <w:p w14:paraId="1D63C8D5">
            <w:pPr>
              <w:spacing w:before="120" w:beforeLines="50" w:line="360" w:lineRule="auto"/>
              <w:ind w:firstLine="482" w:firstLineChars="200"/>
              <w:rPr>
                <w:b/>
                <w:bCs/>
                <w:color w:val="auto"/>
                <w:kern w:val="0"/>
                <w:sz w:val="24"/>
                <w:szCs w:val="24"/>
              </w:rPr>
            </w:pPr>
            <w:r>
              <w:rPr>
                <w:b/>
                <w:bCs/>
                <w:color w:val="auto"/>
                <w:kern w:val="0"/>
                <w:sz w:val="24"/>
                <w:szCs w:val="24"/>
              </w:rPr>
              <w:t>3.3.2  污染物排放标准</w:t>
            </w:r>
          </w:p>
          <w:p w14:paraId="694C8C24">
            <w:pPr>
              <w:spacing w:line="360" w:lineRule="auto"/>
              <w:ind w:firstLine="480" w:firstLineChars="200"/>
              <w:rPr>
                <w:color w:val="auto"/>
                <w:kern w:val="0"/>
                <w:sz w:val="24"/>
                <w:szCs w:val="24"/>
              </w:rPr>
            </w:pPr>
            <w:r>
              <w:rPr>
                <w:rFonts w:hint="eastAsia"/>
                <w:color w:val="auto"/>
                <w:kern w:val="0"/>
                <w:sz w:val="24"/>
                <w:szCs w:val="24"/>
              </w:rPr>
              <w:t>（1）废水</w:t>
            </w:r>
          </w:p>
          <w:p w14:paraId="42EAC92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现有项目施工期施工人员生活污水定期清淘，外运堆肥</w:t>
            </w:r>
            <w:r>
              <w:rPr>
                <w:rFonts w:hint="eastAsia" w:cs="Times New Roman"/>
                <w:color w:val="auto"/>
                <w:sz w:val="24"/>
                <w:szCs w:val="24"/>
                <w:lang w:val="en-US" w:eastAsia="zh-CN"/>
              </w:rPr>
              <w:t>。</w:t>
            </w:r>
          </w:p>
          <w:p w14:paraId="7F4C604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项目运营期无生产废水，本项目为现有水电站增效扩容改造，不新增员工，不新增生活污水。</w:t>
            </w:r>
          </w:p>
          <w:p w14:paraId="06FCC58F">
            <w:pPr>
              <w:spacing w:line="360" w:lineRule="auto"/>
              <w:ind w:firstLine="480" w:firstLineChars="200"/>
              <w:rPr>
                <w:color w:val="auto"/>
                <w:kern w:val="0"/>
                <w:sz w:val="24"/>
                <w:szCs w:val="24"/>
              </w:rPr>
            </w:pPr>
            <w:r>
              <w:rPr>
                <w:color w:val="auto"/>
                <w:kern w:val="0"/>
                <w:sz w:val="24"/>
                <w:szCs w:val="24"/>
              </w:rPr>
              <w:t>（2）废气</w:t>
            </w:r>
          </w:p>
          <w:p w14:paraId="02E8DA85">
            <w:pPr>
              <w:spacing w:line="360" w:lineRule="auto"/>
              <w:ind w:firstLine="480" w:firstLineChars="200"/>
              <w:rPr>
                <w:rFonts w:hint="default" w:ascii="Times New Roman" w:hAnsi="Times New Roman" w:cs="Times New Roman"/>
                <w:b/>
                <w:bCs/>
                <w:color w:val="auto"/>
                <w:sz w:val="24"/>
                <w:szCs w:val="24"/>
              </w:rPr>
            </w:pPr>
            <w:r>
              <w:rPr>
                <w:color w:val="auto"/>
                <w:kern w:val="0"/>
                <w:sz w:val="24"/>
                <w:szCs w:val="24"/>
              </w:rPr>
              <w:t>施工期的颗粒物</w:t>
            </w:r>
            <w:r>
              <w:rPr>
                <w:rFonts w:hint="eastAsia"/>
                <w:color w:val="auto"/>
                <w:kern w:val="0"/>
                <w:sz w:val="24"/>
                <w:szCs w:val="24"/>
              </w:rPr>
              <w:t>、柴油发电机废气中氮氧化物、二氧化硫等</w:t>
            </w:r>
            <w:r>
              <w:rPr>
                <w:color w:val="auto"/>
                <w:kern w:val="0"/>
                <w:sz w:val="24"/>
                <w:szCs w:val="24"/>
              </w:rPr>
              <w:t>执行《大气污染物综合排放标准》（GB16297-1996）表2无组织排放监控浓度限值。</w:t>
            </w:r>
            <w:r>
              <w:rPr>
                <w:rFonts w:hint="default" w:ascii="Times New Roman" w:hAnsi="Times New Roman" w:cs="Times New Roman"/>
                <w:color w:val="auto"/>
                <w:sz w:val="24"/>
                <w:szCs w:val="24"/>
              </w:rPr>
              <w:t>本工程运行期无废气排放。</w:t>
            </w:r>
          </w:p>
          <w:p w14:paraId="73B08B71">
            <w:pPr>
              <w:spacing w:line="360" w:lineRule="auto"/>
              <w:jc w:val="center"/>
              <w:rPr>
                <w:b/>
                <w:bCs/>
                <w:color w:val="auto"/>
                <w:kern w:val="0"/>
                <w:sz w:val="24"/>
                <w:szCs w:val="24"/>
              </w:rPr>
            </w:pPr>
            <w:r>
              <w:rPr>
                <w:b/>
                <w:bCs/>
                <w:color w:val="auto"/>
                <w:kern w:val="0"/>
                <w:sz w:val="24"/>
                <w:szCs w:val="24"/>
              </w:rPr>
              <w:t>表3</w:t>
            </w:r>
            <w:r>
              <w:rPr>
                <w:rFonts w:hint="eastAsia"/>
                <w:b/>
                <w:bCs/>
                <w:color w:val="auto"/>
                <w:kern w:val="0"/>
                <w:sz w:val="24"/>
                <w:szCs w:val="24"/>
                <w:lang w:val="en-US" w:eastAsia="zh-CN"/>
              </w:rPr>
              <w:t>-8</w:t>
            </w:r>
            <w:r>
              <w:rPr>
                <w:b/>
                <w:bCs/>
                <w:color w:val="auto"/>
                <w:kern w:val="0"/>
                <w:sz w:val="24"/>
                <w:szCs w:val="24"/>
              </w:rPr>
              <w:t xml:space="preserve"> 大气污染物排放标准</w:t>
            </w:r>
          </w:p>
          <w:tbl>
            <w:tblPr>
              <w:tblStyle w:val="24"/>
              <w:tblW w:w="8334"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53"/>
              <w:gridCol w:w="1889"/>
              <w:gridCol w:w="5192"/>
            </w:tblGrid>
            <w:tr w14:paraId="1174F7B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52" w:type="pct"/>
                  <w:tcBorders>
                    <w:left w:val="single" w:color="auto" w:sz="0" w:space="0"/>
                  </w:tcBorders>
                  <w:noWrap w:val="0"/>
                  <w:vAlign w:val="center"/>
                </w:tcPr>
                <w:p w14:paraId="1568CEEC">
                  <w:pPr>
                    <w:pStyle w:val="81"/>
                    <w:rPr>
                      <w:color w:val="auto"/>
                      <w:szCs w:val="21"/>
                    </w:rPr>
                  </w:pPr>
                  <w:r>
                    <w:rPr>
                      <w:color w:val="auto"/>
                      <w:szCs w:val="21"/>
                    </w:rPr>
                    <w:t>项目</w:t>
                  </w:r>
                </w:p>
              </w:tc>
              <w:tc>
                <w:tcPr>
                  <w:tcW w:w="1133" w:type="pct"/>
                  <w:noWrap w:val="0"/>
                  <w:vAlign w:val="center"/>
                </w:tcPr>
                <w:p w14:paraId="013224AC">
                  <w:pPr>
                    <w:pStyle w:val="81"/>
                    <w:rPr>
                      <w:color w:val="auto"/>
                      <w:szCs w:val="21"/>
                    </w:rPr>
                  </w:pPr>
                  <w:r>
                    <w:rPr>
                      <w:color w:val="auto"/>
                      <w:szCs w:val="21"/>
                    </w:rPr>
                    <w:t>标准值</w:t>
                  </w:r>
                  <w:r>
                    <w:rPr>
                      <w:rFonts w:hint="eastAsia"/>
                      <w:color w:val="auto"/>
                      <w:szCs w:val="21"/>
                    </w:rPr>
                    <w:t>（</w:t>
                  </w:r>
                  <w:r>
                    <w:rPr>
                      <w:color w:val="auto"/>
                      <w:szCs w:val="21"/>
                    </w:rPr>
                    <w:t>mg/m</w:t>
                  </w:r>
                  <w:r>
                    <w:rPr>
                      <w:color w:val="auto"/>
                      <w:szCs w:val="21"/>
                      <w:vertAlign w:val="superscript"/>
                    </w:rPr>
                    <w:t>3</w:t>
                  </w:r>
                  <w:r>
                    <w:rPr>
                      <w:rFonts w:hint="eastAsia"/>
                      <w:color w:val="auto"/>
                      <w:szCs w:val="21"/>
                    </w:rPr>
                    <w:t>）</w:t>
                  </w:r>
                </w:p>
              </w:tc>
              <w:tc>
                <w:tcPr>
                  <w:tcW w:w="3114" w:type="pct"/>
                  <w:tcBorders>
                    <w:right w:val="single" w:color="auto" w:sz="4" w:space="0"/>
                  </w:tcBorders>
                  <w:noWrap w:val="0"/>
                  <w:vAlign w:val="center"/>
                </w:tcPr>
                <w:p w14:paraId="26BF7B32">
                  <w:pPr>
                    <w:pStyle w:val="81"/>
                    <w:rPr>
                      <w:color w:val="auto"/>
                      <w:szCs w:val="21"/>
                    </w:rPr>
                  </w:pPr>
                  <w:r>
                    <w:rPr>
                      <w:color w:val="auto"/>
                      <w:szCs w:val="21"/>
                    </w:rPr>
                    <w:t>标准来源</w:t>
                  </w:r>
                </w:p>
              </w:tc>
            </w:tr>
            <w:tr w14:paraId="0CF1152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52" w:type="pct"/>
                  <w:tcBorders>
                    <w:left w:val="single" w:color="auto" w:sz="4" w:space="0"/>
                  </w:tcBorders>
                  <w:noWrap w:val="0"/>
                  <w:vAlign w:val="center"/>
                </w:tcPr>
                <w:p w14:paraId="61D5A7B5">
                  <w:pPr>
                    <w:pStyle w:val="81"/>
                    <w:rPr>
                      <w:color w:val="auto"/>
                      <w:szCs w:val="21"/>
                    </w:rPr>
                  </w:pPr>
                  <w:r>
                    <w:rPr>
                      <w:color w:val="auto"/>
                      <w:szCs w:val="21"/>
                    </w:rPr>
                    <w:t>颗粒物</w:t>
                  </w:r>
                </w:p>
              </w:tc>
              <w:tc>
                <w:tcPr>
                  <w:tcW w:w="1133" w:type="pct"/>
                  <w:noWrap w:val="0"/>
                  <w:vAlign w:val="center"/>
                </w:tcPr>
                <w:p w14:paraId="02FDFAB8">
                  <w:pPr>
                    <w:pStyle w:val="81"/>
                    <w:rPr>
                      <w:color w:val="auto"/>
                      <w:szCs w:val="21"/>
                    </w:rPr>
                  </w:pPr>
                  <w:r>
                    <w:rPr>
                      <w:color w:val="auto"/>
                      <w:szCs w:val="21"/>
                    </w:rPr>
                    <w:t>1.0</w:t>
                  </w:r>
                </w:p>
              </w:tc>
              <w:tc>
                <w:tcPr>
                  <w:tcW w:w="3114" w:type="pct"/>
                  <w:vMerge w:val="restart"/>
                  <w:tcBorders>
                    <w:right w:val="single" w:color="auto" w:sz="4" w:space="0"/>
                  </w:tcBorders>
                  <w:noWrap w:val="0"/>
                  <w:vAlign w:val="center"/>
                </w:tcPr>
                <w:p w14:paraId="4D78B659">
                  <w:pPr>
                    <w:pStyle w:val="81"/>
                    <w:rPr>
                      <w:color w:val="auto"/>
                      <w:szCs w:val="21"/>
                    </w:rPr>
                  </w:pPr>
                  <w:r>
                    <w:rPr>
                      <w:color w:val="auto"/>
                      <w:szCs w:val="21"/>
                    </w:rPr>
                    <w:t>《</w:t>
                  </w:r>
                  <w:bookmarkStart w:id="10" w:name="_Hlk111793718"/>
                  <w:r>
                    <w:rPr>
                      <w:color w:val="auto"/>
                      <w:szCs w:val="21"/>
                    </w:rPr>
                    <w:t>大气污染物综合排放标准》（GB16297-1996）表2无组织排放监控浓度限值</w:t>
                  </w:r>
                  <w:bookmarkEnd w:id="10"/>
                </w:p>
              </w:tc>
            </w:tr>
            <w:tr w14:paraId="439249A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52" w:type="pct"/>
                  <w:tcBorders>
                    <w:left w:val="single" w:color="auto" w:sz="4" w:space="0"/>
                  </w:tcBorders>
                  <w:noWrap w:val="0"/>
                  <w:vAlign w:val="center"/>
                </w:tcPr>
                <w:p w14:paraId="44301E07">
                  <w:pPr>
                    <w:pStyle w:val="81"/>
                    <w:rPr>
                      <w:rFonts w:hint="eastAsia"/>
                      <w:color w:val="auto"/>
                      <w:szCs w:val="21"/>
                    </w:rPr>
                  </w:pPr>
                  <w:r>
                    <w:rPr>
                      <w:rFonts w:hint="eastAsia"/>
                      <w:color w:val="auto"/>
                      <w:szCs w:val="21"/>
                    </w:rPr>
                    <w:t>氮氧化物</w:t>
                  </w:r>
                </w:p>
              </w:tc>
              <w:tc>
                <w:tcPr>
                  <w:tcW w:w="1133" w:type="pct"/>
                  <w:noWrap w:val="0"/>
                  <w:vAlign w:val="center"/>
                </w:tcPr>
                <w:p w14:paraId="0230C646">
                  <w:pPr>
                    <w:pStyle w:val="81"/>
                    <w:rPr>
                      <w:color w:val="auto"/>
                      <w:szCs w:val="21"/>
                    </w:rPr>
                  </w:pPr>
                  <w:r>
                    <w:rPr>
                      <w:rFonts w:hint="eastAsia"/>
                      <w:color w:val="auto"/>
                      <w:szCs w:val="21"/>
                    </w:rPr>
                    <w:t>0</w:t>
                  </w:r>
                  <w:r>
                    <w:rPr>
                      <w:color w:val="auto"/>
                      <w:szCs w:val="21"/>
                    </w:rPr>
                    <w:t>.12</w:t>
                  </w:r>
                </w:p>
              </w:tc>
              <w:tc>
                <w:tcPr>
                  <w:tcW w:w="3114" w:type="pct"/>
                  <w:vMerge w:val="continue"/>
                  <w:tcBorders>
                    <w:right w:val="single" w:color="auto" w:sz="4" w:space="0"/>
                  </w:tcBorders>
                  <w:noWrap w:val="0"/>
                  <w:vAlign w:val="center"/>
                </w:tcPr>
                <w:p w14:paraId="249A6131">
                  <w:pPr>
                    <w:pStyle w:val="81"/>
                    <w:rPr>
                      <w:color w:val="auto"/>
                      <w:szCs w:val="21"/>
                    </w:rPr>
                  </w:pPr>
                </w:p>
              </w:tc>
            </w:tr>
            <w:tr w14:paraId="4E2FBA2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52" w:type="pct"/>
                  <w:tcBorders>
                    <w:left w:val="single" w:color="auto" w:sz="4" w:space="0"/>
                  </w:tcBorders>
                  <w:noWrap w:val="0"/>
                  <w:vAlign w:val="center"/>
                </w:tcPr>
                <w:p w14:paraId="6274053C">
                  <w:pPr>
                    <w:pStyle w:val="81"/>
                    <w:rPr>
                      <w:color w:val="auto"/>
                      <w:szCs w:val="21"/>
                    </w:rPr>
                  </w:pPr>
                  <w:r>
                    <w:rPr>
                      <w:rFonts w:hint="eastAsia"/>
                      <w:color w:val="auto"/>
                      <w:szCs w:val="21"/>
                    </w:rPr>
                    <w:t>二氧化硫</w:t>
                  </w:r>
                </w:p>
              </w:tc>
              <w:tc>
                <w:tcPr>
                  <w:tcW w:w="1133" w:type="pct"/>
                  <w:noWrap w:val="0"/>
                  <w:vAlign w:val="center"/>
                </w:tcPr>
                <w:p w14:paraId="35AF3F94">
                  <w:pPr>
                    <w:pStyle w:val="81"/>
                    <w:rPr>
                      <w:color w:val="auto"/>
                      <w:szCs w:val="21"/>
                    </w:rPr>
                  </w:pPr>
                  <w:r>
                    <w:rPr>
                      <w:rFonts w:hint="eastAsia"/>
                      <w:color w:val="auto"/>
                      <w:szCs w:val="21"/>
                    </w:rPr>
                    <w:t>0</w:t>
                  </w:r>
                  <w:r>
                    <w:rPr>
                      <w:color w:val="auto"/>
                      <w:szCs w:val="21"/>
                    </w:rPr>
                    <w:t>.40</w:t>
                  </w:r>
                </w:p>
              </w:tc>
              <w:tc>
                <w:tcPr>
                  <w:tcW w:w="3114" w:type="pct"/>
                  <w:vMerge w:val="continue"/>
                  <w:tcBorders>
                    <w:right w:val="single" w:color="auto" w:sz="4" w:space="0"/>
                  </w:tcBorders>
                  <w:noWrap w:val="0"/>
                  <w:vAlign w:val="center"/>
                </w:tcPr>
                <w:p w14:paraId="1A47D7B5">
                  <w:pPr>
                    <w:pStyle w:val="81"/>
                    <w:rPr>
                      <w:color w:val="auto"/>
                      <w:szCs w:val="21"/>
                    </w:rPr>
                  </w:pPr>
                </w:p>
              </w:tc>
            </w:tr>
          </w:tbl>
          <w:p w14:paraId="3C790823">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（3）噪声</w:t>
            </w:r>
          </w:p>
          <w:p w14:paraId="44C48BF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营运期</w:t>
            </w:r>
            <w:r>
              <w:rPr>
                <w:rFonts w:hint="default" w:ascii="Times New Roman" w:hAnsi="Times New Roman" w:eastAsia="宋体" w:cs="Times New Roman"/>
                <w:color w:val="auto"/>
                <w:sz w:val="24"/>
                <w:szCs w:val="24"/>
              </w:rPr>
              <w:t>厂界噪声排放执行《工业企业厂界环境噪声排放标准》（GB12348-2008）1类标准。</w:t>
            </w:r>
          </w:p>
          <w:p w14:paraId="71D1D3F4">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表3</w:t>
            </w:r>
            <w:r>
              <w:rPr>
                <w:rFonts w:hint="default" w:ascii="Times New Roman" w:hAnsi="Times New Roman" w:cs="Times New Roman"/>
                <w:b/>
                <w:bCs/>
                <w:color w:val="auto"/>
                <w:sz w:val="24"/>
                <w:szCs w:val="24"/>
                <w:lang w:val="en-US" w:eastAsia="zh-CN"/>
              </w:rPr>
              <w:t>-</w:t>
            </w:r>
            <w:r>
              <w:rPr>
                <w:rFonts w:hint="eastAsia" w:cs="Times New Roman"/>
                <w:b/>
                <w:bCs/>
                <w:color w:val="auto"/>
                <w:sz w:val="24"/>
                <w:szCs w:val="24"/>
                <w:lang w:val="en-US" w:eastAsia="zh-CN"/>
              </w:rPr>
              <w:t>9</w:t>
            </w:r>
            <w:r>
              <w:rPr>
                <w:rFonts w:hint="default" w:ascii="Times New Roman" w:hAnsi="Times New Roman" w:cs="Times New Roman"/>
                <w:b/>
                <w:bCs/>
                <w:color w:val="auto"/>
                <w:sz w:val="24"/>
                <w:szCs w:val="24"/>
                <w:lang w:val="en-US" w:eastAsia="zh-CN"/>
              </w:rPr>
              <w:t xml:space="preserve"> </w:t>
            </w:r>
            <w:r>
              <w:rPr>
                <w:rFonts w:hint="default" w:ascii="Times New Roman" w:hAnsi="Times New Roman" w:eastAsia="宋体" w:cs="Times New Roman"/>
                <w:b/>
                <w:bCs/>
                <w:color w:val="auto"/>
                <w:sz w:val="24"/>
                <w:szCs w:val="24"/>
                <w:lang w:val="en-US" w:eastAsia="zh-CN"/>
              </w:rPr>
              <w:t>《工业企业厂界环境噪声排放标准》（GB12348-2008）</w:t>
            </w:r>
          </w:p>
          <w:tbl>
            <w:tblPr>
              <w:tblStyle w:val="24"/>
              <w:tblW w:w="8319"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2924"/>
              <w:gridCol w:w="2581"/>
              <w:gridCol w:w="2814"/>
            </w:tblGrid>
            <w:tr w14:paraId="15C1BA3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72" w:hRule="atLeast"/>
                <w:jc w:val="center"/>
              </w:trPr>
              <w:tc>
                <w:tcPr>
                  <w:tcW w:w="1757" w:type="pct"/>
                  <w:vMerge w:val="restart"/>
                  <w:vAlign w:val="center"/>
                </w:tcPr>
                <w:p w14:paraId="5A3DA0E3">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厂界外声环境功能区类别</w:t>
                  </w:r>
                </w:p>
              </w:tc>
              <w:tc>
                <w:tcPr>
                  <w:tcW w:w="3242" w:type="pct"/>
                  <w:gridSpan w:val="2"/>
                  <w:vAlign w:val="center"/>
                </w:tcPr>
                <w:p w14:paraId="7C666B12">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时段</w:t>
                  </w:r>
                </w:p>
              </w:tc>
            </w:tr>
            <w:tr w14:paraId="7196AAC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72" w:hRule="atLeast"/>
                <w:jc w:val="center"/>
              </w:trPr>
              <w:tc>
                <w:tcPr>
                  <w:tcW w:w="1757" w:type="pct"/>
                  <w:vMerge w:val="continue"/>
                  <w:vAlign w:val="center"/>
                </w:tcPr>
                <w:p w14:paraId="78EDCE91">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1551" w:type="pct"/>
                  <w:vAlign w:val="center"/>
                </w:tcPr>
                <w:p w14:paraId="4A2EDE63">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昼间</w:t>
                  </w:r>
                </w:p>
              </w:tc>
              <w:tc>
                <w:tcPr>
                  <w:tcW w:w="1690" w:type="pct"/>
                  <w:vAlign w:val="center"/>
                </w:tcPr>
                <w:p w14:paraId="592CC876">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夜间</w:t>
                  </w:r>
                </w:p>
              </w:tc>
            </w:tr>
            <w:tr w14:paraId="72B74AC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72" w:hRule="atLeast"/>
                <w:jc w:val="center"/>
              </w:trPr>
              <w:tc>
                <w:tcPr>
                  <w:tcW w:w="1757" w:type="pct"/>
                  <w:vAlign w:val="center"/>
                </w:tcPr>
                <w:p w14:paraId="2F3075B9">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1类</w:t>
                  </w:r>
                </w:p>
              </w:tc>
              <w:tc>
                <w:tcPr>
                  <w:tcW w:w="1551" w:type="pct"/>
                  <w:vAlign w:val="center"/>
                </w:tcPr>
                <w:p w14:paraId="17F75AEE">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55dB（A）</w:t>
                  </w:r>
                </w:p>
              </w:tc>
              <w:tc>
                <w:tcPr>
                  <w:tcW w:w="1690" w:type="pct"/>
                  <w:vAlign w:val="center"/>
                </w:tcPr>
                <w:p w14:paraId="66E3B8A3">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45dB（A）</w:t>
                  </w:r>
                </w:p>
              </w:tc>
            </w:tr>
          </w:tbl>
          <w:p w14:paraId="19B49815">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（4）固体废物</w:t>
            </w:r>
          </w:p>
          <w:p w14:paraId="3E12397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一般工业固体废物执行《一般工业固体废物贮存和填埋污染控制标准》（GB18599-2020）；</w:t>
            </w:r>
          </w:p>
          <w:p w14:paraId="33A180D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rPr>
            </w:pPr>
            <w:r>
              <w:rPr>
                <w:rFonts w:hint="default" w:ascii="Times New Roman" w:hAnsi="Times New Roman" w:eastAsia="宋体" w:cs="Times New Roman"/>
                <w:color w:val="auto"/>
                <w:sz w:val="24"/>
                <w:szCs w:val="24"/>
                <w:lang w:val="en-US" w:eastAsia="zh-CN"/>
              </w:rPr>
              <w:t>危险废物执行《危险废物贮存污染控制标准》 （GB18597-2023）。</w:t>
            </w:r>
          </w:p>
        </w:tc>
      </w:tr>
      <w:tr w14:paraId="130893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8" w:hRule="atLeast"/>
          <w:jc w:val="center"/>
        </w:trPr>
        <w:tc>
          <w:tcPr>
            <w:tcW w:w="895" w:type="dxa"/>
            <w:vAlign w:val="center"/>
          </w:tcPr>
          <w:p w14:paraId="1E82861A">
            <w:pPr>
              <w:adjustRightInd w:val="0"/>
              <w:snapToGrid w:val="0"/>
              <w:jc w:val="center"/>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其他</w:t>
            </w:r>
          </w:p>
        </w:tc>
        <w:tc>
          <w:tcPr>
            <w:tcW w:w="8262" w:type="dxa"/>
            <w:vAlign w:val="center"/>
          </w:tcPr>
          <w:p w14:paraId="3FADB33F">
            <w:pPr>
              <w:spacing w:beforeLines="50" w:line="360" w:lineRule="auto"/>
              <w:ind w:firstLine="480" w:firstLineChars="200"/>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本项目为非工业生产型项目，无需申请总量。</w:t>
            </w:r>
          </w:p>
          <w:p w14:paraId="28BAC0E0">
            <w:pPr>
              <w:pStyle w:val="2"/>
              <w:ind w:left="0" w:leftChars="0" w:firstLine="0" w:firstLineChars="0"/>
              <w:rPr>
                <w:rFonts w:hint="default"/>
                <w:lang w:val="en-US" w:eastAsia="zh-CN"/>
              </w:rPr>
            </w:pPr>
          </w:p>
          <w:p w14:paraId="034A9E91">
            <w:pPr>
              <w:rPr>
                <w:rFonts w:hint="default"/>
                <w:lang w:val="en-US" w:eastAsia="zh-CN"/>
              </w:rPr>
            </w:pPr>
          </w:p>
          <w:p w14:paraId="2C8A4648">
            <w:pPr>
              <w:rPr>
                <w:rFonts w:hint="default"/>
                <w:lang w:val="en-US" w:eastAsia="zh-CN"/>
              </w:rPr>
            </w:pPr>
          </w:p>
        </w:tc>
      </w:tr>
    </w:tbl>
    <w:p w14:paraId="082A28F3">
      <w:pPr>
        <w:pStyle w:val="21"/>
        <w:jc w:val="center"/>
        <w:outlineLvl w:val="0"/>
        <w:rPr>
          <w:rFonts w:hint="default" w:ascii="Times New Roman" w:hAnsi="Times New Roman" w:eastAsia="黑体" w:cs="Times New Roman"/>
          <w:snapToGrid w:val="0"/>
          <w:color w:val="auto"/>
          <w:sz w:val="30"/>
          <w:szCs w:val="30"/>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bookmarkStart w:id="11" w:name="_Toc9176"/>
    </w:p>
    <w:p w14:paraId="4B94479C">
      <w:pPr>
        <w:pStyle w:val="21"/>
        <w:jc w:val="center"/>
        <w:outlineLvl w:val="0"/>
        <w:rPr>
          <w:rFonts w:hint="default" w:ascii="Times New Roman" w:hAnsi="Times New Roman" w:eastAsia="黑体" w:cs="Times New Roman"/>
          <w:snapToGrid w:val="0"/>
          <w:color w:val="auto"/>
          <w:sz w:val="30"/>
          <w:szCs w:val="30"/>
          <w:lang w:eastAsia="zh-CN"/>
        </w:rPr>
      </w:pPr>
      <w:r>
        <w:rPr>
          <w:rFonts w:hint="default" w:ascii="Times New Roman" w:hAnsi="Times New Roman" w:eastAsia="黑体" w:cs="Times New Roman"/>
          <w:snapToGrid w:val="0"/>
          <w:color w:val="auto"/>
          <w:sz w:val="30"/>
          <w:szCs w:val="30"/>
        </w:rPr>
        <w:t>四、生态环境影响分析</w:t>
      </w:r>
      <w:bookmarkEnd w:id="11"/>
    </w:p>
    <w:tbl>
      <w:tblPr>
        <w:tblStyle w:val="24"/>
        <w:tblW w:w="924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79"/>
        <w:gridCol w:w="8363"/>
      </w:tblGrid>
      <w:tr w14:paraId="1DCF0B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79" w:type="dxa"/>
            <w:tcMar>
              <w:left w:w="28" w:type="dxa"/>
              <w:right w:w="28" w:type="dxa"/>
            </w:tcMar>
            <w:vAlign w:val="center"/>
          </w:tcPr>
          <w:p w14:paraId="3D3503C8">
            <w:pPr>
              <w:pStyle w:val="21"/>
              <w:adjustRightInd w:val="0"/>
              <w:snapToGrid w:val="0"/>
              <w:spacing w:before="0" w:beforeAutospacing="0" w:after="0" w:afterAutospacing="0"/>
              <w:jc w:val="center"/>
              <w:rPr>
                <w:rFonts w:hint="default" w:ascii="Times New Roman" w:hAnsi="Times New Roman" w:cs="Times New Roman" w:eastAsiaTheme="minorEastAsia"/>
                <w:bCs/>
                <w:color w:val="auto"/>
                <w:kern w:val="2"/>
                <w:sz w:val="21"/>
                <w:szCs w:val="21"/>
              </w:rPr>
            </w:pPr>
            <w:bookmarkStart w:id="12" w:name="_Hlk49796138"/>
            <w:bookmarkStart w:id="13" w:name="_Toc11885"/>
            <w:r>
              <w:rPr>
                <w:rFonts w:hint="default" w:ascii="Times New Roman" w:hAnsi="Times New Roman" w:cs="Times New Roman" w:eastAsiaTheme="minorEastAsia"/>
                <w:bCs/>
                <w:color w:val="auto"/>
                <w:spacing w:val="10"/>
                <w:kern w:val="2"/>
                <w:sz w:val="21"/>
                <w:szCs w:val="21"/>
              </w:rPr>
              <w:t>施工期生态环境影响分析</w:t>
            </w:r>
            <w:bookmarkEnd w:id="12"/>
            <w:bookmarkEnd w:id="13"/>
          </w:p>
        </w:tc>
        <w:tc>
          <w:tcPr>
            <w:tcW w:w="8363" w:type="dxa"/>
          </w:tcPr>
          <w:p w14:paraId="2E2D8CD0">
            <w:pPr>
              <w:keepNext w:val="0"/>
              <w:keepLines w:val="0"/>
              <w:pageBreakBefore w:val="0"/>
              <w:widowControl w:val="0"/>
              <w:kinsoku/>
              <w:wordWrap/>
              <w:overflowPunct/>
              <w:topLinePunct w:val="0"/>
              <w:autoSpaceDE/>
              <w:autoSpaceDN/>
              <w:bidi w:val="0"/>
              <w:adjustRightInd/>
              <w:snapToGrid/>
              <w:spacing w:before="157" w:beforeLines="50" w:line="360" w:lineRule="auto"/>
              <w:ind w:firstLine="477" w:firstLineChars="199"/>
              <w:textAlignment w:val="auto"/>
              <w:rPr>
                <w:rFonts w:hint="default" w:ascii="Times New Roman" w:hAnsi="Times New Roman" w:eastAsia="宋体" w:cs="Times New Roman"/>
                <w:color w:val="auto"/>
                <w:kern w:val="0"/>
                <w:sz w:val="24"/>
                <w:szCs w:val="24"/>
                <w:lang w:val="en-US" w:eastAsia="zh-CN"/>
              </w:rPr>
            </w:pPr>
            <w:r>
              <w:rPr>
                <w:rFonts w:hint="eastAsia" w:cs="Times New Roman"/>
                <w:color w:val="auto"/>
                <w:kern w:val="0"/>
                <w:sz w:val="24"/>
                <w:szCs w:val="24"/>
                <w:lang w:val="en-US" w:eastAsia="zh-CN"/>
              </w:rPr>
              <w:t>青年水库</w:t>
            </w:r>
            <w:r>
              <w:rPr>
                <w:rFonts w:hint="default" w:ascii="Times New Roman" w:hAnsi="Times New Roman" w:eastAsia="宋体" w:cs="Times New Roman"/>
                <w:color w:val="auto"/>
                <w:kern w:val="0"/>
                <w:sz w:val="24"/>
                <w:szCs w:val="24"/>
                <w:lang w:val="en-US" w:eastAsia="zh-CN"/>
              </w:rPr>
              <w:t>电站增效扩容改造工程于</w:t>
            </w:r>
            <w:r>
              <w:rPr>
                <w:rFonts w:hint="default" w:ascii="Times New Roman" w:hAnsi="Times New Roman" w:eastAsia="宋体" w:cs="Times New Roman"/>
                <w:bCs/>
                <w:color w:val="auto"/>
                <w:sz w:val="24"/>
                <w:szCs w:val="24"/>
                <w:highlight w:val="none"/>
                <w:lang w:val="en-US" w:eastAsia="zh-CN"/>
              </w:rPr>
              <w:t>2014年9</w:t>
            </w:r>
            <w:r>
              <w:rPr>
                <w:rFonts w:hint="default" w:ascii="Times New Roman" w:hAnsi="Times New Roman" w:cs="Times New Roman"/>
                <w:bCs/>
                <w:color w:val="auto"/>
                <w:sz w:val="24"/>
                <w:szCs w:val="24"/>
                <w:highlight w:val="none"/>
                <w:lang w:val="en-US" w:eastAsia="zh-CN"/>
              </w:rPr>
              <w:t>月开工</w:t>
            </w:r>
            <w:r>
              <w:rPr>
                <w:rFonts w:hint="default" w:ascii="Times New Roman" w:hAnsi="Times New Roman" w:eastAsia="宋体" w:cs="Times New Roman"/>
                <w:bCs/>
                <w:color w:val="auto"/>
                <w:sz w:val="24"/>
                <w:szCs w:val="24"/>
                <w:highlight w:val="none"/>
                <w:lang w:val="en-US" w:eastAsia="zh-CN"/>
              </w:rPr>
              <w:t>，2015年10月</w:t>
            </w:r>
            <w:r>
              <w:rPr>
                <w:rFonts w:hint="default" w:ascii="Times New Roman" w:hAnsi="Times New Roman" w:eastAsia="宋体" w:cs="Times New Roman"/>
                <w:color w:val="auto"/>
                <w:kern w:val="0"/>
                <w:sz w:val="24"/>
                <w:szCs w:val="24"/>
                <w:lang w:val="en-US" w:eastAsia="zh-CN"/>
              </w:rPr>
              <w:t>完工，工程主要内容为对原有水工建筑物进行加固及局部改造、对原水轮发电机组设备进行拆除更换，并更换相应的闸门及电气设备。本项目施工期间施工单位及建设单位采取了相关环保措施，一定程度降低了施工过</w:t>
            </w:r>
            <w:r>
              <w:rPr>
                <w:rFonts w:hint="default" w:ascii="Times New Roman" w:hAnsi="Times New Roman" w:cs="Times New Roman"/>
                <w:color w:val="auto"/>
                <w:kern w:val="0"/>
                <w:sz w:val="24"/>
                <w:szCs w:val="24"/>
                <w:lang w:val="en-US" w:eastAsia="zh-CN"/>
              </w:rPr>
              <w:t>程中</w:t>
            </w:r>
            <w:r>
              <w:rPr>
                <w:rFonts w:hint="default" w:ascii="Times New Roman" w:hAnsi="Times New Roman" w:eastAsia="宋体" w:cs="Times New Roman"/>
                <w:color w:val="auto"/>
                <w:kern w:val="0"/>
                <w:sz w:val="24"/>
                <w:szCs w:val="24"/>
                <w:lang w:val="en-US" w:eastAsia="zh-CN"/>
              </w:rPr>
              <w:t>污染物对周边环境的影响，施工</w:t>
            </w:r>
            <w:r>
              <w:rPr>
                <w:rFonts w:hint="default" w:ascii="Times New Roman" w:hAnsi="Times New Roman" w:cs="Times New Roman"/>
                <w:color w:val="auto"/>
                <w:kern w:val="0"/>
                <w:sz w:val="24"/>
                <w:szCs w:val="24"/>
                <w:lang w:val="en-US" w:eastAsia="zh-CN"/>
              </w:rPr>
              <w:t>期间</w:t>
            </w:r>
            <w:r>
              <w:rPr>
                <w:rFonts w:hint="default" w:ascii="Times New Roman" w:hAnsi="Times New Roman" w:eastAsia="宋体" w:cs="Times New Roman"/>
                <w:color w:val="auto"/>
                <w:kern w:val="0"/>
                <w:sz w:val="24"/>
                <w:szCs w:val="24"/>
                <w:lang w:val="en-US" w:eastAsia="zh-CN"/>
              </w:rPr>
              <w:t>未接到周边居民的相关环保投诉。由于本项目已稳定运行多年，施工期的环境影响已消失，本次主要对施工期进行回顾性影响分析。</w:t>
            </w:r>
          </w:p>
          <w:p w14:paraId="3DD57DC8">
            <w:pPr>
              <w:keepNext w:val="0"/>
              <w:keepLines w:val="0"/>
              <w:pageBreakBefore w:val="0"/>
              <w:widowControl w:val="0"/>
              <w:kinsoku/>
              <w:wordWrap/>
              <w:overflowPunct/>
              <w:topLinePunct w:val="0"/>
              <w:autoSpaceDE/>
              <w:autoSpaceDN/>
              <w:bidi w:val="0"/>
              <w:adjustRightInd/>
              <w:snapToGrid/>
              <w:spacing w:line="360" w:lineRule="auto"/>
              <w:ind w:firstLine="479" w:firstLineChars="199"/>
              <w:textAlignment w:val="auto"/>
              <w:rPr>
                <w:rFonts w:hint="default" w:ascii="Times New Roman" w:hAnsi="Times New Roman" w:eastAsia="宋体" w:cs="Times New Roman"/>
                <w:b/>
                <w:bCs/>
                <w:color w:val="auto"/>
                <w:kern w:val="0"/>
                <w:sz w:val="24"/>
                <w:szCs w:val="24"/>
                <w:lang w:val="en-US" w:eastAsia="zh-CN"/>
              </w:rPr>
            </w:pPr>
            <w:r>
              <w:rPr>
                <w:rFonts w:hint="default" w:ascii="Times New Roman" w:hAnsi="Times New Roman" w:cs="Times New Roman"/>
                <w:b/>
                <w:bCs/>
                <w:color w:val="auto"/>
                <w:kern w:val="0"/>
                <w:sz w:val="24"/>
                <w:szCs w:val="24"/>
                <w:lang w:val="en-US" w:eastAsia="zh-CN"/>
              </w:rPr>
              <w:t>1.</w:t>
            </w:r>
            <w:r>
              <w:rPr>
                <w:rFonts w:hint="default" w:ascii="Times New Roman" w:hAnsi="Times New Roman" w:eastAsia="宋体" w:cs="Times New Roman"/>
                <w:b/>
                <w:bCs/>
                <w:color w:val="auto"/>
                <w:kern w:val="0"/>
                <w:sz w:val="24"/>
                <w:szCs w:val="24"/>
                <w:lang w:val="en-US" w:eastAsia="zh-CN"/>
              </w:rPr>
              <w:t>水环境回顾性影响分析</w:t>
            </w:r>
          </w:p>
          <w:p w14:paraId="1636ABA7">
            <w:pPr>
              <w:keepNext w:val="0"/>
              <w:keepLines w:val="0"/>
              <w:pageBreakBefore w:val="0"/>
              <w:widowControl w:val="0"/>
              <w:kinsoku/>
              <w:wordWrap/>
              <w:overflowPunct/>
              <w:topLinePunct w:val="0"/>
              <w:autoSpaceDE/>
              <w:autoSpaceDN/>
              <w:bidi w:val="0"/>
              <w:adjustRightInd/>
              <w:snapToGrid/>
              <w:spacing w:line="360" w:lineRule="auto"/>
              <w:ind w:firstLine="477" w:firstLineChars="199"/>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本次增效扩容改造工程主要在原发电站区内进行发电设备、辅助设备更换等。建设过程不新增占地，不涉及新增、加高拦河坝，不改变水库库容，不新增淹没区，无涉水施工，因此项目施工不会对库区及下游水文情势产生影响。</w:t>
            </w:r>
          </w:p>
          <w:p w14:paraId="060AA468">
            <w:pPr>
              <w:keepNext w:val="0"/>
              <w:keepLines w:val="0"/>
              <w:pageBreakBefore w:val="0"/>
              <w:widowControl w:val="0"/>
              <w:kinsoku/>
              <w:wordWrap/>
              <w:overflowPunct/>
              <w:topLinePunct w:val="0"/>
              <w:autoSpaceDE/>
              <w:autoSpaceDN/>
              <w:bidi w:val="0"/>
              <w:adjustRightInd/>
              <w:snapToGrid/>
              <w:spacing w:line="360" w:lineRule="auto"/>
              <w:ind w:firstLine="477" w:firstLineChars="199"/>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本项目施工所需水泥、混凝土和砂石料等少量建筑原材料均外购，不产生开挖废水、冲洗废水等施工废水，施工期间产生的废水主要来自现场施工人员的生活污水。施工期施工人员生活污水定期清淘，外运堆肥</w:t>
            </w:r>
            <w:r>
              <w:rPr>
                <w:rFonts w:hint="eastAsia" w:ascii="Times New Roman" w:hAnsi="Times New Roman" w:eastAsia="宋体" w:cs="Times New Roman"/>
                <w:color w:val="auto"/>
                <w:kern w:val="0"/>
                <w:sz w:val="24"/>
                <w:szCs w:val="24"/>
                <w:lang w:val="en-US" w:eastAsia="zh-CN"/>
              </w:rPr>
              <w:t>，</w:t>
            </w:r>
            <w:r>
              <w:rPr>
                <w:rFonts w:hint="default" w:ascii="Times New Roman" w:hAnsi="Times New Roman" w:eastAsia="宋体" w:cs="Times New Roman"/>
                <w:color w:val="auto"/>
                <w:kern w:val="0"/>
                <w:sz w:val="24"/>
                <w:szCs w:val="24"/>
                <w:lang w:val="en-US" w:eastAsia="zh-CN"/>
              </w:rPr>
              <w:t>不外排，未影响项目周围地表水环境。发电厂房路面全部进行硬化，无污染物进入土壤或地下水环境，未影响区域地下水环境。</w:t>
            </w:r>
          </w:p>
          <w:p w14:paraId="339A2FB7">
            <w:pPr>
              <w:keepNext w:val="0"/>
              <w:keepLines w:val="0"/>
              <w:pageBreakBefore w:val="0"/>
              <w:widowControl w:val="0"/>
              <w:kinsoku/>
              <w:wordWrap/>
              <w:overflowPunct/>
              <w:topLinePunct w:val="0"/>
              <w:autoSpaceDE/>
              <w:autoSpaceDN/>
              <w:bidi w:val="0"/>
              <w:adjustRightInd/>
              <w:snapToGrid/>
              <w:spacing w:line="360" w:lineRule="auto"/>
              <w:ind w:firstLine="479" w:firstLineChars="199"/>
              <w:textAlignment w:val="auto"/>
              <w:rPr>
                <w:rFonts w:hint="default" w:ascii="Times New Roman" w:hAnsi="Times New Roman" w:eastAsia="宋体" w:cs="Times New Roman"/>
                <w:b/>
                <w:bCs/>
                <w:color w:val="auto"/>
                <w:kern w:val="0"/>
                <w:sz w:val="24"/>
                <w:szCs w:val="24"/>
                <w:lang w:val="en-US" w:eastAsia="zh-CN"/>
              </w:rPr>
            </w:pPr>
            <w:r>
              <w:rPr>
                <w:rFonts w:hint="default" w:ascii="Times New Roman" w:hAnsi="Times New Roman" w:cs="Times New Roman"/>
                <w:b/>
                <w:bCs/>
                <w:color w:val="auto"/>
                <w:kern w:val="0"/>
                <w:sz w:val="24"/>
                <w:szCs w:val="24"/>
                <w:lang w:val="en-US" w:eastAsia="zh-CN"/>
              </w:rPr>
              <w:t>2.</w:t>
            </w:r>
            <w:r>
              <w:rPr>
                <w:rFonts w:hint="default" w:ascii="Times New Roman" w:hAnsi="Times New Roman" w:eastAsia="宋体" w:cs="Times New Roman"/>
                <w:b/>
                <w:bCs/>
                <w:color w:val="auto"/>
                <w:kern w:val="0"/>
                <w:sz w:val="24"/>
                <w:szCs w:val="24"/>
                <w:lang w:val="en-US" w:eastAsia="zh-CN"/>
              </w:rPr>
              <w:t>生态环境回顾性影响分析</w:t>
            </w:r>
          </w:p>
          <w:p w14:paraId="61509237">
            <w:pPr>
              <w:keepNext w:val="0"/>
              <w:keepLines w:val="0"/>
              <w:pageBreakBefore w:val="0"/>
              <w:widowControl w:val="0"/>
              <w:kinsoku/>
              <w:wordWrap/>
              <w:overflowPunct/>
              <w:topLinePunct w:val="0"/>
              <w:autoSpaceDE/>
              <w:autoSpaceDN/>
              <w:bidi w:val="0"/>
              <w:adjustRightInd/>
              <w:snapToGrid/>
              <w:spacing w:line="360" w:lineRule="auto"/>
              <w:ind w:firstLine="477" w:firstLineChars="199"/>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（1）陆生生态</w:t>
            </w:r>
          </w:p>
          <w:p w14:paraId="0F1FD67E">
            <w:pPr>
              <w:pStyle w:val="82"/>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s="Times New Roman"/>
                <w:i w:val="0"/>
                <w:iCs w:val="0"/>
                <w:caps w:val="0"/>
                <w:smallCaps w:val="0"/>
                <w:color w:val="auto"/>
                <w:spacing w:val="0"/>
                <w:position w:val="0"/>
                <w:highlight w:val="none"/>
                <w:lang w:val="en-US" w:eastAsia="zh-CN"/>
              </w:rPr>
            </w:pPr>
            <w:r>
              <w:rPr>
                <w:rFonts w:hint="default" w:ascii="Times New Roman" w:hAnsi="Times New Roman" w:eastAsia="宋体" w:cs="Times New Roman"/>
                <w:color w:val="auto"/>
                <w:kern w:val="0"/>
                <w:sz w:val="24"/>
                <w:szCs w:val="24"/>
                <w:lang w:val="en-US" w:eastAsia="zh-CN"/>
              </w:rPr>
              <w:t>本工程施工作业全部位于发电厂房</w:t>
            </w:r>
            <w:r>
              <w:rPr>
                <w:rFonts w:hint="default" w:ascii="Times New Roman" w:hAnsi="Times New Roman" w:cs="Times New Roman"/>
                <w:color w:val="auto"/>
                <w:kern w:val="0"/>
                <w:sz w:val="24"/>
                <w:szCs w:val="24"/>
                <w:lang w:val="en-US" w:eastAsia="zh-CN"/>
              </w:rPr>
              <w:t>及水库库区</w:t>
            </w:r>
            <w:r>
              <w:rPr>
                <w:rFonts w:hint="default" w:ascii="Times New Roman" w:hAnsi="Times New Roman" w:eastAsia="宋体" w:cs="Times New Roman"/>
                <w:color w:val="auto"/>
                <w:kern w:val="0"/>
                <w:sz w:val="24"/>
                <w:szCs w:val="24"/>
                <w:lang w:val="en-US" w:eastAsia="zh-CN"/>
              </w:rPr>
              <w:t>征地范围内，</w:t>
            </w:r>
            <w:r>
              <w:rPr>
                <w:rFonts w:hint="default" w:ascii="Times New Roman" w:hAnsi="Times New Roman" w:cs="Times New Roman"/>
                <w:color w:val="auto"/>
                <w:sz w:val="24"/>
                <w:szCs w:val="24"/>
              </w:rPr>
              <w:t>不涉及新增占地，不涉及移民安置问题，施工过程无大量土石方扰动和土建工程</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施工区设置</w:t>
            </w:r>
            <w:r>
              <w:rPr>
                <w:rFonts w:hint="default" w:ascii="Times New Roman" w:hAnsi="Times New Roman" w:cs="Times New Roman"/>
                <w:color w:val="auto"/>
                <w:sz w:val="24"/>
                <w:szCs w:val="24"/>
                <w:lang w:val="en-US" w:eastAsia="zh-CN"/>
              </w:rPr>
              <w:t>在</w:t>
            </w:r>
            <w:r>
              <w:rPr>
                <w:rFonts w:hint="default" w:ascii="Times New Roman" w:hAnsi="Times New Roman" w:cs="Times New Roman"/>
                <w:color w:val="auto"/>
                <w:sz w:val="24"/>
                <w:szCs w:val="24"/>
              </w:rPr>
              <w:t>原有硬化场地内，</w:t>
            </w:r>
            <w:bookmarkStart w:id="14" w:name="_Hlk189757436"/>
            <w:r>
              <w:rPr>
                <w:rFonts w:hint="default" w:ascii="Times New Roman" w:hAnsi="Times New Roman" w:cs="Times New Roman"/>
                <w:color w:val="auto"/>
                <w:sz w:val="24"/>
                <w:szCs w:val="24"/>
              </w:rPr>
              <w:t>不新增施工道路</w:t>
            </w:r>
            <w:bookmarkEnd w:id="14"/>
            <w:r>
              <w:rPr>
                <w:rFonts w:hint="default" w:ascii="Times New Roman" w:hAnsi="Times New Roman" w:cs="Times New Roman"/>
                <w:color w:val="auto"/>
                <w:sz w:val="24"/>
                <w:szCs w:val="24"/>
              </w:rPr>
              <w:t>，未扰动地表、破坏植被，工程建设过</w:t>
            </w:r>
            <w:r>
              <w:rPr>
                <w:rFonts w:hint="default" w:ascii="Times New Roman" w:hAnsi="Times New Roman" w:cs="Times New Roman"/>
                <w:color w:val="auto"/>
                <w:sz w:val="24"/>
                <w:szCs w:val="24"/>
                <w:lang w:eastAsia="zh-CN"/>
              </w:rPr>
              <w:t>程中</w:t>
            </w:r>
            <w:r>
              <w:rPr>
                <w:rFonts w:hint="default" w:ascii="Times New Roman" w:hAnsi="Times New Roman" w:cs="Times New Roman"/>
                <w:color w:val="auto"/>
                <w:sz w:val="24"/>
                <w:szCs w:val="24"/>
              </w:rPr>
              <w:t>不产生水土流失，</w:t>
            </w:r>
            <w:r>
              <w:rPr>
                <w:rFonts w:hint="default" w:ascii="Times New Roman" w:hAnsi="Times New Roman" w:cs="Times New Roman"/>
                <w:color w:val="auto"/>
                <w:sz w:val="24"/>
                <w:szCs w:val="24"/>
                <w:lang w:val="en-US" w:eastAsia="zh-CN"/>
              </w:rPr>
              <w:t>未</w:t>
            </w:r>
            <w:r>
              <w:rPr>
                <w:rFonts w:hint="default" w:ascii="Times New Roman" w:hAnsi="Times New Roman" w:cs="Times New Roman"/>
                <w:color w:val="auto"/>
                <w:sz w:val="24"/>
                <w:szCs w:val="24"/>
              </w:rPr>
              <w:t>对</w:t>
            </w:r>
            <w:r>
              <w:rPr>
                <w:rFonts w:hint="default" w:ascii="Times New Roman" w:hAnsi="Times New Roman" w:cs="Times New Roman"/>
                <w:color w:val="auto"/>
                <w:sz w:val="24"/>
                <w:szCs w:val="24"/>
                <w:lang w:val="en-US" w:eastAsia="zh-CN"/>
              </w:rPr>
              <w:t>库区</w:t>
            </w:r>
            <w:r>
              <w:rPr>
                <w:rFonts w:hint="default" w:ascii="Times New Roman" w:hAnsi="Times New Roman" w:cs="Times New Roman"/>
                <w:color w:val="auto"/>
                <w:sz w:val="24"/>
                <w:szCs w:val="24"/>
              </w:rPr>
              <w:t>周边植被造成破坏和影响。</w:t>
            </w:r>
            <w:r>
              <w:rPr>
                <w:rFonts w:hint="eastAsia" w:cs="Times New Roman"/>
                <w:i w:val="0"/>
                <w:iCs w:val="0"/>
                <w:caps w:val="0"/>
                <w:smallCaps w:val="0"/>
                <w:color w:val="auto"/>
                <w:spacing w:val="0"/>
                <w:position w:val="0"/>
                <w:highlight w:val="none"/>
                <w:lang w:val="en-US" w:eastAsia="zh-CN"/>
              </w:rPr>
              <w:t>项目施工期早已结束，目前施工区均已恢复原地，施工痕迹已经消失，生态环境现状良好。</w:t>
            </w:r>
          </w:p>
          <w:p w14:paraId="37508012">
            <w:pPr>
              <w:keepNext w:val="0"/>
              <w:keepLines w:val="0"/>
              <w:pageBreakBefore w:val="0"/>
              <w:widowControl w:val="0"/>
              <w:kinsoku/>
              <w:wordWrap/>
              <w:overflowPunct/>
              <w:topLinePunct w:val="0"/>
              <w:autoSpaceDE/>
              <w:autoSpaceDN/>
              <w:bidi w:val="0"/>
              <w:adjustRightInd/>
              <w:snapToGrid/>
              <w:spacing w:line="360" w:lineRule="auto"/>
              <w:ind w:firstLine="477" w:firstLineChars="199"/>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（2）水生生态</w:t>
            </w:r>
          </w:p>
          <w:p w14:paraId="4E50A9E0">
            <w:pPr>
              <w:keepNext w:val="0"/>
              <w:keepLines w:val="0"/>
              <w:pageBreakBefore w:val="0"/>
              <w:widowControl w:val="0"/>
              <w:kinsoku/>
              <w:wordWrap/>
              <w:overflowPunct/>
              <w:topLinePunct w:val="0"/>
              <w:autoSpaceDE/>
              <w:autoSpaceDN/>
              <w:bidi w:val="0"/>
              <w:adjustRightInd/>
              <w:snapToGrid/>
              <w:spacing w:line="360" w:lineRule="auto"/>
              <w:ind w:firstLine="477" w:firstLineChars="199"/>
              <w:textAlignment w:val="auto"/>
              <w:rPr>
                <w:rFonts w:hint="default" w:ascii="Times New Roman" w:hAnsi="Times New Roman"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本次工程不涉及新增、加高拦河坝，不改变水库库容，未新增阻隔河流设施，不涉及涉水施工作业；项目施工期施工人员生活污水定期清淘，外运堆肥，施工固废、施工生活垃圾均得到合理处置，不排入</w:t>
            </w:r>
            <w:r>
              <w:rPr>
                <w:rFonts w:hint="default" w:ascii="Times New Roman" w:hAnsi="Times New Roman" w:cs="Times New Roman"/>
                <w:color w:val="auto"/>
                <w:kern w:val="0"/>
                <w:sz w:val="24"/>
                <w:szCs w:val="24"/>
                <w:lang w:val="en-US" w:eastAsia="zh-CN"/>
              </w:rPr>
              <w:t>地表水体</w:t>
            </w:r>
            <w:r>
              <w:rPr>
                <w:rFonts w:hint="default" w:ascii="Times New Roman" w:hAnsi="Times New Roman" w:eastAsia="宋体" w:cs="Times New Roman"/>
                <w:color w:val="auto"/>
                <w:kern w:val="0"/>
                <w:sz w:val="24"/>
                <w:szCs w:val="24"/>
                <w:lang w:val="en-US" w:eastAsia="zh-CN"/>
              </w:rPr>
              <w:t>。</w:t>
            </w:r>
            <w:r>
              <w:rPr>
                <w:rFonts w:hint="default" w:ascii="Times New Roman" w:hAnsi="Times New Roman" w:cs="Times New Roman"/>
                <w:color w:val="auto"/>
                <w:kern w:val="0"/>
                <w:sz w:val="24"/>
                <w:szCs w:val="24"/>
                <w:lang w:val="en-US" w:eastAsia="zh-CN"/>
              </w:rPr>
              <w:t>因此，</w:t>
            </w:r>
            <w:r>
              <w:rPr>
                <w:rFonts w:hint="default" w:ascii="Times New Roman" w:hAnsi="Times New Roman" w:eastAsia="宋体" w:cs="Times New Roman"/>
                <w:color w:val="auto"/>
                <w:kern w:val="0"/>
                <w:sz w:val="24"/>
                <w:szCs w:val="24"/>
                <w:lang w:val="en-US" w:eastAsia="zh-CN"/>
              </w:rPr>
              <w:t>施工过程不</w:t>
            </w:r>
            <w:r>
              <w:rPr>
                <w:rFonts w:hint="default" w:ascii="Times New Roman" w:hAnsi="Times New Roman" w:cs="Times New Roman"/>
                <w:color w:val="auto"/>
                <w:kern w:val="0"/>
                <w:sz w:val="24"/>
                <w:szCs w:val="24"/>
                <w:lang w:val="en-US" w:eastAsia="zh-CN"/>
              </w:rPr>
              <w:t>会</w:t>
            </w:r>
            <w:r>
              <w:rPr>
                <w:rFonts w:hint="default" w:ascii="Times New Roman" w:hAnsi="Times New Roman" w:eastAsia="宋体" w:cs="Times New Roman"/>
                <w:color w:val="auto"/>
                <w:kern w:val="0"/>
                <w:sz w:val="24"/>
                <w:szCs w:val="24"/>
                <w:lang w:val="en-US" w:eastAsia="zh-CN"/>
              </w:rPr>
              <w:t>影响评价区水生生态环境</w:t>
            </w:r>
            <w:r>
              <w:rPr>
                <w:rFonts w:hint="default" w:ascii="Times New Roman" w:hAnsi="Times New Roman" w:cs="Times New Roman"/>
                <w:color w:val="auto"/>
                <w:kern w:val="0"/>
                <w:sz w:val="24"/>
                <w:szCs w:val="24"/>
                <w:lang w:val="en-US" w:eastAsia="zh-CN"/>
              </w:rPr>
              <w:t>。</w:t>
            </w:r>
          </w:p>
          <w:p w14:paraId="1FC3BEBE">
            <w:pPr>
              <w:keepNext w:val="0"/>
              <w:keepLines w:val="0"/>
              <w:pageBreakBefore w:val="0"/>
              <w:widowControl w:val="0"/>
              <w:kinsoku/>
              <w:wordWrap/>
              <w:overflowPunct/>
              <w:topLinePunct w:val="0"/>
              <w:autoSpaceDE/>
              <w:autoSpaceDN/>
              <w:bidi w:val="0"/>
              <w:adjustRightInd/>
              <w:snapToGrid/>
              <w:spacing w:line="360" w:lineRule="auto"/>
              <w:ind w:firstLine="479" w:firstLineChars="199"/>
              <w:textAlignment w:val="auto"/>
              <w:rPr>
                <w:rFonts w:hint="eastAsia"/>
                <w:b/>
                <w:bCs/>
                <w:color w:val="auto"/>
                <w:sz w:val="24"/>
                <w:szCs w:val="24"/>
                <w:lang w:val="en-US" w:eastAsia="zh-CN"/>
              </w:rPr>
            </w:pPr>
            <w:r>
              <w:rPr>
                <w:rFonts w:hint="eastAsia"/>
                <w:b/>
                <w:bCs/>
                <w:color w:val="auto"/>
                <w:sz w:val="24"/>
                <w:szCs w:val="24"/>
                <w:lang w:val="en-US" w:eastAsia="zh-CN"/>
              </w:rPr>
              <w:t>3.</w:t>
            </w:r>
            <w:r>
              <w:rPr>
                <w:rFonts w:hint="eastAsia"/>
                <w:b/>
                <w:bCs/>
                <w:color w:val="auto"/>
                <w:sz w:val="24"/>
                <w:szCs w:val="24"/>
              </w:rPr>
              <w:t>大气环境</w:t>
            </w:r>
            <w:r>
              <w:rPr>
                <w:rFonts w:hint="eastAsia"/>
                <w:b/>
                <w:bCs/>
                <w:color w:val="auto"/>
                <w:sz w:val="24"/>
                <w:szCs w:val="24"/>
                <w:lang w:val="en-US" w:eastAsia="zh-CN"/>
              </w:rPr>
              <w:t>回顾性</w:t>
            </w:r>
            <w:r>
              <w:rPr>
                <w:rFonts w:hint="eastAsia"/>
                <w:b/>
                <w:bCs/>
                <w:color w:val="auto"/>
                <w:sz w:val="24"/>
                <w:szCs w:val="24"/>
              </w:rPr>
              <w:t>影响</w:t>
            </w:r>
            <w:r>
              <w:rPr>
                <w:rFonts w:hint="eastAsia"/>
                <w:b/>
                <w:bCs/>
                <w:color w:val="auto"/>
                <w:sz w:val="24"/>
                <w:szCs w:val="24"/>
                <w:lang w:val="en-US" w:eastAsia="zh-CN"/>
              </w:rPr>
              <w:t>分析</w:t>
            </w:r>
          </w:p>
          <w:p w14:paraId="0F01131C">
            <w:pPr>
              <w:keepNext w:val="0"/>
              <w:keepLines w:val="0"/>
              <w:pageBreakBefore w:val="0"/>
              <w:widowControl w:val="0"/>
              <w:kinsoku/>
              <w:wordWrap/>
              <w:overflowPunct/>
              <w:topLinePunct w:val="0"/>
              <w:autoSpaceDE/>
              <w:autoSpaceDN/>
              <w:bidi w:val="0"/>
              <w:adjustRightInd/>
              <w:snapToGrid/>
              <w:spacing w:line="360" w:lineRule="auto"/>
              <w:ind w:firstLine="477" w:firstLineChars="199"/>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w:t>
            </w:r>
            <w:r>
              <w:rPr>
                <w:rFonts w:hint="default" w:ascii="Times New Roman" w:hAnsi="Times New Roman" w:cs="Times New Roman"/>
                <w:color w:val="auto"/>
                <w:sz w:val="24"/>
                <w:szCs w:val="24"/>
              </w:rPr>
              <w:t>施工过程无大量土石方扰动和土建工程</w:t>
            </w:r>
            <w:r>
              <w:rPr>
                <w:rFonts w:hint="eastAsia" w:ascii="Times New Roman" w:hAnsi="Times New Roman" w:eastAsia="宋体" w:cs="Times New Roman"/>
                <w:color w:val="auto"/>
                <w:sz w:val="24"/>
                <w:szCs w:val="24"/>
                <w:lang w:val="en-US" w:eastAsia="zh-CN"/>
              </w:rPr>
              <w:t>，施工扬尘主要来自于建筑材料的运输装卸、运输车辆行驶的道路扬尘等，此外</w:t>
            </w:r>
            <w:r>
              <w:rPr>
                <w:color w:val="auto"/>
                <w:spacing w:val="1"/>
                <w:sz w:val="24"/>
                <w:szCs w:val="24"/>
              </w:rPr>
              <w:t>施工过程中燃料</w:t>
            </w:r>
            <w:r>
              <w:rPr>
                <w:color w:val="auto"/>
                <w:spacing w:val="-2"/>
                <w:sz w:val="24"/>
                <w:szCs w:val="24"/>
              </w:rPr>
              <w:t>消耗主要是柴油与汽油，产生的主要污染物为</w:t>
            </w:r>
            <w:r>
              <w:rPr>
                <w:color w:val="auto"/>
                <w:spacing w:val="-45"/>
                <w:sz w:val="24"/>
                <w:szCs w:val="24"/>
              </w:rPr>
              <w:t xml:space="preserve"> </w:t>
            </w:r>
            <w:r>
              <w:rPr>
                <w:rFonts w:ascii="Times New Roman" w:hAnsi="Times New Roman" w:eastAsia="Times New Roman" w:cs="Times New Roman"/>
                <w:color w:val="auto"/>
                <w:spacing w:val="-2"/>
                <w:sz w:val="24"/>
                <w:szCs w:val="24"/>
              </w:rPr>
              <w:t>SO</w:t>
            </w:r>
            <w:r>
              <w:rPr>
                <w:rFonts w:ascii="Times New Roman" w:hAnsi="Times New Roman" w:eastAsia="Times New Roman" w:cs="Times New Roman"/>
                <w:color w:val="auto"/>
                <w:spacing w:val="-2"/>
                <w:position w:val="-1"/>
                <w:sz w:val="24"/>
                <w:szCs w:val="24"/>
              </w:rPr>
              <w:t>2</w:t>
            </w:r>
            <w:r>
              <w:rPr>
                <w:rFonts w:ascii="Times New Roman" w:hAnsi="Times New Roman" w:eastAsia="Times New Roman" w:cs="Times New Roman"/>
                <w:color w:val="auto"/>
                <w:spacing w:val="-10"/>
                <w:position w:val="-1"/>
                <w:sz w:val="24"/>
                <w:szCs w:val="24"/>
              </w:rPr>
              <w:t xml:space="preserve"> </w:t>
            </w:r>
            <w:r>
              <w:rPr>
                <w:color w:val="auto"/>
                <w:spacing w:val="-2"/>
                <w:sz w:val="24"/>
                <w:szCs w:val="24"/>
              </w:rPr>
              <w:t>、</w:t>
            </w:r>
            <w:r>
              <w:rPr>
                <w:rFonts w:ascii="Times New Roman" w:hAnsi="Times New Roman" w:eastAsia="Times New Roman" w:cs="Times New Roman"/>
                <w:color w:val="auto"/>
                <w:spacing w:val="-2"/>
                <w:sz w:val="24"/>
                <w:szCs w:val="24"/>
              </w:rPr>
              <w:t>NOx</w:t>
            </w:r>
            <w:r>
              <w:rPr>
                <w:rFonts w:ascii="Times New Roman" w:hAnsi="Times New Roman" w:eastAsia="Times New Roman" w:cs="Times New Roman"/>
                <w:color w:val="auto"/>
                <w:spacing w:val="-32"/>
                <w:sz w:val="24"/>
                <w:szCs w:val="24"/>
              </w:rPr>
              <w:t xml:space="preserve"> </w:t>
            </w:r>
            <w:r>
              <w:rPr>
                <w:color w:val="auto"/>
                <w:spacing w:val="-2"/>
                <w:sz w:val="24"/>
                <w:szCs w:val="24"/>
              </w:rPr>
              <w:t>、</w:t>
            </w:r>
            <w:r>
              <w:rPr>
                <w:rFonts w:ascii="Times New Roman" w:hAnsi="Times New Roman" w:eastAsia="Times New Roman" w:cs="Times New Roman"/>
                <w:color w:val="auto"/>
                <w:spacing w:val="-2"/>
                <w:sz w:val="24"/>
                <w:szCs w:val="24"/>
              </w:rPr>
              <w:t>CO</w:t>
            </w:r>
            <w:r>
              <w:rPr>
                <w:color w:val="auto"/>
                <w:spacing w:val="-3"/>
                <w:sz w:val="24"/>
                <w:szCs w:val="24"/>
              </w:rPr>
              <w:t>等，</w:t>
            </w:r>
            <w:r>
              <w:rPr>
                <w:rFonts w:hint="eastAsia"/>
                <w:color w:val="auto"/>
                <w:spacing w:val="-3"/>
                <w:sz w:val="24"/>
                <w:szCs w:val="24"/>
              </w:rPr>
              <w:t>各种污染物的排放量不大，且为间断排放</w:t>
            </w:r>
            <w:r>
              <w:rPr>
                <w:rFonts w:hint="eastAsia" w:ascii="Times New Roman" w:hAnsi="Times New Roman" w:eastAsia="宋体" w:cs="Times New Roman"/>
                <w:color w:val="auto"/>
                <w:sz w:val="24"/>
                <w:szCs w:val="24"/>
                <w:lang w:val="en-US" w:eastAsia="zh-CN"/>
              </w:rPr>
              <w:t>，当建设期结束，污染物即消失。</w:t>
            </w:r>
            <w:r>
              <w:rPr>
                <w:color w:val="auto"/>
                <w:spacing w:val="1"/>
                <w:sz w:val="24"/>
                <w:szCs w:val="24"/>
              </w:rPr>
              <w:t>经过咨询附近居民和</w:t>
            </w:r>
            <w:r>
              <w:rPr>
                <w:color w:val="auto"/>
                <w:spacing w:val="2"/>
                <w:sz w:val="24"/>
                <w:szCs w:val="24"/>
              </w:rPr>
              <w:t>建设单位，</w:t>
            </w:r>
            <w:r>
              <w:rPr>
                <w:rFonts w:hint="eastAsia"/>
                <w:color w:val="auto"/>
                <w:spacing w:val="2"/>
                <w:sz w:val="24"/>
                <w:szCs w:val="24"/>
                <w:lang w:val="en-US" w:eastAsia="zh-CN"/>
              </w:rPr>
              <w:t>工程</w:t>
            </w:r>
            <w:r>
              <w:rPr>
                <w:rFonts w:hint="eastAsia" w:ascii="Times New Roman" w:hAnsi="Times New Roman" w:eastAsia="宋体" w:cs="Times New Roman"/>
                <w:color w:val="auto"/>
                <w:sz w:val="24"/>
                <w:szCs w:val="24"/>
                <w:lang w:val="en-US" w:eastAsia="zh-CN"/>
              </w:rPr>
              <w:t>施工时已采取对道路洒水、堆放场加盖篷布、限制运输车辆的运行路线、时间、速度等措施，工程施工产生的扬尘对施工区空气环境的影响满足相关要求，</w:t>
            </w:r>
            <w:r>
              <w:rPr>
                <w:color w:val="auto"/>
                <w:spacing w:val="2"/>
                <w:sz w:val="24"/>
                <w:szCs w:val="24"/>
              </w:rPr>
              <w:t>未发</w:t>
            </w:r>
            <w:r>
              <w:rPr>
                <w:color w:val="auto"/>
                <w:spacing w:val="1"/>
                <w:sz w:val="24"/>
                <w:szCs w:val="24"/>
              </w:rPr>
              <w:t>生因为工程施工导致的投</w:t>
            </w:r>
            <w:r>
              <w:rPr>
                <w:color w:val="auto"/>
                <w:spacing w:val="-3"/>
                <w:sz w:val="24"/>
                <w:szCs w:val="24"/>
              </w:rPr>
              <w:t>诉事件。</w:t>
            </w:r>
          </w:p>
          <w:p w14:paraId="5372EF83">
            <w:pPr>
              <w:keepNext w:val="0"/>
              <w:keepLines w:val="0"/>
              <w:pageBreakBefore w:val="0"/>
              <w:widowControl w:val="0"/>
              <w:kinsoku/>
              <w:wordWrap/>
              <w:overflowPunct/>
              <w:topLinePunct w:val="0"/>
              <w:autoSpaceDE/>
              <w:autoSpaceDN/>
              <w:bidi w:val="0"/>
              <w:adjustRightInd/>
              <w:snapToGrid/>
              <w:spacing w:line="360" w:lineRule="auto"/>
              <w:ind w:firstLine="479" w:firstLineChars="199"/>
              <w:textAlignment w:val="auto"/>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4.声环境回顾性影响分析</w:t>
            </w:r>
          </w:p>
          <w:p w14:paraId="1B90BD07">
            <w:pPr>
              <w:keepNext w:val="0"/>
              <w:keepLines w:val="0"/>
              <w:pageBreakBefore w:val="0"/>
              <w:widowControl w:val="0"/>
              <w:kinsoku/>
              <w:wordWrap w:val="0"/>
              <w:overflowPunct/>
              <w:topLinePunct w:val="0"/>
              <w:autoSpaceDE/>
              <w:autoSpaceDN/>
              <w:bidi w:val="0"/>
              <w:adjustRightInd/>
              <w:snapToGrid/>
              <w:spacing w:line="360" w:lineRule="auto"/>
              <w:ind w:firstLine="485" w:firstLineChars="199"/>
              <w:textAlignment w:val="auto"/>
              <w:rPr>
                <w:rFonts w:hint="eastAsia" w:ascii="Times New Roman" w:hAnsi="Times New Roman" w:eastAsia="宋体" w:cs="Times New Roman"/>
                <w:color w:val="auto"/>
                <w:spacing w:val="2"/>
                <w:sz w:val="24"/>
                <w:szCs w:val="24"/>
                <w:lang w:val="en-US" w:eastAsia="zh-CN"/>
              </w:rPr>
            </w:pPr>
            <w:r>
              <w:rPr>
                <w:color w:val="auto"/>
                <w:spacing w:val="2"/>
                <w:sz w:val="24"/>
                <w:szCs w:val="24"/>
              </w:rPr>
              <w:t>施工期噪声</w:t>
            </w:r>
            <w:r>
              <w:rPr>
                <w:rFonts w:hint="eastAsia"/>
                <w:color w:val="auto"/>
                <w:spacing w:val="2"/>
                <w:sz w:val="24"/>
                <w:szCs w:val="24"/>
                <w:lang w:val="en-US" w:eastAsia="zh-CN"/>
              </w:rPr>
              <w:t>主要</w:t>
            </w:r>
            <w:r>
              <w:rPr>
                <w:color w:val="auto"/>
                <w:spacing w:val="2"/>
                <w:sz w:val="24"/>
                <w:szCs w:val="24"/>
              </w:rPr>
              <w:t>来源于水轮发电机组的拆除和安装</w:t>
            </w:r>
            <w:r>
              <w:rPr>
                <w:color w:val="auto"/>
                <w:spacing w:val="1"/>
                <w:sz w:val="24"/>
                <w:szCs w:val="24"/>
              </w:rPr>
              <w:t>、对原有水工建筑物</w:t>
            </w:r>
            <w:r>
              <w:rPr>
                <w:color w:val="auto"/>
                <w:spacing w:val="2"/>
                <w:sz w:val="24"/>
                <w:szCs w:val="24"/>
              </w:rPr>
              <w:t>进行加固及局部改造、对金属设备安装等。</w:t>
            </w:r>
            <w:r>
              <w:rPr>
                <w:rFonts w:hint="eastAsia"/>
                <w:color w:val="auto"/>
                <w:spacing w:val="2"/>
                <w:sz w:val="24"/>
                <w:szCs w:val="24"/>
                <w:lang w:val="en-US" w:eastAsia="zh-CN"/>
              </w:rPr>
              <w:t>施工区域</w:t>
            </w:r>
            <w:r>
              <w:rPr>
                <w:color w:val="auto"/>
                <w:spacing w:val="2"/>
                <w:sz w:val="24"/>
                <w:szCs w:val="24"/>
              </w:rPr>
              <w:t>全部位于</w:t>
            </w:r>
            <w:r>
              <w:rPr>
                <w:rFonts w:hint="eastAsia"/>
                <w:color w:val="auto"/>
                <w:spacing w:val="2"/>
                <w:sz w:val="24"/>
                <w:szCs w:val="24"/>
                <w:lang w:val="en-US" w:eastAsia="zh-CN"/>
              </w:rPr>
              <w:t>原有</w:t>
            </w:r>
            <w:r>
              <w:rPr>
                <w:color w:val="auto"/>
                <w:spacing w:val="1"/>
                <w:sz w:val="24"/>
                <w:szCs w:val="24"/>
              </w:rPr>
              <w:t>的征地范围内，由于</w:t>
            </w:r>
            <w:r>
              <w:rPr>
                <w:color w:val="auto"/>
                <w:spacing w:val="2"/>
                <w:sz w:val="24"/>
                <w:szCs w:val="24"/>
              </w:rPr>
              <w:t>工程量少、无大型机械设备，在发电厂房边界外已经满</w:t>
            </w:r>
            <w:r>
              <w:rPr>
                <w:color w:val="auto"/>
                <w:spacing w:val="1"/>
                <w:sz w:val="24"/>
                <w:szCs w:val="24"/>
              </w:rPr>
              <w:t>足</w:t>
            </w:r>
            <w:r>
              <w:rPr>
                <w:rFonts w:hint="default" w:ascii="Times New Roman" w:hAnsi="Times New Roman" w:eastAsia="宋体" w:cs="Times New Roman"/>
                <w:color w:val="auto"/>
                <w:sz w:val="24"/>
                <w:szCs w:val="24"/>
              </w:rPr>
              <w:t>《工业企业厂界环境噪声排放标准》（GB12348-2008）1类标准</w:t>
            </w:r>
            <w:r>
              <w:rPr>
                <w:color w:val="auto"/>
                <w:spacing w:val="-4"/>
                <w:sz w:val="24"/>
                <w:szCs w:val="24"/>
              </w:rPr>
              <w:t>，</w:t>
            </w:r>
            <w:r>
              <w:rPr>
                <w:color w:val="auto"/>
                <w:spacing w:val="2"/>
                <w:sz w:val="24"/>
                <w:szCs w:val="24"/>
              </w:rPr>
              <w:t>经过咨询附近居民</w:t>
            </w:r>
            <w:r>
              <w:rPr>
                <w:color w:val="auto"/>
                <w:spacing w:val="1"/>
                <w:sz w:val="24"/>
                <w:szCs w:val="24"/>
              </w:rPr>
              <w:t>和建设单位，施工期</w:t>
            </w:r>
            <w:r>
              <w:rPr>
                <w:rFonts w:ascii="Times New Roman" w:hAnsi="Times New Roman" w:eastAsia="宋体" w:cs="Times New Roman"/>
                <w:color w:val="auto"/>
                <w:spacing w:val="2"/>
                <w:sz w:val="24"/>
                <w:szCs w:val="24"/>
              </w:rPr>
              <w:t>本工程评价区声环境质量良好，未发生因为工程施工导致的投诉事件。</w:t>
            </w:r>
          </w:p>
          <w:p w14:paraId="3D6C5ED9">
            <w:pPr>
              <w:keepNext w:val="0"/>
              <w:keepLines w:val="0"/>
              <w:pageBreakBefore w:val="0"/>
              <w:widowControl w:val="0"/>
              <w:kinsoku/>
              <w:wordWrap w:val="0"/>
              <w:overflowPunct/>
              <w:topLinePunct w:val="0"/>
              <w:autoSpaceDE/>
              <w:autoSpaceDN/>
              <w:bidi w:val="0"/>
              <w:adjustRightInd/>
              <w:snapToGrid/>
              <w:spacing w:line="360" w:lineRule="auto"/>
              <w:ind w:firstLine="487" w:firstLineChars="199"/>
              <w:textAlignment w:val="auto"/>
              <w:rPr>
                <w:rFonts w:hint="default" w:ascii="Times New Roman" w:hAnsi="Times New Roman" w:eastAsia="宋体" w:cs="Times New Roman"/>
                <w:b/>
                <w:bCs/>
                <w:color w:val="auto"/>
                <w:spacing w:val="2"/>
                <w:sz w:val="24"/>
                <w:szCs w:val="24"/>
                <w:lang w:val="en-US" w:eastAsia="zh-CN"/>
              </w:rPr>
            </w:pPr>
            <w:r>
              <w:rPr>
                <w:rFonts w:hint="eastAsia" w:ascii="Times New Roman" w:hAnsi="Times New Roman" w:eastAsia="宋体" w:cs="Times New Roman"/>
                <w:b/>
                <w:bCs/>
                <w:color w:val="auto"/>
                <w:spacing w:val="2"/>
                <w:sz w:val="24"/>
                <w:szCs w:val="24"/>
                <w:lang w:val="en-US" w:eastAsia="zh-CN"/>
              </w:rPr>
              <w:t>5.固体废物</w:t>
            </w:r>
            <w:r>
              <w:rPr>
                <w:rFonts w:hint="eastAsia" w:cs="Times New Roman"/>
                <w:b/>
                <w:bCs/>
                <w:color w:val="auto"/>
                <w:spacing w:val="2"/>
                <w:sz w:val="24"/>
                <w:szCs w:val="24"/>
                <w:lang w:val="en-US" w:eastAsia="zh-CN"/>
              </w:rPr>
              <w:t>回顾性</w:t>
            </w:r>
            <w:r>
              <w:rPr>
                <w:rFonts w:hint="eastAsia" w:ascii="Times New Roman" w:hAnsi="Times New Roman" w:eastAsia="宋体" w:cs="Times New Roman"/>
                <w:b/>
                <w:bCs/>
                <w:color w:val="auto"/>
                <w:spacing w:val="2"/>
                <w:sz w:val="24"/>
                <w:szCs w:val="24"/>
                <w:lang w:val="en-US" w:eastAsia="zh-CN"/>
              </w:rPr>
              <w:t>影响</w:t>
            </w:r>
            <w:r>
              <w:rPr>
                <w:rFonts w:hint="eastAsia" w:cs="Times New Roman"/>
                <w:b/>
                <w:bCs/>
                <w:color w:val="auto"/>
                <w:spacing w:val="2"/>
                <w:sz w:val="24"/>
                <w:szCs w:val="24"/>
                <w:lang w:val="en-US" w:eastAsia="zh-CN"/>
              </w:rPr>
              <w:t>分析</w:t>
            </w:r>
          </w:p>
          <w:p w14:paraId="32E0901C">
            <w:pPr>
              <w:keepNext w:val="0"/>
              <w:keepLines w:val="0"/>
              <w:pageBreakBefore w:val="0"/>
              <w:widowControl w:val="0"/>
              <w:kinsoku/>
              <w:wordWrap w:val="0"/>
              <w:overflowPunct/>
              <w:topLinePunct w:val="0"/>
              <w:autoSpaceDE/>
              <w:autoSpaceDN/>
              <w:bidi w:val="0"/>
              <w:adjustRightInd/>
              <w:snapToGrid/>
              <w:spacing w:line="360" w:lineRule="auto"/>
              <w:ind w:firstLine="485" w:firstLineChars="199"/>
              <w:textAlignment w:val="auto"/>
              <w:rPr>
                <w:rFonts w:ascii="Times New Roman" w:hAnsi="Times New Roman" w:eastAsia="宋体" w:cs="Times New Roman"/>
                <w:color w:val="auto"/>
                <w:spacing w:val="2"/>
                <w:sz w:val="24"/>
                <w:szCs w:val="24"/>
                <w:lang w:val="en-US" w:eastAsia="zh-CN"/>
              </w:rPr>
            </w:pPr>
            <w:r>
              <w:rPr>
                <w:rFonts w:hint="eastAsia" w:ascii="Times New Roman" w:hAnsi="Times New Roman" w:eastAsia="宋体" w:cs="Times New Roman"/>
                <w:color w:val="auto"/>
                <w:spacing w:val="2"/>
                <w:sz w:val="24"/>
                <w:szCs w:val="24"/>
                <w:lang w:val="en-US" w:eastAsia="zh-CN"/>
              </w:rPr>
              <w:t>项目施工期的固体废物主要有拆除的旧发电设备、设备内废油、建筑垃圾（装修废弃材料）与施工人员的生活垃圾等。</w:t>
            </w:r>
          </w:p>
          <w:p w14:paraId="7AD64C05">
            <w:pPr>
              <w:keepNext w:val="0"/>
              <w:keepLines w:val="0"/>
              <w:pageBreakBefore w:val="0"/>
              <w:widowControl w:val="0"/>
              <w:kinsoku/>
              <w:wordWrap w:val="0"/>
              <w:overflowPunct/>
              <w:topLinePunct w:val="0"/>
              <w:autoSpaceDE/>
              <w:autoSpaceDN/>
              <w:bidi w:val="0"/>
              <w:adjustRightInd/>
              <w:snapToGrid/>
              <w:spacing w:line="360" w:lineRule="auto"/>
              <w:ind w:firstLine="485" w:firstLineChars="199"/>
              <w:textAlignment w:val="auto"/>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auto"/>
                <w:spacing w:val="2"/>
                <w:sz w:val="24"/>
                <w:szCs w:val="24"/>
                <w:lang w:val="en-US" w:eastAsia="zh-CN"/>
              </w:rPr>
              <w:t>项目工程竣工后，施工单位已将厂区剩余的建筑垃圾处理干净，建筑垃圾的运输委托具有相关资质的单位承担，运输至当地政府指定地点堆放；拆除的发电设备由专门的设备回收单位收购；设备内废机油由专用容器盛装集中贮存，委托有危废资质单位进行处理；生活垃圾集中收集后送往当地环卫部门清运处置。项目施工期产生的固体废物均已得到妥善处置</w:t>
            </w:r>
            <w:r>
              <w:rPr>
                <w:rFonts w:hint="eastAsia" w:ascii="Times New Roman" w:hAnsi="Times New Roman" w:eastAsia="宋体" w:cs="Times New Roman"/>
                <w:color w:val="auto"/>
                <w:spacing w:val="2"/>
                <w:kern w:val="2"/>
                <w:sz w:val="24"/>
                <w:szCs w:val="24"/>
                <w:lang w:val="en-US" w:eastAsia="zh-CN" w:bidi="ar-SA"/>
              </w:rPr>
              <w:t>。</w:t>
            </w:r>
          </w:p>
        </w:tc>
      </w:tr>
      <w:tr w14:paraId="1D4132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879" w:type="dxa"/>
            <w:tcMar>
              <w:left w:w="28" w:type="dxa"/>
              <w:right w:w="28" w:type="dxa"/>
            </w:tcMar>
            <w:vAlign w:val="center"/>
          </w:tcPr>
          <w:p w14:paraId="375FC9D8">
            <w:pPr>
              <w:pStyle w:val="21"/>
              <w:adjustRightInd w:val="0"/>
              <w:snapToGrid w:val="0"/>
              <w:spacing w:before="0" w:beforeAutospacing="0" w:after="0" w:afterAutospacing="0"/>
              <w:jc w:val="center"/>
              <w:rPr>
                <w:rFonts w:hint="default" w:ascii="Times New Roman" w:hAnsi="Times New Roman" w:cs="Times New Roman" w:eastAsiaTheme="minorEastAsia"/>
                <w:bCs/>
                <w:color w:val="auto"/>
                <w:kern w:val="2"/>
                <w:sz w:val="21"/>
                <w:szCs w:val="21"/>
              </w:rPr>
            </w:pPr>
            <w:bookmarkStart w:id="15" w:name="_Toc10236"/>
            <w:r>
              <w:rPr>
                <w:rFonts w:hint="default" w:ascii="Times New Roman" w:hAnsi="Times New Roman" w:cs="Times New Roman" w:eastAsiaTheme="minorEastAsia"/>
                <w:bCs/>
                <w:color w:val="auto"/>
                <w:spacing w:val="10"/>
                <w:kern w:val="2"/>
                <w:sz w:val="21"/>
                <w:szCs w:val="21"/>
              </w:rPr>
              <w:t>运营期生态环境影响分析</w:t>
            </w:r>
            <w:bookmarkEnd w:id="15"/>
          </w:p>
        </w:tc>
        <w:tc>
          <w:tcPr>
            <w:tcW w:w="8363" w:type="dxa"/>
            <w:vAlign w:val="top"/>
          </w:tcPr>
          <w:p w14:paraId="3853F98E">
            <w:pPr>
              <w:keepNext w:val="0"/>
              <w:keepLines w:val="0"/>
              <w:pageBreakBefore w:val="0"/>
              <w:widowControl w:val="0"/>
              <w:kinsoku/>
              <w:wordWrap/>
              <w:overflowPunct/>
              <w:topLinePunct w:val="0"/>
              <w:autoSpaceDE/>
              <w:autoSpaceDN/>
              <w:bidi w:val="0"/>
              <w:adjustRightInd/>
              <w:snapToGrid/>
              <w:spacing w:before="157" w:beforeLines="50" w:after="0" w:line="360" w:lineRule="auto"/>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eastAsia" w:cs="Times New Roman"/>
                <w:color w:val="000000" w:themeColor="text1"/>
                <w:sz w:val="24"/>
                <w:szCs w:val="24"/>
                <w:lang w:val="en-US" w:eastAsia="zh-CN"/>
                <w14:textFill>
                  <w14:solidFill>
                    <w14:schemeClr w14:val="tx1"/>
                  </w14:solidFill>
                </w14:textFill>
              </w:rPr>
              <w:t>青年水库</w:t>
            </w:r>
            <w:r>
              <w:rPr>
                <w:rFonts w:hint="default" w:ascii="Times New Roman" w:hAnsi="Times New Roman" w:cs="Times New Roman"/>
                <w:color w:val="000000" w:themeColor="text1"/>
                <w:sz w:val="24"/>
                <w:szCs w:val="24"/>
                <w14:textFill>
                  <w14:solidFill>
                    <w14:schemeClr w14:val="tx1"/>
                  </w14:solidFill>
                </w14:textFill>
              </w:rPr>
              <w:t>电站于</w:t>
            </w:r>
            <w:r>
              <w:rPr>
                <w:rFonts w:hint="default" w:ascii="Times New Roman" w:hAnsi="Times New Roman" w:eastAsia="宋体" w:cs="Times New Roman"/>
                <w:bCs/>
                <w:color w:val="auto"/>
                <w:sz w:val="24"/>
                <w:szCs w:val="24"/>
                <w:highlight w:val="none"/>
                <w:lang w:val="en-US" w:eastAsia="zh-CN"/>
              </w:rPr>
              <w:t>197</w:t>
            </w:r>
            <w:r>
              <w:rPr>
                <w:rFonts w:hint="eastAsia" w:cs="Times New Roman"/>
                <w:bCs/>
                <w:color w:val="auto"/>
                <w:sz w:val="24"/>
                <w:szCs w:val="24"/>
                <w:highlight w:val="none"/>
                <w:lang w:val="en-US" w:eastAsia="zh-CN"/>
              </w:rPr>
              <w:t>8</w:t>
            </w:r>
            <w:r>
              <w:rPr>
                <w:rFonts w:hint="default" w:ascii="Times New Roman" w:hAnsi="Times New Roman" w:eastAsia="宋体" w:cs="Times New Roman"/>
                <w:bCs/>
                <w:color w:val="auto"/>
                <w:sz w:val="24"/>
                <w:szCs w:val="24"/>
                <w:highlight w:val="none"/>
                <w:lang w:val="en-US" w:eastAsia="zh-CN"/>
              </w:rPr>
              <w:t>年</w:t>
            </w:r>
            <w:r>
              <w:rPr>
                <w:rFonts w:hint="default" w:ascii="Times New Roman" w:hAnsi="Times New Roman" w:cs="Times New Roman"/>
                <w:bCs/>
                <w:color w:val="auto"/>
                <w:sz w:val="24"/>
                <w:szCs w:val="24"/>
                <w:highlight w:val="none"/>
                <w:lang w:val="en-US" w:eastAsia="zh-CN"/>
              </w:rPr>
              <w:t>1</w:t>
            </w:r>
            <w:r>
              <w:rPr>
                <w:rFonts w:hint="eastAsia" w:cs="Times New Roman"/>
                <w:bCs/>
                <w:color w:val="auto"/>
                <w:sz w:val="24"/>
                <w:szCs w:val="24"/>
                <w:highlight w:val="none"/>
                <w:lang w:val="en-US" w:eastAsia="zh-CN"/>
              </w:rPr>
              <w:t>1</w:t>
            </w:r>
            <w:r>
              <w:rPr>
                <w:rFonts w:hint="default" w:ascii="Times New Roman" w:hAnsi="Times New Roman" w:eastAsia="宋体" w:cs="Times New Roman"/>
                <w:bCs/>
                <w:color w:val="auto"/>
                <w:sz w:val="24"/>
                <w:szCs w:val="24"/>
                <w:highlight w:val="none"/>
                <w:lang w:val="en-US" w:eastAsia="zh-CN"/>
              </w:rPr>
              <w:t>月</w:t>
            </w:r>
            <w:r>
              <w:rPr>
                <w:rFonts w:hint="default" w:ascii="Times New Roman" w:hAnsi="Times New Roman" w:cs="Times New Roman"/>
                <w:color w:val="000000" w:themeColor="text1"/>
                <w:sz w:val="24"/>
                <w:szCs w:val="24"/>
                <w14:textFill>
                  <w14:solidFill>
                    <w14:schemeClr w14:val="tx1"/>
                  </w14:solidFill>
                </w14:textFill>
              </w:rPr>
              <w:t>投产发电，</w:t>
            </w:r>
            <w:r>
              <w:rPr>
                <w:rFonts w:hint="default" w:ascii="Times New Roman" w:hAnsi="Times New Roman" w:cs="Times New Roman"/>
                <w:color w:val="000000" w:themeColor="text1"/>
                <w:sz w:val="24"/>
                <w:szCs w:val="24"/>
                <w:lang w:val="en-US" w:eastAsia="zh-CN"/>
                <w14:textFill>
                  <w14:solidFill>
                    <w14:schemeClr w14:val="tx1"/>
                  </w14:solidFill>
                </w14:textFill>
              </w:rPr>
              <w:t>2014</w:t>
            </w:r>
            <w:r>
              <w:rPr>
                <w:rFonts w:hint="default" w:ascii="Times New Roman" w:hAnsi="Times New Roman" w:cs="Times New Roman"/>
                <w:color w:val="000000" w:themeColor="text1"/>
                <w:sz w:val="24"/>
                <w:szCs w:val="24"/>
                <w14:textFill>
                  <w14:solidFill>
                    <w14:schemeClr w14:val="tx1"/>
                  </w14:solidFill>
                </w14:textFill>
              </w:rPr>
              <w:t>年增效扩容改造，201</w:t>
            </w:r>
            <w:r>
              <w:rPr>
                <w:rFonts w:hint="default" w:ascii="Times New Roman" w:hAnsi="Times New Roman" w:cs="Times New Roman"/>
                <w:color w:val="000000" w:themeColor="text1"/>
                <w:sz w:val="24"/>
                <w:szCs w:val="24"/>
                <w:lang w:val="en-US" w:eastAsia="zh-CN"/>
                <w14:textFill>
                  <w14:solidFill>
                    <w14:schemeClr w14:val="tx1"/>
                  </w14:solidFill>
                </w14:textFill>
              </w:rPr>
              <w:t>5</w:t>
            </w:r>
            <w:r>
              <w:rPr>
                <w:rFonts w:hint="default" w:ascii="Times New Roman" w:hAnsi="Times New Roman" w:cs="Times New Roman"/>
                <w:color w:val="000000" w:themeColor="text1"/>
                <w:sz w:val="24"/>
                <w:szCs w:val="24"/>
                <w14:textFill>
                  <w14:solidFill>
                    <w14:schemeClr w14:val="tx1"/>
                  </w14:solidFill>
                </w14:textFill>
              </w:rPr>
              <w:t>年改造完成。目前，</w:t>
            </w:r>
            <w:r>
              <w:rPr>
                <w:rFonts w:hint="eastAsia" w:cs="Times New Roman"/>
                <w:color w:val="000000" w:themeColor="text1"/>
                <w:sz w:val="24"/>
                <w:szCs w:val="24"/>
                <w:lang w:val="en-US" w:eastAsia="zh-CN"/>
                <w14:textFill>
                  <w14:solidFill>
                    <w14:schemeClr w14:val="tx1"/>
                  </w14:solidFill>
                </w14:textFill>
              </w:rPr>
              <w:t>青年水库</w:t>
            </w:r>
            <w:r>
              <w:rPr>
                <w:rFonts w:hint="default" w:ascii="Times New Roman" w:hAnsi="Times New Roman" w:cs="Times New Roman"/>
                <w:color w:val="000000" w:themeColor="text1"/>
                <w:sz w:val="24"/>
                <w:szCs w:val="24"/>
                <w14:textFill>
                  <w14:solidFill>
                    <w14:schemeClr w14:val="tx1"/>
                  </w14:solidFill>
                </w14:textFill>
              </w:rPr>
              <w:t>电站已运行多年，现对其已产生的环境影响及已采取的对策措施等进行回顾评价。主要包括以下几个方面：</w:t>
            </w:r>
          </w:p>
          <w:p w14:paraId="4F5BF814">
            <w:pPr>
              <w:spacing w:after="0" w:line="360" w:lineRule="auto"/>
              <w:ind w:firstLine="482" w:firstLineChars="200"/>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1.</w:t>
            </w:r>
            <w:r>
              <w:rPr>
                <w:rFonts w:hint="default" w:ascii="Times New Roman" w:hAnsi="Times New Roman" w:eastAsia="宋体" w:cs="Times New Roman"/>
                <w:b/>
                <w:bCs/>
                <w:color w:val="auto"/>
                <w:sz w:val="24"/>
                <w:szCs w:val="24"/>
                <w:highlight w:val="none"/>
                <w:lang w:val="en-US" w:eastAsia="zh-CN"/>
              </w:rPr>
              <w:t>地表水环境影响分析</w:t>
            </w:r>
          </w:p>
          <w:p w14:paraId="26C3EAAE">
            <w:pPr>
              <w:spacing w:line="360" w:lineRule="auto"/>
              <w:ind w:firstLine="480" w:firstLineChars="200"/>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rPr>
              <w:t>（1）对水质的影响</w:t>
            </w:r>
          </w:p>
          <w:p w14:paraId="45862A3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kern w:val="0"/>
                <w:sz w:val="24"/>
                <w:szCs w:val="24"/>
                <w:lang w:val="en-US" w:eastAsia="zh-CN"/>
              </w:rPr>
            </w:pPr>
            <w:r>
              <w:rPr>
                <w:rFonts w:hint="eastAsia" w:ascii="Times New Roman" w:hAnsi="Times New Roman" w:eastAsia="宋体" w:cs="Times New Roman"/>
                <w:color w:val="auto"/>
                <w:kern w:val="0"/>
                <w:sz w:val="24"/>
                <w:szCs w:val="24"/>
                <w:lang w:val="en-US" w:eastAsia="zh-CN"/>
              </w:rPr>
              <w:t>本项目为水力发电工程，用水工艺是通过大坝拦蓄河道径流，来水经拦河坝拦蓄后进入电站厂房机组，通过水轮发电机组发电后经尾水渠排入下游河道，水轮机发电尾水不改变水质，发电尾水直接排放至原河道，对下游河流水质不产生影响。</w:t>
            </w:r>
          </w:p>
          <w:p w14:paraId="13DAC1F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kern w:val="0"/>
                <w:sz w:val="24"/>
                <w:szCs w:val="24"/>
              </w:rPr>
            </w:pPr>
            <w:r>
              <w:rPr>
                <w:rFonts w:hint="default" w:ascii="Times New Roman" w:hAnsi="Times New Roman" w:eastAsia="宋体" w:cs="Times New Roman"/>
                <w:color w:val="auto"/>
                <w:kern w:val="0"/>
                <w:sz w:val="24"/>
                <w:szCs w:val="24"/>
              </w:rPr>
              <w:t>水电站发电属清洁生产，项目运营期禁止厂房冲洗，整个生产过程无生产废水产生，仅工作人员办公生活产生的生活污水，施工期施工人员生活污水</w:t>
            </w:r>
            <w:r>
              <w:rPr>
                <w:rFonts w:hint="default" w:ascii="Times New Roman" w:hAnsi="Times New Roman" w:cs="Times New Roman"/>
                <w:color w:val="auto"/>
                <w:kern w:val="0"/>
                <w:sz w:val="24"/>
                <w:szCs w:val="24"/>
              </w:rPr>
              <w:t>定期清淘，外运堆肥，不外排。电站运行</w:t>
            </w:r>
            <w:r>
              <w:rPr>
                <w:rFonts w:hint="default" w:ascii="Times New Roman" w:hAnsi="Times New Roman" w:cs="Times New Roman"/>
                <w:color w:val="auto"/>
                <w:kern w:val="0"/>
                <w:sz w:val="24"/>
                <w:szCs w:val="24"/>
                <w:lang w:val="en-US" w:eastAsia="zh-CN"/>
              </w:rPr>
              <w:t>基本不影响</w:t>
            </w:r>
            <w:r>
              <w:rPr>
                <w:rFonts w:hint="default" w:ascii="Times New Roman" w:hAnsi="Times New Roman" w:cs="Times New Roman"/>
                <w:color w:val="auto"/>
                <w:kern w:val="0"/>
                <w:sz w:val="24"/>
                <w:szCs w:val="24"/>
              </w:rPr>
              <w:t>库区、发电厂房下游水质。</w:t>
            </w:r>
          </w:p>
          <w:p w14:paraId="6AB851C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rPr>
              <w:t>本项目为增效扩容工程，直接依托现有电站工程，不增加劳动定员，不改变水工建筑物总体布置，水库大坝，库容不变，不新增淹没区，且无新增污染源，对水库库区、发电厂房下游河道水质基本无影响，在可接受范围内。</w:t>
            </w:r>
          </w:p>
          <w:p w14:paraId="55574336">
            <w:pPr>
              <w:spacing w:line="360" w:lineRule="auto"/>
              <w:ind w:firstLine="480" w:firstLineChars="200"/>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rPr>
              <w:t>（</w:t>
            </w:r>
            <w:r>
              <w:rPr>
                <w:rFonts w:hint="default" w:ascii="Times New Roman" w:hAnsi="Times New Roman" w:cs="Times New Roman"/>
                <w:color w:val="auto"/>
                <w:kern w:val="0"/>
                <w:sz w:val="24"/>
                <w:szCs w:val="24"/>
                <w:lang w:val="en-US" w:eastAsia="zh-CN"/>
              </w:rPr>
              <w:t>2</w:t>
            </w:r>
            <w:r>
              <w:rPr>
                <w:rFonts w:hint="default" w:ascii="Times New Roman" w:hAnsi="Times New Roman" w:cs="Times New Roman"/>
                <w:color w:val="auto"/>
                <w:kern w:val="0"/>
                <w:sz w:val="24"/>
                <w:szCs w:val="24"/>
              </w:rPr>
              <w:t>）</w:t>
            </w:r>
            <w:r>
              <w:rPr>
                <w:rFonts w:hint="default" w:ascii="Times New Roman" w:hAnsi="Times New Roman" w:cs="Times New Roman"/>
                <w:color w:val="auto"/>
                <w:kern w:val="0"/>
                <w:sz w:val="24"/>
                <w:szCs w:val="24"/>
                <w:lang w:val="en-US" w:eastAsia="zh-CN"/>
              </w:rPr>
              <w:t>对</w:t>
            </w:r>
            <w:r>
              <w:rPr>
                <w:rFonts w:hint="default" w:ascii="Times New Roman" w:hAnsi="Times New Roman" w:cs="Times New Roman"/>
                <w:color w:val="auto"/>
                <w:kern w:val="0"/>
                <w:sz w:val="24"/>
                <w:szCs w:val="24"/>
              </w:rPr>
              <w:t>水文情势</w:t>
            </w:r>
            <w:r>
              <w:rPr>
                <w:rFonts w:hint="default" w:ascii="Times New Roman" w:hAnsi="Times New Roman" w:cs="Times New Roman"/>
                <w:color w:val="auto"/>
                <w:kern w:val="0"/>
                <w:sz w:val="24"/>
                <w:szCs w:val="24"/>
                <w:lang w:val="en-US" w:eastAsia="zh-CN"/>
              </w:rPr>
              <w:t>的</w:t>
            </w:r>
            <w:r>
              <w:rPr>
                <w:rFonts w:hint="default" w:ascii="Times New Roman" w:hAnsi="Times New Roman" w:cs="Times New Roman"/>
                <w:color w:val="auto"/>
                <w:kern w:val="0"/>
                <w:sz w:val="24"/>
                <w:szCs w:val="24"/>
              </w:rPr>
              <w:t>影响</w:t>
            </w:r>
          </w:p>
          <w:p w14:paraId="15E0387E">
            <w:pPr>
              <w:spacing w:line="360" w:lineRule="auto"/>
              <w:ind w:firstLine="480" w:firstLineChars="200"/>
              <w:rPr>
                <w:rFonts w:hint="default" w:ascii="Times New Roman" w:hAnsi="Times New Roman" w:cs="Times New Roman"/>
                <w:color w:val="auto"/>
                <w:kern w:val="0"/>
                <w:sz w:val="24"/>
                <w:szCs w:val="24"/>
              </w:rPr>
            </w:pPr>
            <w:r>
              <w:rPr>
                <w:rFonts w:hint="eastAsia" w:ascii="Times New Roman" w:hAnsi="Times New Roman" w:cs="Times New Roman"/>
                <w:color w:val="auto"/>
                <w:kern w:val="0"/>
                <w:sz w:val="24"/>
                <w:szCs w:val="24"/>
                <w:lang w:eastAsia="zh-CN"/>
              </w:rPr>
              <w:t>青年水库</w:t>
            </w:r>
            <w:r>
              <w:rPr>
                <w:rFonts w:hint="default" w:ascii="Times New Roman" w:hAnsi="Times New Roman" w:cs="Times New Roman"/>
                <w:color w:val="auto"/>
                <w:kern w:val="0"/>
                <w:sz w:val="24"/>
                <w:szCs w:val="24"/>
              </w:rPr>
              <w:t>电站设有粘土心墙坝</w:t>
            </w:r>
            <w:r>
              <w:rPr>
                <w:rFonts w:hint="default" w:ascii="Times New Roman" w:hAnsi="Times New Roman" w:cs="Times New Roman"/>
                <w:color w:val="auto"/>
                <w:kern w:val="0"/>
                <w:sz w:val="24"/>
                <w:szCs w:val="24"/>
                <w:lang w:val="en-US" w:eastAsia="zh-CN"/>
              </w:rPr>
              <w:t>2座</w:t>
            </w:r>
            <w:r>
              <w:rPr>
                <w:rFonts w:hint="default" w:ascii="Times New Roman" w:hAnsi="Times New Roman" w:cs="Times New Roman"/>
                <w:color w:val="auto"/>
                <w:kern w:val="0"/>
                <w:sz w:val="24"/>
                <w:szCs w:val="24"/>
              </w:rPr>
              <w:t>，</w:t>
            </w:r>
            <w:r>
              <w:rPr>
                <w:rFonts w:hint="eastAsia" w:cs="Times New Roman"/>
                <w:color w:val="auto"/>
                <w:kern w:val="0"/>
                <w:sz w:val="24"/>
                <w:szCs w:val="24"/>
                <w:lang w:val="en-US" w:eastAsia="zh-CN"/>
              </w:rPr>
              <w:t>堰顶高程121.5</w:t>
            </w:r>
            <w:r>
              <w:rPr>
                <w:rFonts w:hint="default" w:ascii="Times New Roman" w:hAnsi="Times New Roman" w:cs="Times New Roman"/>
                <w:color w:val="auto"/>
                <w:kern w:val="0"/>
                <w:sz w:val="24"/>
                <w:szCs w:val="24"/>
              </w:rPr>
              <w:t>m，坝址以上集水面积</w:t>
            </w:r>
            <w:r>
              <w:rPr>
                <w:rFonts w:hint="eastAsia" w:cs="Times New Roman"/>
                <w:color w:val="auto"/>
                <w:kern w:val="0"/>
                <w:sz w:val="24"/>
                <w:szCs w:val="24"/>
                <w:lang w:val="en-US" w:eastAsia="zh-CN"/>
              </w:rPr>
              <w:t>1138</w:t>
            </w:r>
            <w:r>
              <w:rPr>
                <w:rFonts w:hint="default" w:ascii="Times New Roman" w:hAnsi="Times New Roman" w:cs="Times New Roman"/>
                <w:color w:val="auto"/>
                <w:kern w:val="0"/>
                <w:sz w:val="24"/>
                <w:szCs w:val="24"/>
              </w:rPr>
              <w:t>km</w:t>
            </w:r>
            <w:r>
              <w:rPr>
                <w:rFonts w:hint="default" w:ascii="Times New Roman" w:hAnsi="Times New Roman" w:cs="Times New Roman"/>
                <w:color w:val="auto"/>
                <w:kern w:val="0"/>
                <w:sz w:val="24"/>
                <w:szCs w:val="24"/>
                <w:vertAlign w:val="superscript"/>
              </w:rPr>
              <w:t>2</w:t>
            </w:r>
            <w:r>
              <w:rPr>
                <w:rFonts w:hint="default" w:ascii="Times New Roman" w:hAnsi="Times New Roman" w:cs="Times New Roman"/>
                <w:color w:val="auto"/>
                <w:kern w:val="0"/>
                <w:sz w:val="24"/>
                <w:szCs w:val="24"/>
              </w:rPr>
              <w:t>，总库容</w:t>
            </w:r>
            <w:r>
              <w:rPr>
                <w:rFonts w:hint="eastAsia" w:cs="Times New Roman"/>
                <w:color w:val="auto"/>
                <w:kern w:val="0"/>
                <w:sz w:val="24"/>
                <w:szCs w:val="24"/>
                <w:lang w:val="en-US" w:eastAsia="zh-CN"/>
              </w:rPr>
              <w:t>4.01</w:t>
            </w:r>
            <w:r>
              <w:rPr>
                <w:rFonts w:hint="default" w:ascii="Times New Roman" w:hAnsi="Times New Roman" w:cs="Times New Roman"/>
                <w:color w:val="auto"/>
                <w:kern w:val="0"/>
                <w:sz w:val="24"/>
                <w:szCs w:val="24"/>
              </w:rPr>
              <w:t>亿m</w:t>
            </w:r>
            <w:r>
              <w:rPr>
                <w:rFonts w:hint="default" w:ascii="Times New Roman" w:hAnsi="Times New Roman" w:cs="Times New Roman"/>
                <w:color w:val="auto"/>
                <w:kern w:val="0"/>
                <w:sz w:val="24"/>
                <w:szCs w:val="24"/>
                <w:vertAlign w:val="superscript"/>
                <w:lang w:val="en-US" w:eastAsia="zh-CN"/>
              </w:rPr>
              <w:t>3</w:t>
            </w:r>
            <w:r>
              <w:rPr>
                <w:rFonts w:hint="default" w:ascii="Times New Roman" w:hAnsi="Times New Roman" w:cs="Times New Roman"/>
                <w:color w:val="auto"/>
                <w:kern w:val="0"/>
                <w:sz w:val="24"/>
                <w:szCs w:val="24"/>
              </w:rPr>
              <w:t>。</w:t>
            </w:r>
            <w:r>
              <w:rPr>
                <w:rFonts w:hint="default" w:ascii="Times New Roman" w:hAnsi="Times New Roman" w:cs="Times New Roman"/>
                <w:color w:val="auto"/>
                <w:kern w:val="0"/>
                <w:sz w:val="24"/>
                <w:szCs w:val="24"/>
                <w:lang w:val="en-US" w:eastAsia="zh-CN"/>
              </w:rPr>
              <w:t>水库</w:t>
            </w:r>
            <w:r>
              <w:rPr>
                <w:rFonts w:hint="default" w:ascii="Times New Roman" w:hAnsi="Times New Roman" w:cs="Times New Roman"/>
                <w:color w:val="auto"/>
                <w:kern w:val="0"/>
                <w:sz w:val="24"/>
                <w:szCs w:val="24"/>
              </w:rPr>
              <w:t>工程自</w:t>
            </w:r>
            <w:r>
              <w:rPr>
                <w:rFonts w:hint="default" w:ascii="Times New Roman" w:hAnsi="Times New Roman" w:cs="Times New Roman"/>
                <w:color w:val="auto"/>
                <w:kern w:val="0"/>
                <w:sz w:val="24"/>
                <w:szCs w:val="24"/>
                <w:lang w:val="en-US" w:eastAsia="zh-CN"/>
              </w:rPr>
              <w:t>197</w:t>
            </w:r>
            <w:r>
              <w:rPr>
                <w:rFonts w:hint="eastAsia" w:cs="Times New Roman"/>
                <w:color w:val="auto"/>
                <w:kern w:val="0"/>
                <w:sz w:val="24"/>
                <w:szCs w:val="24"/>
                <w:lang w:val="en-US" w:eastAsia="zh-CN"/>
              </w:rPr>
              <w:t>8</w:t>
            </w:r>
            <w:r>
              <w:rPr>
                <w:rFonts w:hint="default" w:ascii="Times New Roman" w:hAnsi="Times New Roman" w:cs="Times New Roman"/>
                <w:color w:val="auto"/>
                <w:kern w:val="0"/>
                <w:sz w:val="24"/>
                <w:szCs w:val="24"/>
              </w:rPr>
              <w:t>年建成后，坝址上游河段河流水体流速减缓，随着水位抬升，库区水域面积扩大，大坝阻隔，导致坝前水深增加、水面变宽、流速变缓、库区槽蓄量加大，糙率降低、水面比降减小。在降水</w:t>
            </w:r>
            <w:r>
              <w:rPr>
                <w:rFonts w:hint="default" w:ascii="Times New Roman" w:hAnsi="Times New Roman" w:cs="Times New Roman"/>
                <w:color w:val="auto"/>
                <w:kern w:val="0"/>
                <w:sz w:val="24"/>
                <w:szCs w:val="24"/>
                <w:lang w:eastAsia="zh-CN"/>
              </w:rPr>
              <w:t>径流</w:t>
            </w:r>
            <w:r>
              <w:rPr>
                <w:rFonts w:hint="default" w:ascii="Times New Roman" w:hAnsi="Times New Roman" w:cs="Times New Roman"/>
                <w:color w:val="auto"/>
                <w:kern w:val="0"/>
                <w:sz w:val="24"/>
                <w:szCs w:val="24"/>
              </w:rPr>
              <w:t>方面，水库回水区直接承受降水，没有径流渗漏损失，原陆面蒸发转为水面蒸发。由于水库回水减速作用，库区水体流速变缓，泥沙大部分被拦截沉淀在库区，天然河流挟带泥沙功能下降，因此水库建成后枢纽处年平均输沙量、年平均含沙量与水电站19</w:t>
            </w:r>
            <w:r>
              <w:rPr>
                <w:rFonts w:hint="default" w:ascii="Times New Roman" w:hAnsi="Times New Roman" w:cs="Times New Roman"/>
                <w:color w:val="auto"/>
                <w:kern w:val="0"/>
                <w:sz w:val="24"/>
                <w:szCs w:val="24"/>
                <w:lang w:val="en-US" w:eastAsia="zh-CN"/>
              </w:rPr>
              <w:t>7</w:t>
            </w:r>
            <w:r>
              <w:rPr>
                <w:rFonts w:hint="eastAsia" w:cs="Times New Roman"/>
                <w:color w:val="auto"/>
                <w:kern w:val="0"/>
                <w:sz w:val="24"/>
                <w:szCs w:val="24"/>
                <w:lang w:val="en-US" w:eastAsia="zh-CN"/>
              </w:rPr>
              <w:t>8</w:t>
            </w:r>
            <w:r>
              <w:rPr>
                <w:rFonts w:hint="default" w:ascii="Times New Roman" w:hAnsi="Times New Roman" w:cs="Times New Roman"/>
                <w:color w:val="auto"/>
                <w:kern w:val="0"/>
                <w:sz w:val="24"/>
                <w:szCs w:val="24"/>
              </w:rPr>
              <w:t>年未建成前相比将会有不同程度的减少。</w:t>
            </w:r>
          </w:p>
          <w:p w14:paraId="61E29D77">
            <w:pPr>
              <w:spacing w:line="360" w:lineRule="auto"/>
              <w:ind w:firstLine="480" w:firstLineChars="200"/>
              <w:rPr>
                <w:rFonts w:hint="default" w:ascii="Times New Roman" w:hAnsi="Times New Roman" w:cs="Times New Roman"/>
                <w:color w:val="auto"/>
                <w:kern w:val="0"/>
                <w:sz w:val="24"/>
                <w:szCs w:val="24"/>
                <w:lang w:eastAsia="zh-CN"/>
              </w:rPr>
            </w:pPr>
            <w:r>
              <w:rPr>
                <w:rFonts w:hint="default" w:ascii="Times New Roman" w:hAnsi="Times New Roman" w:cs="Times New Roman"/>
                <w:color w:val="auto"/>
                <w:kern w:val="0"/>
                <w:sz w:val="24"/>
                <w:szCs w:val="24"/>
                <w:lang w:eastAsia="zh-CN"/>
              </w:rPr>
              <w:t>①</w:t>
            </w:r>
            <w:r>
              <w:rPr>
                <w:rFonts w:hint="default" w:ascii="Times New Roman" w:hAnsi="Times New Roman" w:cs="Times New Roman"/>
                <w:color w:val="auto"/>
                <w:kern w:val="0"/>
                <w:sz w:val="24"/>
                <w:szCs w:val="24"/>
                <w:lang w:val="en-US" w:eastAsia="zh-CN"/>
              </w:rPr>
              <w:t>库区</w:t>
            </w:r>
            <w:r>
              <w:rPr>
                <w:rFonts w:hint="default" w:ascii="Times New Roman" w:hAnsi="Times New Roman" w:cs="Times New Roman"/>
                <w:color w:val="auto"/>
                <w:kern w:val="0"/>
                <w:sz w:val="24"/>
                <w:szCs w:val="24"/>
                <w:lang w:eastAsia="zh-CN"/>
              </w:rPr>
              <w:t>水文情势变化</w:t>
            </w:r>
          </w:p>
          <w:p w14:paraId="7CD8F97C">
            <w:pPr>
              <w:spacing w:line="360" w:lineRule="auto"/>
              <w:ind w:firstLine="480" w:firstLineChars="200"/>
              <w:rPr>
                <w:rFonts w:hint="default" w:ascii="Times New Roman" w:hAnsi="Times New Roman" w:cs="Times New Roman"/>
                <w:color w:val="auto"/>
                <w:kern w:val="0"/>
                <w:sz w:val="24"/>
                <w:szCs w:val="24"/>
                <w:lang w:eastAsia="zh-CN"/>
              </w:rPr>
            </w:pPr>
            <w:r>
              <w:rPr>
                <w:rFonts w:hint="eastAsia" w:ascii="Times New Roman" w:hAnsi="Times New Roman" w:cs="Times New Roman"/>
                <w:color w:val="auto"/>
                <w:kern w:val="0"/>
                <w:sz w:val="24"/>
                <w:szCs w:val="24"/>
                <w:lang w:eastAsia="zh-CN"/>
              </w:rPr>
              <w:t>青年水库</w:t>
            </w:r>
            <w:r>
              <w:rPr>
                <w:rFonts w:hint="default" w:ascii="Times New Roman" w:hAnsi="Times New Roman" w:cs="Times New Roman"/>
                <w:color w:val="auto"/>
                <w:kern w:val="0"/>
                <w:sz w:val="24"/>
                <w:szCs w:val="24"/>
                <w:lang w:eastAsia="zh-CN"/>
              </w:rPr>
              <w:t>电站是利用灌溉放水和弃水发电，近些年来随着下游灌溉用水增加，水库低水位运行时间长，与原设计水头运行范围有一定差异。通过本次增效扩容，以更换先进的机电设备为重点，通过优化运行、强化调度管理、提高</w:t>
            </w:r>
            <w:r>
              <w:rPr>
                <w:rFonts w:hint="default" w:ascii="Times New Roman" w:hAnsi="Times New Roman" w:cs="Times New Roman"/>
                <w:color w:val="auto"/>
                <w:kern w:val="0"/>
                <w:sz w:val="24"/>
                <w:szCs w:val="24"/>
                <w:lang w:val="en-US" w:eastAsia="zh-CN"/>
              </w:rPr>
              <w:t>运行</w:t>
            </w:r>
            <w:r>
              <w:rPr>
                <w:rFonts w:hint="default" w:ascii="Times New Roman" w:hAnsi="Times New Roman" w:cs="Times New Roman"/>
                <w:color w:val="auto"/>
                <w:kern w:val="0"/>
                <w:sz w:val="24"/>
                <w:szCs w:val="24"/>
                <w:lang w:eastAsia="zh-CN"/>
              </w:rPr>
              <w:t>水头，增加发电量，对汛期的水资源调配方式发生变化，根据上游来水量和水库蓄水量合理蓄调，确保水库蓄水在死水位之上（水库水位特征值改造前后无变化）。本次</w:t>
            </w:r>
            <w:r>
              <w:rPr>
                <w:rFonts w:hint="eastAsia" w:ascii="Times New Roman" w:hAnsi="Times New Roman" w:cs="Times New Roman"/>
                <w:color w:val="auto"/>
                <w:kern w:val="0"/>
                <w:sz w:val="24"/>
                <w:szCs w:val="24"/>
                <w:lang w:eastAsia="zh-CN"/>
              </w:rPr>
              <w:t>青年水库</w:t>
            </w:r>
            <w:r>
              <w:rPr>
                <w:rFonts w:hint="default" w:ascii="Times New Roman" w:hAnsi="Times New Roman" w:cs="Times New Roman"/>
                <w:color w:val="auto"/>
                <w:kern w:val="0"/>
                <w:sz w:val="24"/>
                <w:szCs w:val="24"/>
                <w:lang w:eastAsia="zh-CN"/>
              </w:rPr>
              <w:t>电站增效扩容改造过程未对水库堰坝基础进行改造，不会改变</w:t>
            </w:r>
            <w:r>
              <w:rPr>
                <w:rFonts w:hint="eastAsia" w:ascii="Times New Roman" w:hAnsi="Times New Roman" w:cs="Times New Roman"/>
                <w:color w:val="auto"/>
                <w:kern w:val="0"/>
                <w:sz w:val="24"/>
                <w:szCs w:val="24"/>
                <w:lang w:eastAsia="zh-CN"/>
              </w:rPr>
              <w:t>青年水库</w:t>
            </w:r>
            <w:r>
              <w:rPr>
                <w:rFonts w:hint="default" w:ascii="Times New Roman" w:hAnsi="Times New Roman" w:cs="Times New Roman"/>
                <w:color w:val="auto"/>
                <w:kern w:val="0"/>
                <w:sz w:val="24"/>
                <w:szCs w:val="24"/>
                <w:lang w:eastAsia="zh-CN"/>
              </w:rPr>
              <w:t>正常蓄水水位，不会对库区水文情势造成明显影响。</w:t>
            </w:r>
          </w:p>
          <w:p w14:paraId="3F46C058">
            <w:pPr>
              <w:spacing w:line="360" w:lineRule="auto"/>
              <w:ind w:firstLine="480" w:firstLineChars="200"/>
              <w:rPr>
                <w:rFonts w:hint="default" w:ascii="Times New Roman" w:hAnsi="Times New Roman" w:cs="Times New Roman"/>
                <w:color w:val="auto"/>
                <w:kern w:val="0"/>
                <w:sz w:val="24"/>
                <w:szCs w:val="24"/>
                <w:lang w:eastAsia="zh-CN"/>
              </w:rPr>
            </w:pPr>
            <w:r>
              <w:rPr>
                <w:rFonts w:hint="default" w:ascii="Times New Roman" w:hAnsi="Times New Roman" w:cs="Times New Roman"/>
                <w:color w:val="auto"/>
                <w:kern w:val="0"/>
                <w:sz w:val="24"/>
                <w:szCs w:val="24"/>
                <w:lang w:eastAsia="zh-CN"/>
              </w:rPr>
              <w:t>②坝前水文情势变化</w:t>
            </w:r>
          </w:p>
          <w:p w14:paraId="5CCF5EFC">
            <w:pPr>
              <w:spacing w:line="360" w:lineRule="auto"/>
              <w:ind w:firstLine="480" w:firstLineChars="200"/>
              <w:rPr>
                <w:rFonts w:hint="default" w:ascii="Times New Roman" w:hAnsi="Times New Roman" w:cs="Times New Roman"/>
                <w:color w:val="auto"/>
                <w:kern w:val="0"/>
                <w:sz w:val="24"/>
                <w:szCs w:val="24"/>
                <w:lang w:eastAsia="zh-CN"/>
              </w:rPr>
            </w:pPr>
            <w:r>
              <w:rPr>
                <w:rFonts w:hint="default" w:ascii="Times New Roman" w:hAnsi="Times New Roman" w:cs="Times New Roman"/>
                <w:color w:val="auto"/>
                <w:kern w:val="0"/>
                <w:sz w:val="24"/>
                <w:szCs w:val="24"/>
                <w:lang w:eastAsia="zh-CN"/>
              </w:rPr>
              <w:t>本次增效扩容工程涉及发电厂房、</w:t>
            </w:r>
            <w:r>
              <w:rPr>
                <w:rFonts w:hint="default" w:ascii="Times New Roman" w:hAnsi="Times New Roman" w:cs="Times New Roman"/>
                <w:color w:val="auto"/>
                <w:kern w:val="0"/>
                <w:sz w:val="24"/>
                <w:szCs w:val="24"/>
                <w:lang w:val="en-US" w:eastAsia="zh-CN"/>
              </w:rPr>
              <w:t>变压器</w:t>
            </w:r>
            <w:r>
              <w:rPr>
                <w:rFonts w:hint="default" w:ascii="Times New Roman" w:hAnsi="Times New Roman" w:cs="Times New Roman"/>
                <w:color w:val="auto"/>
                <w:kern w:val="0"/>
                <w:sz w:val="24"/>
                <w:szCs w:val="24"/>
                <w:lang w:eastAsia="zh-CN"/>
              </w:rPr>
              <w:t>的改造，不改变水工建筑物总体布置，不改变坝体结构，不改变坝型，即增效扩容改造工程建成后不改变正常蓄水位，不会改变上游来水时空分布情况，坝前的水流流速相比增效扩容工程改造前无变化，仍然保持自然条件下水流流速，不会对</w:t>
            </w:r>
            <w:r>
              <w:rPr>
                <w:rFonts w:hint="default" w:ascii="Times New Roman" w:hAnsi="Times New Roman" w:cs="Times New Roman"/>
                <w:color w:val="auto"/>
                <w:kern w:val="0"/>
                <w:sz w:val="24"/>
                <w:szCs w:val="24"/>
                <w:lang w:val="en-US" w:eastAsia="zh-CN"/>
              </w:rPr>
              <w:t>坝前</w:t>
            </w:r>
            <w:r>
              <w:rPr>
                <w:rFonts w:hint="default" w:ascii="Times New Roman" w:hAnsi="Times New Roman" w:cs="Times New Roman"/>
                <w:color w:val="auto"/>
                <w:kern w:val="0"/>
                <w:sz w:val="24"/>
                <w:szCs w:val="24"/>
                <w:lang w:eastAsia="zh-CN"/>
              </w:rPr>
              <w:t>水文情势造成明显影响。</w:t>
            </w:r>
          </w:p>
          <w:p w14:paraId="1BD7BB40">
            <w:pPr>
              <w:spacing w:line="360" w:lineRule="auto"/>
              <w:ind w:firstLine="480" w:firstLineChars="200"/>
              <w:rPr>
                <w:rFonts w:hint="default" w:ascii="Times New Roman" w:hAnsi="Times New Roman" w:cs="Times New Roman"/>
                <w:color w:val="auto"/>
                <w:kern w:val="0"/>
                <w:sz w:val="24"/>
                <w:szCs w:val="24"/>
                <w:lang w:val="en-US" w:eastAsia="zh-CN"/>
              </w:rPr>
            </w:pPr>
            <w:r>
              <w:rPr>
                <w:rFonts w:hint="default" w:ascii="Times New Roman" w:hAnsi="Times New Roman" w:cs="Times New Roman"/>
                <w:color w:val="auto"/>
                <w:kern w:val="0"/>
                <w:sz w:val="24"/>
                <w:szCs w:val="24"/>
                <w:lang w:val="en-US" w:eastAsia="zh-CN"/>
              </w:rPr>
              <w:t>③坝下水文情势变化</w:t>
            </w:r>
          </w:p>
          <w:p w14:paraId="7FE0FED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kern w:val="0"/>
                <w:sz w:val="24"/>
                <w:szCs w:val="24"/>
                <w:lang w:val="en-US" w:eastAsia="zh-CN"/>
              </w:rPr>
            </w:pPr>
            <w:r>
              <w:rPr>
                <w:rFonts w:hint="eastAsia" w:ascii="Times New Roman" w:hAnsi="Times New Roman" w:cs="Times New Roman"/>
                <w:color w:val="auto"/>
                <w:kern w:val="0"/>
                <w:sz w:val="24"/>
                <w:szCs w:val="24"/>
                <w:lang w:val="en-US" w:eastAsia="zh-CN"/>
              </w:rPr>
              <w:t>青年水库</w:t>
            </w:r>
            <w:r>
              <w:rPr>
                <w:rFonts w:hint="default" w:ascii="Times New Roman" w:hAnsi="Times New Roman" w:cs="Times New Roman"/>
                <w:color w:val="auto"/>
                <w:kern w:val="0"/>
                <w:sz w:val="24"/>
                <w:szCs w:val="24"/>
                <w:lang w:val="en-US" w:eastAsia="zh-CN"/>
              </w:rPr>
              <w:t>蓄水拦截</w:t>
            </w:r>
            <w:r>
              <w:rPr>
                <w:rFonts w:hint="eastAsia" w:cs="Times New Roman"/>
                <w:color w:val="auto"/>
                <w:kern w:val="0"/>
                <w:sz w:val="24"/>
                <w:szCs w:val="24"/>
                <w:lang w:val="en-US" w:eastAsia="zh-CN"/>
              </w:rPr>
              <w:t>裴德</w:t>
            </w:r>
            <w:r>
              <w:rPr>
                <w:rFonts w:hint="default" w:ascii="Times New Roman" w:hAnsi="Times New Roman" w:cs="Times New Roman"/>
                <w:color w:val="auto"/>
                <w:kern w:val="0"/>
                <w:sz w:val="24"/>
                <w:szCs w:val="24"/>
                <w:lang w:val="en-US" w:eastAsia="zh-CN"/>
              </w:rPr>
              <w:t>河水体后，同样也改变了坝下的径流过程。</w:t>
            </w:r>
            <w:r>
              <w:rPr>
                <w:rFonts w:hint="eastAsia" w:ascii="Times New Roman" w:hAnsi="Times New Roman" w:cs="Times New Roman"/>
                <w:color w:val="auto"/>
                <w:kern w:val="0"/>
                <w:sz w:val="24"/>
                <w:szCs w:val="24"/>
                <w:lang w:val="en-US" w:eastAsia="zh-CN"/>
              </w:rPr>
              <w:t>青年水库</w:t>
            </w:r>
            <w:r>
              <w:rPr>
                <w:rFonts w:hint="default" w:ascii="Times New Roman" w:hAnsi="Times New Roman" w:cs="Times New Roman"/>
                <w:color w:val="auto"/>
                <w:kern w:val="0"/>
                <w:sz w:val="24"/>
                <w:szCs w:val="24"/>
                <w:lang w:val="en-US" w:eastAsia="zh-CN"/>
              </w:rPr>
              <w:t>坝下无脱水河段，但形成了减水河段，减水河段水文情势主要受电站运行方式和上游来水的共同影响，汛期上游来水和区间水量较大，对减水河段水量影响较小，非汛期水量较小，对减水影响较大。</w:t>
            </w:r>
          </w:p>
          <w:p w14:paraId="1D6CC48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kern w:val="0"/>
                <w:sz w:val="24"/>
                <w:szCs w:val="24"/>
                <w:lang w:val="en-US" w:eastAsia="zh-CN"/>
              </w:rPr>
            </w:pPr>
            <w:r>
              <w:rPr>
                <w:rFonts w:hint="eastAsia" w:ascii="Times New Roman" w:hAnsi="Times New Roman" w:cs="Times New Roman"/>
                <w:color w:val="auto"/>
                <w:kern w:val="0"/>
                <w:sz w:val="24"/>
                <w:szCs w:val="24"/>
                <w:lang w:val="en-US" w:eastAsia="zh-CN"/>
              </w:rPr>
              <w:t>青年水库</w:t>
            </w:r>
            <w:r>
              <w:rPr>
                <w:rFonts w:hint="default" w:ascii="Times New Roman" w:hAnsi="Times New Roman" w:cs="Times New Roman"/>
                <w:color w:val="auto"/>
                <w:kern w:val="0"/>
                <w:sz w:val="24"/>
                <w:szCs w:val="24"/>
                <w:lang w:val="en-US" w:eastAsia="zh-CN"/>
              </w:rPr>
              <w:t>电站为坝后式电站，发电过程仅利用水能，不额外消耗水资源量。水库坝址至电站尾水渠出口约</w:t>
            </w:r>
            <w:r>
              <w:rPr>
                <w:rFonts w:hint="eastAsia" w:cs="Times New Roman"/>
                <w:color w:val="auto"/>
                <w:kern w:val="0"/>
                <w:sz w:val="24"/>
                <w:szCs w:val="24"/>
                <w:lang w:val="en-US" w:eastAsia="zh-CN"/>
              </w:rPr>
              <w:t>30</w:t>
            </w:r>
            <w:r>
              <w:rPr>
                <w:rFonts w:hint="default" w:ascii="Times New Roman" w:hAnsi="Times New Roman" w:cs="Times New Roman"/>
                <w:color w:val="auto"/>
                <w:kern w:val="0"/>
                <w:sz w:val="24"/>
                <w:szCs w:val="24"/>
                <w:lang w:val="en-US" w:eastAsia="zh-CN"/>
              </w:rPr>
              <w:t>m，</w:t>
            </w:r>
            <w:r>
              <w:rPr>
                <w:rFonts w:hint="eastAsia" w:cs="Times New Roman"/>
                <w:color w:val="auto"/>
                <w:kern w:val="0"/>
                <w:sz w:val="24"/>
                <w:szCs w:val="24"/>
                <w:lang w:val="en-US" w:eastAsia="zh-CN"/>
              </w:rPr>
              <w:t>出口至裴德河</w:t>
            </w:r>
            <w:r>
              <w:rPr>
                <w:rFonts w:hint="default" w:ascii="Times New Roman" w:hAnsi="Times New Roman" w:cs="Times New Roman"/>
                <w:color w:val="auto"/>
                <w:kern w:val="0"/>
                <w:sz w:val="24"/>
                <w:szCs w:val="24"/>
                <w:lang w:val="en-US" w:eastAsia="zh-CN"/>
              </w:rPr>
              <w:t>区间无农业、工业、居民取水等，距离较短；并且</w:t>
            </w:r>
            <w:r>
              <w:rPr>
                <w:rFonts w:hint="eastAsia" w:ascii="Times New Roman" w:hAnsi="Times New Roman" w:cs="Times New Roman"/>
                <w:color w:val="auto"/>
                <w:kern w:val="0"/>
                <w:sz w:val="24"/>
                <w:szCs w:val="24"/>
                <w:lang w:val="en-US" w:eastAsia="zh-CN"/>
              </w:rPr>
              <w:t>青年水库</w:t>
            </w:r>
            <w:r>
              <w:rPr>
                <w:rFonts w:hint="default" w:ascii="Times New Roman" w:hAnsi="Times New Roman" w:cs="Times New Roman"/>
                <w:color w:val="auto"/>
                <w:kern w:val="0"/>
                <w:sz w:val="24"/>
                <w:szCs w:val="24"/>
                <w:lang w:val="en-US" w:eastAsia="zh-CN"/>
              </w:rPr>
              <w:t>已设置生态流量目标，大坝输水洞可用作生态流量泄放设施，并配有生态流量在线监控装置，</w:t>
            </w:r>
            <w:r>
              <w:rPr>
                <w:rFonts w:hint="eastAsia" w:ascii="Times New Roman" w:hAnsi="Times New Roman" w:cs="Times New Roman"/>
                <w:color w:val="auto"/>
                <w:kern w:val="0"/>
                <w:sz w:val="24"/>
                <w:szCs w:val="24"/>
                <w:lang w:val="en-US" w:eastAsia="zh-CN"/>
              </w:rPr>
              <w:t>水库下泄流量基本可以满足生态流量目标值，</w:t>
            </w:r>
            <w:r>
              <w:rPr>
                <w:rFonts w:hint="default" w:ascii="Times New Roman" w:hAnsi="Times New Roman" w:cs="Times New Roman"/>
                <w:color w:val="auto"/>
                <w:kern w:val="0"/>
                <w:sz w:val="24"/>
                <w:szCs w:val="24"/>
                <w:lang w:val="en-US" w:eastAsia="zh-CN"/>
              </w:rPr>
              <w:t>保证电站下游河道不出现减水段，降低了工程引水发电对坝下河段的水文情势影响。由于发电尾水、生态流量的汇入，下游的水位比天然条件下水位变化不大，经多年运行，下游</w:t>
            </w:r>
            <w:r>
              <w:rPr>
                <w:rFonts w:hint="eastAsia" w:cs="Times New Roman"/>
                <w:color w:val="auto"/>
                <w:kern w:val="0"/>
                <w:sz w:val="24"/>
                <w:szCs w:val="24"/>
                <w:lang w:val="en-US" w:eastAsia="zh-CN"/>
              </w:rPr>
              <w:t>小裴德河</w:t>
            </w:r>
            <w:r>
              <w:rPr>
                <w:rFonts w:hint="default" w:ascii="Times New Roman" w:hAnsi="Times New Roman" w:cs="Times New Roman"/>
                <w:color w:val="auto"/>
                <w:kern w:val="0"/>
                <w:sz w:val="24"/>
                <w:szCs w:val="24"/>
                <w:lang w:val="en-US" w:eastAsia="zh-CN"/>
              </w:rPr>
              <w:t>基本恢复了正常的水流态势，汇合后的流量与天然条件下的相近，不会对坝址下游河段水文情势造成明显影响。</w:t>
            </w:r>
          </w:p>
          <w:p w14:paraId="750E890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kern w:val="0"/>
                <w:sz w:val="24"/>
                <w:szCs w:val="24"/>
                <w:lang w:val="en-US" w:eastAsia="zh-CN"/>
              </w:rPr>
            </w:pPr>
            <w:r>
              <w:rPr>
                <w:rFonts w:hint="default" w:ascii="Times New Roman" w:hAnsi="Times New Roman" w:cs="Times New Roman"/>
                <w:color w:val="auto"/>
                <w:kern w:val="0"/>
                <w:sz w:val="24"/>
                <w:szCs w:val="24"/>
                <w:lang w:val="en-US" w:eastAsia="zh-CN"/>
              </w:rPr>
              <w:t>④对径流的影响</w:t>
            </w:r>
          </w:p>
          <w:p w14:paraId="290B788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kern w:val="0"/>
                <w:sz w:val="24"/>
                <w:szCs w:val="24"/>
                <w:lang w:val="en-US" w:eastAsia="zh-CN"/>
              </w:rPr>
            </w:pPr>
            <w:r>
              <w:rPr>
                <w:rFonts w:hint="eastAsia" w:ascii="Times New Roman" w:hAnsi="Times New Roman" w:cs="Times New Roman"/>
                <w:color w:val="auto"/>
                <w:kern w:val="0"/>
                <w:sz w:val="24"/>
                <w:szCs w:val="24"/>
                <w:lang w:val="en-US" w:eastAsia="zh-CN"/>
              </w:rPr>
              <w:t>青年水库</w:t>
            </w:r>
            <w:r>
              <w:rPr>
                <w:rFonts w:hint="default" w:ascii="Times New Roman" w:hAnsi="Times New Roman" w:cs="Times New Roman"/>
                <w:color w:val="auto"/>
                <w:kern w:val="0"/>
                <w:sz w:val="24"/>
                <w:szCs w:val="24"/>
                <w:lang w:val="en-US" w:eastAsia="zh-CN"/>
              </w:rPr>
              <w:t>电站仅在灌溉期（5~</w:t>
            </w:r>
            <w:r>
              <w:rPr>
                <w:rFonts w:hint="eastAsia" w:cs="Times New Roman"/>
                <w:color w:val="auto"/>
                <w:kern w:val="0"/>
                <w:sz w:val="24"/>
                <w:szCs w:val="24"/>
                <w:lang w:val="en-US" w:eastAsia="zh-CN"/>
              </w:rPr>
              <w:t>9</w:t>
            </w:r>
            <w:r>
              <w:rPr>
                <w:rFonts w:hint="default" w:ascii="Times New Roman" w:hAnsi="Times New Roman" w:cs="Times New Roman"/>
                <w:color w:val="auto"/>
                <w:kern w:val="0"/>
                <w:sz w:val="24"/>
                <w:szCs w:val="24"/>
                <w:lang w:val="en-US" w:eastAsia="zh-CN"/>
              </w:rPr>
              <w:t>月）进行发电，灌溉期坝址上游来水量较大，水库蓄满至正常蓄水位后仍有多余的水量，因此，入库流量一部分通过电站发电机组发电下泄，多余的水量通过灌溉洞支管或溢洪道下泄，下游河道径流量等于上游来水。本次增效扩容改造工程未改变发电方式，发电后尾水又通过尾水渠退入原河道；</w:t>
            </w:r>
            <w:r>
              <w:rPr>
                <w:sz w:val="24"/>
                <w:szCs w:val="24"/>
              </w:rPr>
              <w:t>根据《密山市青年水库生态流量保障方案》初步成果，青年水库坝址断面生态流量为汛期0.29m</w:t>
            </w:r>
            <w:r>
              <w:rPr>
                <w:sz w:val="24"/>
                <w:szCs w:val="24"/>
                <w:vertAlign w:val="superscript"/>
              </w:rPr>
              <w:t>3</w:t>
            </w:r>
            <w:r>
              <w:rPr>
                <w:sz w:val="24"/>
                <w:szCs w:val="24"/>
              </w:rPr>
              <w:t>/s，非汛期为0.18m</w:t>
            </w:r>
            <w:r>
              <w:rPr>
                <w:sz w:val="24"/>
                <w:szCs w:val="24"/>
                <w:vertAlign w:val="superscript"/>
              </w:rPr>
              <w:t>3</w:t>
            </w:r>
            <w:r>
              <w:rPr>
                <w:sz w:val="24"/>
                <w:szCs w:val="24"/>
              </w:rPr>
              <w:t>/s。</w:t>
            </w:r>
            <w:r>
              <w:rPr>
                <w:rFonts w:hint="default" w:ascii="Times New Roman" w:hAnsi="Times New Roman" w:cs="Times New Roman"/>
                <w:color w:val="auto"/>
                <w:kern w:val="0"/>
                <w:sz w:val="24"/>
                <w:szCs w:val="24"/>
                <w:lang w:val="en-US" w:eastAsia="zh-CN"/>
              </w:rPr>
              <w:t>水库安装有实时流量视频监测设备，实时监控下泄生态流量情况，严格按照最小下泄生态流量的要求运行，确保河流不存在脱水情况以满足下游河段内生态环境用水。水电站运行基本无水量消耗，从裴德河全流域看，河道径流量并没有减少。因此，项目对</w:t>
            </w:r>
            <w:r>
              <w:rPr>
                <w:rFonts w:hint="eastAsia" w:ascii="Times New Roman" w:hAnsi="Times New Roman" w:cs="Times New Roman"/>
                <w:color w:val="auto"/>
                <w:kern w:val="0"/>
                <w:sz w:val="24"/>
                <w:szCs w:val="24"/>
                <w:lang w:val="en-US" w:eastAsia="zh-CN"/>
              </w:rPr>
              <w:t>青年水库</w:t>
            </w:r>
            <w:r>
              <w:rPr>
                <w:rFonts w:hint="default" w:ascii="Times New Roman" w:hAnsi="Times New Roman" w:cs="Times New Roman"/>
                <w:color w:val="auto"/>
                <w:kern w:val="0"/>
                <w:sz w:val="24"/>
                <w:szCs w:val="24"/>
                <w:lang w:val="en-US" w:eastAsia="zh-CN"/>
              </w:rPr>
              <w:t>电站影响范围河流段径流影响较小。</w:t>
            </w:r>
          </w:p>
          <w:p w14:paraId="225B186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kern w:val="0"/>
                <w:sz w:val="24"/>
                <w:szCs w:val="24"/>
                <w:lang w:val="en-US" w:eastAsia="zh-CN"/>
              </w:rPr>
            </w:pPr>
            <w:r>
              <w:rPr>
                <w:rFonts w:hint="default" w:ascii="Times New Roman" w:hAnsi="Times New Roman" w:cs="Times New Roman"/>
                <w:color w:val="auto"/>
                <w:kern w:val="0"/>
                <w:sz w:val="24"/>
                <w:szCs w:val="24"/>
                <w:lang w:val="en-US" w:eastAsia="zh-CN"/>
              </w:rPr>
              <w:t>⑤对水温的影响</w:t>
            </w:r>
          </w:p>
          <w:p w14:paraId="0AFD18E4">
            <w:pPr>
              <w:bidi w:val="0"/>
              <w:rPr>
                <w:rFonts w:hint="default"/>
                <w:lang w:val="en-US" w:eastAsia="zh-CN"/>
              </w:rPr>
            </w:pPr>
            <w:r>
              <w:rPr>
                <w:rFonts w:hint="default"/>
                <w:lang w:val="en-US" w:eastAsia="zh-CN"/>
              </w:rPr>
              <w:t>河段水文情势发生改变进而导致水库水温结构发生改变，库区水温变化又对坝址下游溶解氧含量、水生生物、农作物生长（低温水不宜作水稻灌溉用水）等关系密切。库区的水温结构，按照蓄水区规模和库内水流缓急大致分为分层型和混合型两种。水库的水温分布受太阳辐射、水库容积、入出库水量和水温、水库形状、水库调度运行方式等多种因素的影响。</w:t>
            </w:r>
          </w:p>
          <w:p w14:paraId="20C17BC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kern w:val="0"/>
                <w:sz w:val="24"/>
                <w:szCs w:val="24"/>
                <w:lang w:val="en-US" w:eastAsia="zh-CN"/>
              </w:rPr>
            </w:pPr>
            <w:r>
              <w:rPr>
                <w:rFonts w:hint="default" w:ascii="Times New Roman" w:hAnsi="Times New Roman" w:cs="Times New Roman"/>
                <w:color w:val="auto"/>
                <w:kern w:val="0"/>
                <w:sz w:val="24"/>
                <w:szCs w:val="24"/>
                <w:lang w:val="en-US" w:eastAsia="zh-CN"/>
              </w:rPr>
              <w:t>采用径流—库容比法对</w:t>
            </w:r>
            <w:r>
              <w:rPr>
                <w:rFonts w:hint="eastAsia" w:ascii="Times New Roman" w:hAnsi="Times New Roman" w:cs="Times New Roman"/>
                <w:color w:val="auto"/>
                <w:kern w:val="0"/>
                <w:sz w:val="24"/>
                <w:szCs w:val="24"/>
                <w:lang w:val="en-US" w:eastAsia="zh-CN"/>
              </w:rPr>
              <w:t>青年水库</w:t>
            </w:r>
            <w:r>
              <w:rPr>
                <w:rFonts w:hint="default" w:ascii="Times New Roman" w:hAnsi="Times New Roman" w:cs="Times New Roman"/>
                <w:color w:val="auto"/>
                <w:kern w:val="0"/>
                <w:sz w:val="24"/>
                <w:szCs w:val="24"/>
                <w:lang w:val="en-US" w:eastAsia="zh-CN"/>
              </w:rPr>
              <w:t>工程的水温结构进行判别。</w:t>
            </w:r>
          </w:p>
          <w:p w14:paraId="525553C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kern w:val="0"/>
                <w:sz w:val="24"/>
                <w:szCs w:val="24"/>
                <w:lang w:val="en-US" w:eastAsia="zh-CN"/>
              </w:rPr>
            </w:pPr>
            <w:r>
              <w:rPr>
                <w:rFonts w:hint="default" w:ascii="Times New Roman" w:hAnsi="Times New Roman" w:cs="Times New Roman"/>
                <w:color w:val="auto"/>
                <w:kern w:val="0"/>
                <w:sz w:val="24"/>
                <w:szCs w:val="24"/>
                <w:lang w:val="en-US" w:eastAsia="zh-CN"/>
              </w:rPr>
              <w:drawing>
                <wp:inline distT="0" distB="0" distL="114300" distR="114300">
                  <wp:extent cx="1685290" cy="359410"/>
                  <wp:effectExtent l="0" t="0" r="10160" b="254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0"/>
                          <a:stretch>
                            <a:fillRect/>
                          </a:stretch>
                        </pic:blipFill>
                        <pic:spPr>
                          <a:xfrm>
                            <a:off x="0" y="0"/>
                            <a:ext cx="1685290" cy="359410"/>
                          </a:xfrm>
                          <a:prstGeom prst="rect">
                            <a:avLst/>
                          </a:prstGeom>
                          <a:noFill/>
                          <a:ln>
                            <a:noFill/>
                          </a:ln>
                        </pic:spPr>
                      </pic:pic>
                    </a:graphicData>
                  </a:graphic>
                </wp:inline>
              </w:drawing>
            </w:r>
            <w:r>
              <w:rPr>
                <w:rFonts w:hint="default" w:ascii="Times New Roman" w:hAnsi="Times New Roman" w:cs="Times New Roman"/>
                <w:color w:val="auto"/>
                <w:kern w:val="0"/>
                <w:sz w:val="24"/>
                <w:szCs w:val="24"/>
                <w:lang w:val="en-US" w:eastAsia="zh-CN"/>
              </w:rPr>
              <w:t xml:space="preserve">    </w:t>
            </w:r>
          </w:p>
          <w:p w14:paraId="62C9F2F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kern w:val="0"/>
                <w:sz w:val="24"/>
                <w:szCs w:val="24"/>
                <w:highlight w:val="none"/>
                <w:lang w:val="en-US" w:eastAsia="zh-CN"/>
              </w:rPr>
            </w:pPr>
            <w:r>
              <w:rPr>
                <w:rFonts w:hint="default" w:ascii="Times New Roman" w:hAnsi="Times New Roman" w:cs="Times New Roman"/>
                <w:color w:val="auto"/>
                <w:kern w:val="0"/>
                <w:sz w:val="24"/>
                <w:szCs w:val="24"/>
                <w:lang w:val="en-US" w:eastAsia="zh-CN"/>
              </w:rPr>
              <w:t>判别标准为：当α＜10，水库为稳定分层型；当10≤α≤20，水库为过渡型；当</w:t>
            </w:r>
            <w:r>
              <w:rPr>
                <w:rFonts w:hint="default" w:ascii="Times New Roman" w:hAnsi="Times New Roman" w:cs="Times New Roman"/>
                <w:color w:val="auto"/>
                <w:kern w:val="0"/>
                <w:sz w:val="24"/>
                <w:szCs w:val="24"/>
                <w:highlight w:val="none"/>
                <w:lang w:val="en-US" w:eastAsia="zh-CN"/>
              </w:rPr>
              <w:t>α＞20，水库为混合型。</w:t>
            </w:r>
          </w:p>
          <w:p w14:paraId="4B5E9DA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kern w:val="0"/>
                <w:sz w:val="24"/>
                <w:szCs w:val="24"/>
                <w:highlight w:val="none"/>
                <w:lang w:val="en-US" w:eastAsia="zh-CN"/>
              </w:rPr>
            </w:pPr>
            <w:r>
              <w:rPr>
                <w:rFonts w:hint="eastAsia" w:ascii="Times New Roman" w:hAnsi="Times New Roman" w:cs="Times New Roman"/>
                <w:color w:val="auto"/>
                <w:kern w:val="0"/>
                <w:sz w:val="24"/>
                <w:szCs w:val="24"/>
                <w:highlight w:val="none"/>
                <w:lang w:val="en-US" w:eastAsia="zh-CN"/>
              </w:rPr>
              <w:t>青年水库</w:t>
            </w:r>
            <w:r>
              <w:rPr>
                <w:rFonts w:hint="default" w:ascii="Times New Roman" w:hAnsi="Times New Roman" w:cs="Times New Roman"/>
                <w:color w:val="auto"/>
                <w:kern w:val="0"/>
                <w:sz w:val="24"/>
                <w:szCs w:val="24"/>
                <w:highlight w:val="none"/>
                <w:lang w:val="en-US" w:eastAsia="zh-CN"/>
              </w:rPr>
              <w:t>多年平均径流量为1.</w:t>
            </w:r>
            <w:r>
              <w:rPr>
                <w:rFonts w:hint="eastAsia" w:cs="Times New Roman"/>
                <w:color w:val="auto"/>
                <w:kern w:val="0"/>
                <w:sz w:val="24"/>
                <w:szCs w:val="24"/>
                <w:highlight w:val="none"/>
                <w:lang w:val="en-US" w:eastAsia="zh-CN"/>
              </w:rPr>
              <w:t>25</w:t>
            </w:r>
            <w:r>
              <w:rPr>
                <w:rFonts w:hint="default" w:ascii="Times New Roman" w:hAnsi="Times New Roman" w:cs="Times New Roman"/>
                <w:color w:val="auto"/>
                <w:kern w:val="0"/>
                <w:sz w:val="24"/>
                <w:szCs w:val="24"/>
                <w:highlight w:val="none"/>
                <w:lang w:val="en-US" w:eastAsia="zh-CN"/>
              </w:rPr>
              <w:t>亿m</w:t>
            </w:r>
            <w:r>
              <w:rPr>
                <w:rFonts w:hint="default" w:ascii="Times New Roman" w:hAnsi="Times New Roman" w:cs="Times New Roman"/>
                <w:color w:val="auto"/>
                <w:kern w:val="0"/>
                <w:sz w:val="24"/>
                <w:szCs w:val="24"/>
                <w:highlight w:val="none"/>
                <w:vertAlign w:val="superscript"/>
                <w:lang w:val="en-US" w:eastAsia="zh-CN"/>
              </w:rPr>
              <w:t>3</w:t>
            </w:r>
            <w:r>
              <w:rPr>
                <w:rFonts w:hint="default" w:ascii="Times New Roman" w:hAnsi="Times New Roman" w:cs="Times New Roman"/>
                <w:color w:val="auto"/>
                <w:kern w:val="0"/>
                <w:sz w:val="24"/>
                <w:szCs w:val="24"/>
                <w:highlight w:val="none"/>
                <w:lang w:val="en-US" w:eastAsia="zh-CN"/>
              </w:rPr>
              <w:t>，水库总库容为</w:t>
            </w:r>
            <w:r>
              <w:rPr>
                <w:rFonts w:hint="eastAsia" w:cs="Times New Roman"/>
                <w:color w:val="auto"/>
                <w:kern w:val="0"/>
                <w:sz w:val="24"/>
                <w:szCs w:val="24"/>
                <w:highlight w:val="none"/>
                <w:lang w:val="en-US" w:eastAsia="zh-CN"/>
              </w:rPr>
              <w:t>4.01</w:t>
            </w:r>
            <w:r>
              <w:rPr>
                <w:rFonts w:hint="default" w:ascii="Times New Roman" w:hAnsi="Times New Roman" w:cs="Times New Roman"/>
                <w:color w:val="auto"/>
                <w:kern w:val="0"/>
                <w:sz w:val="24"/>
                <w:szCs w:val="24"/>
                <w:highlight w:val="none"/>
                <w:lang w:val="en-US" w:eastAsia="zh-CN"/>
              </w:rPr>
              <w:t>亿m</w:t>
            </w:r>
            <w:r>
              <w:rPr>
                <w:rFonts w:hint="default" w:ascii="Times New Roman" w:hAnsi="Times New Roman" w:cs="Times New Roman"/>
                <w:color w:val="auto"/>
                <w:kern w:val="0"/>
                <w:sz w:val="24"/>
                <w:szCs w:val="24"/>
                <w:highlight w:val="none"/>
                <w:vertAlign w:val="superscript"/>
                <w:lang w:val="en-US" w:eastAsia="zh-CN"/>
              </w:rPr>
              <w:t>3</w:t>
            </w:r>
            <w:r>
              <w:rPr>
                <w:rFonts w:hint="default" w:ascii="Times New Roman" w:hAnsi="Times New Roman" w:cs="Times New Roman"/>
                <w:color w:val="auto"/>
                <w:kern w:val="0"/>
                <w:sz w:val="24"/>
                <w:szCs w:val="24"/>
                <w:highlight w:val="none"/>
                <w:lang w:val="en-US" w:eastAsia="zh-CN"/>
              </w:rPr>
              <w:t>，由此计</w:t>
            </w:r>
            <w:r>
              <w:rPr>
                <w:rFonts w:hint="default" w:ascii="Times New Roman" w:hAnsi="Times New Roman" w:cs="Times New Roman"/>
                <w:color w:val="auto"/>
                <w:kern w:val="0"/>
                <w:szCs w:val="21"/>
                <w:highlight w:val="none"/>
              </w:rPr>
              <w:t>算</w:t>
            </w:r>
            <w:r>
              <w:rPr>
                <w:rFonts w:hint="default" w:ascii="Times New Roman" w:hAnsi="Times New Roman" w:cs="Times New Roman"/>
                <w:color w:val="auto"/>
                <w:kern w:val="0"/>
                <w:sz w:val="24"/>
                <w:szCs w:val="24"/>
                <w:highlight w:val="none"/>
                <w:lang w:val="en-US" w:eastAsia="zh-CN"/>
              </w:rPr>
              <w:t>α值为</w:t>
            </w:r>
            <w:r>
              <w:rPr>
                <w:rFonts w:hint="eastAsia" w:cs="Times New Roman"/>
                <w:color w:val="auto"/>
                <w:kern w:val="0"/>
                <w:sz w:val="24"/>
                <w:szCs w:val="24"/>
                <w:highlight w:val="none"/>
                <w:lang w:val="en-US" w:eastAsia="zh-CN"/>
              </w:rPr>
              <w:t>0.31</w:t>
            </w:r>
            <w:r>
              <w:rPr>
                <w:rFonts w:hint="default" w:ascii="Times New Roman" w:hAnsi="Times New Roman" w:cs="Times New Roman"/>
                <w:color w:val="auto"/>
                <w:kern w:val="0"/>
                <w:sz w:val="24"/>
                <w:szCs w:val="24"/>
                <w:highlight w:val="none"/>
                <w:lang w:val="en-US" w:eastAsia="zh-CN"/>
              </w:rPr>
              <w:t>，小于10，因此，可以初步判断水库水温结构为稳定分层型。工程运行过程可能下泄低温水，但由于电站尾水渠附近并无农田或旱地，水库灌溉用水通过输水洞下泄到河道，经大约</w:t>
            </w:r>
            <w:r>
              <w:rPr>
                <w:rFonts w:hint="eastAsia" w:cs="Times New Roman"/>
                <w:color w:val="auto"/>
                <w:kern w:val="0"/>
                <w:sz w:val="24"/>
                <w:szCs w:val="24"/>
                <w:highlight w:val="none"/>
                <w:lang w:val="en-US" w:eastAsia="zh-CN"/>
              </w:rPr>
              <w:t>2</w:t>
            </w:r>
            <w:r>
              <w:rPr>
                <w:rFonts w:hint="default" w:ascii="Times New Roman" w:hAnsi="Times New Roman" w:cs="Times New Roman"/>
                <w:color w:val="auto"/>
                <w:kern w:val="0"/>
                <w:sz w:val="24"/>
                <w:szCs w:val="24"/>
                <w:highlight w:val="none"/>
                <w:lang w:val="en-US" w:eastAsia="zh-CN"/>
              </w:rPr>
              <w:t>km左右的河道距离到达</w:t>
            </w:r>
            <w:r>
              <w:rPr>
                <w:rFonts w:hint="eastAsia" w:cs="Times New Roman"/>
                <w:color w:val="auto"/>
                <w:kern w:val="0"/>
                <w:sz w:val="24"/>
                <w:szCs w:val="24"/>
                <w:highlight w:val="none"/>
                <w:lang w:val="en-US" w:eastAsia="zh-CN"/>
              </w:rPr>
              <w:t>青年</w:t>
            </w:r>
            <w:r>
              <w:rPr>
                <w:rFonts w:hint="default" w:ascii="Times New Roman" w:hAnsi="Times New Roman" w:cs="Times New Roman"/>
                <w:color w:val="auto"/>
                <w:kern w:val="0"/>
                <w:sz w:val="24"/>
                <w:szCs w:val="24"/>
                <w:highlight w:val="none"/>
                <w:lang w:val="en-US" w:eastAsia="zh-CN"/>
              </w:rPr>
              <w:t>灌区取水口，经过河道的水温恢复作用基本不会对灌区农作物生长过程和产量产生不利影响。</w:t>
            </w:r>
          </w:p>
          <w:p w14:paraId="0C0F451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kern w:val="0"/>
                <w:sz w:val="24"/>
                <w:szCs w:val="24"/>
                <w:highlight w:val="none"/>
                <w:lang w:val="en-US" w:eastAsia="zh-CN"/>
              </w:rPr>
            </w:pPr>
            <w:r>
              <w:rPr>
                <w:rFonts w:hint="default" w:ascii="Times New Roman" w:hAnsi="Times New Roman" w:cs="Times New Roman"/>
                <w:color w:val="auto"/>
                <w:kern w:val="0"/>
                <w:sz w:val="24"/>
                <w:szCs w:val="24"/>
                <w:highlight w:val="none"/>
                <w:lang w:val="en-US" w:eastAsia="zh-CN"/>
              </w:rPr>
              <w:t>本次增效扩容工程仅涉及发电厂房、变压器的改造，不改变库区结构，不改变水库正常蓄水位，库容不变。水域面积及水体体积、流速、水温与增效扩容改造前（电站全面建成稳定运行多年后已趋于稳定）情况基本一致，对库区水体水温结构基本无影响，因此水库低温水不会对农业灌溉及周边环境产生显著不良影响。</w:t>
            </w:r>
          </w:p>
          <w:p w14:paraId="50A1F39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kern w:val="0"/>
                <w:sz w:val="24"/>
                <w:szCs w:val="24"/>
                <w:highlight w:val="none"/>
                <w:lang w:val="en-US" w:eastAsia="zh-CN"/>
              </w:rPr>
            </w:pPr>
            <w:r>
              <w:rPr>
                <w:rFonts w:hint="default" w:ascii="Times New Roman" w:hAnsi="Times New Roman" w:cs="Times New Roman"/>
                <w:color w:val="auto"/>
                <w:kern w:val="0"/>
                <w:sz w:val="24"/>
                <w:szCs w:val="24"/>
                <w:highlight w:val="none"/>
                <w:lang w:val="en-US" w:eastAsia="zh-CN"/>
              </w:rPr>
              <w:t>⑥对泥沙的影响</w:t>
            </w:r>
          </w:p>
          <w:p w14:paraId="0F9D1B5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kern w:val="0"/>
                <w:sz w:val="24"/>
                <w:szCs w:val="24"/>
                <w:highlight w:val="none"/>
                <w:lang w:val="en-US" w:eastAsia="zh-CN"/>
              </w:rPr>
            </w:pPr>
            <w:r>
              <w:rPr>
                <w:rFonts w:hint="eastAsia" w:ascii="Times New Roman" w:hAnsi="Times New Roman" w:cs="Times New Roman"/>
                <w:color w:val="auto"/>
                <w:kern w:val="0"/>
                <w:sz w:val="24"/>
                <w:szCs w:val="24"/>
                <w:highlight w:val="none"/>
                <w:lang w:val="en-US" w:eastAsia="zh-CN"/>
              </w:rPr>
              <w:t>青年水库</w:t>
            </w:r>
            <w:r>
              <w:rPr>
                <w:rFonts w:hint="default" w:ascii="Times New Roman" w:hAnsi="Times New Roman" w:cs="Times New Roman"/>
                <w:color w:val="auto"/>
                <w:kern w:val="0"/>
                <w:sz w:val="24"/>
                <w:szCs w:val="24"/>
                <w:highlight w:val="none"/>
                <w:lang w:val="en-US" w:eastAsia="zh-CN"/>
              </w:rPr>
              <w:t>电站为坝后式电站，水库库容较大，入库悬移质泥沙主要来自水电站坝址上游。本次增效扩容改造工程不涉及改变水工建筑物总体布置，不改变坝体结构，不改变坝型，故水库上游受泥沙淤积影响很小，且由于</w:t>
            </w:r>
            <w:r>
              <w:rPr>
                <w:rFonts w:hint="eastAsia" w:ascii="Times New Roman" w:hAnsi="Times New Roman" w:cs="Times New Roman"/>
                <w:color w:val="auto"/>
                <w:kern w:val="0"/>
                <w:sz w:val="24"/>
                <w:szCs w:val="24"/>
                <w:highlight w:val="none"/>
                <w:lang w:val="en-US" w:eastAsia="zh-CN"/>
              </w:rPr>
              <w:t>青年水库</w:t>
            </w:r>
            <w:r>
              <w:rPr>
                <w:rFonts w:hint="default" w:ascii="Times New Roman" w:hAnsi="Times New Roman" w:cs="Times New Roman"/>
                <w:color w:val="auto"/>
                <w:kern w:val="0"/>
                <w:sz w:val="24"/>
                <w:szCs w:val="24"/>
                <w:highlight w:val="none"/>
                <w:lang w:val="en-US" w:eastAsia="zh-CN"/>
              </w:rPr>
              <w:t>的淤积作用，发电水流的含沙量很小，对下游河段冲淤情况不会发生较大的改变。</w:t>
            </w:r>
          </w:p>
          <w:p w14:paraId="7B16FB1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kern w:val="0"/>
                <w:sz w:val="24"/>
                <w:szCs w:val="24"/>
                <w:highlight w:val="none"/>
                <w:lang w:val="en-US" w:eastAsia="zh-CN"/>
              </w:rPr>
            </w:pPr>
            <w:r>
              <w:rPr>
                <w:rFonts w:hint="default" w:ascii="Times New Roman" w:hAnsi="Times New Roman" w:cs="Times New Roman"/>
                <w:color w:val="auto"/>
                <w:kern w:val="0"/>
                <w:sz w:val="24"/>
                <w:szCs w:val="24"/>
                <w:highlight w:val="none"/>
                <w:lang w:val="en-US" w:eastAsia="zh-CN"/>
              </w:rPr>
              <w:t>水电站运行多年，原有工程建成至增效扩容改造前，坝前淤积早已平衡，此次增效扩容改造坝顶高程未调整，坝前淤泥平衡不会被破坏。</w:t>
            </w:r>
          </w:p>
          <w:p w14:paraId="67F0F2D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kern w:val="0"/>
                <w:sz w:val="24"/>
                <w:szCs w:val="24"/>
                <w:highlight w:val="none"/>
                <w:lang w:val="en-US" w:eastAsia="zh-CN"/>
              </w:rPr>
            </w:pPr>
            <w:r>
              <w:rPr>
                <w:rFonts w:hint="default" w:ascii="Times New Roman" w:hAnsi="Times New Roman" w:cs="Times New Roman"/>
                <w:color w:val="auto"/>
                <w:kern w:val="0"/>
                <w:sz w:val="24"/>
                <w:szCs w:val="24"/>
                <w:highlight w:val="none"/>
                <w:lang w:val="en-US" w:eastAsia="zh-CN"/>
              </w:rPr>
              <w:t>综上所述，本次增效扩容工程的建设对水文情势影响不大，在可接受的范围内。</w:t>
            </w:r>
          </w:p>
          <w:p w14:paraId="3C825BA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kern w:val="0"/>
                <w:sz w:val="24"/>
                <w:szCs w:val="24"/>
                <w:highlight w:val="none"/>
                <w:lang w:val="en-US" w:eastAsia="zh-CN"/>
              </w:rPr>
            </w:pPr>
            <w:r>
              <w:rPr>
                <w:rFonts w:hint="default" w:ascii="Times New Roman" w:hAnsi="Times New Roman" w:cs="Times New Roman"/>
                <w:color w:val="auto"/>
                <w:kern w:val="0"/>
                <w:sz w:val="24"/>
                <w:szCs w:val="24"/>
                <w:highlight w:val="none"/>
                <w:lang w:val="en-US" w:eastAsia="zh-CN"/>
              </w:rPr>
              <w:t>（3）对生态用水的影响</w:t>
            </w:r>
          </w:p>
          <w:p w14:paraId="6C7AF369">
            <w:pPr>
              <w:pStyle w:val="77"/>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auto"/>
                <w:kern w:val="0"/>
                <w:sz w:val="24"/>
                <w:szCs w:val="24"/>
                <w:highlight w:val="none"/>
                <w:lang w:val="en-US" w:eastAsia="zh-CN"/>
              </w:rPr>
            </w:pPr>
            <w:r>
              <w:rPr>
                <w:highlight w:val="none"/>
              </w:rPr>
              <w:t>根据《密山市青年水库生态流量保障方案》初步成果，</w:t>
            </w:r>
            <w:r>
              <w:rPr>
                <w:rFonts w:hint="eastAsia"/>
                <w:highlight w:val="none"/>
                <w:lang w:val="en-US" w:eastAsia="zh-CN"/>
              </w:rPr>
              <w:t>确定</w:t>
            </w:r>
            <w:r>
              <w:rPr>
                <w:highlight w:val="none"/>
              </w:rPr>
              <w:t>青年水库坝址断面生态流量为汛期0.29m</w:t>
            </w:r>
            <w:r>
              <w:rPr>
                <w:highlight w:val="none"/>
                <w:vertAlign w:val="superscript"/>
              </w:rPr>
              <w:t>3</w:t>
            </w:r>
            <w:r>
              <w:rPr>
                <w:highlight w:val="none"/>
              </w:rPr>
              <w:t>/s，非汛期为0.18m</w:t>
            </w:r>
            <w:r>
              <w:rPr>
                <w:highlight w:val="none"/>
                <w:vertAlign w:val="superscript"/>
              </w:rPr>
              <w:t>3</w:t>
            </w:r>
            <w:r>
              <w:rPr>
                <w:highlight w:val="none"/>
              </w:rPr>
              <w:t>/s。</w:t>
            </w:r>
            <w:r>
              <w:rPr>
                <w:rFonts w:hint="eastAsia" w:ascii="Times New Roman" w:hAnsi="Times New Roman" w:cs="Times New Roman"/>
                <w:color w:val="auto"/>
                <w:kern w:val="0"/>
                <w:sz w:val="24"/>
                <w:szCs w:val="24"/>
                <w:highlight w:val="none"/>
                <w:lang w:val="en-US" w:eastAsia="zh-CN"/>
              </w:rPr>
              <w:t>青年水库</w:t>
            </w:r>
            <w:r>
              <w:rPr>
                <w:rFonts w:hint="default" w:ascii="Times New Roman" w:hAnsi="Times New Roman" w:cs="Times New Roman"/>
                <w:color w:val="auto"/>
                <w:kern w:val="0"/>
                <w:sz w:val="24"/>
                <w:szCs w:val="24"/>
                <w:highlight w:val="none"/>
                <w:lang w:val="en-US" w:eastAsia="zh-CN"/>
              </w:rPr>
              <w:t>已高度重视生态流量下泄问题，落实生态流量下泄保障措施，取水断面在进行农业需水供水前，均先考虑断面的最小生态流量，确保生态流量下泄达到目标值，</w:t>
            </w:r>
            <w:bookmarkStart w:id="16" w:name="_Hlk190526878"/>
            <w:r>
              <w:rPr>
                <w:rFonts w:hint="default" w:ascii="Times New Roman" w:hAnsi="Times New Roman" w:cs="Times New Roman"/>
                <w:color w:val="auto"/>
                <w:kern w:val="0"/>
                <w:sz w:val="24"/>
                <w:szCs w:val="24"/>
                <w:highlight w:val="none"/>
                <w:lang w:val="en-US" w:eastAsia="zh-CN"/>
              </w:rPr>
              <w:t>进而维持河流的健康</w:t>
            </w:r>
            <w:bookmarkEnd w:id="16"/>
            <w:r>
              <w:rPr>
                <w:rFonts w:hint="default" w:ascii="Times New Roman" w:hAnsi="Times New Roman" w:cs="Times New Roman"/>
                <w:color w:val="auto"/>
                <w:kern w:val="0"/>
                <w:sz w:val="24"/>
                <w:szCs w:val="24"/>
                <w:highlight w:val="none"/>
                <w:lang w:val="en-US" w:eastAsia="zh-CN"/>
              </w:rPr>
              <w:t>，对生态用水的影响在可接受范围内。本次增效扩容工程仅涉及发电厂房、变压器的改造，不涉及生态流量下泄及保障措施变化，项目营运期对生态用水的影响较小。</w:t>
            </w:r>
          </w:p>
          <w:p w14:paraId="1098AC2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kern w:val="0"/>
                <w:sz w:val="24"/>
                <w:szCs w:val="24"/>
                <w:highlight w:val="none"/>
                <w:lang w:val="en-US" w:eastAsia="zh-CN"/>
              </w:rPr>
            </w:pPr>
            <w:r>
              <w:rPr>
                <w:rFonts w:hint="default" w:ascii="Times New Roman" w:hAnsi="Times New Roman" w:cs="Times New Roman"/>
                <w:color w:val="auto"/>
                <w:kern w:val="0"/>
                <w:sz w:val="24"/>
                <w:szCs w:val="24"/>
                <w:highlight w:val="none"/>
                <w:lang w:val="en-US" w:eastAsia="zh-CN"/>
              </w:rPr>
              <w:t>综上所述，本项目在落实各项环保措施、生活污水处理达标后回用的前提下，项目运营对地表水的影响较小，在可接受范围内，项目建设是可行的。</w:t>
            </w:r>
          </w:p>
          <w:p w14:paraId="1A841D2B">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color w:val="auto"/>
                <w:kern w:val="0"/>
                <w:sz w:val="24"/>
                <w:szCs w:val="24"/>
              </w:rPr>
            </w:pPr>
            <w:r>
              <w:rPr>
                <w:rFonts w:hint="default" w:ascii="Times New Roman" w:hAnsi="Times New Roman" w:cs="Times New Roman"/>
                <w:b/>
                <w:bCs/>
                <w:color w:val="auto"/>
                <w:kern w:val="0"/>
                <w:sz w:val="24"/>
                <w:szCs w:val="24"/>
                <w:lang w:eastAsia="zh-CN"/>
              </w:rPr>
              <w:t>2.</w:t>
            </w:r>
            <w:r>
              <w:rPr>
                <w:rFonts w:hint="default" w:ascii="Times New Roman" w:hAnsi="Times New Roman" w:eastAsia="宋体" w:cs="Times New Roman"/>
                <w:b/>
                <w:bCs/>
                <w:color w:val="auto"/>
                <w:kern w:val="0"/>
                <w:sz w:val="24"/>
                <w:szCs w:val="24"/>
              </w:rPr>
              <w:t>地下水环境影响分析</w:t>
            </w:r>
          </w:p>
          <w:p w14:paraId="2A07C82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根据工程特征，电站运营期主要可能造成地下水环境影响包括两个方面</w:t>
            </w:r>
            <w:r>
              <w:rPr>
                <w:rFonts w:hint="default" w:ascii="Times New Roman" w:hAnsi="Times New Roman" w:eastAsia="宋体" w:cs="Times New Roman"/>
                <w:color w:val="auto"/>
                <w:kern w:val="0"/>
                <w:sz w:val="24"/>
                <w:szCs w:val="24"/>
                <w:lang w:eastAsia="zh-CN"/>
              </w:rPr>
              <w:t>：</w:t>
            </w:r>
            <w:r>
              <w:rPr>
                <w:rFonts w:hint="default" w:ascii="Times New Roman" w:hAnsi="Times New Roman" w:eastAsia="宋体" w:cs="Times New Roman"/>
                <w:color w:val="auto"/>
                <w:kern w:val="0"/>
                <w:sz w:val="24"/>
                <w:szCs w:val="24"/>
              </w:rPr>
              <w:t>一是对地下水水质的影响，二是由于上游蓄水对地下水水位的影响。</w:t>
            </w:r>
          </w:p>
          <w:p w14:paraId="47B12BA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（1）对地下水水质的影响</w:t>
            </w:r>
          </w:p>
          <w:p w14:paraId="68B4E3F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0"/>
                <w:sz w:val="24"/>
                <w:szCs w:val="24"/>
                <w:lang w:eastAsia="zh-CN"/>
              </w:rPr>
            </w:pPr>
            <w:r>
              <w:rPr>
                <w:rFonts w:hint="default" w:ascii="Times New Roman" w:hAnsi="Times New Roman" w:eastAsia="宋体" w:cs="Times New Roman"/>
                <w:color w:val="auto"/>
                <w:kern w:val="0"/>
                <w:sz w:val="24"/>
                <w:szCs w:val="24"/>
              </w:rPr>
              <w:t>本电站员工办公生活产生少量的生活污水定期清淘，外运堆肥。本项目为增效扩容工程，不新增劳动定员，无新增生活污水，因此本项目对区域地下水水质造成的影响很小</w:t>
            </w:r>
            <w:r>
              <w:rPr>
                <w:rFonts w:hint="default" w:ascii="Times New Roman" w:hAnsi="Times New Roman" w:eastAsia="宋体" w:cs="Times New Roman"/>
                <w:color w:val="auto"/>
                <w:kern w:val="0"/>
                <w:sz w:val="24"/>
                <w:szCs w:val="24"/>
                <w:lang w:eastAsia="zh-CN"/>
              </w:rPr>
              <w:t>。</w:t>
            </w:r>
          </w:p>
          <w:p w14:paraId="3AF122D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（2）对地下水水位的影响</w:t>
            </w:r>
          </w:p>
          <w:p w14:paraId="7DA455E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水库蓄水以后，电站坝上游水位均较原有水位有不同程度的抬升，正常蓄水位比天然水位略有提高。当地表水位高于地下水水位时，地下水接受地表水补给，直至建立新的更加有利于地下水的动态平衡。</w:t>
            </w:r>
          </w:p>
          <w:p w14:paraId="6E841F8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0"/>
                <w:sz w:val="24"/>
                <w:szCs w:val="24"/>
                <w:lang w:val="en-US" w:eastAsia="zh-CN"/>
              </w:rPr>
            </w:pPr>
            <w:r>
              <w:rPr>
                <w:rFonts w:hint="eastAsia" w:cs="Times New Roman"/>
                <w:color w:val="auto"/>
                <w:kern w:val="0"/>
                <w:sz w:val="24"/>
                <w:szCs w:val="24"/>
                <w:lang w:val="en-US" w:eastAsia="zh-CN"/>
              </w:rPr>
              <w:t>青年水库</w:t>
            </w:r>
            <w:r>
              <w:rPr>
                <w:rFonts w:hint="default" w:ascii="Times New Roman" w:hAnsi="Times New Roman" w:eastAsia="宋体" w:cs="Times New Roman"/>
                <w:color w:val="auto"/>
                <w:kern w:val="0"/>
                <w:sz w:val="24"/>
                <w:szCs w:val="24"/>
                <w:lang w:val="en-US" w:eastAsia="zh-CN"/>
              </w:rPr>
              <w:t>电站已建成并正常运营多年，水库蓄水与区域内地下水的补给关系已相对稳定，且工程区地下水的补给来源主要为大气降水。本次增效扩容工程直接依托现有电站工程，不改变水工建筑物总体布置，水库大坝不变，库容不变，不新增淹没区，项目发电尾水排入裴德河，流域总水量无变化，不改变河流两岸地下水补给河流的基本流向，不影响所在流域河道水文特性，水库洪水位和常水位不发生变化，不会对地下水水位产生影响。</w:t>
            </w:r>
          </w:p>
          <w:p w14:paraId="36896D9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综上所述，本项目对地下水环境影响较小，在可接受范围内。</w:t>
            </w:r>
          </w:p>
          <w:p w14:paraId="0B76CECD">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color w:val="auto"/>
                <w:kern w:val="0"/>
                <w:sz w:val="24"/>
                <w:szCs w:val="24"/>
                <w:lang w:val="en-US" w:eastAsia="zh-CN"/>
              </w:rPr>
            </w:pPr>
            <w:r>
              <w:rPr>
                <w:rFonts w:hint="default" w:ascii="Times New Roman" w:hAnsi="Times New Roman" w:cs="Times New Roman"/>
                <w:b/>
                <w:bCs/>
                <w:color w:val="auto"/>
                <w:kern w:val="0"/>
                <w:sz w:val="24"/>
                <w:szCs w:val="24"/>
                <w:lang w:val="en-US" w:eastAsia="zh-CN"/>
              </w:rPr>
              <w:t>3.</w:t>
            </w:r>
            <w:r>
              <w:rPr>
                <w:rFonts w:hint="default" w:ascii="Times New Roman" w:hAnsi="Times New Roman" w:eastAsia="宋体" w:cs="Times New Roman"/>
                <w:b/>
                <w:bCs/>
                <w:color w:val="auto"/>
                <w:kern w:val="0"/>
                <w:sz w:val="24"/>
                <w:szCs w:val="24"/>
                <w:lang w:val="en-US" w:eastAsia="zh-CN"/>
              </w:rPr>
              <w:t>生态环境影响分析</w:t>
            </w:r>
          </w:p>
          <w:p w14:paraId="3840C38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0"/>
                <w:sz w:val="24"/>
                <w:szCs w:val="24"/>
                <w:lang w:val="en-US" w:eastAsia="zh-CN"/>
              </w:rPr>
            </w:pPr>
            <w:r>
              <w:rPr>
                <w:rFonts w:hint="eastAsia" w:cs="Times New Roman"/>
                <w:color w:val="auto"/>
                <w:kern w:val="0"/>
                <w:sz w:val="24"/>
                <w:szCs w:val="24"/>
                <w:lang w:val="en-US" w:eastAsia="zh-CN"/>
              </w:rPr>
              <w:t>青年水库</w:t>
            </w:r>
            <w:r>
              <w:rPr>
                <w:rFonts w:hint="default" w:ascii="Times New Roman" w:hAnsi="Times New Roman" w:eastAsia="宋体" w:cs="Times New Roman"/>
                <w:color w:val="auto"/>
                <w:kern w:val="0"/>
                <w:sz w:val="24"/>
                <w:szCs w:val="24"/>
                <w:lang w:val="en-US" w:eastAsia="zh-CN"/>
              </w:rPr>
              <w:t>电站自197</w:t>
            </w:r>
            <w:r>
              <w:rPr>
                <w:rFonts w:hint="eastAsia" w:cs="Times New Roman"/>
                <w:color w:val="auto"/>
                <w:kern w:val="0"/>
                <w:sz w:val="24"/>
                <w:szCs w:val="24"/>
                <w:lang w:val="en-US" w:eastAsia="zh-CN"/>
              </w:rPr>
              <w:t>8</w:t>
            </w:r>
            <w:r>
              <w:rPr>
                <w:rFonts w:hint="default" w:ascii="Times New Roman" w:hAnsi="Times New Roman" w:eastAsia="宋体" w:cs="Times New Roman"/>
                <w:color w:val="auto"/>
                <w:kern w:val="0"/>
                <w:sz w:val="24"/>
                <w:szCs w:val="24"/>
                <w:lang w:val="en-US" w:eastAsia="zh-CN"/>
              </w:rPr>
              <w:t>年投入使用，增效扩容前正常运营已</w:t>
            </w:r>
            <w:r>
              <w:rPr>
                <w:rFonts w:hint="default" w:ascii="Times New Roman" w:hAnsi="Times New Roman" w:cs="Times New Roman"/>
                <w:color w:val="auto"/>
                <w:kern w:val="0"/>
                <w:sz w:val="24"/>
                <w:szCs w:val="24"/>
                <w:lang w:val="en-US" w:eastAsia="zh-CN"/>
              </w:rPr>
              <w:t>超过</w:t>
            </w:r>
            <w:r>
              <w:rPr>
                <w:rFonts w:hint="default" w:ascii="Times New Roman" w:hAnsi="Times New Roman" w:eastAsia="宋体" w:cs="Times New Roman"/>
                <w:color w:val="auto"/>
                <w:kern w:val="0"/>
                <w:sz w:val="24"/>
                <w:szCs w:val="24"/>
                <w:lang w:val="en-US" w:eastAsia="zh-CN"/>
              </w:rPr>
              <w:t>40年，区域生态系统已趋于稳定。</w:t>
            </w:r>
          </w:p>
          <w:p w14:paraId="70EABC5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（1）对陆生生态的影响</w:t>
            </w:r>
          </w:p>
          <w:p w14:paraId="79801064">
            <w:pPr>
              <w:spacing w:line="360" w:lineRule="auto"/>
              <w:ind w:firstLine="480" w:firstLineChars="200"/>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①对陆生植物的影响</w:t>
            </w:r>
          </w:p>
          <w:p w14:paraId="22A6B3E4">
            <w:pPr>
              <w:spacing w:line="360" w:lineRule="auto"/>
              <w:ind w:firstLine="480" w:firstLineChars="200"/>
              <w:rPr>
                <w:rFonts w:hint="default" w:ascii="Times New Roman" w:hAnsi="Times New Roman" w:eastAsia="宋体" w:cs="Times New Roman"/>
                <w:color w:val="auto"/>
                <w:kern w:val="0"/>
                <w:sz w:val="24"/>
                <w:szCs w:val="24"/>
                <w:lang w:val="en-US" w:eastAsia="zh-CN"/>
              </w:rPr>
            </w:pPr>
            <w:bookmarkStart w:id="17" w:name="_Hlk190528694"/>
            <w:r>
              <w:rPr>
                <w:rFonts w:hint="default" w:ascii="Times New Roman" w:hAnsi="Times New Roman" w:eastAsia="宋体" w:cs="Times New Roman"/>
                <w:color w:val="auto"/>
                <w:kern w:val="0"/>
                <w:sz w:val="24"/>
                <w:szCs w:val="24"/>
                <w:lang w:val="en-US" w:eastAsia="zh-CN"/>
              </w:rPr>
              <w:t>水电站运行期对陆生植物和植被的影响主要是水库淹没区带来的植被损失，属不可逆影响。库区蓄水后，随水面的增加，加之区域气温较高，将有较大的水汽蒸发，在一定程度上可提高沿岸小环境的空气湿度，可能有利于植被的自然恢复和向更高等植被类型演化。根据现场调查，库周大部分区域已被开垦为耕地，零星分布有人工次生林，区域内不涉及重点保护植物。</w:t>
            </w:r>
          </w:p>
          <w:p w14:paraId="243F2074">
            <w:pPr>
              <w:spacing w:line="360" w:lineRule="auto"/>
              <w:ind w:firstLine="480" w:firstLineChars="200"/>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目前，水库已蓄水并正常运行多年，项目除了发电外，无其他生产活动，再无其他新增破坏植被的行为，工作人员的活动范围除了对库周进行巡护外，也仅集中在大坝、发电厂房等区域。本次增效扩容改造工程不新增站区占地，不新增、加高拦河坝，大坝正常蓄水位不变，未增加淹没区，根据前文水文情势影响分析，增效扩容后水库及坝下河段的水文情势与增效扩容前基本没有变化。可见，增效扩容改造工程对评价区范围内的陆生植被不再造成新的影响，对评价范围内的陆生植被面积、覆盖率无影响，对区域植被类型、物种数量及整个区域生态系统的稳定性基本无影响。</w:t>
            </w:r>
          </w:p>
          <w:bookmarkEnd w:id="17"/>
          <w:p w14:paraId="02E8EC67">
            <w:pPr>
              <w:spacing w:line="360" w:lineRule="auto"/>
              <w:ind w:firstLine="480" w:firstLineChars="200"/>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②对陆生动物的影响</w:t>
            </w:r>
          </w:p>
          <w:p w14:paraId="79304700">
            <w:pPr>
              <w:spacing w:line="360" w:lineRule="auto"/>
              <w:ind w:firstLine="480" w:firstLineChars="200"/>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sz w:val="24"/>
                <w:szCs w:val="24"/>
                <w:lang w:val="en-US" w:eastAsia="zh-CN"/>
              </w:rPr>
              <w:t>项目区野生动物以</w:t>
            </w:r>
            <w:r>
              <w:rPr>
                <w:rFonts w:hint="default" w:ascii="Times New Roman" w:hAnsi="Times New Roman" w:cs="Times New Roman"/>
                <w:color w:val="auto"/>
                <w:sz w:val="24"/>
                <w:szCs w:val="24"/>
              </w:rPr>
              <w:t>居民点常见鸟类</w:t>
            </w:r>
            <w:r>
              <w:rPr>
                <w:rFonts w:hint="default" w:ascii="Times New Roman" w:hAnsi="Times New Roman" w:cs="Times New Roman"/>
                <w:color w:val="auto"/>
                <w:sz w:val="24"/>
                <w:szCs w:val="24"/>
                <w:lang w:val="en-US" w:eastAsia="zh-CN"/>
              </w:rPr>
              <w:t>和小型啮齿类动物为主，</w:t>
            </w:r>
            <w:r>
              <w:rPr>
                <w:rFonts w:hint="default" w:ascii="Times New Roman" w:hAnsi="Times New Roman" w:eastAsia="宋体" w:cs="Times New Roman"/>
                <w:color w:val="auto"/>
                <w:kern w:val="0"/>
                <w:sz w:val="24"/>
                <w:szCs w:val="24"/>
                <w:lang w:val="en-US" w:eastAsia="zh-CN"/>
              </w:rPr>
              <w:t>无重点保护陆生野生动物。本次增效扩容工程不新增占地，不新增劳动定员，人为活动频次较增效扩容前基本无变化，运行期间不会对陆生生物的觅食、栖息及繁殖造成干扰影响；沿岸陆生植被类型基本维持原有状态，增效扩容改造也不改变陆生生物的栖息环境，因此，项目建设对陆生动物基本无影响。</w:t>
            </w:r>
          </w:p>
          <w:p w14:paraId="06FD3125">
            <w:pPr>
              <w:spacing w:line="360" w:lineRule="auto"/>
              <w:ind w:firstLine="480" w:firstLineChars="200"/>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综上所述，本项目对区域内陆生动植物影响较小，在可接受范围内。</w:t>
            </w:r>
          </w:p>
          <w:p w14:paraId="23EDFEAF">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eastAsia"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lang w:val="en-US" w:eastAsia="zh-CN"/>
              </w:rPr>
              <w:t>（2）对水生生态的影响</w:t>
            </w:r>
          </w:p>
          <w:p w14:paraId="0D9EBE26">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0"/>
                <w:sz w:val="24"/>
                <w:szCs w:val="24"/>
                <w:highlight w:val="none"/>
                <w:lang w:val="en-US" w:eastAsia="zh-CN"/>
              </w:rPr>
            </w:pPr>
            <w:r>
              <w:rPr>
                <w:rFonts w:hint="eastAsia" w:cs="Times New Roman"/>
                <w:color w:val="auto"/>
                <w:kern w:val="0"/>
                <w:sz w:val="24"/>
                <w:szCs w:val="24"/>
                <w:highlight w:val="none"/>
                <w:lang w:val="en-US" w:eastAsia="zh-CN"/>
              </w:rPr>
              <w:t>青年水库</w:t>
            </w:r>
            <w:r>
              <w:rPr>
                <w:rFonts w:hint="default" w:ascii="Times New Roman" w:hAnsi="Times New Roman" w:eastAsia="宋体" w:cs="Times New Roman"/>
                <w:color w:val="auto"/>
                <w:kern w:val="0"/>
                <w:sz w:val="24"/>
                <w:szCs w:val="24"/>
                <w:highlight w:val="none"/>
                <w:lang w:val="en-US" w:eastAsia="zh-CN"/>
              </w:rPr>
              <w:t>电站拦河坝已建成并投入运行多年，本次增效扩容改造工程不加高拦河坝，不新增淹没区，根据前文水文情势影响分析，增效扩容后水库及坝下河段的水文情势与增效扩容前</w:t>
            </w:r>
            <w:r>
              <w:rPr>
                <w:rFonts w:hint="default" w:ascii="Times New Roman" w:hAnsi="Times New Roman" w:cs="Times New Roman"/>
                <w:color w:val="auto"/>
                <w:kern w:val="0"/>
                <w:sz w:val="24"/>
                <w:szCs w:val="24"/>
                <w:highlight w:val="none"/>
                <w:lang w:val="en-US" w:eastAsia="zh-CN"/>
              </w:rPr>
              <w:t>基本一致</w:t>
            </w:r>
            <w:r>
              <w:rPr>
                <w:rFonts w:hint="default" w:ascii="Times New Roman" w:hAnsi="Times New Roman" w:eastAsia="宋体" w:cs="Times New Roman"/>
                <w:color w:val="auto"/>
                <w:kern w:val="0"/>
                <w:sz w:val="24"/>
                <w:szCs w:val="24"/>
                <w:highlight w:val="none"/>
                <w:lang w:val="en-US" w:eastAsia="zh-CN"/>
              </w:rPr>
              <w:t>，</w:t>
            </w:r>
            <w:r>
              <w:rPr>
                <w:rFonts w:hint="default" w:ascii="Times New Roman" w:hAnsi="Times New Roman" w:cs="Times New Roman"/>
                <w:color w:val="auto"/>
                <w:kern w:val="0"/>
                <w:sz w:val="24"/>
                <w:szCs w:val="24"/>
                <w:highlight w:val="none"/>
                <w:lang w:val="en-US" w:eastAsia="zh-CN"/>
              </w:rPr>
              <w:t>来水</w:t>
            </w:r>
            <w:r>
              <w:rPr>
                <w:rFonts w:hint="default" w:ascii="Times New Roman" w:hAnsi="Times New Roman" w:eastAsia="宋体" w:cs="Times New Roman"/>
                <w:color w:val="auto"/>
                <w:kern w:val="0"/>
                <w:sz w:val="24"/>
                <w:szCs w:val="24"/>
                <w:highlight w:val="none"/>
                <w:lang w:val="en-US" w:eastAsia="zh-CN"/>
              </w:rPr>
              <w:t>发电后又通过尾水渠退入原河道，下游的水位及径流与增效扩容前基本无变化</w:t>
            </w:r>
            <w:r>
              <w:rPr>
                <w:rFonts w:hint="default" w:ascii="Times New Roman" w:hAnsi="Times New Roman" w:cs="Times New Roman"/>
                <w:color w:val="auto"/>
                <w:kern w:val="0"/>
                <w:sz w:val="24"/>
                <w:szCs w:val="24"/>
                <w:highlight w:val="none"/>
                <w:lang w:val="en-US" w:eastAsia="zh-CN"/>
              </w:rPr>
              <w:t>。</w:t>
            </w:r>
            <w:r>
              <w:rPr>
                <w:rFonts w:hint="eastAsia" w:cs="Times New Roman"/>
                <w:color w:val="auto"/>
                <w:kern w:val="0"/>
                <w:sz w:val="24"/>
                <w:szCs w:val="24"/>
                <w:highlight w:val="none"/>
                <w:lang w:val="en-US" w:eastAsia="zh-CN"/>
              </w:rPr>
              <w:t>青年水库</w:t>
            </w:r>
            <w:r>
              <w:rPr>
                <w:rFonts w:hint="default" w:ascii="Times New Roman" w:hAnsi="Times New Roman" w:eastAsia="宋体" w:cs="Times New Roman"/>
                <w:color w:val="auto"/>
                <w:kern w:val="0"/>
                <w:sz w:val="24"/>
                <w:szCs w:val="24"/>
                <w:highlight w:val="none"/>
                <w:lang w:val="en-US" w:eastAsia="zh-CN"/>
              </w:rPr>
              <w:t>电站</w:t>
            </w:r>
            <w:r>
              <w:rPr>
                <w:rFonts w:hint="default" w:ascii="Times New Roman" w:hAnsi="Times New Roman" w:cs="Times New Roman"/>
                <w:color w:val="auto"/>
                <w:kern w:val="0"/>
                <w:sz w:val="24"/>
                <w:szCs w:val="24"/>
                <w:highlight w:val="none"/>
                <w:lang w:val="en-US" w:eastAsia="zh-CN"/>
              </w:rPr>
              <w:t>已</w:t>
            </w:r>
            <w:r>
              <w:rPr>
                <w:rFonts w:hint="default" w:ascii="Times New Roman" w:hAnsi="Times New Roman" w:eastAsia="宋体" w:cs="Times New Roman"/>
                <w:color w:val="auto"/>
                <w:kern w:val="0"/>
                <w:sz w:val="24"/>
                <w:szCs w:val="24"/>
                <w:highlight w:val="none"/>
                <w:lang w:val="en-US" w:eastAsia="zh-CN"/>
              </w:rPr>
              <w:t>按照</w:t>
            </w:r>
            <w:r>
              <w:rPr>
                <w:rFonts w:hint="default" w:ascii="Times New Roman" w:hAnsi="Times New Roman" w:cs="Times New Roman"/>
                <w:color w:val="auto"/>
                <w:kern w:val="0"/>
                <w:sz w:val="24"/>
                <w:szCs w:val="24"/>
                <w:highlight w:val="none"/>
                <w:lang w:val="en-US" w:eastAsia="zh-CN"/>
              </w:rPr>
              <w:t>生态流量保障方案</w:t>
            </w:r>
            <w:r>
              <w:rPr>
                <w:rFonts w:hint="default" w:ascii="Times New Roman" w:hAnsi="Times New Roman" w:eastAsia="宋体" w:cs="Times New Roman"/>
                <w:color w:val="auto"/>
                <w:kern w:val="0"/>
                <w:sz w:val="24"/>
                <w:szCs w:val="24"/>
                <w:highlight w:val="none"/>
                <w:lang w:val="en-US" w:eastAsia="zh-CN"/>
              </w:rPr>
              <w:t>要求下泄生态流量，并已安装下泄流量在线监测、监控设备保证生态流量的下泄，坝下河段未出现减脱水现象，水生生态环境、水域生境与改造前基本无变化。</w:t>
            </w:r>
          </w:p>
          <w:p w14:paraId="71D31623">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0"/>
                <w:sz w:val="24"/>
                <w:szCs w:val="24"/>
                <w:highlight w:val="none"/>
                <w:lang w:val="en-US" w:eastAsia="zh-CN"/>
              </w:rPr>
            </w:pPr>
            <w:r>
              <w:rPr>
                <w:rFonts w:hint="eastAsia"/>
                <w:i w:val="0"/>
                <w:iCs w:val="0"/>
                <w:color w:val="auto"/>
                <w:sz w:val="24"/>
                <w:highlight w:val="none"/>
              </w:rPr>
              <w:t>本工程所跨越河段无水产种质资源分布区，工程改扩建工程不</w:t>
            </w:r>
            <w:r>
              <w:rPr>
                <w:rFonts w:hint="eastAsia"/>
                <w:i w:val="0"/>
                <w:iCs w:val="0"/>
                <w:color w:val="auto"/>
                <w:sz w:val="24"/>
                <w:highlight w:val="none"/>
                <w:lang w:val="en-US" w:eastAsia="zh-CN"/>
              </w:rPr>
              <w:t>涉及</w:t>
            </w:r>
            <w:r>
              <w:rPr>
                <w:rFonts w:hint="eastAsia"/>
                <w:i w:val="0"/>
                <w:iCs w:val="0"/>
                <w:color w:val="auto"/>
                <w:sz w:val="24"/>
                <w:highlight w:val="none"/>
              </w:rPr>
              <w:t>鱼类“三场”，在现场调查期间在工程评价区域内亦未发现国家级重点保护野生水生动物</w:t>
            </w:r>
            <w:r>
              <w:rPr>
                <w:rFonts w:hint="eastAsia" w:ascii="Times New Roman" w:hAnsi="Times New Roman" w:eastAsia="宋体" w:cs="宋体"/>
                <w:i w:val="0"/>
                <w:iCs w:val="0"/>
                <w:color w:val="auto"/>
                <w:kern w:val="0"/>
                <w:sz w:val="24"/>
                <w:szCs w:val="24"/>
                <w:highlight w:val="none"/>
                <w:lang w:val="en-US" w:eastAsia="zh-CN" w:bidi="ar"/>
              </w:rPr>
              <w:t>。由于水电站拦河坝已建成蓄水发电约40余年，库区鱼类早已是适应缓流型鱼类，库区蓄水水文情势改变对鱼类区系的的影响已存在多年。本次增效扩容改造工程保持原水库正常蓄水位及淹没区域现状，对鱼类区系不新增影响</w:t>
            </w:r>
            <w:r>
              <w:rPr>
                <w:rFonts w:hint="eastAsia" w:cs="宋体"/>
                <w:i w:val="0"/>
                <w:iCs w:val="0"/>
                <w:color w:val="auto"/>
                <w:kern w:val="0"/>
                <w:sz w:val="24"/>
                <w:szCs w:val="24"/>
                <w:highlight w:val="none"/>
                <w:lang w:val="en-US" w:eastAsia="zh-CN" w:bidi="ar"/>
              </w:rPr>
              <w:t>，</w:t>
            </w:r>
            <w:r>
              <w:rPr>
                <w:rFonts w:hint="eastAsia" w:ascii="Times New Roman" w:hAnsi="Times New Roman" w:eastAsia="宋体" w:cs="宋体"/>
                <w:i w:val="0"/>
                <w:iCs w:val="0"/>
                <w:color w:val="auto"/>
                <w:kern w:val="0"/>
                <w:sz w:val="24"/>
                <w:szCs w:val="24"/>
                <w:highlight w:val="none"/>
                <w:lang w:val="en-US" w:eastAsia="zh-CN" w:bidi="ar"/>
              </w:rPr>
              <w:t>坝下河段鱼类种群及生境影响已趋于稳定。</w:t>
            </w:r>
            <w:r>
              <w:rPr>
                <w:rFonts w:hint="eastAsia" w:cs="宋体"/>
                <w:i w:val="0"/>
                <w:iCs w:val="0"/>
                <w:color w:val="auto"/>
                <w:kern w:val="0"/>
                <w:sz w:val="24"/>
                <w:szCs w:val="24"/>
                <w:highlight w:val="none"/>
                <w:lang w:val="en-US" w:eastAsia="zh-CN" w:bidi="ar"/>
              </w:rPr>
              <w:t>水库无</w:t>
            </w:r>
            <w:r>
              <w:rPr>
                <w:rFonts w:hint="default" w:ascii="Times New Roman" w:hAnsi="Times New Roman" w:eastAsia="宋体" w:cs="Times New Roman"/>
                <w:snapToGrid w:val="0"/>
                <w:color w:val="000000"/>
                <w:kern w:val="0"/>
                <w:sz w:val="24"/>
                <w:szCs w:val="24"/>
                <w:lang w:val="en-US" w:eastAsia="zh-CN" w:bidi="ar"/>
              </w:rPr>
              <w:t>渔业资源产生影响的补救措施。</w:t>
            </w:r>
            <w:r>
              <w:rPr>
                <w:rFonts w:hint="eastAsia" w:cs="Times New Roman"/>
                <w:color w:val="auto"/>
                <w:kern w:val="0"/>
                <w:sz w:val="24"/>
                <w:szCs w:val="24"/>
                <w:highlight w:val="none"/>
                <w:lang w:val="en-US" w:eastAsia="zh-CN"/>
              </w:rPr>
              <w:t>本次</w:t>
            </w:r>
            <w:r>
              <w:rPr>
                <w:rFonts w:hint="default" w:ascii="Times New Roman" w:hAnsi="Times New Roman" w:eastAsia="宋体" w:cs="Times New Roman"/>
                <w:color w:val="auto"/>
                <w:kern w:val="0"/>
                <w:sz w:val="24"/>
                <w:szCs w:val="24"/>
                <w:highlight w:val="none"/>
                <w:lang w:val="en-US" w:eastAsia="zh-CN"/>
              </w:rPr>
              <w:t>增效扩容工程运营期不新增水生生态影响，即运营期水生生态基本维护在增效扩容前的水平。</w:t>
            </w:r>
          </w:p>
          <w:p w14:paraId="73B31AC6">
            <w:pPr>
              <w:spacing w:line="360" w:lineRule="auto"/>
              <w:ind w:firstLine="482" w:firstLineChars="200"/>
              <w:rPr>
                <w:rFonts w:hint="default" w:ascii="Times New Roman" w:hAnsi="Times New Roman" w:eastAsia="宋体" w:cs="Times New Roman"/>
                <w:b/>
                <w:bCs/>
                <w:color w:val="auto"/>
                <w:kern w:val="0"/>
                <w:sz w:val="24"/>
                <w:szCs w:val="24"/>
                <w:lang w:val="en-US" w:eastAsia="zh-CN"/>
              </w:rPr>
            </w:pPr>
            <w:r>
              <w:rPr>
                <w:rFonts w:hint="default" w:ascii="Times New Roman" w:hAnsi="Times New Roman" w:cs="Times New Roman"/>
                <w:b/>
                <w:bCs/>
                <w:color w:val="auto"/>
                <w:kern w:val="0"/>
                <w:sz w:val="24"/>
                <w:szCs w:val="24"/>
                <w:lang w:val="en-US" w:eastAsia="zh-CN"/>
              </w:rPr>
              <w:t>4.</w:t>
            </w:r>
            <w:r>
              <w:rPr>
                <w:rFonts w:hint="default" w:ascii="Times New Roman" w:hAnsi="Times New Roman" w:eastAsia="宋体" w:cs="Times New Roman"/>
                <w:b/>
                <w:bCs/>
                <w:color w:val="auto"/>
                <w:kern w:val="0"/>
                <w:sz w:val="24"/>
                <w:szCs w:val="24"/>
                <w:lang w:val="en-US" w:eastAsia="zh-CN"/>
              </w:rPr>
              <w:t>大气环境影响分析</w:t>
            </w:r>
          </w:p>
          <w:p w14:paraId="2465AD3F">
            <w:pPr>
              <w:spacing w:line="360" w:lineRule="auto"/>
              <w:ind w:firstLine="480" w:firstLineChars="200"/>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电站运行期间无生产性废气产生，本项目为增效扩容工程，无新增劳动定员，备用柴油发电机柴油用量无变化</w:t>
            </w:r>
            <w:r>
              <w:rPr>
                <w:rFonts w:hint="eastAsia" w:cs="Times New Roman"/>
                <w:color w:val="auto"/>
                <w:kern w:val="0"/>
                <w:sz w:val="24"/>
                <w:szCs w:val="24"/>
                <w:lang w:val="en-US" w:eastAsia="zh-CN"/>
              </w:rPr>
              <w:t>，</w:t>
            </w:r>
            <w:r>
              <w:rPr>
                <w:rFonts w:hint="default" w:ascii="Times New Roman" w:hAnsi="Times New Roman" w:eastAsia="宋体" w:cs="Times New Roman"/>
                <w:color w:val="auto"/>
                <w:kern w:val="0"/>
                <w:sz w:val="24"/>
                <w:szCs w:val="24"/>
                <w:lang w:val="en-US" w:eastAsia="zh-CN"/>
              </w:rPr>
              <w:t>对大气环境影响可忽略不计。</w:t>
            </w:r>
          </w:p>
          <w:p w14:paraId="049BE547">
            <w:pPr>
              <w:spacing w:line="360" w:lineRule="auto"/>
              <w:ind w:firstLine="482" w:firstLineChars="200"/>
              <w:rPr>
                <w:rFonts w:hint="default" w:ascii="Times New Roman" w:hAnsi="Times New Roman" w:eastAsia="宋体" w:cs="Times New Roman"/>
                <w:b/>
                <w:bCs/>
                <w:color w:val="auto"/>
                <w:kern w:val="0"/>
                <w:sz w:val="24"/>
                <w:szCs w:val="24"/>
              </w:rPr>
            </w:pPr>
            <w:r>
              <w:rPr>
                <w:rFonts w:hint="default" w:ascii="Times New Roman" w:hAnsi="Times New Roman" w:cs="Times New Roman"/>
                <w:b/>
                <w:bCs/>
                <w:color w:val="auto"/>
                <w:kern w:val="0"/>
                <w:sz w:val="24"/>
                <w:szCs w:val="24"/>
                <w:lang w:val="en-US" w:eastAsia="zh-CN"/>
              </w:rPr>
              <w:t>5.</w:t>
            </w:r>
            <w:r>
              <w:rPr>
                <w:rFonts w:hint="default" w:ascii="Times New Roman" w:hAnsi="Times New Roman" w:eastAsia="宋体" w:cs="Times New Roman"/>
                <w:b/>
                <w:bCs/>
                <w:color w:val="auto"/>
                <w:kern w:val="0"/>
                <w:sz w:val="24"/>
                <w:szCs w:val="24"/>
                <w:lang w:val="en-US" w:eastAsia="zh-CN"/>
              </w:rPr>
              <w:t>声</w:t>
            </w:r>
            <w:r>
              <w:rPr>
                <w:rFonts w:hint="default" w:ascii="Times New Roman" w:hAnsi="Times New Roman" w:eastAsia="宋体" w:cs="Times New Roman"/>
                <w:b/>
                <w:bCs/>
                <w:color w:val="auto"/>
                <w:kern w:val="0"/>
                <w:sz w:val="24"/>
                <w:szCs w:val="24"/>
              </w:rPr>
              <w:t>环境影响分析</w:t>
            </w:r>
          </w:p>
          <w:p w14:paraId="56D8B609">
            <w:pPr>
              <w:spacing w:line="360" w:lineRule="auto"/>
              <w:ind w:firstLine="480" w:firstLineChars="200"/>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rPr>
              <w:t>电站运营期噪声主要来自发电机组、变压器运行产生的噪声，考虑到项目发电厂房墙体为</w:t>
            </w:r>
            <w:r>
              <w:rPr>
                <w:rFonts w:hint="default" w:ascii="Times New Roman" w:hAnsi="Times New Roman" w:eastAsia="宋体" w:cs="Times New Roman"/>
                <w:color w:val="auto"/>
                <w:kern w:val="0"/>
                <w:sz w:val="24"/>
                <w:szCs w:val="24"/>
                <w:lang w:val="en-US" w:eastAsia="zh-CN"/>
              </w:rPr>
              <w:t>砖混</w:t>
            </w:r>
            <w:r>
              <w:rPr>
                <w:rFonts w:hint="default" w:ascii="Times New Roman" w:hAnsi="Times New Roman" w:eastAsia="宋体" w:cs="Times New Roman"/>
                <w:color w:val="auto"/>
                <w:kern w:val="0"/>
                <w:sz w:val="24"/>
                <w:szCs w:val="24"/>
              </w:rPr>
              <w:t>墙体，隔音效果尚可，运行时电站厂界噪声可实现达标外排</w:t>
            </w:r>
            <w:r>
              <w:rPr>
                <w:rFonts w:hint="default" w:ascii="Times New Roman" w:hAnsi="Times New Roman" w:eastAsia="宋体" w:cs="Times New Roman"/>
                <w:color w:val="auto"/>
                <w:kern w:val="0"/>
                <w:sz w:val="24"/>
                <w:szCs w:val="24"/>
                <w:lang w:val="en-US" w:eastAsia="zh-CN"/>
              </w:rPr>
              <w:t>。</w:t>
            </w:r>
            <w:r>
              <w:rPr>
                <w:rFonts w:hint="eastAsia" w:cs="Times New Roman"/>
                <w:color w:val="auto"/>
                <w:kern w:val="0"/>
                <w:sz w:val="24"/>
                <w:szCs w:val="24"/>
                <w:lang w:val="en-US" w:eastAsia="zh-CN"/>
              </w:rPr>
              <w:t>考虑到青年水库电站冬季现已停机（2022年至今停机），故未对厂界噪声进行补充监测。</w:t>
            </w:r>
            <w:r>
              <w:rPr>
                <w:rFonts w:hint="default" w:ascii="Times New Roman" w:hAnsi="Times New Roman" w:eastAsia="宋体" w:cs="Times New Roman"/>
                <w:color w:val="auto"/>
                <w:kern w:val="0"/>
                <w:sz w:val="24"/>
                <w:szCs w:val="24"/>
              </w:rPr>
              <w:t>本项目为增效扩容工程，通过更换机电设备，增加机组容量，提高发电效率，更换的新设备较电站现有运行多年的设备噪声更小。</w:t>
            </w:r>
            <w:r>
              <w:rPr>
                <w:rFonts w:hint="default" w:ascii="Times New Roman" w:hAnsi="Times New Roman" w:eastAsia="宋体" w:cs="Times New Roman"/>
                <w:color w:val="auto"/>
                <w:kern w:val="0"/>
                <w:sz w:val="24"/>
                <w:szCs w:val="24"/>
                <w:lang w:val="en-US" w:eastAsia="zh-CN"/>
              </w:rPr>
              <w:t>因此</w:t>
            </w:r>
            <w:r>
              <w:rPr>
                <w:rFonts w:hint="default" w:ascii="Times New Roman" w:hAnsi="Times New Roman" w:eastAsia="宋体" w:cs="Times New Roman"/>
                <w:color w:val="auto"/>
                <w:kern w:val="0"/>
                <w:sz w:val="24"/>
                <w:szCs w:val="24"/>
              </w:rPr>
              <w:t>，通过对发电机组、变压器进行基础减振、消声器降噪、建筑物隔声、绿化降噪和距离衰减后，噪声可达标排放，对周边声环境的影响在可接受范围内。</w:t>
            </w:r>
          </w:p>
          <w:p w14:paraId="529E9ED0">
            <w:pPr>
              <w:spacing w:line="360" w:lineRule="auto"/>
              <w:ind w:firstLine="482" w:firstLineChars="200"/>
              <w:rPr>
                <w:rFonts w:hint="default" w:ascii="Times New Roman" w:hAnsi="Times New Roman" w:eastAsia="宋体" w:cs="Times New Roman"/>
                <w:b/>
                <w:bCs/>
                <w:color w:val="auto"/>
                <w:kern w:val="0"/>
                <w:sz w:val="24"/>
                <w:szCs w:val="24"/>
              </w:rPr>
            </w:pPr>
            <w:r>
              <w:rPr>
                <w:rFonts w:hint="default" w:ascii="Times New Roman" w:hAnsi="Times New Roman" w:cs="Times New Roman"/>
                <w:b/>
                <w:bCs/>
                <w:color w:val="auto"/>
                <w:kern w:val="0"/>
                <w:sz w:val="24"/>
                <w:szCs w:val="24"/>
                <w:lang w:val="en-US" w:eastAsia="zh-CN"/>
              </w:rPr>
              <w:t>6.</w:t>
            </w:r>
            <w:r>
              <w:rPr>
                <w:rFonts w:hint="default" w:ascii="Times New Roman" w:hAnsi="Times New Roman" w:eastAsia="宋体" w:cs="Times New Roman"/>
                <w:b/>
                <w:bCs/>
                <w:color w:val="auto"/>
                <w:kern w:val="0"/>
                <w:sz w:val="24"/>
                <w:szCs w:val="24"/>
              </w:rPr>
              <w:t>固体废物环境影响分析</w:t>
            </w:r>
          </w:p>
          <w:p w14:paraId="274A118B">
            <w:pPr>
              <w:spacing w:line="360" w:lineRule="auto"/>
              <w:ind w:firstLine="480" w:firstLineChars="200"/>
              <w:rPr>
                <w:rFonts w:hint="default" w:ascii="Times New Roman" w:hAnsi="Times New Roman" w:eastAsia="宋体" w:cs="Times New Roman"/>
                <w:color w:val="auto"/>
                <w:kern w:val="0"/>
                <w:sz w:val="24"/>
                <w:szCs w:val="24"/>
              </w:rPr>
            </w:pPr>
            <w:r>
              <w:rPr>
                <w:rFonts w:hint="eastAsia" w:cs="Times New Roman"/>
                <w:color w:val="auto"/>
                <w:kern w:val="0"/>
                <w:sz w:val="24"/>
                <w:szCs w:val="24"/>
                <w:lang w:val="en-US" w:eastAsia="zh-CN"/>
              </w:rPr>
              <w:t>青年水库</w:t>
            </w:r>
            <w:r>
              <w:rPr>
                <w:rFonts w:hint="default" w:ascii="Times New Roman" w:hAnsi="Times New Roman" w:eastAsia="宋体" w:cs="Times New Roman"/>
                <w:color w:val="auto"/>
                <w:kern w:val="0"/>
                <w:sz w:val="24"/>
                <w:szCs w:val="24"/>
              </w:rPr>
              <w:t>电站运营期的固体废弃物，包括员工生活垃圾、水面浮渣和设备机械维修产生的废机油。</w:t>
            </w:r>
          </w:p>
          <w:p w14:paraId="2D879556">
            <w:pPr>
              <w:spacing w:line="360" w:lineRule="auto"/>
              <w:ind w:firstLine="480" w:firstLineChars="200"/>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lang w:eastAsia="zh-CN"/>
              </w:rPr>
              <w:t>（</w:t>
            </w:r>
            <w:r>
              <w:rPr>
                <w:rFonts w:hint="default" w:ascii="Times New Roman" w:hAnsi="Times New Roman" w:eastAsia="宋体" w:cs="Times New Roman"/>
                <w:color w:val="auto"/>
                <w:kern w:val="0"/>
                <w:sz w:val="24"/>
                <w:szCs w:val="24"/>
                <w:lang w:val="en-US" w:eastAsia="zh-CN"/>
              </w:rPr>
              <w:t>1</w:t>
            </w:r>
            <w:r>
              <w:rPr>
                <w:rFonts w:hint="default" w:ascii="Times New Roman" w:hAnsi="Times New Roman" w:eastAsia="宋体" w:cs="Times New Roman"/>
                <w:color w:val="auto"/>
                <w:kern w:val="0"/>
                <w:sz w:val="24"/>
                <w:szCs w:val="24"/>
                <w:lang w:eastAsia="zh-CN"/>
              </w:rPr>
              <w:t>）</w:t>
            </w:r>
            <w:r>
              <w:rPr>
                <w:rFonts w:hint="default" w:ascii="Times New Roman" w:hAnsi="Times New Roman" w:eastAsia="宋体" w:cs="Times New Roman"/>
                <w:color w:val="auto"/>
                <w:kern w:val="0"/>
                <w:sz w:val="24"/>
                <w:szCs w:val="24"/>
              </w:rPr>
              <w:t>生活垃圾</w:t>
            </w:r>
          </w:p>
          <w:p w14:paraId="01B5B6E3">
            <w:pPr>
              <w:spacing w:line="360" w:lineRule="auto"/>
              <w:ind w:firstLine="480" w:firstLineChars="200"/>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电站常驻管理人员</w:t>
            </w:r>
            <w:r>
              <w:rPr>
                <w:rFonts w:hint="eastAsia" w:cs="Times New Roman"/>
                <w:color w:val="auto"/>
                <w:kern w:val="0"/>
                <w:sz w:val="24"/>
                <w:szCs w:val="24"/>
                <w:lang w:val="en-US" w:eastAsia="zh-CN"/>
              </w:rPr>
              <w:t>25</w:t>
            </w:r>
            <w:r>
              <w:rPr>
                <w:rFonts w:hint="default" w:ascii="Times New Roman" w:hAnsi="Times New Roman" w:eastAsia="宋体" w:cs="Times New Roman"/>
                <w:color w:val="auto"/>
                <w:kern w:val="0"/>
                <w:sz w:val="24"/>
                <w:szCs w:val="24"/>
              </w:rPr>
              <w:t>人，生活垃圾产生量约为1kg/人·d，生活垃圾产生量为</w:t>
            </w:r>
            <w:r>
              <w:rPr>
                <w:rFonts w:hint="eastAsia" w:cs="Times New Roman"/>
                <w:color w:val="auto"/>
                <w:kern w:val="0"/>
                <w:sz w:val="24"/>
                <w:szCs w:val="24"/>
                <w:lang w:val="en-US" w:eastAsia="zh-CN"/>
              </w:rPr>
              <w:t>0.025</w:t>
            </w:r>
            <w:r>
              <w:rPr>
                <w:rFonts w:hint="default" w:ascii="Times New Roman" w:hAnsi="Times New Roman" w:eastAsia="宋体" w:cs="Times New Roman"/>
                <w:color w:val="auto"/>
                <w:kern w:val="0"/>
                <w:sz w:val="24"/>
                <w:szCs w:val="24"/>
                <w:lang w:val="en-US" w:eastAsia="zh-CN"/>
              </w:rPr>
              <w:t>t</w:t>
            </w:r>
            <w:r>
              <w:rPr>
                <w:rFonts w:hint="default" w:ascii="Times New Roman" w:hAnsi="Times New Roman" w:eastAsia="宋体" w:cs="Times New Roman"/>
                <w:color w:val="auto"/>
                <w:kern w:val="0"/>
                <w:sz w:val="24"/>
                <w:szCs w:val="24"/>
              </w:rPr>
              <w:t>/</w:t>
            </w:r>
            <w:r>
              <w:rPr>
                <w:rFonts w:hint="eastAsia" w:cs="Times New Roman"/>
                <w:color w:val="auto"/>
                <w:kern w:val="0"/>
                <w:sz w:val="24"/>
                <w:szCs w:val="24"/>
                <w:lang w:val="en-US" w:eastAsia="zh-CN"/>
              </w:rPr>
              <w:t>d</w:t>
            </w:r>
            <w:r>
              <w:rPr>
                <w:rFonts w:hint="default" w:ascii="Times New Roman" w:hAnsi="Times New Roman" w:eastAsia="宋体" w:cs="Times New Roman"/>
                <w:color w:val="auto"/>
                <w:kern w:val="0"/>
                <w:sz w:val="24"/>
                <w:szCs w:val="24"/>
              </w:rPr>
              <w:t>，收集后委托当地环卫部门清运处理。本项目为增效扩容工程，不新增工作人员，项目</w:t>
            </w:r>
            <w:r>
              <w:rPr>
                <w:rFonts w:hint="default" w:ascii="Times New Roman" w:hAnsi="Times New Roman" w:eastAsia="宋体" w:cs="Times New Roman"/>
                <w:color w:val="auto"/>
                <w:kern w:val="0"/>
                <w:sz w:val="24"/>
                <w:szCs w:val="24"/>
                <w:lang w:val="en-US" w:eastAsia="zh-CN"/>
              </w:rPr>
              <w:t>建设</w:t>
            </w:r>
            <w:r>
              <w:rPr>
                <w:rFonts w:hint="default" w:ascii="Times New Roman" w:hAnsi="Times New Roman" w:eastAsia="宋体" w:cs="Times New Roman"/>
                <w:color w:val="auto"/>
                <w:kern w:val="0"/>
                <w:sz w:val="24"/>
                <w:szCs w:val="24"/>
              </w:rPr>
              <w:t>前后电站运行期间产生的生活垃圾无变化。</w:t>
            </w:r>
          </w:p>
          <w:p w14:paraId="74263212">
            <w:pPr>
              <w:spacing w:line="360" w:lineRule="auto"/>
              <w:ind w:firstLine="480" w:firstLineChars="200"/>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lang w:eastAsia="zh-CN"/>
              </w:rPr>
              <w:t>（</w:t>
            </w:r>
            <w:r>
              <w:rPr>
                <w:rFonts w:hint="default" w:ascii="Times New Roman" w:hAnsi="Times New Roman" w:eastAsia="宋体" w:cs="Times New Roman"/>
                <w:color w:val="auto"/>
                <w:kern w:val="0"/>
                <w:sz w:val="24"/>
                <w:szCs w:val="24"/>
                <w:lang w:val="en-US" w:eastAsia="zh-CN"/>
              </w:rPr>
              <w:t>2</w:t>
            </w:r>
            <w:r>
              <w:rPr>
                <w:rFonts w:hint="default" w:ascii="Times New Roman" w:hAnsi="Times New Roman" w:eastAsia="宋体" w:cs="Times New Roman"/>
                <w:color w:val="auto"/>
                <w:kern w:val="0"/>
                <w:sz w:val="24"/>
                <w:szCs w:val="24"/>
                <w:lang w:eastAsia="zh-CN"/>
              </w:rPr>
              <w:t>）</w:t>
            </w:r>
            <w:r>
              <w:rPr>
                <w:rFonts w:hint="default" w:ascii="Times New Roman" w:hAnsi="Times New Roman" w:eastAsia="宋体" w:cs="Times New Roman"/>
                <w:color w:val="auto"/>
                <w:kern w:val="0"/>
                <w:sz w:val="24"/>
                <w:szCs w:val="24"/>
              </w:rPr>
              <w:t>水面浮渣</w:t>
            </w:r>
          </w:p>
          <w:p w14:paraId="0C33643A">
            <w:pPr>
              <w:spacing w:line="360" w:lineRule="auto"/>
              <w:ind w:firstLine="480" w:firstLineChars="200"/>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rPr>
              <w:t>受降雨等因素影响，大坝上会堆积部分枯木、落叶等浮渣，电站输水涵洞设置有拦污栅阻隔</w:t>
            </w:r>
            <w:r>
              <w:rPr>
                <w:rFonts w:hint="default" w:ascii="Times New Roman" w:hAnsi="Times New Roman" w:eastAsia="宋体" w:cs="Times New Roman"/>
                <w:color w:val="auto"/>
                <w:kern w:val="0"/>
                <w:sz w:val="24"/>
                <w:szCs w:val="24"/>
                <w:lang w:val="en-US" w:eastAsia="zh-CN"/>
              </w:rPr>
              <w:t>水体漂浮的浮渣，日常运行过程中需定期清理，年清理浮渣约</w:t>
            </w:r>
            <w:r>
              <w:rPr>
                <w:rFonts w:hint="eastAsia" w:cs="Times New Roman"/>
                <w:color w:val="auto"/>
                <w:kern w:val="0"/>
                <w:sz w:val="24"/>
                <w:szCs w:val="24"/>
                <w:lang w:val="en-US" w:eastAsia="zh-CN"/>
              </w:rPr>
              <w:t>5</w:t>
            </w:r>
            <w:r>
              <w:rPr>
                <w:rFonts w:hint="default" w:ascii="Times New Roman" w:hAnsi="Times New Roman" w:eastAsia="宋体" w:cs="Times New Roman"/>
                <w:color w:val="auto"/>
                <w:kern w:val="0"/>
                <w:sz w:val="24"/>
                <w:szCs w:val="24"/>
                <w:lang w:val="en-US" w:eastAsia="zh-CN"/>
              </w:rPr>
              <w:t>t/a，其中枯枝落叶等收集后直接用作周边绿化覆土，塑料或其他杂物集中收集委托环卫部门清运。项目建设前后电站运行期间收集处理的水面浮渣无变化。</w:t>
            </w:r>
          </w:p>
          <w:p w14:paraId="77242818">
            <w:pPr>
              <w:spacing w:line="360" w:lineRule="auto"/>
              <w:ind w:firstLine="480" w:firstLineChars="200"/>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（3）危险废物</w:t>
            </w:r>
          </w:p>
          <w:p w14:paraId="75CCB783">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电站运行过程中的设备保养维修将产生一定量的废机油，产生量约为0.0</w:t>
            </w:r>
            <w:r>
              <w:rPr>
                <w:rFonts w:hint="eastAsia" w:cs="Times New Roman"/>
                <w:color w:val="auto"/>
                <w:kern w:val="0"/>
                <w:sz w:val="24"/>
                <w:szCs w:val="24"/>
                <w:lang w:val="en-US" w:eastAsia="zh-CN"/>
              </w:rPr>
              <w:t>2</w:t>
            </w:r>
            <w:r>
              <w:rPr>
                <w:rFonts w:hint="default" w:ascii="Times New Roman" w:hAnsi="Times New Roman" w:eastAsia="宋体" w:cs="Times New Roman"/>
                <w:color w:val="auto"/>
                <w:kern w:val="0"/>
                <w:sz w:val="24"/>
                <w:szCs w:val="24"/>
                <w:lang w:val="en-US" w:eastAsia="zh-CN"/>
              </w:rPr>
              <w:t>t/a，依据《国家危险废物名录》（2025年版），废机油属危险废物（类别HW08，编号900-214-08）。</w:t>
            </w:r>
          </w:p>
          <w:p w14:paraId="4FBC0B7F">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color w:val="auto"/>
                <w:highlight w:val="none"/>
              </w:rPr>
            </w:pPr>
            <w:r>
              <w:rPr>
                <w:rFonts w:hint="eastAsia" w:ascii="宋体" w:hAnsi="宋体" w:eastAsia="宋体" w:cs="宋体"/>
                <w:color w:val="auto"/>
                <w:kern w:val="0"/>
                <w:sz w:val="24"/>
                <w:szCs w:val="24"/>
                <w:highlight w:val="none"/>
                <w:lang w:val="en-US" w:eastAsia="zh-CN" w:bidi="ar"/>
              </w:rPr>
              <w:t>发电机设备维修更换产生废含油抹布及废手套，一般在设备检修的时候产生，约</w:t>
            </w:r>
            <w:r>
              <w:rPr>
                <w:rFonts w:hint="default" w:ascii="Times New Roman" w:hAnsi="Times New Roman" w:eastAsia="宋体" w:cs="Times New Roman"/>
                <w:color w:val="auto"/>
                <w:kern w:val="0"/>
                <w:sz w:val="24"/>
                <w:szCs w:val="24"/>
                <w:highlight w:val="none"/>
                <w:lang w:val="en-US" w:eastAsia="zh-CN" w:bidi="ar"/>
              </w:rPr>
              <w:t>1</w:t>
            </w:r>
            <w:r>
              <w:rPr>
                <w:rFonts w:hint="eastAsia" w:ascii="宋体" w:hAnsi="宋体" w:eastAsia="宋体" w:cs="宋体"/>
                <w:color w:val="auto"/>
                <w:kern w:val="0"/>
                <w:sz w:val="24"/>
                <w:szCs w:val="24"/>
                <w:highlight w:val="none"/>
                <w:lang w:val="en-US" w:eastAsia="zh-CN" w:bidi="ar"/>
              </w:rPr>
              <w:t>年检修一次，根据建设单位提供的资料，一次产生量约为</w:t>
            </w:r>
            <w:r>
              <w:rPr>
                <w:rFonts w:hint="default" w:ascii="Times New Roman" w:hAnsi="Times New Roman" w:eastAsia="宋体" w:cs="Times New Roman"/>
                <w:color w:val="auto"/>
                <w:kern w:val="0"/>
                <w:sz w:val="24"/>
                <w:szCs w:val="24"/>
                <w:highlight w:val="none"/>
                <w:lang w:val="en-US" w:eastAsia="zh-CN" w:bidi="ar"/>
              </w:rPr>
              <w:t>1kg</w:t>
            </w:r>
            <w:r>
              <w:rPr>
                <w:rFonts w:hint="eastAsia" w:ascii="宋体" w:hAnsi="宋体" w:eastAsia="宋体" w:cs="宋体"/>
                <w:color w:val="auto"/>
                <w:kern w:val="0"/>
                <w:sz w:val="24"/>
                <w:szCs w:val="24"/>
                <w:highlight w:val="none"/>
                <w:lang w:val="en-US" w:eastAsia="zh-CN" w:bidi="ar"/>
              </w:rPr>
              <w:t>，对照《国家危险废物名录（</w:t>
            </w:r>
            <w:r>
              <w:rPr>
                <w:rFonts w:hint="default" w:ascii="Times New Roman" w:hAnsi="Times New Roman" w:eastAsia="宋体" w:cs="Times New Roman"/>
                <w:color w:val="auto"/>
                <w:kern w:val="0"/>
                <w:sz w:val="24"/>
                <w:szCs w:val="24"/>
                <w:highlight w:val="none"/>
                <w:lang w:val="en-US" w:eastAsia="zh-CN" w:bidi="ar"/>
              </w:rPr>
              <w:t>202</w:t>
            </w:r>
            <w:r>
              <w:rPr>
                <w:rFonts w:hint="eastAsia" w:ascii="Times New Roman" w:hAnsi="Times New Roman" w:eastAsia="宋体" w:cs="Times New Roman"/>
                <w:color w:val="auto"/>
                <w:kern w:val="0"/>
                <w:sz w:val="24"/>
                <w:szCs w:val="24"/>
                <w:highlight w:val="none"/>
                <w:lang w:val="en-US" w:eastAsia="zh-CN" w:bidi="ar"/>
              </w:rPr>
              <w:t>5</w:t>
            </w:r>
            <w:r>
              <w:rPr>
                <w:rFonts w:hint="eastAsia" w:ascii="宋体" w:hAnsi="宋体" w:eastAsia="宋体" w:cs="宋体"/>
                <w:color w:val="auto"/>
                <w:kern w:val="0"/>
                <w:sz w:val="24"/>
                <w:szCs w:val="24"/>
                <w:highlight w:val="none"/>
                <w:lang w:val="en-US" w:eastAsia="zh-CN" w:bidi="ar"/>
              </w:rPr>
              <w:t xml:space="preserve">年）》相关规定，废含油抹布及废手套属于危险废物豁免管理清单（全过程不按危险废物管理），收集后可混入生活垃圾处置。 </w:t>
            </w:r>
          </w:p>
          <w:p w14:paraId="71093E26">
            <w:pPr>
              <w:spacing w:line="360" w:lineRule="auto"/>
              <w:ind w:firstLine="480" w:firstLineChars="200"/>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本项目为增效扩容工程，设备保养维修需要的机油用量无变化，建设前后电站运行期间产生的废机油无变化。</w:t>
            </w:r>
            <w:r>
              <w:rPr>
                <w:rFonts w:hint="eastAsia" w:ascii="Times New Roman" w:hAnsi="Times New Roman" w:eastAsia="宋体" w:cs="Times New Roman"/>
                <w:color w:val="auto"/>
                <w:kern w:val="0"/>
                <w:sz w:val="24"/>
                <w:szCs w:val="24"/>
                <w:lang w:val="en-US" w:eastAsia="zh-CN"/>
              </w:rPr>
              <w:t>经现场调查及咨询建设单位，电站目前尚未设置危废贮存点，未与</w:t>
            </w:r>
            <w:r>
              <w:rPr>
                <w:rFonts w:hint="default" w:cs="Times New Roman"/>
                <w:color w:val="auto"/>
                <w:sz w:val="24"/>
                <w:szCs w:val="24"/>
                <w:lang w:val="en-US" w:eastAsia="zh-CN"/>
              </w:rPr>
              <w:t>有危险废物处置资质单位</w:t>
            </w:r>
            <w:r>
              <w:rPr>
                <w:rFonts w:hint="eastAsia" w:cs="Times New Roman"/>
                <w:color w:val="auto"/>
                <w:sz w:val="24"/>
                <w:szCs w:val="24"/>
                <w:lang w:val="en-US" w:eastAsia="zh-CN"/>
              </w:rPr>
              <w:t>正式</w:t>
            </w:r>
            <w:r>
              <w:rPr>
                <w:rFonts w:hint="default" w:cs="Times New Roman"/>
                <w:color w:val="auto"/>
                <w:sz w:val="24"/>
                <w:szCs w:val="24"/>
                <w:lang w:val="en-US" w:eastAsia="zh-CN"/>
              </w:rPr>
              <w:t>签订危险废物处置协议</w:t>
            </w:r>
            <w:r>
              <w:rPr>
                <w:rFonts w:hint="default" w:ascii="Times New Roman" w:hAnsi="Times New Roman" w:eastAsia="宋体" w:cs="Times New Roman"/>
                <w:color w:val="auto"/>
                <w:kern w:val="0"/>
                <w:sz w:val="24"/>
                <w:szCs w:val="24"/>
                <w:lang w:val="en-US" w:eastAsia="zh-CN"/>
              </w:rPr>
              <w:t>。</w:t>
            </w:r>
          </w:p>
          <w:p w14:paraId="41F55DF7">
            <w:pPr>
              <w:spacing w:line="360" w:lineRule="auto"/>
              <w:ind w:firstLine="482" w:firstLineChars="200"/>
              <w:rPr>
                <w:rFonts w:hint="eastAsia" w:ascii="Times New Roman" w:hAnsi="Times New Roman" w:eastAsia="宋体" w:cs="Times New Roman"/>
                <w:b/>
                <w:bCs/>
                <w:color w:val="auto"/>
                <w:kern w:val="0"/>
                <w:sz w:val="24"/>
                <w:szCs w:val="24"/>
                <w:lang w:val="en-US" w:eastAsia="zh-CN"/>
              </w:rPr>
            </w:pPr>
            <w:r>
              <w:rPr>
                <w:rFonts w:hint="eastAsia" w:ascii="Times New Roman" w:hAnsi="Times New Roman" w:eastAsia="宋体" w:cs="Times New Roman"/>
                <w:b/>
                <w:bCs/>
                <w:color w:val="auto"/>
                <w:kern w:val="0"/>
                <w:sz w:val="24"/>
                <w:szCs w:val="24"/>
                <w:lang w:val="en-US" w:eastAsia="zh-CN"/>
              </w:rPr>
              <w:t>6.环境风险分析</w:t>
            </w:r>
          </w:p>
          <w:p w14:paraId="4493A956">
            <w:pPr>
              <w:spacing w:line="360" w:lineRule="auto"/>
              <w:ind w:firstLine="480" w:firstLineChars="200"/>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（1）风险调查</w:t>
            </w:r>
          </w:p>
          <w:p w14:paraId="5ACDB67E">
            <w:pPr>
              <w:spacing w:line="360" w:lineRule="auto"/>
              <w:ind w:firstLine="480" w:firstLineChars="200"/>
              <w:rPr>
                <w:rFonts w:hint="eastAsia"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根据周边环境保护目标分析，本项目</w:t>
            </w:r>
            <w:r>
              <w:rPr>
                <w:rFonts w:hint="eastAsia" w:ascii="Times New Roman" w:hAnsi="Times New Roman" w:eastAsia="宋体" w:cs="Times New Roman"/>
                <w:color w:val="auto"/>
                <w:kern w:val="0"/>
                <w:sz w:val="24"/>
                <w:szCs w:val="24"/>
                <w:lang w:val="en-US" w:eastAsia="zh-CN"/>
              </w:rPr>
              <w:t>影响</w:t>
            </w:r>
            <w:r>
              <w:rPr>
                <w:rFonts w:hint="default" w:ascii="Times New Roman" w:hAnsi="Times New Roman" w:eastAsia="宋体" w:cs="Times New Roman"/>
                <w:color w:val="auto"/>
                <w:kern w:val="0"/>
                <w:sz w:val="24"/>
                <w:szCs w:val="24"/>
                <w:lang w:val="en-US" w:eastAsia="zh-CN"/>
              </w:rPr>
              <w:t>范围内无自然保护区、文物古迹、风景名胜等敏感区域及目标，不属于环境敏感区域。根据项目原辅料及产品情况，对照《危险化学品目录（2022</w:t>
            </w:r>
            <w:r>
              <w:rPr>
                <w:rFonts w:hint="eastAsia" w:ascii="Times New Roman" w:hAnsi="Times New Roman" w:eastAsia="宋体" w:cs="Times New Roman"/>
                <w:color w:val="auto"/>
                <w:kern w:val="0"/>
                <w:sz w:val="24"/>
                <w:szCs w:val="24"/>
                <w:lang w:val="en-US" w:eastAsia="zh-CN"/>
              </w:rPr>
              <w:t>年</w:t>
            </w:r>
            <w:r>
              <w:rPr>
                <w:rFonts w:hint="default" w:ascii="Times New Roman" w:hAnsi="Times New Roman" w:eastAsia="宋体" w:cs="Times New Roman"/>
                <w:color w:val="auto"/>
                <w:kern w:val="0"/>
                <w:sz w:val="24"/>
                <w:szCs w:val="24"/>
                <w:lang w:val="en-US" w:eastAsia="zh-CN"/>
              </w:rPr>
              <w:t>）》及《建设项目环境风险评价技术导则》（HJ169-2018），</w:t>
            </w:r>
            <w:r>
              <w:rPr>
                <w:rFonts w:hint="eastAsia" w:ascii="Times New Roman" w:hAnsi="Times New Roman" w:eastAsia="宋体" w:cs="Times New Roman"/>
                <w:color w:val="auto"/>
                <w:kern w:val="0"/>
                <w:sz w:val="24"/>
                <w:szCs w:val="24"/>
                <w:lang w:val="en-US" w:eastAsia="zh-CN"/>
              </w:rPr>
              <w:t>项目属水力发电项目，属清洁生产，不涉及危险生产工艺，涉及的风险物质主要是机油（废机油）的使用、储存，项目运营期可能发生突发环境事故。</w:t>
            </w:r>
          </w:p>
          <w:p w14:paraId="5A74C8DB">
            <w:pPr>
              <w:spacing w:line="360" w:lineRule="auto"/>
              <w:ind w:firstLine="480" w:firstLineChars="200"/>
              <w:rPr>
                <w:rFonts w:hint="default" w:ascii="Times New Roman" w:hAnsi="Times New Roman" w:eastAsia="宋体" w:cs="Times New Roman"/>
                <w:color w:val="auto"/>
                <w:kern w:val="0"/>
                <w:sz w:val="24"/>
                <w:szCs w:val="24"/>
                <w:lang w:val="en-US" w:eastAsia="zh-CN"/>
              </w:rPr>
            </w:pPr>
            <w:r>
              <w:rPr>
                <w:rFonts w:hint="eastAsia" w:ascii="Times New Roman" w:hAnsi="Times New Roman" w:eastAsia="宋体" w:cs="Times New Roman"/>
                <w:color w:val="auto"/>
                <w:kern w:val="0"/>
                <w:sz w:val="24"/>
                <w:szCs w:val="24"/>
                <w:lang w:val="en-US" w:eastAsia="zh-CN"/>
              </w:rPr>
              <w:t>（2）环境</w:t>
            </w:r>
            <w:r>
              <w:rPr>
                <w:rFonts w:hint="default" w:ascii="Times New Roman" w:hAnsi="Times New Roman" w:eastAsia="宋体" w:cs="Times New Roman"/>
                <w:color w:val="auto"/>
                <w:kern w:val="0"/>
                <w:sz w:val="24"/>
                <w:szCs w:val="24"/>
                <w:lang w:val="en-US" w:eastAsia="zh-CN"/>
              </w:rPr>
              <w:t>风险潜势判断</w:t>
            </w:r>
          </w:p>
          <w:p w14:paraId="1599C428">
            <w:pPr>
              <w:spacing w:line="360" w:lineRule="auto"/>
              <w:ind w:firstLine="480" w:firstLineChars="200"/>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根据《建设项目环境风险评价技术导则》（HJ169-2018） ，项目最大可信风险事故为电站溢油排放，风险潜势为Ⅰ</w:t>
            </w:r>
            <w:r>
              <w:rPr>
                <w:rFonts w:hint="eastAsia" w:ascii="Times New Roman" w:hAnsi="Times New Roman" w:eastAsia="宋体" w:cs="Times New Roman"/>
                <w:color w:val="auto"/>
                <w:kern w:val="0"/>
                <w:sz w:val="24"/>
                <w:szCs w:val="24"/>
                <w:lang w:val="en-US" w:eastAsia="zh-CN"/>
              </w:rPr>
              <w:t>，</w:t>
            </w:r>
            <w:r>
              <w:rPr>
                <w:rFonts w:hint="default" w:ascii="Times New Roman" w:hAnsi="Times New Roman" w:eastAsia="宋体" w:cs="Times New Roman"/>
                <w:color w:val="auto"/>
                <w:kern w:val="0"/>
                <w:sz w:val="24"/>
                <w:szCs w:val="24"/>
                <w:lang w:val="en-US" w:eastAsia="zh-CN"/>
              </w:rPr>
              <w:t>评价工作等级为简单分析。</w:t>
            </w:r>
          </w:p>
          <w:p w14:paraId="1078FB42">
            <w:pPr>
              <w:spacing w:line="360" w:lineRule="auto"/>
              <w:ind w:firstLine="480" w:firstLineChars="200"/>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w:t>
            </w:r>
            <w:r>
              <w:rPr>
                <w:rFonts w:hint="eastAsia" w:ascii="Times New Roman" w:hAnsi="Times New Roman" w:eastAsia="宋体" w:cs="Times New Roman"/>
                <w:color w:val="auto"/>
                <w:kern w:val="0"/>
                <w:sz w:val="24"/>
                <w:szCs w:val="24"/>
                <w:lang w:val="en-US" w:eastAsia="zh-CN"/>
              </w:rPr>
              <w:t>3</w:t>
            </w:r>
            <w:r>
              <w:rPr>
                <w:rFonts w:hint="default" w:ascii="Times New Roman" w:hAnsi="Times New Roman" w:eastAsia="宋体" w:cs="Times New Roman"/>
                <w:color w:val="auto"/>
                <w:kern w:val="0"/>
                <w:sz w:val="24"/>
                <w:szCs w:val="24"/>
                <w:lang w:val="en-US" w:eastAsia="zh-CN"/>
              </w:rPr>
              <w:t>）风险分析</w:t>
            </w:r>
          </w:p>
          <w:p w14:paraId="6D8279BC">
            <w:pPr>
              <w:spacing w:line="360" w:lineRule="auto"/>
              <w:ind w:firstLine="480" w:firstLineChars="200"/>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水电站</w:t>
            </w:r>
            <w:r>
              <w:rPr>
                <w:rFonts w:hint="eastAsia" w:ascii="Times New Roman" w:hAnsi="Times New Roman" w:eastAsia="宋体" w:cs="Times New Roman"/>
                <w:color w:val="auto"/>
                <w:kern w:val="0"/>
                <w:sz w:val="24"/>
                <w:szCs w:val="24"/>
                <w:lang w:val="en-US" w:eastAsia="zh-CN"/>
              </w:rPr>
              <w:t>运行过程中，</w:t>
            </w:r>
            <w:r>
              <w:rPr>
                <w:rFonts w:hint="default" w:ascii="Times New Roman" w:hAnsi="Times New Roman" w:eastAsia="宋体" w:cs="Times New Roman"/>
                <w:color w:val="auto"/>
                <w:kern w:val="0"/>
                <w:sz w:val="24"/>
                <w:szCs w:val="24"/>
                <w:lang w:val="en-US" w:eastAsia="zh-CN"/>
              </w:rPr>
              <w:t>如果电站出现机油泄漏，直接排放至</w:t>
            </w:r>
            <w:r>
              <w:rPr>
                <w:rFonts w:hint="eastAsia" w:cs="Times New Roman"/>
                <w:color w:val="auto"/>
                <w:kern w:val="0"/>
                <w:sz w:val="24"/>
                <w:szCs w:val="24"/>
                <w:lang w:val="en-US" w:eastAsia="zh-CN"/>
              </w:rPr>
              <w:t>裴德</w:t>
            </w:r>
            <w:r>
              <w:rPr>
                <w:rFonts w:hint="eastAsia" w:ascii="Times New Roman" w:hAnsi="Times New Roman" w:eastAsia="宋体" w:cs="Times New Roman"/>
                <w:color w:val="auto"/>
                <w:kern w:val="0"/>
                <w:sz w:val="24"/>
                <w:szCs w:val="24"/>
                <w:lang w:val="en-US" w:eastAsia="zh-CN"/>
              </w:rPr>
              <w:t>河</w:t>
            </w:r>
            <w:r>
              <w:rPr>
                <w:rFonts w:hint="default" w:ascii="Times New Roman" w:hAnsi="Times New Roman" w:eastAsia="宋体" w:cs="Times New Roman"/>
                <w:color w:val="auto"/>
                <w:kern w:val="0"/>
                <w:sz w:val="24"/>
                <w:szCs w:val="24"/>
                <w:lang w:val="en-US" w:eastAsia="zh-CN"/>
              </w:rPr>
              <w:t>，将会对下游水质造成不利影响。溶解于水中的碳氢化合物对于水体中的水生生物存在潜在毒性，但溢油并不会瞬时将全部机油泄漏出去，而是少量的长时间的泄露。机油泄漏主要集中于水轮机密封系统、油底壳、及散热器等关键部位，泄漏机理多与密封件老化、安装不当或外部破坏相关，项目电站定期检修、更换老化零部件，泄漏风险较小。</w:t>
            </w:r>
          </w:p>
          <w:p w14:paraId="22FBDEE8">
            <w:pPr>
              <w:spacing w:line="360" w:lineRule="auto"/>
              <w:ind w:firstLine="468" w:firstLineChars="200"/>
              <w:rPr>
                <w:color w:val="auto"/>
                <w:spacing w:val="-3"/>
                <w:position w:val="2"/>
                <w:sz w:val="24"/>
                <w:szCs w:val="24"/>
              </w:rPr>
            </w:pPr>
            <w:r>
              <w:rPr>
                <w:color w:val="auto"/>
                <w:spacing w:val="-3"/>
                <w:position w:val="2"/>
                <w:sz w:val="24"/>
                <w:szCs w:val="24"/>
              </w:rPr>
              <w:t>（</w:t>
            </w:r>
            <w:r>
              <w:rPr>
                <w:rFonts w:hint="eastAsia" w:ascii="Times New Roman" w:hAnsi="Times New Roman" w:eastAsia="宋体" w:cs="Times New Roman"/>
                <w:color w:val="auto"/>
                <w:spacing w:val="-3"/>
                <w:position w:val="2"/>
                <w:sz w:val="24"/>
                <w:szCs w:val="24"/>
                <w:lang w:val="en-US" w:eastAsia="zh-CN"/>
              </w:rPr>
              <w:t>4</w:t>
            </w:r>
            <w:r>
              <w:rPr>
                <w:color w:val="auto"/>
                <w:spacing w:val="-3"/>
                <w:position w:val="2"/>
                <w:sz w:val="24"/>
                <w:szCs w:val="24"/>
              </w:rPr>
              <w:t>）风险防范措施</w:t>
            </w:r>
          </w:p>
          <w:p w14:paraId="6C2F76DF">
            <w:pPr>
              <w:spacing w:line="360" w:lineRule="auto"/>
              <w:ind w:firstLine="468" w:firstLineChars="200"/>
              <w:rPr>
                <w:rFonts w:hint="eastAsia" w:ascii="Times New Roman" w:hAnsi="Times New Roman" w:eastAsia="宋体" w:cs="Times New Roman"/>
                <w:color w:val="auto"/>
                <w:spacing w:val="-3"/>
                <w:position w:val="2"/>
                <w:sz w:val="24"/>
                <w:szCs w:val="24"/>
              </w:rPr>
            </w:pPr>
            <w:r>
              <w:rPr>
                <w:rFonts w:hint="eastAsia"/>
                <w:color w:val="auto"/>
                <w:spacing w:val="-3"/>
                <w:position w:val="2"/>
                <w:sz w:val="24"/>
                <w:szCs w:val="24"/>
              </w:rPr>
              <w:t>为防止机油、含油废水外泄，应有泄漏收集容器（油桶）及时收集泄漏的油品，当发生机油泄漏事故未进入水体时，立即采用消防沙、沙土等进行围堵，防止漏油进入到水体中。然后用刮板和抹布将漏油收集于废机油桶；当泄漏的油品进入水体后，立即用吸油毡将水体表面的油污吸附处理，减轻其对下游水质的影响；当大量油品流入水体后，立即使用围油栏，包围水面溢油，防止溢油扩散，并用吸油毡或吸油拖栏吸附水体表面油污，并将吸附油污后的吸附材料暂存在泄漏收集容器中，待事故解决后委托有资质单位处置。同时加强</w:t>
            </w:r>
            <w:r>
              <w:rPr>
                <w:rFonts w:hint="eastAsia"/>
                <w:color w:val="auto"/>
                <w:spacing w:val="-3"/>
                <w:position w:val="2"/>
                <w:sz w:val="24"/>
                <w:szCs w:val="24"/>
                <w:lang w:val="en-US" w:eastAsia="zh-CN"/>
              </w:rPr>
              <w:t>电站</w:t>
            </w:r>
            <w:r>
              <w:rPr>
                <w:rFonts w:hint="eastAsia"/>
                <w:color w:val="auto"/>
                <w:spacing w:val="-3"/>
                <w:position w:val="2"/>
                <w:sz w:val="24"/>
                <w:szCs w:val="24"/>
              </w:rPr>
              <w:t>运营期检查</w:t>
            </w:r>
            <w:r>
              <w:rPr>
                <w:rFonts w:hint="eastAsia" w:ascii="Times New Roman" w:hAnsi="Times New Roman" w:eastAsia="宋体" w:cs="Times New Roman"/>
                <w:color w:val="auto"/>
                <w:spacing w:val="-3"/>
                <w:position w:val="2"/>
                <w:sz w:val="24"/>
                <w:szCs w:val="24"/>
              </w:rPr>
              <w:t>，发生电站泄油事故风险概率很小。</w:t>
            </w:r>
          </w:p>
          <w:p w14:paraId="4B197E6A">
            <w:pPr>
              <w:spacing w:line="360" w:lineRule="auto"/>
              <w:ind w:firstLine="468" w:firstLineChars="200"/>
              <w:rPr>
                <w:rFonts w:hint="eastAsia" w:ascii="Times New Roman" w:hAnsi="Times New Roman" w:eastAsia="宋体" w:cs="Times New Roman"/>
                <w:color w:val="auto"/>
                <w:spacing w:val="-3"/>
                <w:position w:val="2"/>
                <w:sz w:val="24"/>
                <w:szCs w:val="24"/>
              </w:rPr>
            </w:pPr>
            <w:r>
              <w:rPr>
                <w:rFonts w:hint="eastAsia" w:ascii="Times New Roman" w:hAnsi="Times New Roman" w:eastAsia="宋体" w:cs="Times New Roman"/>
                <w:color w:val="auto"/>
                <w:spacing w:val="-3"/>
                <w:position w:val="2"/>
                <w:sz w:val="24"/>
                <w:szCs w:val="24"/>
              </w:rPr>
              <w:t>（5）环境风险评价结论</w:t>
            </w:r>
          </w:p>
          <w:p w14:paraId="33072276">
            <w:pPr>
              <w:spacing w:line="360" w:lineRule="auto"/>
              <w:ind w:firstLine="468" w:firstLineChars="200"/>
              <w:rPr>
                <w:rFonts w:hint="default" w:ascii="Times New Roman" w:hAnsi="Times New Roman" w:eastAsia="宋体" w:cs="Times New Roman"/>
                <w:color w:val="auto"/>
                <w:spacing w:val="-3"/>
                <w:position w:val="2"/>
                <w:sz w:val="24"/>
                <w:szCs w:val="24"/>
                <w:lang w:val="en-US" w:eastAsia="zh-CN"/>
              </w:rPr>
            </w:pPr>
            <w:r>
              <w:rPr>
                <w:rFonts w:hint="eastAsia" w:cs="Times New Roman"/>
                <w:color w:val="auto"/>
                <w:spacing w:val="-3"/>
                <w:position w:val="2"/>
                <w:sz w:val="24"/>
                <w:szCs w:val="24"/>
                <w:lang w:val="en-US" w:eastAsia="zh-CN"/>
              </w:rPr>
              <w:t>青年水库</w:t>
            </w:r>
            <w:r>
              <w:rPr>
                <w:rFonts w:hint="eastAsia" w:ascii="Times New Roman" w:hAnsi="Times New Roman" w:eastAsia="宋体" w:cs="Times New Roman"/>
                <w:color w:val="auto"/>
                <w:spacing w:val="-3"/>
                <w:position w:val="2"/>
                <w:sz w:val="24"/>
                <w:szCs w:val="24"/>
                <w:lang w:val="en-US" w:eastAsia="zh-CN"/>
              </w:rPr>
              <w:t>电站</w:t>
            </w:r>
            <w:r>
              <w:rPr>
                <w:rFonts w:hint="eastAsia" w:ascii="Times New Roman" w:hAnsi="Times New Roman" w:eastAsia="宋体" w:cs="Times New Roman"/>
                <w:color w:val="auto"/>
                <w:spacing w:val="-3"/>
                <w:position w:val="2"/>
                <w:sz w:val="24"/>
                <w:szCs w:val="24"/>
              </w:rPr>
              <w:t>已于19</w:t>
            </w:r>
            <w:r>
              <w:rPr>
                <w:rFonts w:hint="eastAsia" w:ascii="Times New Roman" w:hAnsi="Times New Roman" w:eastAsia="宋体" w:cs="Times New Roman"/>
                <w:color w:val="auto"/>
                <w:spacing w:val="-3"/>
                <w:position w:val="2"/>
                <w:sz w:val="24"/>
                <w:szCs w:val="24"/>
                <w:lang w:val="en-US" w:eastAsia="zh-CN"/>
              </w:rPr>
              <w:t>7</w:t>
            </w:r>
            <w:r>
              <w:rPr>
                <w:rFonts w:hint="eastAsia" w:cs="Times New Roman"/>
                <w:color w:val="auto"/>
                <w:spacing w:val="-3"/>
                <w:position w:val="2"/>
                <w:sz w:val="24"/>
                <w:szCs w:val="24"/>
                <w:lang w:val="en-US" w:eastAsia="zh-CN"/>
              </w:rPr>
              <w:t>8</w:t>
            </w:r>
            <w:r>
              <w:rPr>
                <w:rFonts w:hint="eastAsia" w:ascii="Times New Roman" w:hAnsi="Times New Roman" w:eastAsia="宋体" w:cs="Times New Roman"/>
                <w:color w:val="auto"/>
                <w:spacing w:val="-3"/>
                <w:position w:val="2"/>
                <w:sz w:val="24"/>
                <w:szCs w:val="24"/>
              </w:rPr>
              <w:t>年全面建成并稳定运行多年，本项目为增效扩容工程，直接依托现有电站工程，不改变水工建筑物总体布置，针对运营期可能出现的风险企业采取了相应的措施应对，可将环境风险控制在最低范围内</w:t>
            </w:r>
            <w:r>
              <w:rPr>
                <w:rFonts w:hint="eastAsia" w:ascii="Times New Roman" w:hAnsi="Times New Roman" w:eastAsia="宋体" w:cs="Times New Roman"/>
                <w:color w:val="auto"/>
                <w:spacing w:val="-3"/>
                <w:position w:val="2"/>
                <w:sz w:val="24"/>
                <w:szCs w:val="24"/>
                <w:lang w:eastAsia="zh-CN"/>
              </w:rPr>
              <w:t>，</w:t>
            </w:r>
            <w:r>
              <w:rPr>
                <w:rFonts w:hint="eastAsia" w:ascii="Times New Roman" w:hAnsi="Times New Roman" w:eastAsia="宋体" w:cs="Times New Roman"/>
                <w:color w:val="auto"/>
                <w:spacing w:val="-3"/>
                <w:position w:val="2"/>
                <w:sz w:val="24"/>
                <w:szCs w:val="24"/>
                <w:lang w:val="en-US" w:eastAsia="zh-CN"/>
              </w:rPr>
              <w:t>并且运行多年期间，未发生过环境事故</w:t>
            </w:r>
            <w:r>
              <w:rPr>
                <w:rFonts w:hint="eastAsia" w:ascii="Times New Roman" w:hAnsi="Times New Roman" w:eastAsia="宋体" w:cs="Times New Roman"/>
                <w:color w:val="auto"/>
                <w:spacing w:val="-3"/>
                <w:position w:val="2"/>
                <w:sz w:val="24"/>
                <w:szCs w:val="24"/>
              </w:rPr>
              <w:t>。综合来看，</w:t>
            </w:r>
            <w:r>
              <w:rPr>
                <w:rFonts w:hint="eastAsia" w:cs="Times New Roman"/>
                <w:color w:val="auto"/>
                <w:spacing w:val="-3"/>
                <w:position w:val="2"/>
                <w:sz w:val="24"/>
                <w:szCs w:val="24"/>
                <w:lang w:val="en-US" w:eastAsia="zh-CN"/>
              </w:rPr>
              <w:t>青年水库</w:t>
            </w:r>
            <w:r>
              <w:rPr>
                <w:rFonts w:hint="eastAsia" w:ascii="Times New Roman" w:hAnsi="Times New Roman" w:eastAsia="宋体" w:cs="Times New Roman"/>
                <w:color w:val="auto"/>
                <w:spacing w:val="-3"/>
                <w:position w:val="2"/>
                <w:sz w:val="24"/>
                <w:szCs w:val="24"/>
                <w:lang w:val="en-US" w:eastAsia="zh-CN"/>
              </w:rPr>
              <w:t>电站</w:t>
            </w:r>
            <w:r>
              <w:rPr>
                <w:rFonts w:hint="eastAsia" w:ascii="Times New Roman" w:hAnsi="Times New Roman" w:eastAsia="宋体" w:cs="Times New Roman"/>
                <w:color w:val="auto"/>
                <w:spacing w:val="-3"/>
                <w:position w:val="2"/>
                <w:sz w:val="24"/>
                <w:szCs w:val="24"/>
              </w:rPr>
              <w:t>运营期的环境风险水平是可接受的。</w:t>
            </w:r>
          </w:p>
          <w:p w14:paraId="6A0C4A36">
            <w:pPr>
              <w:spacing w:line="360" w:lineRule="auto"/>
              <w:ind w:firstLine="482" w:firstLineChars="200"/>
              <w:rPr>
                <w:rFonts w:hint="default" w:ascii="Times New Roman" w:hAnsi="Times New Roman" w:eastAsia="宋体" w:cs="Times New Roman"/>
                <w:color w:val="auto"/>
                <w:kern w:val="0"/>
                <w:sz w:val="24"/>
                <w:szCs w:val="24"/>
                <w:lang w:val="en-US" w:eastAsia="zh-CN"/>
              </w:rPr>
            </w:pPr>
            <w:r>
              <w:rPr>
                <w:rFonts w:hint="eastAsia" w:ascii="Times New Roman" w:hAnsi="Times New Roman" w:eastAsia="宋体" w:cs="Times New Roman"/>
                <w:b/>
                <w:bCs/>
                <w:color w:val="auto"/>
                <w:kern w:val="0"/>
                <w:sz w:val="24"/>
                <w:szCs w:val="24"/>
                <w:lang w:val="en-US" w:eastAsia="zh-CN"/>
              </w:rPr>
              <w:t>7.电磁辐射分析</w:t>
            </w:r>
          </w:p>
          <w:p w14:paraId="69088DE8">
            <w:pPr>
              <w:spacing w:line="360" w:lineRule="auto"/>
              <w:ind w:firstLine="480" w:firstLineChars="200"/>
              <w:rPr>
                <w:rFonts w:hint="eastAsia" w:ascii="Times New Roman" w:hAnsi="Times New Roman" w:eastAsia="宋体" w:cs="Times New Roman"/>
                <w:color w:val="auto"/>
                <w:kern w:val="0"/>
                <w:sz w:val="24"/>
                <w:szCs w:val="24"/>
                <w:lang w:val="en-US" w:eastAsia="zh-CN"/>
              </w:rPr>
            </w:pPr>
            <w:r>
              <w:rPr>
                <w:rFonts w:hint="eastAsia" w:cs="Times New Roman"/>
                <w:color w:val="auto"/>
                <w:kern w:val="0"/>
                <w:sz w:val="24"/>
                <w:szCs w:val="24"/>
                <w:lang w:val="en-US" w:eastAsia="zh-CN"/>
              </w:rPr>
              <w:t>青年水库</w:t>
            </w:r>
            <w:r>
              <w:rPr>
                <w:rFonts w:hint="eastAsia" w:ascii="Times New Roman" w:hAnsi="Times New Roman" w:eastAsia="宋体" w:cs="Times New Roman"/>
                <w:color w:val="auto"/>
                <w:kern w:val="0"/>
                <w:sz w:val="24"/>
                <w:szCs w:val="24"/>
                <w:lang w:val="en-US" w:eastAsia="zh-CN"/>
              </w:rPr>
              <w:t>电站站内设变压器2台，主变压器1台、厂用变压器1台，改造后增加了机组发电效率和发电运行稳定性。机组最大出力达到450</w:t>
            </w:r>
            <w:r>
              <w:rPr>
                <w:rFonts w:hint="eastAsia" w:cs="Times New Roman"/>
                <w:color w:val="auto"/>
                <w:kern w:val="0"/>
                <w:sz w:val="24"/>
                <w:szCs w:val="24"/>
                <w:lang w:val="en-US" w:eastAsia="zh-CN"/>
              </w:rPr>
              <w:t>kW</w:t>
            </w:r>
            <w:r>
              <w:rPr>
                <w:rFonts w:hint="eastAsia" w:ascii="Times New Roman" w:hAnsi="Times New Roman" w:eastAsia="宋体" w:cs="Times New Roman"/>
                <w:color w:val="auto"/>
                <w:kern w:val="0"/>
                <w:sz w:val="24"/>
                <w:szCs w:val="24"/>
                <w:lang w:val="en-US" w:eastAsia="zh-CN"/>
              </w:rPr>
              <w:t>左右，提高了电站年发电量。</w:t>
            </w:r>
          </w:p>
          <w:p w14:paraId="4DCDCBE6">
            <w:pPr>
              <w:spacing w:line="360" w:lineRule="auto"/>
              <w:ind w:firstLine="480" w:firstLineChars="200"/>
              <w:rPr>
                <w:rFonts w:hint="default"/>
                <w:lang w:val="en-US" w:eastAsia="zh-CN"/>
              </w:rPr>
            </w:pPr>
            <w:r>
              <w:rPr>
                <w:rFonts w:hint="eastAsia" w:cs="Times New Roman"/>
                <w:color w:val="auto"/>
                <w:kern w:val="0"/>
                <w:sz w:val="24"/>
                <w:szCs w:val="24"/>
                <w:lang w:val="en-US" w:eastAsia="zh-CN"/>
              </w:rPr>
              <w:t>青年水库</w:t>
            </w:r>
            <w:r>
              <w:rPr>
                <w:rFonts w:hint="eastAsia" w:ascii="Times New Roman" w:hAnsi="Times New Roman" w:eastAsia="宋体" w:cs="Times New Roman"/>
                <w:color w:val="auto"/>
                <w:kern w:val="0"/>
                <w:sz w:val="24"/>
                <w:szCs w:val="24"/>
                <w:lang w:val="en-US" w:eastAsia="zh-CN"/>
              </w:rPr>
              <w:t>电站装机规模小、配电结构简单，没有建设独立的、大型升压站，经主变压器升压至10kV，产生的电磁辐射极小，且电站厂区距周边环境保护目标有一定距离。同时根据《建设项目环境影响评价分类管理名录（2021年版）》（生态环境部令第16号），100千伏以下升压站属于豁免管理，且根据《环境影响评价技术导则 输变电》（</w:t>
            </w:r>
            <w:r>
              <w:rPr>
                <w:rFonts w:hint="default" w:ascii="Times New Roman" w:hAnsi="Times New Roman" w:eastAsia="宋体" w:cs="Times New Roman"/>
                <w:color w:val="auto"/>
                <w:kern w:val="0"/>
                <w:sz w:val="24"/>
                <w:szCs w:val="24"/>
                <w:lang w:val="en-US" w:eastAsia="zh-CN"/>
              </w:rPr>
              <w:t>HJ 24-2020</w:t>
            </w:r>
            <w:r>
              <w:rPr>
                <w:rFonts w:hint="eastAsia" w:ascii="Times New Roman" w:hAnsi="Times New Roman" w:eastAsia="宋体" w:cs="Times New Roman"/>
                <w:color w:val="auto"/>
                <w:kern w:val="0"/>
                <w:sz w:val="24"/>
                <w:szCs w:val="24"/>
                <w:lang w:val="en-US" w:eastAsia="zh-CN"/>
              </w:rPr>
              <w:t>），项目升压站低于1</w:t>
            </w:r>
            <w:r>
              <w:rPr>
                <w:rFonts w:hint="default" w:ascii="Times New Roman" w:hAnsi="Times New Roman" w:eastAsia="宋体" w:cs="Times New Roman"/>
                <w:color w:val="auto"/>
                <w:kern w:val="0"/>
                <w:sz w:val="24"/>
                <w:szCs w:val="24"/>
                <w:lang w:val="en-US" w:eastAsia="zh-CN"/>
              </w:rPr>
              <w:t>10</w:t>
            </w:r>
            <w:r>
              <w:rPr>
                <w:rFonts w:hint="eastAsia" w:ascii="Times New Roman" w:hAnsi="Times New Roman" w:eastAsia="宋体" w:cs="Times New Roman"/>
                <w:color w:val="auto"/>
                <w:kern w:val="0"/>
                <w:sz w:val="24"/>
                <w:szCs w:val="24"/>
                <w:lang w:val="en-US" w:eastAsia="zh-CN"/>
              </w:rPr>
              <w:t>千伏，低于三级评价要求。综上</w:t>
            </w:r>
            <w:r>
              <w:rPr>
                <w:rFonts w:hint="eastAsia" w:cs="Times New Roman"/>
                <w:color w:val="auto"/>
                <w:kern w:val="0"/>
                <w:sz w:val="24"/>
                <w:szCs w:val="24"/>
                <w:lang w:val="en-US" w:eastAsia="zh-CN"/>
              </w:rPr>
              <w:t>所述</w:t>
            </w:r>
            <w:r>
              <w:rPr>
                <w:rFonts w:hint="eastAsia" w:ascii="Times New Roman" w:hAnsi="Times New Roman" w:eastAsia="宋体" w:cs="Times New Roman"/>
                <w:color w:val="auto"/>
                <w:kern w:val="0"/>
                <w:sz w:val="24"/>
                <w:szCs w:val="24"/>
                <w:lang w:val="en-US" w:eastAsia="zh-CN"/>
              </w:rPr>
              <w:t>本报告不对电磁辐射环境影响作评价。</w:t>
            </w:r>
          </w:p>
        </w:tc>
      </w:tr>
      <w:tr w14:paraId="7D743C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79" w:type="dxa"/>
            <w:vAlign w:val="center"/>
          </w:tcPr>
          <w:p w14:paraId="5861F233">
            <w:pPr>
              <w:pStyle w:val="21"/>
              <w:adjustRightInd w:val="0"/>
              <w:snapToGrid w:val="0"/>
              <w:spacing w:before="0" w:beforeAutospacing="0" w:after="0" w:afterAutospacing="0"/>
              <w:jc w:val="center"/>
              <w:rPr>
                <w:rFonts w:hint="default" w:ascii="Times New Roman" w:hAnsi="Times New Roman" w:cs="Times New Roman" w:eastAsiaTheme="minorEastAsia"/>
                <w:bCs/>
                <w:color w:val="auto"/>
                <w:kern w:val="2"/>
                <w:sz w:val="24"/>
                <w:szCs w:val="24"/>
              </w:rPr>
            </w:pPr>
            <w:bookmarkStart w:id="18" w:name="_Toc20762"/>
            <w:r>
              <w:rPr>
                <w:rFonts w:hint="default" w:ascii="Times New Roman" w:hAnsi="Times New Roman" w:cs="Times New Roman" w:eastAsiaTheme="minorEastAsia"/>
                <w:bCs/>
                <w:color w:val="auto"/>
                <w:kern w:val="2"/>
                <w:sz w:val="24"/>
                <w:szCs w:val="24"/>
              </w:rPr>
              <w:t>选址选线环境合理性分析</w:t>
            </w:r>
            <w:bookmarkEnd w:id="18"/>
          </w:p>
        </w:tc>
        <w:tc>
          <w:tcPr>
            <w:tcW w:w="8363" w:type="dxa"/>
            <w:vAlign w:val="center"/>
          </w:tcPr>
          <w:p w14:paraId="6FA2C2AC">
            <w:pPr>
              <w:keepNext w:val="0"/>
              <w:keepLines w:val="0"/>
              <w:pageBreakBefore w:val="0"/>
              <w:widowControl w:val="0"/>
              <w:kinsoku/>
              <w:wordWrap/>
              <w:overflowPunct/>
              <w:topLinePunct w:val="0"/>
              <w:autoSpaceDE/>
              <w:autoSpaceDN/>
              <w:bidi w:val="0"/>
              <w:adjustRightInd/>
              <w:snapToGrid/>
              <w:spacing w:before="157" w:beforeLines="50" w:after="0" w:line="360" w:lineRule="auto"/>
              <w:ind w:firstLine="480" w:firstLineChars="200"/>
              <w:jc w:val="both"/>
              <w:textAlignment w:val="auto"/>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lang w:val="en-US" w:eastAsia="zh-CN"/>
              </w:rPr>
              <w:t>本</w:t>
            </w:r>
            <w:r>
              <w:rPr>
                <w:rFonts w:hint="default" w:ascii="Times New Roman" w:hAnsi="Times New Roman" w:cs="Times New Roman"/>
                <w:color w:val="auto"/>
                <w:kern w:val="0"/>
                <w:sz w:val="24"/>
                <w:szCs w:val="24"/>
              </w:rPr>
              <w:t>项目为增效扩容工程，直接依托现有电站工程，不改变水工建筑物总体布置，无新增占地，不存在选址线路比选，</w:t>
            </w:r>
            <w:r>
              <w:rPr>
                <w:rFonts w:hint="default" w:ascii="Times New Roman" w:hAnsi="Times New Roman" w:cs="Times New Roman"/>
                <w:color w:val="auto"/>
                <w:kern w:val="0"/>
                <w:sz w:val="24"/>
                <w:szCs w:val="24"/>
                <w:lang w:val="en-US" w:eastAsia="zh-CN"/>
              </w:rPr>
              <w:t>其影响</w:t>
            </w:r>
            <w:r>
              <w:rPr>
                <w:rFonts w:hint="default" w:ascii="Times New Roman" w:hAnsi="Times New Roman" w:cs="Times New Roman"/>
                <w:color w:val="auto"/>
                <w:kern w:val="0"/>
                <w:sz w:val="24"/>
                <w:szCs w:val="24"/>
              </w:rPr>
              <w:t>范围不涉及生态保护红线、饮用水源地保护区、基本农田保护区、自然保护区、风景名胜区、森林公园、湿地公园等生态环境敏感区，不涉及重要水生生物的自然产卵场及索饵场、越冬场和洄游通道、天然渔场等生态环境敏感区。综上所述，项目选址合理可行。</w:t>
            </w:r>
          </w:p>
          <w:p w14:paraId="75FF2DE3">
            <w:pPr>
              <w:pStyle w:val="2"/>
              <w:rPr>
                <w:rFonts w:hint="default" w:ascii="Times New Roman" w:hAnsi="Times New Roman" w:cs="Times New Roman"/>
                <w:color w:val="auto"/>
                <w:kern w:val="0"/>
                <w:sz w:val="24"/>
                <w:szCs w:val="24"/>
              </w:rPr>
            </w:pPr>
          </w:p>
          <w:p w14:paraId="5DA321E2">
            <w:pPr>
              <w:rPr>
                <w:rFonts w:hint="default" w:ascii="Times New Roman" w:hAnsi="Times New Roman" w:cs="Times New Roman"/>
                <w:color w:val="auto"/>
                <w:kern w:val="0"/>
                <w:sz w:val="24"/>
                <w:szCs w:val="24"/>
              </w:rPr>
            </w:pPr>
          </w:p>
          <w:p w14:paraId="1EEC81B0">
            <w:pPr>
              <w:pStyle w:val="2"/>
              <w:rPr>
                <w:rFonts w:hint="default" w:ascii="Times New Roman" w:hAnsi="Times New Roman" w:cs="Times New Roman"/>
                <w:color w:val="auto"/>
                <w:kern w:val="0"/>
                <w:sz w:val="24"/>
                <w:szCs w:val="24"/>
              </w:rPr>
            </w:pPr>
          </w:p>
          <w:p w14:paraId="4F2862C3">
            <w:pPr>
              <w:rPr>
                <w:rFonts w:hint="default" w:ascii="Times New Roman" w:hAnsi="Times New Roman" w:cs="Times New Roman"/>
                <w:color w:val="auto"/>
                <w:kern w:val="0"/>
                <w:sz w:val="24"/>
                <w:szCs w:val="24"/>
              </w:rPr>
            </w:pPr>
          </w:p>
          <w:p w14:paraId="05C9193A">
            <w:pPr>
              <w:pStyle w:val="2"/>
              <w:rPr>
                <w:rFonts w:hint="default" w:ascii="Times New Roman" w:hAnsi="Times New Roman" w:cs="Times New Roman"/>
                <w:color w:val="auto"/>
                <w:kern w:val="0"/>
                <w:sz w:val="24"/>
                <w:szCs w:val="24"/>
              </w:rPr>
            </w:pPr>
          </w:p>
          <w:p w14:paraId="373C92E0">
            <w:pPr>
              <w:rPr>
                <w:rFonts w:hint="default" w:ascii="Times New Roman" w:hAnsi="Times New Roman" w:cs="Times New Roman"/>
                <w:color w:val="auto"/>
                <w:kern w:val="0"/>
                <w:sz w:val="24"/>
                <w:szCs w:val="24"/>
              </w:rPr>
            </w:pPr>
          </w:p>
          <w:p w14:paraId="2077A284">
            <w:pPr>
              <w:pStyle w:val="2"/>
              <w:rPr>
                <w:rFonts w:hint="default" w:ascii="Times New Roman" w:hAnsi="Times New Roman" w:cs="Times New Roman"/>
                <w:color w:val="auto"/>
                <w:kern w:val="0"/>
                <w:sz w:val="24"/>
                <w:szCs w:val="24"/>
              </w:rPr>
            </w:pPr>
          </w:p>
          <w:p w14:paraId="1163E3F2">
            <w:pPr>
              <w:rPr>
                <w:rFonts w:hint="default" w:ascii="Times New Roman" w:hAnsi="Times New Roman" w:cs="Times New Roman"/>
                <w:color w:val="auto"/>
                <w:kern w:val="0"/>
                <w:sz w:val="24"/>
                <w:szCs w:val="24"/>
              </w:rPr>
            </w:pPr>
          </w:p>
          <w:p w14:paraId="25C8AACE">
            <w:pPr>
              <w:pStyle w:val="2"/>
              <w:rPr>
                <w:rFonts w:hint="default" w:ascii="Times New Roman" w:hAnsi="Times New Roman" w:cs="Times New Roman"/>
                <w:color w:val="auto"/>
                <w:kern w:val="0"/>
                <w:sz w:val="24"/>
                <w:szCs w:val="24"/>
              </w:rPr>
            </w:pPr>
          </w:p>
          <w:p w14:paraId="6876D6EE">
            <w:pPr>
              <w:rPr>
                <w:rFonts w:hint="default" w:ascii="Times New Roman" w:hAnsi="Times New Roman" w:cs="Times New Roman"/>
                <w:color w:val="auto"/>
                <w:kern w:val="0"/>
                <w:sz w:val="24"/>
                <w:szCs w:val="24"/>
              </w:rPr>
            </w:pPr>
          </w:p>
          <w:p w14:paraId="53F7C7D0">
            <w:pPr>
              <w:pStyle w:val="2"/>
              <w:rPr>
                <w:rFonts w:hint="default" w:ascii="Times New Roman" w:hAnsi="Times New Roman" w:cs="Times New Roman"/>
                <w:color w:val="auto"/>
                <w:kern w:val="0"/>
                <w:sz w:val="24"/>
                <w:szCs w:val="24"/>
              </w:rPr>
            </w:pPr>
          </w:p>
          <w:p w14:paraId="5C44CE67">
            <w:pPr>
              <w:rPr>
                <w:rFonts w:hint="default" w:ascii="Times New Roman" w:hAnsi="Times New Roman" w:cs="Times New Roman"/>
                <w:color w:val="auto"/>
                <w:kern w:val="0"/>
                <w:sz w:val="24"/>
                <w:szCs w:val="24"/>
              </w:rPr>
            </w:pPr>
          </w:p>
          <w:p w14:paraId="28F19E9B">
            <w:pPr>
              <w:pStyle w:val="2"/>
              <w:rPr>
                <w:rFonts w:hint="default" w:ascii="Times New Roman" w:hAnsi="Times New Roman" w:cs="Times New Roman"/>
                <w:color w:val="auto"/>
                <w:kern w:val="0"/>
                <w:sz w:val="24"/>
                <w:szCs w:val="24"/>
              </w:rPr>
            </w:pPr>
          </w:p>
          <w:p w14:paraId="227F3D4A">
            <w:pPr>
              <w:rPr>
                <w:rFonts w:hint="default" w:ascii="Times New Roman" w:hAnsi="Times New Roman" w:cs="Times New Roman"/>
                <w:color w:val="auto"/>
                <w:kern w:val="0"/>
                <w:sz w:val="24"/>
                <w:szCs w:val="24"/>
              </w:rPr>
            </w:pPr>
          </w:p>
          <w:p w14:paraId="6988DA94">
            <w:pPr>
              <w:pStyle w:val="2"/>
              <w:rPr>
                <w:rFonts w:hint="default" w:ascii="Times New Roman" w:hAnsi="Times New Roman" w:cs="Times New Roman"/>
                <w:color w:val="auto"/>
                <w:kern w:val="0"/>
                <w:sz w:val="24"/>
                <w:szCs w:val="24"/>
              </w:rPr>
            </w:pPr>
          </w:p>
          <w:p w14:paraId="42639C1B">
            <w:pPr>
              <w:rPr>
                <w:rFonts w:hint="default" w:ascii="Times New Roman" w:hAnsi="Times New Roman" w:cs="Times New Roman"/>
                <w:color w:val="auto"/>
                <w:kern w:val="0"/>
                <w:sz w:val="24"/>
                <w:szCs w:val="24"/>
              </w:rPr>
            </w:pPr>
          </w:p>
          <w:p w14:paraId="6AD44393">
            <w:pPr>
              <w:pStyle w:val="2"/>
              <w:rPr>
                <w:rFonts w:hint="default" w:ascii="Times New Roman" w:hAnsi="Times New Roman" w:cs="Times New Roman"/>
                <w:color w:val="auto"/>
                <w:kern w:val="0"/>
                <w:sz w:val="24"/>
                <w:szCs w:val="24"/>
              </w:rPr>
            </w:pPr>
          </w:p>
          <w:p w14:paraId="303DF160">
            <w:pPr>
              <w:rPr>
                <w:rFonts w:hint="default" w:ascii="Times New Roman" w:hAnsi="Times New Roman" w:cs="Times New Roman"/>
                <w:color w:val="auto"/>
                <w:kern w:val="0"/>
                <w:sz w:val="24"/>
                <w:szCs w:val="24"/>
              </w:rPr>
            </w:pPr>
          </w:p>
          <w:p w14:paraId="2DF04765">
            <w:pPr>
              <w:pStyle w:val="2"/>
              <w:rPr>
                <w:rFonts w:hint="default" w:ascii="Times New Roman" w:hAnsi="Times New Roman" w:cs="Times New Roman"/>
                <w:color w:val="auto"/>
                <w:kern w:val="0"/>
                <w:sz w:val="24"/>
                <w:szCs w:val="24"/>
              </w:rPr>
            </w:pPr>
          </w:p>
          <w:p w14:paraId="33745B87">
            <w:pPr>
              <w:rPr>
                <w:rFonts w:hint="default" w:ascii="Times New Roman" w:hAnsi="Times New Roman" w:cs="Times New Roman"/>
                <w:color w:val="auto"/>
                <w:kern w:val="0"/>
                <w:sz w:val="24"/>
                <w:szCs w:val="24"/>
              </w:rPr>
            </w:pPr>
          </w:p>
          <w:p w14:paraId="447F6A38">
            <w:pPr>
              <w:pStyle w:val="2"/>
              <w:rPr>
                <w:rFonts w:hint="default" w:ascii="Times New Roman" w:hAnsi="Times New Roman" w:cs="Times New Roman"/>
                <w:color w:val="auto"/>
                <w:kern w:val="0"/>
                <w:sz w:val="24"/>
                <w:szCs w:val="24"/>
              </w:rPr>
            </w:pPr>
          </w:p>
          <w:p w14:paraId="7B66B5CB">
            <w:pPr>
              <w:rPr>
                <w:rFonts w:hint="default" w:ascii="Times New Roman" w:hAnsi="Times New Roman" w:cs="Times New Roman"/>
                <w:color w:val="auto"/>
                <w:kern w:val="0"/>
                <w:sz w:val="24"/>
                <w:szCs w:val="24"/>
              </w:rPr>
            </w:pPr>
          </w:p>
          <w:p w14:paraId="3DD532AA">
            <w:pPr>
              <w:pStyle w:val="2"/>
              <w:rPr>
                <w:rFonts w:hint="default" w:ascii="Times New Roman" w:hAnsi="Times New Roman" w:cs="Times New Roman"/>
                <w:color w:val="auto"/>
                <w:kern w:val="0"/>
                <w:sz w:val="24"/>
                <w:szCs w:val="24"/>
              </w:rPr>
            </w:pPr>
          </w:p>
          <w:p w14:paraId="1FF0F929">
            <w:pPr>
              <w:rPr>
                <w:rFonts w:hint="default" w:ascii="Times New Roman" w:hAnsi="Times New Roman" w:cs="Times New Roman"/>
                <w:color w:val="auto"/>
                <w:kern w:val="0"/>
                <w:sz w:val="24"/>
                <w:szCs w:val="24"/>
              </w:rPr>
            </w:pPr>
          </w:p>
          <w:p w14:paraId="022656BA">
            <w:pPr>
              <w:pStyle w:val="2"/>
              <w:rPr>
                <w:rFonts w:hint="default" w:ascii="Times New Roman" w:hAnsi="Times New Roman" w:cs="Times New Roman"/>
                <w:color w:val="auto"/>
                <w:kern w:val="0"/>
                <w:sz w:val="24"/>
                <w:szCs w:val="24"/>
              </w:rPr>
            </w:pPr>
          </w:p>
          <w:p w14:paraId="02381030">
            <w:pPr>
              <w:rPr>
                <w:rFonts w:hint="default" w:ascii="Times New Roman" w:hAnsi="Times New Roman" w:cs="Times New Roman"/>
                <w:color w:val="auto"/>
                <w:kern w:val="0"/>
                <w:sz w:val="24"/>
                <w:szCs w:val="24"/>
              </w:rPr>
            </w:pPr>
          </w:p>
          <w:p w14:paraId="5856B911">
            <w:pPr>
              <w:pStyle w:val="2"/>
              <w:rPr>
                <w:rFonts w:hint="default" w:ascii="Times New Roman" w:hAnsi="Times New Roman" w:cs="Times New Roman"/>
                <w:color w:val="auto"/>
                <w:kern w:val="0"/>
                <w:sz w:val="24"/>
                <w:szCs w:val="24"/>
              </w:rPr>
            </w:pPr>
          </w:p>
          <w:p w14:paraId="74FAEBE4">
            <w:pPr>
              <w:pStyle w:val="2"/>
              <w:ind w:left="0" w:leftChars="0" w:firstLine="0" w:firstLineChars="0"/>
              <w:rPr>
                <w:rFonts w:hint="default"/>
                <w:lang w:val="en-US" w:eastAsia="zh-CN"/>
              </w:rPr>
            </w:pPr>
          </w:p>
        </w:tc>
      </w:tr>
    </w:tbl>
    <w:p w14:paraId="6472326A">
      <w:pPr>
        <w:pStyle w:val="21"/>
        <w:jc w:val="center"/>
        <w:outlineLvl w:val="0"/>
        <w:rPr>
          <w:rFonts w:hint="default" w:ascii="Times New Roman" w:hAnsi="Times New Roman" w:eastAsia="黑体" w:cs="Times New Roman"/>
          <w:snapToGrid w:val="0"/>
          <w:color w:val="auto"/>
          <w:sz w:val="30"/>
          <w:szCs w:val="30"/>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bookmarkStart w:id="19" w:name="_Toc12113"/>
    </w:p>
    <w:p w14:paraId="5D54BEEB">
      <w:pPr>
        <w:pStyle w:val="21"/>
        <w:jc w:val="center"/>
        <w:outlineLvl w:val="0"/>
        <w:rPr>
          <w:rFonts w:hint="default" w:ascii="Times New Roman" w:hAnsi="Times New Roman" w:eastAsia="黑体" w:cs="Times New Roman"/>
          <w:snapToGrid w:val="0"/>
          <w:color w:val="auto"/>
          <w:sz w:val="30"/>
          <w:szCs w:val="30"/>
        </w:rPr>
      </w:pPr>
      <w:r>
        <w:rPr>
          <w:rFonts w:hint="default" w:ascii="Times New Roman" w:hAnsi="Times New Roman" w:eastAsia="黑体" w:cs="Times New Roman"/>
          <w:snapToGrid w:val="0"/>
          <w:color w:val="auto"/>
          <w:sz w:val="30"/>
          <w:szCs w:val="30"/>
        </w:rPr>
        <w:t>五、主要生态环境保护措施</w:t>
      </w:r>
      <w:bookmarkEnd w:id="19"/>
    </w:p>
    <w:tbl>
      <w:tblPr>
        <w:tblStyle w:val="24"/>
        <w:tblW w:w="921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53"/>
        <w:gridCol w:w="8457"/>
      </w:tblGrid>
      <w:tr w14:paraId="5D10A0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753" w:type="dxa"/>
            <w:tcMar>
              <w:left w:w="28" w:type="dxa"/>
              <w:right w:w="28" w:type="dxa"/>
            </w:tcMar>
            <w:vAlign w:val="center"/>
          </w:tcPr>
          <w:p w14:paraId="005FDD27">
            <w:pPr>
              <w:adjustRightInd w:val="0"/>
              <w:snapToGrid w:val="0"/>
              <w:jc w:val="center"/>
              <w:rPr>
                <w:rFonts w:hint="default" w:ascii="Times New Roman" w:hAnsi="Times New Roman" w:cs="Times New Roman" w:eastAsiaTheme="minorEastAsia"/>
                <w:bCs/>
                <w:color w:val="auto"/>
                <w:szCs w:val="21"/>
              </w:rPr>
            </w:pPr>
            <w:r>
              <w:rPr>
                <w:rFonts w:hint="default" w:ascii="Times New Roman" w:hAnsi="Times New Roman" w:cs="Times New Roman" w:eastAsiaTheme="minorEastAsia"/>
                <w:bCs/>
                <w:color w:val="auto"/>
                <w:spacing w:val="10"/>
                <w:szCs w:val="21"/>
              </w:rPr>
              <w:t>施工期生态环境保护措施</w:t>
            </w:r>
          </w:p>
        </w:tc>
        <w:tc>
          <w:tcPr>
            <w:tcW w:w="8457" w:type="dxa"/>
          </w:tcPr>
          <w:p w14:paraId="57D400BA">
            <w:pPr>
              <w:spacing w:before="120" w:beforeLines="50" w:line="360" w:lineRule="auto"/>
              <w:ind w:firstLine="420" w:firstLineChars="200"/>
              <w:rPr>
                <w:rFonts w:hint="default" w:ascii="Times New Roman" w:hAnsi="Times New Roman" w:cs="Times New Roman"/>
                <w:color w:val="auto"/>
                <w:sz w:val="24"/>
                <w:szCs w:val="24"/>
                <w:highlight w:val="none"/>
              </w:rPr>
            </w:pPr>
            <w:r>
              <w:rPr>
                <w:rFonts w:hint="eastAsia" w:cs="Times New Roman"/>
                <w:color w:val="auto"/>
                <w:highlight w:val="none"/>
                <w:lang w:val="en-US" w:eastAsia="zh-CN"/>
              </w:rPr>
              <w:t>青年水</w:t>
            </w:r>
            <w:r>
              <w:rPr>
                <w:rFonts w:hint="eastAsia" w:cs="Times New Roman"/>
                <w:color w:val="auto"/>
                <w:sz w:val="24"/>
                <w:szCs w:val="24"/>
                <w:highlight w:val="none"/>
                <w:lang w:val="en-US" w:eastAsia="zh-CN"/>
              </w:rPr>
              <w:t>库</w:t>
            </w:r>
            <w:r>
              <w:rPr>
                <w:rFonts w:hint="default" w:ascii="Times New Roman" w:hAnsi="Times New Roman" w:cs="Times New Roman"/>
                <w:color w:val="auto"/>
                <w:sz w:val="24"/>
                <w:szCs w:val="24"/>
                <w:highlight w:val="none"/>
              </w:rPr>
              <w:t>电站增效扩容改造</w:t>
            </w:r>
            <w:r>
              <w:rPr>
                <w:rFonts w:hint="default" w:ascii="Times New Roman" w:hAnsi="Times New Roman" w:cs="Times New Roman"/>
                <w:color w:val="auto"/>
                <w:sz w:val="24"/>
                <w:szCs w:val="24"/>
                <w:highlight w:val="none"/>
                <w:lang w:val="en-US" w:eastAsia="zh-CN"/>
              </w:rPr>
              <w:t>工程</w:t>
            </w:r>
            <w:r>
              <w:rPr>
                <w:rFonts w:hint="default" w:ascii="Times New Roman" w:hAnsi="Times New Roman" w:eastAsia="宋体" w:cs="Times New Roman"/>
                <w:color w:val="auto"/>
                <w:kern w:val="0"/>
                <w:sz w:val="24"/>
                <w:szCs w:val="24"/>
                <w:lang w:val="en-US" w:eastAsia="zh-CN"/>
              </w:rPr>
              <w:t>于</w:t>
            </w:r>
            <w:r>
              <w:rPr>
                <w:rFonts w:hint="default" w:ascii="Times New Roman" w:hAnsi="Times New Roman" w:eastAsia="宋体" w:cs="Times New Roman"/>
                <w:bCs/>
                <w:color w:val="auto"/>
                <w:sz w:val="24"/>
                <w:szCs w:val="24"/>
                <w:highlight w:val="none"/>
                <w:lang w:val="en-US" w:eastAsia="zh-CN"/>
              </w:rPr>
              <w:t>2015年10月</w:t>
            </w:r>
            <w:r>
              <w:rPr>
                <w:rFonts w:hint="default" w:ascii="Times New Roman" w:hAnsi="Times New Roman" w:eastAsia="宋体" w:cs="Times New Roman"/>
                <w:color w:val="auto"/>
                <w:kern w:val="0"/>
                <w:sz w:val="24"/>
                <w:szCs w:val="24"/>
                <w:lang w:val="en-US" w:eastAsia="zh-CN"/>
              </w:rPr>
              <w:t>完工</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至今</w:t>
            </w:r>
            <w:r>
              <w:rPr>
                <w:rFonts w:hint="default" w:ascii="Times New Roman" w:hAnsi="Times New Roman" w:cs="Times New Roman"/>
                <w:color w:val="auto"/>
                <w:sz w:val="24"/>
                <w:szCs w:val="24"/>
                <w:highlight w:val="none"/>
              </w:rPr>
              <w:t>已运行</w:t>
            </w:r>
            <w:r>
              <w:rPr>
                <w:rFonts w:hint="eastAsia" w:cs="Times New Roman"/>
                <w:color w:val="auto"/>
                <w:sz w:val="24"/>
                <w:szCs w:val="24"/>
                <w:highlight w:val="none"/>
                <w:lang w:val="en-US" w:eastAsia="zh-CN"/>
              </w:rPr>
              <w:t>7</w:t>
            </w:r>
            <w:r>
              <w:rPr>
                <w:rFonts w:hint="default" w:ascii="Times New Roman" w:hAnsi="Times New Roman" w:cs="Times New Roman"/>
                <w:color w:val="auto"/>
                <w:sz w:val="24"/>
                <w:szCs w:val="24"/>
                <w:highlight w:val="none"/>
              </w:rPr>
              <w:t>年</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2022年至今停机状态）</w:t>
            </w:r>
            <w:r>
              <w:rPr>
                <w:rFonts w:hint="default" w:ascii="Times New Roman" w:hAnsi="Times New Roman" w:cs="Times New Roman"/>
                <w:color w:val="auto"/>
                <w:sz w:val="24"/>
                <w:szCs w:val="24"/>
                <w:highlight w:val="none"/>
              </w:rPr>
              <w:t>；原施工期环境影响已经不复存在，现状调查中除永久建筑外，基本看不到施工迹地的存在。通过对周边群众和有关部门走访调查，也没有施工期环境影响造成环境损害的投诉发生。本次</w:t>
            </w:r>
            <w:r>
              <w:rPr>
                <w:rFonts w:hint="default" w:ascii="Times New Roman" w:hAnsi="Times New Roman" w:cs="Times New Roman"/>
                <w:color w:val="auto"/>
                <w:sz w:val="24"/>
                <w:szCs w:val="24"/>
                <w:highlight w:val="none"/>
                <w:lang w:val="en-US" w:eastAsia="zh-CN"/>
              </w:rPr>
              <w:t>环境影响评价</w:t>
            </w:r>
            <w:r>
              <w:rPr>
                <w:rFonts w:hint="default" w:ascii="Times New Roman" w:hAnsi="Times New Roman" w:cs="Times New Roman"/>
                <w:color w:val="auto"/>
                <w:sz w:val="24"/>
                <w:szCs w:val="24"/>
                <w:highlight w:val="none"/>
              </w:rPr>
              <w:t>在回顾施工期环保措施的基础上，重点针对运行期的环保措施进行有效性评价。工程施工期已经实施的环保措施主要包括：生活污水收集拉运措施、建筑垃圾和生活垃圾收集处置措施、防尘降噪工艺优化措施、洒水降尘措施等。</w:t>
            </w:r>
          </w:p>
          <w:p w14:paraId="02E4B979">
            <w:pPr>
              <w:spacing w:line="360" w:lineRule="auto"/>
              <w:ind w:firstLine="482" w:firstLineChars="200"/>
              <w:rPr>
                <w:rFonts w:hint="default" w:ascii="Times New Roman" w:hAnsi="Times New Roman" w:cs="Times New Roman"/>
                <w:b/>
                <w:bCs/>
                <w:color w:val="auto"/>
                <w:kern w:val="0"/>
                <w:sz w:val="24"/>
                <w:szCs w:val="24"/>
              </w:rPr>
            </w:pPr>
            <w:r>
              <w:rPr>
                <w:rFonts w:hint="default" w:ascii="Times New Roman" w:hAnsi="Times New Roman" w:cs="Times New Roman"/>
                <w:b/>
                <w:bCs/>
                <w:color w:val="auto"/>
                <w:sz w:val="24"/>
                <w:szCs w:val="24"/>
                <w:highlight w:val="none"/>
                <w:lang w:val="en-US" w:eastAsia="zh-CN"/>
              </w:rPr>
              <w:t>1.</w:t>
            </w:r>
            <w:r>
              <w:rPr>
                <w:rFonts w:hint="default" w:ascii="Times New Roman" w:hAnsi="Times New Roman" w:cs="Times New Roman"/>
                <w:b/>
                <w:bCs/>
                <w:color w:val="auto"/>
                <w:kern w:val="0"/>
                <w:sz w:val="24"/>
                <w:szCs w:val="24"/>
                <w:lang w:val="en-US" w:eastAsia="zh-CN"/>
              </w:rPr>
              <w:t>水</w:t>
            </w:r>
            <w:r>
              <w:rPr>
                <w:rFonts w:hint="default" w:ascii="Times New Roman" w:hAnsi="Times New Roman" w:cs="Times New Roman"/>
                <w:b/>
                <w:bCs/>
                <w:color w:val="auto"/>
                <w:kern w:val="0"/>
                <w:sz w:val="24"/>
                <w:szCs w:val="24"/>
              </w:rPr>
              <w:t>环境保护措施</w:t>
            </w:r>
          </w:p>
          <w:p w14:paraId="74BDD9E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现场未设置混凝土拌合系统和机械维修厂，施工期废水主要来源于施工人员生活污水。施工期施工人员生活污水定期清淘，外运堆肥，不排入附近水体。</w:t>
            </w:r>
          </w:p>
          <w:p w14:paraId="1B334680">
            <w:pPr>
              <w:spacing w:line="360" w:lineRule="auto"/>
              <w:ind w:firstLine="482" w:firstLineChars="200"/>
              <w:rPr>
                <w:rFonts w:hint="default" w:ascii="Times New Roman" w:hAnsi="Times New Roman" w:cs="Times New Roman"/>
                <w:b/>
                <w:bCs/>
                <w:color w:val="auto"/>
                <w:kern w:val="0"/>
                <w:sz w:val="24"/>
                <w:szCs w:val="24"/>
              </w:rPr>
            </w:pPr>
            <w:r>
              <w:rPr>
                <w:rFonts w:hint="default" w:ascii="Times New Roman" w:hAnsi="Times New Roman" w:cs="Times New Roman"/>
                <w:b/>
                <w:bCs/>
                <w:color w:val="auto"/>
                <w:sz w:val="24"/>
                <w:szCs w:val="24"/>
                <w:highlight w:val="none"/>
                <w:lang w:val="en-US" w:eastAsia="zh-CN"/>
              </w:rPr>
              <w:t>2.</w:t>
            </w:r>
            <w:r>
              <w:rPr>
                <w:rFonts w:hint="default" w:ascii="Times New Roman" w:hAnsi="Times New Roman" w:cs="Times New Roman"/>
                <w:b/>
                <w:bCs/>
                <w:color w:val="auto"/>
                <w:kern w:val="0"/>
                <w:sz w:val="24"/>
                <w:szCs w:val="24"/>
                <w:lang w:val="en-US" w:eastAsia="zh-CN"/>
              </w:rPr>
              <w:t>生态</w:t>
            </w:r>
            <w:r>
              <w:rPr>
                <w:rFonts w:hint="default" w:ascii="Times New Roman" w:hAnsi="Times New Roman" w:cs="Times New Roman"/>
                <w:b/>
                <w:bCs/>
                <w:color w:val="auto"/>
                <w:kern w:val="0"/>
                <w:sz w:val="24"/>
                <w:szCs w:val="24"/>
              </w:rPr>
              <w:t>环境保护措施</w:t>
            </w:r>
          </w:p>
          <w:p w14:paraId="5A30621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（1）陆生生态</w:t>
            </w:r>
          </w:p>
          <w:p w14:paraId="213E5DA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①优化施工方案，合理安排施工进度，避开雨天施工；</w:t>
            </w:r>
          </w:p>
          <w:p w14:paraId="1D7C2BF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②严格控制施工占地，减少对地表植被的破坏；在施工过程中，严格按照设计和施工规划，将各种施工活动严格控制在施工区域内，以免破坏本区的生态环境；</w:t>
            </w:r>
          </w:p>
          <w:p w14:paraId="0438096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③施工期采取措施抑制施工扬尘，减轻对植被生长的影响；</w:t>
            </w:r>
          </w:p>
          <w:p w14:paraId="5630FFA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④本项目影响范围内无保护动植物，最大程度降低对区域野生动植物资源的影响。</w:t>
            </w:r>
          </w:p>
          <w:p w14:paraId="187A9585">
            <w:pPr>
              <w:pStyle w:val="2"/>
              <w:rPr>
                <w:rFonts w:hint="default" w:ascii="Times New Roman" w:hAnsi="Times New Roman" w:cs="Times New Roman"/>
                <w:color w:val="auto"/>
                <w:sz w:val="24"/>
                <w:szCs w:val="24"/>
                <w:lang w:val="en-US" w:eastAsia="zh-CN"/>
              </w:rPr>
            </w:pPr>
            <w:r>
              <w:rPr>
                <w:rFonts w:hint="default" w:ascii="Times New Roman" w:hAnsi="Times New Roman" w:eastAsia="宋体" w:cs="Times New Roman"/>
                <w:color w:val="auto"/>
                <w:kern w:val="0"/>
                <w:sz w:val="24"/>
                <w:szCs w:val="24"/>
                <w:vertAlign w:val="baseline"/>
                <w:lang w:val="en-US" w:eastAsia="zh-CN" w:bidi="ar"/>
              </w:rPr>
              <w:t>本次增效扩容工程量较小，</w:t>
            </w:r>
            <w:r>
              <w:rPr>
                <w:rFonts w:hint="default" w:ascii="Times New Roman" w:hAnsi="Times New Roman" w:cs="Times New Roman"/>
                <w:color w:val="auto"/>
                <w:kern w:val="0"/>
                <w:sz w:val="24"/>
                <w:szCs w:val="24"/>
                <w:vertAlign w:val="baseline"/>
                <w:lang w:val="en-US" w:eastAsia="zh-CN" w:bidi="ar"/>
              </w:rPr>
              <w:t>无临时占地，未设置弃土场、取土场</w:t>
            </w:r>
            <w:r>
              <w:rPr>
                <w:rFonts w:hint="default" w:ascii="Times New Roman" w:hAnsi="Times New Roman" w:eastAsia="宋体" w:cs="Times New Roman"/>
                <w:color w:val="auto"/>
                <w:kern w:val="0"/>
                <w:sz w:val="24"/>
                <w:szCs w:val="24"/>
                <w:vertAlign w:val="baseline"/>
                <w:lang w:val="en-US" w:eastAsia="zh-CN" w:bidi="ar"/>
              </w:rPr>
              <w:t>。</w:t>
            </w:r>
            <w:r>
              <w:rPr>
                <w:rFonts w:hint="eastAsia" w:ascii="Times New Roman" w:hAnsi="Times New Roman" w:cs="Times New Roman"/>
                <w:color w:val="auto"/>
                <w:kern w:val="0"/>
                <w:sz w:val="24"/>
                <w:szCs w:val="24"/>
                <w:vertAlign w:val="baseline"/>
                <w:lang w:val="en-US" w:eastAsia="zh-CN" w:bidi="ar"/>
              </w:rPr>
              <w:t>目前</w:t>
            </w:r>
            <w:r>
              <w:rPr>
                <w:rFonts w:hint="default" w:ascii="Times New Roman" w:hAnsi="Times New Roman" w:eastAsia="宋体" w:cs="Times New Roman"/>
                <w:color w:val="auto"/>
                <w:kern w:val="0"/>
                <w:sz w:val="24"/>
                <w:szCs w:val="24"/>
                <w:vertAlign w:val="baseline"/>
                <w:lang w:val="en-US" w:eastAsia="zh-CN" w:bidi="ar"/>
              </w:rPr>
              <w:t>项目</w:t>
            </w:r>
            <w:r>
              <w:rPr>
                <w:rFonts w:hint="eastAsia" w:ascii="Times New Roman" w:hAnsi="Times New Roman" w:cs="Times New Roman"/>
                <w:color w:val="auto"/>
                <w:kern w:val="0"/>
                <w:sz w:val="24"/>
                <w:szCs w:val="24"/>
                <w:vertAlign w:val="baseline"/>
                <w:lang w:val="en-US" w:eastAsia="zh-CN" w:bidi="ar"/>
              </w:rPr>
              <w:t>已施工结束并运行多年</w:t>
            </w:r>
            <w:r>
              <w:rPr>
                <w:rFonts w:hint="default" w:ascii="Times New Roman" w:hAnsi="Times New Roman" w:eastAsia="宋体" w:cs="Times New Roman"/>
                <w:color w:val="auto"/>
                <w:kern w:val="0"/>
                <w:sz w:val="24"/>
                <w:szCs w:val="24"/>
                <w:vertAlign w:val="baseline"/>
                <w:lang w:val="en-US" w:eastAsia="zh-CN" w:bidi="ar"/>
              </w:rPr>
              <w:t>，厂区空闲区域</w:t>
            </w:r>
            <w:r>
              <w:rPr>
                <w:rFonts w:hint="default" w:ascii="Times New Roman" w:hAnsi="Times New Roman" w:cs="Times New Roman"/>
                <w:color w:val="auto"/>
                <w:kern w:val="0"/>
                <w:sz w:val="24"/>
                <w:szCs w:val="24"/>
                <w:vertAlign w:val="baseline"/>
                <w:lang w:val="en-US" w:eastAsia="zh-CN" w:bidi="ar"/>
              </w:rPr>
              <w:t>均</w:t>
            </w:r>
            <w:r>
              <w:rPr>
                <w:rFonts w:hint="default" w:ascii="Times New Roman" w:hAnsi="Times New Roman" w:eastAsia="宋体" w:cs="Times New Roman"/>
                <w:color w:val="auto"/>
                <w:kern w:val="0"/>
                <w:sz w:val="24"/>
                <w:szCs w:val="24"/>
                <w:vertAlign w:val="baseline"/>
                <w:lang w:val="en-US" w:eastAsia="zh-CN" w:bidi="ar"/>
              </w:rPr>
              <w:t>设置景观绿化，无明显地表裸露区域。</w:t>
            </w:r>
          </w:p>
          <w:p w14:paraId="4AEA60C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（2）水生生态</w:t>
            </w:r>
          </w:p>
          <w:p w14:paraId="0EB515A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①项目严格优化施工组织设计，制定了科学有序的施工流程并全面执行；结合流域水文特征，将施工期安排在</w:t>
            </w:r>
            <w:r>
              <w:rPr>
                <w:rFonts w:hint="eastAsia" w:cs="Times New Roman"/>
                <w:color w:val="auto"/>
                <w:sz w:val="24"/>
                <w:szCs w:val="24"/>
                <w:highlight w:val="none"/>
                <w:lang w:val="en-US" w:eastAsia="zh-CN"/>
              </w:rPr>
              <w:t>当年</w:t>
            </w:r>
            <w:r>
              <w:rPr>
                <w:rFonts w:hint="default" w:ascii="Times New Roman" w:hAnsi="Times New Roman" w:cs="Times New Roman"/>
                <w:color w:val="auto"/>
                <w:sz w:val="24"/>
                <w:szCs w:val="24"/>
                <w:highlight w:val="none"/>
                <w:lang w:val="en-US" w:eastAsia="zh-CN"/>
              </w:rPr>
              <w:t>9月</w:t>
            </w:r>
            <w:r>
              <w:rPr>
                <w:rFonts w:hint="eastAsia" w:cs="Times New Roman"/>
                <w:color w:val="auto"/>
                <w:sz w:val="24"/>
                <w:szCs w:val="24"/>
                <w:highlight w:val="none"/>
                <w:lang w:val="en-US" w:eastAsia="zh-CN"/>
              </w:rPr>
              <w:t>至次年</w:t>
            </w:r>
            <w:r>
              <w:rPr>
                <w:rFonts w:hint="default" w:ascii="Times New Roman" w:hAnsi="Times New Roman" w:cs="Times New Roman"/>
                <w:color w:val="auto"/>
                <w:sz w:val="24"/>
                <w:szCs w:val="24"/>
                <w:highlight w:val="none"/>
                <w:lang w:val="en-US" w:eastAsia="zh-CN"/>
              </w:rPr>
              <w:t>10月</w:t>
            </w:r>
            <w:r>
              <w:rPr>
                <w:rFonts w:hint="eastAsia" w:cs="Times New Roman"/>
                <w:color w:val="auto"/>
                <w:sz w:val="24"/>
                <w:szCs w:val="24"/>
                <w:highlight w:val="none"/>
                <w:lang w:val="en-US" w:eastAsia="zh-CN"/>
              </w:rPr>
              <w:t>，集中在枯水期</w:t>
            </w:r>
            <w:r>
              <w:rPr>
                <w:rFonts w:hint="default" w:ascii="Times New Roman" w:hAnsi="Times New Roman" w:cs="Times New Roman"/>
                <w:color w:val="auto"/>
                <w:sz w:val="24"/>
                <w:szCs w:val="24"/>
                <w:highlight w:val="none"/>
                <w:lang w:val="en-US" w:eastAsia="zh-CN"/>
              </w:rPr>
              <w:t>，施工期间未发生水体浑浊、泥沙扩散等影响水环境的情况。</w:t>
            </w:r>
          </w:p>
          <w:p w14:paraId="3FAB358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②施工全过程充分考虑区域鱼类生长繁殖特性，针对性采用低噪音作业工艺，全面配备低噪声施工设备，关键施工阶段（如鱼类产卵期、幼苗生长期）进一步优化作业时段与强度，有效降低了施工噪声对水生生物的干扰，为区域鱼类及其他水生生物营造了稳定的生长繁殖环境，未出现水生生物异常避让或栖息地受影响的现象。</w:t>
            </w:r>
          </w:p>
          <w:p w14:paraId="629ADEB2">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3.大气环境保护措施</w:t>
            </w:r>
          </w:p>
          <w:p w14:paraId="49692A95">
            <w:pPr>
              <w:pStyle w:val="2"/>
              <w:rPr>
                <w:rFonts w:hint="default" w:ascii="Times New Roman" w:hAnsi="Times New Roman" w:cs="Times New Roman"/>
                <w:color w:val="auto"/>
                <w:kern w:val="0"/>
                <w:sz w:val="24"/>
                <w:szCs w:val="24"/>
                <w:vertAlign w:val="baseline"/>
                <w:lang w:val="en-US" w:eastAsia="zh-CN" w:bidi="ar"/>
              </w:rPr>
            </w:pPr>
            <w:r>
              <w:rPr>
                <w:rFonts w:hint="default" w:ascii="Times New Roman" w:hAnsi="Times New Roman" w:cs="Times New Roman"/>
                <w:color w:val="auto"/>
                <w:kern w:val="0"/>
                <w:sz w:val="24"/>
                <w:szCs w:val="24"/>
                <w:vertAlign w:val="baseline"/>
                <w:lang w:val="en-US" w:eastAsia="zh-CN" w:bidi="ar"/>
              </w:rPr>
              <w:t>①施工期间，针对施工场地、进出道路易产生扬尘的问题，全面落实人工洒水降尘措施，根据天气干燥程度、作业强度合理调整洒水频次，确保场地及道路始终保持湿润状态，有效抑制了施工扬尘扩散，避免了扬尘对周边空气环境的影响；</w:t>
            </w:r>
          </w:p>
          <w:p w14:paraId="2FD410AE">
            <w:pPr>
              <w:pStyle w:val="2"/>
              <w:rPr>
                <w:rFonts w:hint="default" w:ascii="Times New Roman" w:hAnsi="Times New Roman" w:cs="Times New Roman"/>
                <w:color w:val="auto"/>
                <w:kern w:val="0"/>
                <w:sz w:val="24"/>
                <w:szCs w:val="24"/>
                <w:vertAlign w:val="baseline"/>
                <w:lang w:val="en-US" w:eastAsia="zh-CN" w:bidi="ar"/>
              </w:rPr>
            </w:pPr>
            <w:r>
              <w:rPr>
                <w:rFonts w:hint="default" w:ascii="Times New Roman" w:hAnsi="Times New Roman" w:cs="Times New Roman"/>
                <w:color w:val="auto"/>
                <w:kern w:val="0"/>
                <w:sz w:val="24"/>
                <w:szCs w:val="24"/>
                <w:vertAlign w:val="baseline"/>
                <w:lang w:val="en-US" w:eastAsia="zh-CN" w:bidi="ar"/>
              </w:rPr>
              <w:t xml:space="preserve">②对于水泥、砂石等易产生遗洒和扬尘的物料，在运输、装卸全过程严格采取篷布密封覆盖措施，同时规范装卸操作流程，避免物料散落遗洒，有效控制了沿途及作业区的粉尘污染，未发生物料遗洒影响周边环境的情况； </w:t>
            </w:r>
          </w:p>
          <w:p w14:paraId="33342A19">
            <w:pPr>
              <w:pStyle w:val="2"/>
              <w:rPr>
                <w:rFonts w:hint="default" w:ascii="Times New Roman" w:hAnsi="Times New Roman" w:cs="Times New Roman"/>
                <w:b/>
                <w:bCs/>
                <w:color w:val="auto"/>
                <w:sz w:val="24"/>
                <w:szCs w:val="24"/>
                <w:highlight w:val="none"/>
                <w:lang w:val="en-US" w:eastAsia="zh-CN"/>
              </w:rPr>
            </w:pPr>
            <w:r>
              <w:rPr>
                <w:rFonts w:hint="default" w:ascii="Times New Roman" w:hAnsi="Times New Roman" w:cs="Times New Roman"/>
                <w:color w:val="auto"/>
                <w:kern w:val="0"/>
                <w:sz w:val="24"/>
                <w:szCs w:val="24"/>
                <w:vertAlign w:val="baseline"/>
                <w:lang w:val="en-US" w:eastAsia="zh-CN" w:bidi="ar"/>
              </w:rPr>
              <w:t>③进场施工机械及运输设备均优先选用燃烧效率高、环保达标型设备，施工期间建立了完善的设备维修保养制度，定期对各类设备进行检查、维护与保养，确保设备始终处于良好运行状态，最大限度减少了尾气中污染物的排放量，符合施工现场环保管控要求。</w:t>
            </w:r>
          </w:p>
          <w:p w14:paraId="1DEAFFF4">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4.声环境保护措施</w:t>
            </w:r>
          </w:p>
          <w:p w14:paraId="6470C7D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①施工期间严格落实噪声管控要求，科学合理安排施工时间，全程未进行夜间施工；同时制定了详细的分段施工计划，通过优化作业流程、合理调配设备，尽可能避免大量高噪声设备集中同步施工，施工全过程未收到噪声相关投诉。</w:t>
            </w:r>
          </w:p>
          <w:p w14:paraId="75E6BD8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②施工单位对设备及时维修和保养，保持机械润滑，降低运行噪声，振动较大的机械设备使用减振机座</w:t>
            </w:r>
            <w:r>
              <w:rPr>
                <w:rFonts w:hint="default" w:ascii="Times New Roman" w:hAnsi="Times New Roman" w:cs="Times New Roman"/>
                <w:color w:val="auto"/>
                <w:kern w:val="0"/>
                <w:sz w:val="24"/>
                <w:szCs w:val="24"/>
              </w:rPr>
              <w:t>。</w:t>
            </w:r>
          </w:p>
          <w:p w14:paraId="4BD61F02">
            <w:pPr>
              <w:spacing w:line="360" w:lineRule="auto"/>
              <w:ind w:firstLine="482" w:firstLineChars="200"/>
              <w:rPr>
                <w:rFonts w:hint="default" w:ascii="Times New Roman" w:hAnsi="Times New Roman" w:cs="Times New Roman"/>
                <w:color w:val="auto"/>
                <w:sz w:val="24"/>
                <w:szCs w:val="24"/>
                <w:lang w:val="en-US" w:eastAsia="zh-CN"/>
              </w:rPr>
            </w:pPr>
            <w:r>
              <w:rPr>
                <w:rFonts w:hint="default" w:ascii="Times New Roman" w:hAnsi="Times New Roman" w:cs="Times New Roman"/>
                <w:b/>
                <w:bCs/>
                <w:color w:val="auto"/>
                <w:sz w:val="24"/>
                <w:szCs w:val="24"/>
                <w:highlight w:val="none"/>
                <w:lang w:val="en-US" w:eastAsia="zh-CN"/>
              </w:rPr>
              <w:t>5.固体废物处置措施</w:t>
            </w:r>
          </w:p>
          <w:p w14:paraId="6507BA4A">
            <w:pPr>
              <w:spacing w:line="360" w:lineRule="auto"/>
              <w:ind w:firstLine="480" w:firstLineChars="200"/>
              <w:rPr>
                <w:rFonts w:hint="default" w:ascii="Times New Roman" w:hAnsi="Times New Roman" w:cs="Times New Roman"/>
                <w:color w:val="auto"/>
                <w:kern w:val="0"/>
                <w:sz w:val="24"/>
                <w:szCs w:val="24"/>
              </w:rPr>
            </w:pPr>
            <w:bookmarkStart w:id="20" w:name="_Toc15884323"/>
            <w:r>
              <w:rPr>
                <w:rFonts w:hint="default" w:ascii="Times New Roman" w:hAnsi="Times New Roman" w:cs="Times New Roman"/>
                <w:color w:val="auto"/>
                <w:kern w:val="0"/>
                <w:sz w:val="24"/>
                <w:szCs w:val="24"/>
              </w:rPr>
              <w:t>①工程施工期产生的建筑垃圾主要为废弃的</w:t>
            </w:r>
            <w:r>
              <w:rPr>
                <w:rFonts w:hint="default" w:ascii="Times New Roman" w:hAnsi="Times New Roman" w:cs="Times New Roman"/>
                <w:color w:val="auto"/>
                <w:kern w:val="0"/>
                <w:sz w:val="24"/>
                <w:szCs w:val="24"/>
                <w:lang w:eastAsia="zh-CN"/>
              </w:rPr>
              <w:t>砂石</w:t>
            </w:r>
            <w:r>
              <w:rPr>
                <w:rFonts w:hint="default" w:ascii="Times New Roman" w:hAnsi="Times New Roman" w:cs="Times New Roman"/>
                <w:color w:val="auto"/>
                <w:kern w:val="0"/>
                <w:sz w:val="24"/>
                <w:szCs w:val="24"/>
              </w:rPr>
              <w:t>、水泥木屑、碎木块、水泥袋、废纤维、碎玻璃、废金属等。对建筑垃圾可利用的部分进行回收利用或外售，无法回收的</w:t>
            </w:r>
            <w:r>
              <w:rPr>
                <w:rFonts w:hint="default" w:ascii="Times New Roman" w:hAnsi="Times New Roman" w:cs="Times New Roman"/>
                <w:color w:val="auto"/>
                <w:kern w:val="0"/>
                <w:sz w:val="24"/>
                <w:szCs w:val="24"/>
                <w:lang w:val="en-US" w:eastAsia="zh-CN"/>
              </w:rPr>
              <w:t>已</w:t>
            </w:r>
            <w:r>
              <w:rPr>
                <w:rFonts w:hint="default" w:ascii="Times New Roman" w:hAnsi="Times New Roman" w:cs="Times New Roman"/>
                <w:color w:val="auto"/>
                <w:kern w:val="0"/>
                <w:sz w:val="24"/>
                <w:szCs w:val="24"/>
              </w:rPr>
              <w:t>运至城镇垃圾处置场填埋处置。</w:t>
            </w:r>
          </w:p>
          <w:p w14:paraId="3796CFBA">
            <w:pPr>
              <w:spacing w:line="360" w:lineRule="auto"/>
              <w:ind w:firstLine="480" w:firstLineChars="200"/>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rPr>
              <w:t>②生活垃圾收集后定期运至周边村屯垃圾收集点交由环卫部门处置。</w:t>
            </w:r>
          </w:p>
          <w:p w14:paraId="7A3B6FDD">
            <w:pPr>
              <w:pStyle w:val="2"/>
              <w:rPr>
                <w:rFonts w:hint="eastAsia" w:ascii="Times New Roman" w:hAnsi="Times New Roman" w:eastAsia="宋体" w:cs="Times New Roman"/>
                <w:color w:val="auto"/>
                <w:kern w:val="0"/>
                <w:sz w:val="24"/>
                <w:szCs w:val="24"/>
                <w:vertAlign w:val="baseline"/>
                <w:lang w:val="en-US" w:eastAsia="zh-CN" w:bidi="ar"/>
              </w:rPr>
            </w:pPr>
            <w:r>
              <w:rPr>
                <w:rFonts w:hint="default" w:ascii="Times New Roman" w:hAnsi="Times New Roman" w:cs="Times New Roman"/>
                <w:color w:val="auto"/>
                <w:kern w:val="0"/>
                <w:sz w:val="24"/>
                <w:szCs w:val="24"/>
                <w:vertAlign w:val="baseline"/>
                <w:lang w:val="en-US" w:eastAsia="zh-CN" w:bidi="ar"/>
              </w:rPr>
              <w:t>③</w:t>
            </w:r>
            <w:r>
              <w:rPr>
                <w:rFonts w:hint="default" w:ascii="Times New Roman" w:hAnsi="Times New Roman" w:eastAsia="宋体" w:cs="Times New Roman"/>
                <w:color w:val="auto"/>
                <w:kern w:val="0"/>
                <w:sz w:val="24"/>
                <w:szCs w:val="24"/>
                <w:vertAlign w:val="baseline"/>
                <w:lang w:val="en-US" w:eastAsia="zh-CN" w:bidi="ar"/>
              </w:rPr>
              <w:t>设备内</w:t>
            </w:r>
            <w:r>
              <w:rPr>
                <w:rFonts w:hint="eastAsia" w:ascii="Times New Roman" w:hAnsi="Times New Roman" w:cs="Times New Roman"/>
                <w:color w:val="auto"/>
                <w:kern w:val="0"/>
                <w:sz w:val="24"/>
                <w:szCs w:val="24"/>
                <w:vertAlign w:val="baseline"/>
                <w:lang w:val="en-US" w:eastAsia="zh-CN" w:bidi="ar"/>
              </w:rPr>
              <w:t>废机油</w:t>
            </w:r>
            <w:r>
              <w:rPr>
                <w:rFonts w:hint="default" w:ascii="Times New Roman" w:hAnsi="Times New Roman" w:eastAsia="宋体" w:cs="Times New Roman"/>
                <w:color w:val="auto"/>
                <w:kern w:val="0"/>
                <w:sz w:val="24"/>
                <w:szCs w:val="24"/>
                <w:vertAlign w:val="baseline"/>
                <w:lang w:val="en-US" w:eastAsia="zh-CN" w:bidi="ar"/>
              </w:rPr>
              <w:t>由专用容器盛装集中贮存，委托有危废资质单位进行处理</w:t>
            </w:r>
            <w:r>
              <w:rPr>
                <w:rFonts w:hint="eastAsia" w:ascii="Times New Roman" w:hAnsi="Times New Roman" w:eastAsia="宋体" w:cs="Times New Roman"/>
                <w:color w:val="auto"/>
                <w:kern w:val="0"/>
                <w:sz w:val="24"/>
                <w:szCs w:val="24"/>
                <w:vertAlign w:val="baseline"/>
                <w:lang w:val="en-US" w:eastAsia="zh-CN" w:bidi="ar"/>
              </w:rPr>
              <w:t>。</w:t>
            </w:r>
          </w:p>
          <w:p w14:paraId="42F0AEA4">
            <w:pPr>
              <w:pStyle w:val="2"/>
              <w:rPr>
                <w:rFonts w:hint="default" w:ascii="Times New Roman" w:hAnsi="Times New Roman" w:cs="Times New Roman"/>
                <w:color w:val="auto"/>
                <w:lang w:val="en-US"/>
              </w:rPr>
            </w:pPr>
            <w:r>
              <w:rPr>
                <w:rFonts w:hint="eastAsia" w:ascii="Times New Roman" w:hAnsi="Times New Roman" w:eastAsia="宋体" w:cs="Times New Roman"/>
                <w:color w:val="auto"/>
                <w:kern w:val="0"/>
                <w:sz w:val="24"/>
                <w:szCs w:val="24"/>
                <w:vertAlign w:val="baseline"/>
                <w:lang w:val="en-US" w:eastAsia="zh-CN" w:bidi="ar"/>
              </w:rPr>
              <w:t>④</w:t>
            </w:r>
            <w:r>
              <w:rPr>
                <w:rFonts w:hint="default" w:ascii="Times New Roman" w:hAnsi="Times New Roman" w:eastAsia="宋体" w:cs="Times New Roman"/>
                <w:color w:val="auto"/>
                <w:sz w:val="24"/>
                <w:szCs w:val="24"/>
                <w:lang w:val="en-US" w:eastAsia="zh-CN"/>
              </w:rPr>
              <w:t>项目工程建设规模小，产生土方量很少，直接</w:t>
            </w:r>
            <w:r>
              <w:rPr>
                <w:rFonts w:hint="default" w:ascii="Times New Roman" w:hAnsi="Times New Roman" w:cs="Times New Roman"/>
                <w:color w:val="auto"/>
                <w:sz w:val="24"/>
                <w:szCs w:val="24"/>
                <w:lang w:val="en-US" w:eastAsia="zh-CN"/>
              </w:rPr>
              <w:t>用于</w:t>
            </w:r>
            <w:r>
              <w:rPr>
                <w:rFonts w:hint="default" w:ascii="Times New Roman" w:hAnsi="Times New Roman" w:eastAsia="宋体" w:cs="Times New Roman"/>
                <w:color w:val="auto"/>
                <w:sz w:val="24"/>
                <w:szCs w:val="24"/>
                <w:lang w:val="en-US" w:eastAsia="zh-CN"/>
              </w:rPr>
              <w:t>坝后保护用地内平摊，不设弃渣场</w:t>
            </w:r>
            <w:r>
              <w:rPr>
                <w:rFonts w:hint="default" w:ascii="Times New Roman" w:hAnsi="Times New Roman" w:eastAsia="宋体" w:cs="Times New Roman"/>
                <w:color w:val="auto"/>
                <w:kern w:val="0"/>
                <w:sz w:val="24"/>
                <w:szCs w:val="24"/>
                <w:vertAlign w:val="baseline"/>
                <w:lang w:val="en-US" w:eastAsia="zh-CN" w:bidi="ar"/>
              </w:rPr>
              <w:t>。</w:t>
            </w:r>
            <w:bookmarkEnd w:id="20"/>
          </w:p>
        </w:tc>
      </w:tr>
      <w:tr w14:paraId="07B4DB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753" w:type="dxa"/>
            <w:tcMar>
              <w:left w:w="28" w:type="dxa"/>
              <w:right w:w="28" w:type="dxa"/>
            </w:tcMar>
            <w:vAlign w:val="center"/>
          </w:tcPr>
          <w:p w14:paraId="62536C3C">
            <w:pPr>
              <w:adjustRightInd w:val="0"/>
              <w:snapToGrid w:val="0"/>
              <w:jc w:val="center"/>
              <w:rPr>
                <w:rFonts w:hint="default" w:ascii="Times New Roman" w:hAnsi="Times New Roman" w:cs="Times New Roman" w:eastAsiaTheme="minorEastAsia"/>
                <w:bCs/>
                <w:color w:val="auto"/>
                <w:spacing w:val="10"/>
                <w:szCs w:val="21"/>
              </w:rPr>
            </w:pPr>
            <w:r>
              <w:rPr>
                <w:rFonts w:hint="default" w:ascii="Times New Roman" w:hAnsi="Times New Roman" w:cs="Times New Roman" w:eastAsiaTheme="minorEastAsia"/>
                <w:bCs/>
                <w:color w:val="auto"/>
                <w:spacing w:val="10"/>
                <w:szCs w:val="21"/>
              </w:rPr>
              <w:t>运营期生态环境保护措施</w:t>
            </w:r>
          </w:p>
        </w:tc>
        <w:tc>
          <w:tcPr>
            <w:tcW w:w="8457" w:type="dxa"/>
            <w:vAlign w:val="center"/>
          </w:tcPr>
          <w:p w14:paraId="1BAC6850">
            <w:pPr>
              <w:spacing w:line="360" w:lineRule="auto"/>
              <w:ind w:firstLine="482" w:firstLineChars="200"/>
              <w:rPr>
                <w:rFonts w:hint="default" w:ascii="Times New Roman" w:hAnsi="Times New Roman" w:cs="Times New Roman"/>
                <w:b/>
                <w:bCs/>
                <w:color w:val="auto"/>
                <w:sz w:val="24"/>
                <w:szCs w:val="24"/>
                <w:lang w:val="en-US" w:eastAsia="zh-CN"/>
              </w:rPr>
            </w:pPr>
            <w:r>
              <w:rPr>
                <w:rFonts w:hint="default" w:ascii="Times New Roman" w:hAnsi="Times New Roman" w:cs="Times New Roman"/>
                <w:b/>
                <w:bCs/>
                <w:color w:val="auto"/>
                <w:sz w:val="24"/>
                <w:szCs w:val="24"/>
                <w:lang w:val="en-US" w:eastAsia="zh-CN"/>
              </w:rPr>
              <w:t>1.地表水环境保护措施</w:t>
            </w:r>
          </w:p>
          <w:p w14:paraId="36A669E2">
            <w:pPr>
              <w:adjustRightInd w:val="0"/>
              <w:snapToGrid w:val="0"/>
              <w:spacing w:line="360" w:lineRule="auto"/>
              <w:ind w:firstLine="480" w:firstLineChars="200"/>
              <w:jc w:val="both"/>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本项目不新增劳动定员，无新增生活污水。</w:t>
            </w:r>
          </w:p>
          <w:p w14:paraId="469FB286">
            <w:pPr>
              <w:adjustRightInd w:val="0"/>
              <w:snapToGrid w:val="0"/>
              <w:spacing w:line="360" w:lineRule="auto"/>
              <w:ind w:firstLine="480" w:firstLineChars="200"/>
              <w:jc w:val="both"/>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项目运营期无生产废水产生，电站运营期间员工生活产生的生活污水定期清淘，外运堆肥，不外排。</w:t>
            </w:r>
          </w:p>
          <w:p w14:paraId="2E69527D">
            <w:pPr>
              <w:adjustRightInd w:val="0"/>
              <w:snapToGrid w:val="0"/>
              <w:spacing w:line="360" w:lineRule="auto"/>
              <w:ind w:firstLine="480" w:firstLineChars="200"/>
              <w:jc w:val="both"/>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通过降低尾水渠坡度、拓宽断面等措施，减缓发电尾水入河流速，缓冲发电尾水汇入对下游水文情势的扰动在可接受范围内。</w:t>
            </w:r>
          </w:p>
          <w:p w14:paraId="63BD2CBC">
            <w:pPr>
              <w:spacing w:line="360" w:lineRule="auto"/>
              <w:ind w:firstLine="482" w:firstLineChars="200"/>
              <w:rPr>
                <w:rFonts w:hint="default" w:ascii="Times New Roman" w:hAnsi="Times New Roman" w:cs="Times New Roman"/>
                <w:b/>
                <w:bCs/>
                <w:color w:val="auto"/>
                <w:sz w:val="24"/>
                <w:szCs w:val="24"/>
                <w:lang w:val="en-US" w:eastAsia="zh-CN"/>
              </w:rPr>
            </w:pPr>
            <w:r>
              <w:rPr>
                <w:rFonts w:hint="default" w:ascii="Times New Roman" w:hAnsi="Times New Roman" w:cs="Times New Roman"/>
                <w:b/>
                <w:bCs/>
                <w:color w:val="auto"/>
                <w:sz w:val="24"/>
                <w:szCs w:val="24"/>
                <w:lang w:val="en-US" w:eastAsia="zh-CN"/>
              </w:rPr>
              <w:t>2.生</w:t>
            </w:r>
            <w:r>
              <w:rPr>
                <w:rFonts w:hint="eastAsia" w:cs="Times New Roman"/>
                <w:b/>
                <w:bCs/>
                <w:color w:val="auto"/>
                <w:sz w:val="24"/>
                <w:szCs w:val="24"/>
                <w:lang w:val="en-US" w:eastAsia="zh-CN"/>
              </w:rPr>
              <w:t>态流量保障措施</w:t>
            </w:r>
          </w:p>
          <w:p w14:paraId="026B4CBD">
            <w:pPr>
              <w:adjustRightInd w:val="0"/>
              <w:snapToGrid w:val="0"/>
              <w:spacing w:line="360" w:lineRule="auto"/>
              <w:ind w:firstLine="480" w:firstLineChars="200"/>
              <w:jc w:val="both"/>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运营期水电站不新增水资源取用量，电站拦河坝至尾水渠入裴德河入河点内没有珍稀保护鱼类和“鱼类三场一通道”。通过采取设置拦河坝生态泄流口，安装生态流量监测设施，</w:t>
            </w:r>
            <w:r>
              <w:rPr>
                <w:rFonts w:hint="default" w:ascii="Times New Roman" w:hAnsi="Times New Roman" w:cs="Times New Roman"/>
                <w:color w:val="auto"/>
                <w:sz w:val="24"/>
                <w:szCs w:val="24"/>
                <w:lang w:val="en-US" w:eastAsia="zh-CN"/>
              </w:rPr>
              <w:t>监控</w:t>
            </w:r>
            <w:r>
              <w:rPr>
                <w:rFonts w:hint="eastAsia" w:ascii="Times New Roman" w:hAnsi="Times New Roman" w:cs="Times New Roman"/>
                <w:color w:val="auto"/>
                <w:sz w:val="24"/>
                <w:szCs w:val="24"/>
                <w:lang w:val="en-US" w:eastAsia="zh-CN"/>
              </w:rPr>
              <w:t>上游来水流量及</w:t>
            </w:r>
            <w:r>
              <w:rPr>
                <w:rFonts w:hint="default" w:ascii="Times New Roman" w:hAnsi="Times New Roman" w:cs="Times New Roman"/>
                <w:color w:val="auto"/>
                <w:sz w:val="24"/>
                <w:szCs w:val="24"/>
                <w:lang w:val="en-US" w:eastAsia="zh-CN"/>
              </w:rPr>
              <w:t>下泄生态流量</w:t>
            </w:r>
            <w:r>
              <w:rPr>
                <w:rFonts w:hint="eastAsia" w:ascii="Times New Roman" w:hAnsi="Times New Roman" w:cs="Times New Roman"/>
                <w:color w:val="auto"/>
                <w:sz w:val="24"/>
                <w:szCs w:val="24"/>
                <w:lang w:val="en-US" w:eastAsia="zh-CN"/>
              </w:rPr>
              <w:t>。制定下泄生态流量应急预案等措施可实现</w:t>
            </w:r>
            <w:r>
              <w:rPr>
                <w:rFonts w:hint="default" w:ascii="Times New Roman" w:hAnsi="Times New Roman" w:cs="Times New Roman"/>
                <w:color w:val="auto"/>
                <w:sz w:val="24"/>
                <w:szCs w:val="24"/>
                <w:lang w:val="en-US" w:eastAsia="zh-CN"/>
              </w:rPr>
              <w:t>最小生态流量</w:t>
            </w:r>
            <w:r>
              <w:rPr>
                <w:rFonts w:hint="eastAsia" w:ascii="Times New Roman" w:hAnsi="Times New Roman" w:cs="Times New Roman"/>
                <w:color w:val="auto"/>
                <w:sz w:val="24"/>
                <w:szCs w:val="24"/>
                <w:lang w:val="en-US" w:eastAsia="zh-CN"/>
              </w:rPr>
              <w:t>下泄目标。保障减水段基本生态流量，不破坏该区域水生态环境。</w:t>
            </w:r>
          </w:p>
          <w:p w14:paraId="6A0B8B2F">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eastAsia="宋体" w:cs="Times New Roman"/>
                <w:i w:val="0"/>
                <w:iCs w:val="0"/>
                <w:color w:val="auto"/>
                <w:sz w:val="24"/>
                <w:highlight w:val="none"/>
                <w:lang w:val="en-US" w:eastAsia="zh-CN"/>
              </w:rPr>
            </w:pPr>
            <w:r>
              <w:rPr>
                <w:color w:val="auto"/>
                <w:sz w:val="24"/>
                <w:szCs w:val="24"/>
              </w:rPr>
              <w:t>按照《密山市青年水库生态流量保障实施方案》（2021.12）</w:t>
            </w:r>
            <w:r>
              <w:rPr>
                <w:rFonts w:hint="default" w:ascii="Times New Roman" w:hAnsi="Times New Roman" w:eastAsia="宋体" w:cs="Times New Roman"/>
                <w:i w:val="0"/>
                <w:iCs w:val="0"/>
                <w:color w:val="auto"/>
                <w:sz w:val="24"/>
                <w:highlight w:val="none"/>
                <w:lang w:val="en-US" w:eastAsia="zh-CN"/>
              </w:rPr>
              <w:t>进行生态流量核定</w:t>
            </w:r>
            <w:r>
              <w:rPr>
                <w:rFonts w:hint="eastAsia" w:eastAsia="宋体"/>
                <w:color w:val="auto"/>
                <w:sz w:val="24"/>
                <w:szCs w:val="24"/>
                <w:lang w:eastAsia="zh-CN"/>
              </w:rPr>
              <w:t>，</w:t>
            </w:r>
            <w:r>
              <w:rPr>
                <w:color w:val="auto"/>
                <w:sz w:val="24"/>
                <w:szCs w:val="24"/>
              </w:rPr>
              <w:t>下泄生态流量满足水库坝下河道水生生态环境的要求。生态流量泄放管设置在距离输水涵洞尾端左侧1m处设有一支管生态流量管φ20cm，接一座阀门室，便于控制流量和检修。青年水库坝址断面生态流量为汛期0.29m</w:t>
            </w:r>
            <w:r>
              <w:rPr>
                <w:color w:val="auto"/>
                <w:sz w:val="24"/>
                <w:szCs w:val="24"/>
                <w:vertAlign w:val="superscript"/>
              </w:rPr>
              <w:t>3</w:t>
            </w:r>
            <w:r>
              <w:rPr>
                <w:color w:val="auto"/>
                <w:sz w:val="24"/>
                <w:szCs w:val="24"/>
              </w:rPr>
              <w:t>/s，非汛期为0.18m</w:t>
            </w:r>
            <w:r>
              <w:rPr>
                <w:color w:val="auto"/>
                <w:sz w:val="24"/>
                <w:szCs w:val="24"/>
                <w:vertAlign w:val="superscript"/>
              </w:rPr>
              <w:t>3</w:t>
            </w:r>
            <w:r>
              <w:rPr>
                <w:color w:val="auto"/>
                <w:sz w:val="24"/>
                <w:szCs w:val="24"/>
              </w:rPr>
              <w:t>/s。生态流量在线监测</w:t>
            </w:r>
            <w:r>
              <w:rPr>
                <w:rFonts w:hint="default" w:ascii="Times New Roman" w:hAnsi="Times New Roman" w:eastAsia="宋体" w:cs="Times New Roman"/>
                <w:i w:val="0"/>
                <w:iCs w:val="0"/>
                <w:color w:val="auto"/>
                <w:sz w:val="24"/>
                <w:highlight w:val="none"/>
                <w:lang w:val="en-US" w:eastAsia="zh-CN"/>
              </w:rPr>
              <w:t>数据直接传入黑龙江省水利厅管理系统平台，水行政主管部门对生态流量泄放进行实时有效监控，保证生态流量稳定放流。</w:t>
            </w:r>
          </w:p>
          <w:p w14:paraId="7A667465">
            <w:pPr>
              <w:adjustRightInd w:val="0"/>
              <w:snapToGrid w:val="0"/>
              <w:spacing w:line="360" w:lineRule="auto"/>
              <w:ind w:firstLine="480" w:firstLineChars="200"/>
              <w:jc w:val="both"/>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青年水库</w:t>
            </w:r>
            <w:r>
              <w:rPr>
                <w:rFonts w:hint="default" w:ascii="Times New Roman" w:hAnsi="Times New Roman" w:cs="Times New Roman"/>
                <w:color w:val="auto"/>
                <w:sz w:val="24"/>
                <w:szCs w:val="24"/>
                <w:lang w:val="en-US" w:eastAsia="zh-CN"/>
              </w:rPr>
              <w:t>在调度时，严格按照《水库调度设计规范（GB/T50587-2010）》要求，优先满足河道内生态和环境的基本用水要求，合理制定运用控制条件和水库调度方式，满足下游生态流量要求。</w:t>
            </w:r>
          </w:p>
          <w:p w14:paraId="5915CBCF">
            <w:pPr>
              <w:spacing w:line="360" w:lineRule="auto"/>
              <w:ind w:firstLine="482" w:firstLineChars="200"/>
              <w:rPr>
                <w:rFonts w:hint="default" w:ascii="Times New Roman" w:hAnsi="Times New Roman" w:cs="Times New Roman"/>
                <w:b/>
                <w:bCs/>
                <w:color w:val="auto"/>
                <w:sz w:val="24"/>
                <w:szCs w:val="24"/>
                <w:lang w:val="en-US" w:eastAsia="zh-CN"/>
              </w:rPr>
            </w:pPr>
            <w:r>
              <w:rPr>
                <w:rFonts w:hint="default" w:ascii="Times New Roman" w:hAnsi="Times New Roman" w:cs="Times New Roman"/>
                <w:b/>
                <w:bCs/>
                <w:color w:val="auto"/>
                <w:sz w:val="24"/>
                <w:szCs w:val="24"/>
                <w:lang w:val="en-US" w:eastAsia="zh-CN"/>
              </w:rPr>
              <w:t>3.生态环境保护措施</w:t>
            </w:r>
          </w:p>
          <w:p w14:paraId="58686981">
            <w:pPr>
              <w:adjustRightInd w:val="0"/>
              <w:snapToGrid w:val="0"/>
              <w:spacing w:line="360" w:lineRule="auto"/>
              <w:ind w:firstLine="480" w:firstLineChars="200"/>
              <w:jc w:val="both"/>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1</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陆生生态保护措施</w:t>
            </w:r>
          </w:p>
          <w:p w14:paraId="5142297B">
            <w:pPr>
              <w:adjustRightInd w:val="0"/>
              <w:snapToGrid w:val="0"/>
              <w:spacing w:line="360" w:lineRule="auto"/>
              <w:ind w:firstLine="480" w:firstLineChars="200"/>
              <w:jc w:val="both"/>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 xml:space="preserve">加强宣传教育，严禁非法猎捕野生动物。工程周围一旦发现有重点保护野生动物在项目区活动，应当避让野生动物通行，必要时须报请野生动物保护主管部门和专业人员协助处置保护。加强电站周边区域的栖息地保护、开展必要的巡查活动，通过加强教育，科普宣传等公众教育的方式，提高对重点保护野生动物的保护力度。将水电站建设对该区域野生动物的影响减到最低程度。 </w:t>
            </w:r>
          </w:p>
          <w:p w14:paraId="1C33CA97">
            <w:pPr>
              <w:adjustRightInd w:val="0"/>
              <w:snapToGrid w:val="0"/>
              <w:spacing w:line="360" w:lineRule="auto"/>
              <w:ind w:firstLine="480" w:firstLineChars="200"/>
              <w:jc w:val="both"/>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根据现场调查，</w:t>
            </w:r>
            <w:r>
              <w:rPr>
                <w:rFonts w:hint="eastAsia" w:cs="Times New Roman"/>
                <w:color w:val="auto"/>
                <w:sz w:val="24"/>
                <w:szCs w:val="24"/>
                <w:lang w:val="en-US" w:eastAsia="zh-CN"/>
              </w:rPr>
              <w:t>青年水库</w:t>
            </w:r>
            <w:r>
              <w:rPr>
                <w:rFonts w:hint="default" w:ascii="Times New Roman" w:hAnsi="Times New Roman" w:cs="Times New Roman"/>
                <w:color w:val="auto"/>
                <w:sz w:val="24"/>
                <w:szCs w:val="24"/>
                <w:lang w:val="en-US" w:eastAsia="zh-CN"/>
              </w:rPr>
              <w:t>电站工程区内无国家重点保护野生植物分布。建议电站运行人员加强科普宣传和教育管理，认真执行国家对野生植物的保护政策。</w:t>
            </w:r>
          </w:p>
          <w:p w14:paraId="6BC34DC7">
            <w:pPr>
              <w:adjustRightInd w:val="0"/>
              <w:snapToGrid w:val="0"/>
              <w:spacing w:line="360" w:lineRule="auto"/>
              <w:ind w:firstLine="480" w:firstLineChars="200"/>
              <w:jc w:val="both"/>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2</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水生生态保护措施</w:t>
            </w:r>
          </w:p>
          <w:p w14:paraId="7EE35CF8">
            <w:pPr>
              <w:adjustRightInd w:val="0"/>
              <w:snapToGrid w:val="0"/>
              <w:spacing w:line="360" w:lineRule="auto"/>
              <w:ind w:firstLine="480" w:firstLineChars="200"/>
              <w:jc w:val="both"/>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 xml:space="preserve">①近年来，建设单位已按照相关要求，科学合理控制下泄生态流量。实时记录生态下泄流量，实时生态流量数据连接黑龙江省水利厅生态流量监管平台，可做到实时查看生态流量数据，确保下游河流不存在断流情况。最大限度地保护和减缓了项目对生态的影响。 </w:t>
            </w:r>
          </w:p>
          <w:p w14:paraId="56E29058">
            <w:pPr>
              <w:adjustRightInd w:val="0"/>
              <w:snapToGrid w:val="0"/>
              <w:spacing w:line="360" w:lineRule="auto"/>
              <w:ind w:firstLine="480" w:firstLineChars="200"/>
              <w:jc w:val="both"/>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②电站进水口虽然没有设置拦鱼栅，但是设置了拦污栅，可起到拦截幼鱼和成鱼的效果，鱼卵和仔稚鱼个体太小，如果设置密眼拦鱼栅，会对电站运行带来安全隐患。运营期应对取水枢纽区定期巡检，定期清理</w:t>
            </w:r>
            <w:r>
              <w:rPr>
                <w:rFonts w:hint="eastAsia" w:cs="Times New Roman"/>
                <w:color w:val="auto"/>
                <w:sz w:val="24"/>
                <w:szCs w:val="24"/>
                <w:lang w:val="en-US" w:eastAsia="zh-CN"/>
              </w:rPr>
              <w:t>水面浮渣</w:t>
            </w:r>
            <w:r>
              <w:rPr>
                <w:rFonts w:hint="default" w:ascii="Times New Roman" w:hAnsi="Times New Roman" w:cs="Times New Roman"/>
                <w:color w:val="auto"/>
                <w:sz w:val="24"/>
                <w:szCs w:val="24"/>
                <w:lang w:val="en-US" w:eastAsia="zh-CN"/>
              </w:rPr>
              <w:t>，避免污染物对水生生物造成不利影响。</w:t>
            </w:r>
          </w:p>
          <w:p w14:paraId="43FDF766">
            <w:pPr>
              <w:adjustRightInd w:val="0"/>
              <w:snapToGrid w:val="0"/>
              <w:spacing w:line="360" w:lineRule="auto"/>
              <w:ind w:firstLine="480" w:firstLineChars="200"/>
              <w:jc w:val="both"/>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 xml:space="preserve">③加大渔业法律法规的宣传力度，提高电站职工保护水生生物（主要是鱼类）的意识。 </w:t>
            </w:r>
          </w:p>
          <w:p w14:paraId="21F5F5F1">
            <w:pPr>
              <w:adjustRightInd w:val="0"/>
              <w:snapToGrid w:val="0"/>
              <w:spacing w:line="360" w:lineRule="auto"/>
              <w:ind w:firstLine="480" w:firstLineChars="200"/>
              <w:jc w:val="both"/>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④电站需积极配合环保、渔政部门开展鱼类的保护工作，协助环保、渔政部门开展鱼类执法检查工作，确保无非法捕捞作业行为。</w:t>
            </w:r>
          </w:p>
          <w:p w14:paraId="2431A857">
            <w:pPr>
              <w:adjustRightInd w:val="0"/>
              <w:snapToGrid w:val="0"/>
              <w:spacing w:line="360" w:lineRule="auto"/>
              <w:ind w:firstLine="482" w:firstLineChars="200"/>
              <w:jc w:val="both"/>
              <w:rPr>
                <w:rFonts w:hint="default" w:ascii="Times New Roman" w:hAnsi="Times New Roman"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4.大气环境保护措施</w:t>
            </w:r>
          </w:p>
          <w:p w14:paraId="6F4D99D0">
            <w:pPr>
              <w:adjustRightInd w:val="0"/>
              <w:snapToGrid w:val="0"/>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电站运营期间无生产性废气产生，本项目不新增大气污染物，对周边大气环境无影响。</w:t>
            </w:r>
          </w:p>
          <w:p w14:paraId="71D13253">
            <w:pPr>
              <w:adjustRightInd w:val="0"/>
              <w:snapToGrid w:val="0"/>
              <w:spacing w:line="360" w:lineRule="auto"/>
              <w:ind w:firstLine="482" w:firstLineChars="200"/>
              <w:jc w:val="both"/>
              <w:rPr>
                <w:rFonts w:hint="default" w:ascii="Times New Roman" w:hAnsi="Times New Roman"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5.声环境保护措施</w:t>
            </w:r>
          </w:p>
          <w:p w14:paraId="3B997E41">
            <w:pPr>
              <w:adjustRightInd w:val="0"/>
              <w:snapToGrid w:val="0"/>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水电站在运行过程中，噪声来源主要是发电机、水轮机等生产设备产生的机械噪声；实际运行过程中，建设单位采取隔声、减振等措施，声环境保护已采取的具体措施和对策如下：</w:t>
            </w:r>
          </w:p>
          <w:p w14:paraId="267CAFB9">
            <w:pPr>
              <w:adjustRightInd w:val="0"/>
              <w:snapToGrid w:val="0"/>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（1）对闸门的液压泵组及水轮发电机组采取相应的减振降噪处理，采用在液压泵进出口两端安装挠性橡皮接头、设备基础安装防振垫等措施，有效减少设备的运行噪声。 </w:t>
            </w:r>
          </w:p>
          <w:p w14:paraId="719F0AA3">
            <w:pPr>
              <w:adjustRightInd w:val="0"/>
              <w:snapToGrid w:val="0"/>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（2）设置单独的水轮发电机房，设备选型上选用先进的、低噪声、振动小的水力发电机组，发电机组采取基座固定和橡胶减震垫等措施，运行时关闭门窗，有效减少噪声外逸。 </w:t>
            </w:r>
          </w:p>
          <w:p w14:paraId="23A3F16A">
            <w:pPr>
              <w:adjustRightInd w:val="0"/>
              <w:snapToGrid w:val="0"/>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（3）加强对设备的维护和管理等，减少设备非正常运行所产生的噪声对周边环境的影响。同时加强对设备管理人员的技术培训，避免因管理人员操作不当，或者对某些故障的处理不当而导致设备噪声提高。 </w:t>
            </w:r>
          </w:p>
          <w:p w14:paraId="0713EADA">
            <w:pPr>
              <w:adjustRightInd w:val="0"/>
              <w:snapToGrid w:val="0"/>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在采取以上措施后，项目厂界噪声能达到《工业企业厂界环境噪声排放标准》（GB 12348-2008）1类标准要求，措施合理可行。</w:t>
            </w:r>
          </w:p>
          <w:p w14:paraId="4F952992">
            <w:pPr>
              <w:adjustRightInd w:val="0"/>
              <w:snapToGrid w:val="0"/>
              <w:spacing w:line="360" w:lineRule="auto"/>
              <w:ind w:firstLine="482" w:firstLineChars="200"/>
              <w:jc w:val="both"/>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6.固体废物处置措施</w:t>
            </w:r>
          </w:p>
          <w:p w14:paraId="37E6B3DE">
            <w:pPr>
              <w:adjustRightInd w:val="0"/>
              <w:snapToGrid w:val="0"/>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本次增效扩容改造工程不新增管理人员，无新增生活垃圾。工程运行期固体废物主要为水面浮渣、发电机组维修及更换的废机油。</w:t>
            </w:r>
          </w:p>
          <w:p w14:paraId="7263DFB4">
            <w:pPr>
              <w:adjustRightInd w:val="0"/>
              <w:snapToGrid w:val="0"/>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（1）生活垃圾</w:t>
            </w:r>
          </w:p>
          <w:p w14:paraId="5BD2F350">
            <w:pPr>
              <w:adjustRightInd w:val="0"/>
              <w:snapToGrid w:val="0"/>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本电站运营期职工生活垃圾存放于厂区内设专门的垃圾收集桶，收集后的生活垃圾定期委托当地环卫部门统一清运处理，禁止随意倾倒、抛撒、堆放或者焚烧生活垃圾。</w:t>
            </w:r>
          </w:p>
          <w:p w14:paraId="561087B2">
            <w:pPr>
              <w:adjustRightInd w:val="0"/>
              <w:snapToGrid w:val="0"/>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（2）水面浮渣 </w:t>
            </w:r>
          </w:p>
          <w:p w14:paraId="3118E788">
            <w:pPr>
              <w:adjustRightInd w:val="0"/>
              <w:snapToGrid w:val="0"/>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水面浮渣每个月清理一次，属于一般固体废物，拦</w:t>
            </w:r>
            <w:r>
              <w:rPr>
                <w:rFonts w:hint="eastAsia" w:cs="Times New Roman"/>
                <w:color w:val="auto"/>
                <w:sz w:val="24"/>
                <w:szCs w:val="24"/>
                <w:lang w:val="en-US" w:eastAsia="zh-CN"/>
              </w:rPr>
              <w:t>污栅</w:t>
            </w:r>
            <w:r>
              <w:rPr>
                <w:rFonts w:hint="default" w:ascii="Times New Roman" w:hAnsi="Times New Roman" w:eastAsia="宋体" w:cs="Times New Roman"/>
                <w:color w:val="auto"/>
                <w:sz w:val="24"/>
                <w:szCs w:val="24"/>
                <w:lang w:val="en-US" w:eastAsia="zh-CN"/>
              </w:rPr>
              <w:t>拦截的水面浮渣经垃圾收集设施收集后，及时清运至农村生活垃圾堆放点堆放，由市政环卫部门统一处置，防止垃圾腐败，滋生各种有害物质，产生二次污染。</w:t>
            </w:r>
          </w:p>
          <w:p w14:paraId="4731A919">
            <w:pPr>
              <w:adjustRightInd w:val="0"/>
              <w:snapToGrid w:val="0"/>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（3）废机油 </w:t>
            </w:r>
          </w:p>
          <w:p w14:paraId="50D7A18F">
            <w:pPr>
              <w:pStyle w:val="2"/>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电站运行过程中的机械维修将产生一定量的废机油，废机油产生量约为0.0</w:t>
            </w:r>
            <w:r>
              <w:rPr>
                <w:rFonts w:hint="eastAsia"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lang w:val="en-US" w:eastAsia="zh-CN"/>
              </w:rPr>
              <w:t>t/a。依据《国家危险废物名录》（2025年版），废机油属危险废物（类别HW08，编号900-214-08）。</w:t>
            </w:r>
          </w:p>
          <w:p w14:paraId="1822C4DE">
            <w:pPr>
              <w:pStyle w:val="2"/>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建设单位应采购合格的危险废物桶，危险废物集中贮存于危险废物桶中，贮存于危废间内；</w:t>
            </w:r>
            <w:r>
              <w:rPr>
                <w:rFonts w:hint="eastAsia" w:cs="Times New Roman"/>
                <w:color w:val="auto"/>
                <w:sz w:val="24"/>
                <w:szCs w:val="24"/>
                <w:lang w:val="en-US" w:eastAsia="zh-CN"/>
              </w:rPr>
              <w:t>危废贮存点</w:t>
            </w:r>
            <w:r>
              <w:rPr>
                <w:rFonts w:hint="eastAsia" w:ascii="Times New Roman" w:hAnsi="Times New Roman" w:eastAsia="宋体" w:cs="Times New Roman"/>
                <w:color w:val="auto"/>
                <w:sz w:val="24"/>
                <w:szCs w:val="24"/>
                <w:lang w:val="en-US" w:eastAsia="zh-CN"/>
              </w:rPr>
              <w:t>应</w:t>
            </w:r>
            <w:r>
              <w:rPr>
                <w:rFonts w:hint="default" w:ascii="Times New Roman" w:hAnsi="Times New Roman" w:eastAsia="宋体" w:cs="Times New Roman"/>
                <w:color w:val="auto"/>
                <w:sz w:val="24"/>
                <w:szCs w:val="24"/>
                <w:lang w:val="en-US" w:eastAsia="zh-CN"/>
              </w:rPr>
              <w:t>满足防渗防泄漏的要求，</w:t>
            </w:r>
            <w:r>
              <w:rPr>
                <w:rFonts w:hint="eastAsia" w:ascii="Times New Roman" w:hAnsi="Times New Roman" w:eastAsia="宋体" w:cs="Times New Roman"/>
                <w:color w:val="auto"/>
                <w:sz w:val="24"/>
                <w:szCs w:val="24"/>
                <w:lang w:val="en-US" w:eastAsia="zh-CN"/>
              </w:rPr>
              <w:t>并</w:t>
            </w:r>
            <w:r>
              <w:rPr>
                <w:rFonts w:hint="default" w:ascii="Times New Roman" w:hAnsi="Times New Roman" w:eastAsia="宋体" w:cs="Times New Roman"/>
                <w:color w:val="auto"/>
                <w:sz w:val="24"/>
                <w:szCs w:val="24"/>
                <w:lang w:val="en-US" w:eastAsia="zh-CN"/>
              </w:rPr>
              <w:t>定期委托有资质单位处理，进行台账记录。厂区内危废暂存</w:t>
            </w:r>
            <w:r>
              <w:rPr>
                <w:rFonts w:hint="eastAsia" w:ascii="Times New Roman" w:hAnsi="Times New Roman" w:cs="Times New Roman"/>
                <w:color w:val="auto"/>
                <w:sz w:val="24"/>
                <w:szCs w:val="24"/>
                <w:lang w:val="en-US" w:eastAsia="zh-CN"/>
              </w:rPr>
              <w:t>点</w:t>
            </w:r>
            <w:r>
              <w:rPr>
                <w:rFonts w:hint="eastAsia" w:ascii="Times New Roman" w:hAnsi="Times New Roman" w:eastAsia="宋体" w:cs="Times New Roman"/>
                <w:color w:val="auto"/>
                <w:sz w:val="24"/>
                <w:szCs w:val="24"/>
                <w:lang w:val="en-US" w:eastAsia="zh-CN"/>
              </w:rPr>
              <w:t>应满足</w:t>
            </w:r>
            <w:r>
              <w:rPr>
                <w:rFonts w:hint="default" w:ascii="Times New Roman" w:hAnsi="Times New Roman" w:eastAsia="宋体" w:cs="Times New Roman"/>
                <w:color w:val="auto"/>
                <w:sz w:val="24"/>
                <w:szCs w:val="24"/>
                <w:lang w:val="en-US" w:eastAsia="zh-CN"/>
              </w:rPr>
              <w:t>《危险废物贮存污染控制标准》 （GB18597-2023）</w:t>
            </w:r>
            <w:r>
              <w:rPr>
                <w:rFonts w:hint="eastAsia" w:ascii="Times New Roman" w:hAnsi="Times New Roman" w:eastAsia="宋体" w:cs="Times New Roman"/>
                <w:color w:val="auto"/>
                <w:sz w:val="24"/>
                <w:szCs w:val="24"/>
                <w:lang w:val="en-US" w:eastAsia="zh-CN"/>
              </w:rPr>
              <w:t>。</w:t>
            </w:r>
          </w:p>
          <w:p w14:paraId="3078DEC3">
            <w:pPr>
              <w:pStyle w:val="2"/>
              <w:rPr>
                <w:rFonts w:hint="eastAsia" w:ascii="Times New Roman" w:hAnsi="Times New Roman" w:eastAsia="宋体" w:cs="Times New Roman"/>
                <w:color w:val="auto"/>
                <w:kern w:val="0"/>
                <w:sz w:val="24"/>
                <w:szCs w:val="24"/>
                <w:vertAlign w:val="baseline"/>
                <w:lang w:val="en-US" w:eastAsia="zh-CN" w:bidi="ar"/>
              </w:rPr>
            </w:pPr>
            <w:r>
              <w:rPr>
                <w:rFonts w:hint="default" w:ascii="Times New Roman" w:hAnsi="Times New Roman" w:eastAsia="宋体" w:cs="Times New Roman"/>
                <w:color w:val="auto"/>
                <w:kern w:val="0"/>
                <w:sz w:val="24"/>
                <w:szCs w:val="24"/>
                <w:vertAlign w:val="baseline"/>
                <w:lang w:val="en-US" w:eastAsia="zh-CN" w:bidi="ar"/>
              </w:rPr>
              <w:t>设备内</w:t>
            </w:r>
            <w:r>
              <w:rPr>
                <w:rFonts w:hint="eastAsia" w:ascii="Times New Roman" w:hAnsi="Times New Roman" w:cs="Times New Roman"/>
                <w:color w:val="auto"/>
                <w:kern w:val="0"/>
                <w:sz w:val="24"/>
                <w:szCs w:val="24"/>
                <w:vertAlign w:val="baseline"/>
                <w:lang w:val="en-US" w:eastAsia="zh-CN" w:bidi="ar"/>
              </w:rPr>
              <w:t>废机油</w:t>
            </w:r>
            <w:r>
              <w:rPr>
                <w:rFonts w:hint="default" w:ascii="Times New Roman" w:hAnsi="Times New Roman" w:eastAsia="宋体" w:cs="Times New Roman"/>
                <w:color w:val="auto"/>
                <w:kern w:val="0"/>
                <w:sz w:val="24"/>
                <w:szCs w:val="24"/>
                <w:vertAlign w:val="baseline"/>
                <w:lang w:val="en-US" w:eastAsia="zh-CN" w:bidi="ar"/>
              </w:rPr>
              <w:t>由专用容器盛装集中贮存，委托有危废资质单位进行处理</w:t>
            </w:r>
            <w:r>
              <w:rPr>
                <w:rFonts w:hint="eastAsia" w:ascii="Times New Roman" w:hAnsi="Times New Roman" w:eastAsia="宋体" w:cs="Times New Roman"/>
                <w:color w:val="auto"/>
                <w:kern w:val="0"/>
                <w:sz w:val="24"/>
                <w:szCs w:val="24"/>
                <w:vertAlign w:val="baseline"/>
                <w:lang w:val="en-US" w:eastAsia="zh-CN" w:bidi="ar"/>
              </w:rPr>
              <w:t>。</w:t>
            </w:r>
            <w:r>
              <w:rPr>
                <w:rFonts w:hint="eastAsia" w:ascii="宋体" w:hAnsi="宋体" w:eastAsia="宋体" w:cs="宋体"/>
                <w:color w:val="auto"/>
                <w:kern w:val="0"/>
                <w:sz w:val="24"/>
                <w:szCs w:val="24"/>
                <w:highlight w:val="none"/>
                <w:lang w:val="en-US" w:eastAsia="zh-CN" w:bidi="ar"/>
              </w:rPr>
              <w:t xml:space="preserve">废含油抹布及废手套属于危险废物豁免管理清单（全过程不按危险废物管理），收集后可混入生活垃圾处置。 </w:t>
            </w:r>
          </w:p>
          <w:p w14:paraId="2466D9BD">
            <w:pPr>
              <w:adjustRightInd w:val="0"/>
              <w:snapToGrid w:val="0"/>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①废物贮存设施必须按《危险废物识别标志设置技术规范》（HJ 1276-2022）和《环境保护图形标志</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固体废物贮存（处置）场》（GB 15562.2-1995）修改单的规定设置危险废物警示标志；</w:t>
            </w:r>
          </w:p>
          <w:p w14:paraId="30009CB6">
            <w:pPr>
              <w:adjustRightInd w:val="0"/>
              <w:snapToGrid w:val="0"/>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②危废贮存点</w:t>
            </w:r>
            <w:r>
              <w:rPr>
                <w:rFonts w:hint="default" w:ascii="Times New Roman" w:hAnsi="Times New Roman" w:eastAsia="宋体" w:cs="Times New Roman"/>
                <w:color w:val="auto"/>
                <w:sz w:val="24"/>
                <w:szCs w:val="24"/>
                <w:lang w:val="en-US" w:eastAsia="zh-CN"/>
              </w:rPr>
              <w:t>基础必须防渗，防渗层为2mm 厚高密度聚乙烯，或至少2mm厚的其它人工材料，渗透系数</w:t>
            </w:r>
            <w:r>
              <w:rPr>
                <w:rFonts w:hint="eastAsia"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 xml:space="preserve"> 10</w:t>
            </w:r>
            <w:r>
              <w:rPr>
                <w:rFonts w:hint="default" w:ascii="Times New Roman" w:hAnsi="Times New Roman" w:eastAsia="宋体" w:cs="Times New Roman"/>
                <w:color w:val="auto"/>
                <w:sz w:val="24"/>
                <w:szCs w:val="24"/>
                <w:vertAlign w:val="superscript"/>
                <w:lang w:val="en-US" w:eastAsia="zh-CN"/>
              </w:rPr>
              <w:t>-10</w:t>
            </w:r>
            <w:r>
              <w:rPr>
                <w:rFonts w:hint="default" w:ascii="Times New Roman" w:hAnsi="Times New Roman" w:eastAsia="宋体" w:cs="Times New Roman"/>
                <w:color w:val="auto"/>
                <w:sz w:val="24"/>
                <w:szCs w:val="24"/>
                <w:lang w:val="en-US" w:eastAsia="zh-CN"/>
              </w:rPr>
              <w:t>cm/s。</w:t>
            </w:r>
          </w:p>
          <w:p w14:paraId="632B26B8">
            <w:pPr>
              <w:adjustRightInd w:val="0"/>
              <w:snapToGrid w:val="0"/>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③</w:t>
            </w:r>
            <w:r>
              <w:rPr>
                <w:rFonts w:hint="default" w:ascii="Times New Roman" w:hAnsi="Times New Roman" w:eastAsia="宋体" w:cs="Times New Roman"/>
                <w:color w:val="auto"/>
                <w:sz w:val="24"/>
                <w:szCs w:val="24"/>
                <w:lang w:val="en-US" w:eastAsia="zh-CN"/>
              </w:rPr>
              <w:t>危险废物贮存前应进行检验，确保同预定接收的危险废物一致，并登记注册。危险废物产生者和危险废物贮存设施经营者均须作好危险废物情况的记录，记录上须注明危险废</w:t>
            </w:r>
            <w:r>
              <w:rPr>
                <w:rFonts w:hint="eastAsia" w:cs="Times New Roman"/>
                <w:color w:val="auto"/>
                <w:sz w:val="24"/>
                <w:szCs w:val="24"/>
                <w:lang w:val="en-US" w:eastAsia="zh-CN"/>
              </w:rPr>
              <w:t>物</w:t>
            </w:r>
            <w:r>
              <w:rPr>
                <w:rFonts w:hint="default" w:ascii="Times New Roman" w:hAnsi="Times New Roman" w:eastAsia="宋体" w:cs="Times New Roman"/>
                <w:color w:val="auto"/>
                <w:sz w:val="24"/>
                <w:szCs w:val="24"/>
                <w:lang w:val="en-US" w:eastAsia="zh-CN"/>
              </w:rPr>
              <w:t>数量、特性和包装容器的类别、</w:t>
            </w:r>
            <w:r>
              <w:rPr>
                <w:rFonts w:hint="eastAsia" w:cs="Times New Roman"/>
                <w:color w:val="auto"/>
                <w:sz w:val="24"/>
                <w:szCs w:val="24"/>
                <w:lang w:val="en-US" w:eastAsia="zh-CN"/>
              </w:rPr>
              <w:t>入</w:t>
            </w:r>
            <w:r>
              <w:rPr>
                <w:rFonts w:hint="default" w:ascii="Times New Roman" w:hAnsi="Times New Roman" w:eastAsia="宋体" w:cs="Times New Roman"/>
                <w:color w:val="auto"/>
                <w:sz w:val="24"/>
                <w:szCs w:val="24"/>
                <w:lang w:val="en-US" w:eastAsia="zh-CN"/>
              </w:rPr>
              <w:t>库日期、存放库位、废物出库日期及接收单位物的名称、来源、名称。必须定期对所贮存的危险废物包装容器及贮存设施进行检查，发现破损，应及时采取措施清理更换。</w:t>
            </w:r>
          </w:p>
          <w:p w14:paraId="15C45A06">
            <w:pPr>
              <w:adjustRightInd w:val="0"/>
              <w:snapToGrid w:val="0"/>
              <w:spacing w:line="360" w:lineRule="auto"/>
              <w:ind w:firstLine="482" w:firstLineChars="200"/>
              <w:jc w:val="both"/>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7.地下水、土壤环境保护措施</w:t>
            </w:r>
          </w:p>
          <w:p w14:paraId="4D81D975">
            <w:pPr>
              <w:adjustRightInd w:val="0"/>
              <w:snapToGrid w:val="0"/>
              <w:spacing w:line="360" w:lineRule="auto"/>
              <w:ind w:firstLine="480" w:firstLineChars="200"/>
              <w:jc w:val="both"/>
              <w:rPr>
                <w:rFonts w:hint="default" w:ascii="Times New Roman" w:hAnsi="Times New Roman" w:cs="Times New Roman"/>
                <w:lang w:val="en-US" w:eastAsia="zh-CN"/>
              </w:rPr>
            </w:pPr>
            <w:r>
              <w:rPr>
                <w:rFonts w:hint="default" w:ascii="Times New Roman" w:hAnsi="Times New Roman" w:eastAsia="宋体" w:cs="Times New Roman"/>
                <w:b w:val="0"/>
                <w:bCs w:val="0"/>
                <w:color w:val="auto"/>
                <w:sz w:val="24"/>
                <w:szCs w:val="24"/>
                <w:lang w:val="en-US" w:eastAsia="zh-CN"/>
              </w:rPr>
              <w:t>项目运行过程中不产生废水，电站引水工程及发电厂房等已采取硬底化这一防渗措施，引水发电过程中发生地下渗水的可能性非常低；尽可能从源头上减少污染物排放；严格按照国家相关规范要求，做好机油、废机油的储存工作，防止和降低污染物的跑、冒、滴、漏，将污染物泄漏的环境风险事故降低到最低程度；厂区道路硬化，注意工作场所地面、排水管道的防腐防渗要求，防止污染物渗入土壤造成土壤、地下水污染。</w:t>
            </w:r>
          </w:p>
        </w:tc>
      </w:tr>
      <w:tr w14:paraId="7FA1FF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753" w:type="dxa"/>
            <w:vAlign w:val="center"/>
          </w:tcPr>
          <w:p w14:paraId="2B4C9087">
            <w:pPr>
              <w:adjustRightInd w:val="0"/>
              <w:snapToGrid w:val="0"/>
              <w:jc w:val="center"/>
              <w:rPr>
                <w:rFonts w:hint="default" w:ascii="Times New Roman" w:hAnsi="Times New Roman" w:cs="Times New Roman" w:eastAsiaTheme="minorEastAsia"/>
                <w:bCs/>
                <w:color w:val="auto"/>
                <w:spacing w:val="10"/>
                <w:szCs w:val="21"/>
              </w:rPr>
            </w:pPr>
            <w:r>
              <w:rPr>
                <w:rFonts w:hint="default" w:ascii="Times New Roman" w:hAnsi="Times New Roman" w:cs="Times New Roman" w:eastAsiaTheme="minorEastAsia"/>
                <w:bCs/>
                <w:color w:val="auto"/>
                <w:szCs w:val="21"/>
              </w:rPr>
              <w:t>其他</w:t>
            </w:r>
          </w:p>
        </w:tc>
        <w:tc>
          <w:tcPr>
            <w:tcW w:w="8457" w:type="dxa"/>
            <w:vAlign w:val="center"/>
          </w:tcPr>
          <w:p w14:paraId="0838A220">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cs="Times New Roman"/>
                <w:color w:val="auto"/>
                <w:sz w:val="24"/>
                <w:szCs w:val="24"/>
                <w:lang w:val="en-US" w:eastAsia="zh-CN"/>
              </w:rPr>
              <w:t>环境管理是工程建设管理的重要组成部分，是工程环境保护工作有效实施的重要环节。</w:t>
            </w:r>
            <w:r>
              <w:rPr>
                <w:rFonts w:hint="eastAsia" w:cs="Times New Roman"/>
                <w:color w:val="auto"/>
                <w:sz w:val="24"/>
                <w:szCs w:val="24"/>
                <w:lang w:val="en-US" w:eastAsia="zh-CN"/>
              </w:rPr>
              <w:t>青年水库</w:t>
            </w:r>
            <w:r>
              <w:rPr>
                <w:rFonts w:hint="default" w:ascii="Times New Roman" w:hAnsi="Times New Roman" w:cs="Times New Roman"/>
                <w:color w:val="auto"/>
                <w:sz w:val="24"/>
                <w:szCs w:val="24"/>
                <w:lang w:val="en-US" w:eastAsia="zh-CN"/>
              </w:rPr>
              <w:t>电站工程环境管理目的在于保证工程各项环境保护措施的顺利实施，使工程施工和</w:t>
            </w:r>
            <w:r>
              <w:rPr>
                <w:rFonts w:hint="default" w:ascii="Times New Roman" w:hAnsi="Times New Roman" w:eastAsia="宋体" w:cs="Times New Roman"/>
                <w:color w:val="auto"/>
                <w:sz w:val="24"/>
                <w:szCs w:val="24"/>
                <w:lang w:val="en-US" w:eastAsia="zh-CN"/>
              </w:rPr>
              <w:t>运行产生的不利环境影响得到减免，以实现工程建设与生态环境保护、经济发展相协调。由于本项目施工期已结束，因此本报告主要对运行期阶段提出环境管理</w:t>
            </w:r>
            <w:r>
              <w:rPr>
                <w:rFonts w:hint="eastAsia" w:cs="Times New Roman"/>
                <w:color w:val="auto"/>
                <w:sz w:val="24"/>
                <w:szCs w:val="24"/>
                <w:lang w:val="en-US" w:eastAsia="zh-CN"/>
              </w:rPr>
              <w:t>和监测</w:t>
            </w:r>
            <w:r>
              <w:rPr>
                <w:rFonts w:hint="default" w:ascii="Times New Roman" w:hAnsi="Times New Roman" w:eastAsia="宋体" w:cs="Times New Roman"/>
                <w:color w:val="auto"/>
                <w:sz w:val="24"/>
                <w:szCs w:val="24"/>
                <w:lang w:val="en-US" w:eastAsia="zh-CN"/>
              </w:rPr>
              <w:t>要求。</w:t>
            </w:r>
          </w:p>
          <w:p w14:paraId="68B68012">
            <w:pPr>
              <w:adjustRightInd w:val="0"/>
              <w:snapToGrid w:val="0"/>
              <w:spacing w:line="360" w:lineRule="auto"/>
              <w:ind w:firstLine="480" w:firstLineChars="200"/>
              <w:jc w:val="both"/>
              <w:rPr>
                <w:rFonts w:hint="eastAsia" w:cs="Times New Roman"/>
                <w:color w:val="auto"/>
                <w:sz w:val="24"/>
                <w:szCs w:val="24"/>
                <w:lang w:val="en-US" w:eastAsia="zh-CN"/>
              </w:rPr>
            </w:pPr>
            <w:r>
              <w:rPr>
                <w:rFonts w:hint="eastAsia" w:cs="Times New Roman"/>
                <w:color w:val="auto"/>
                <w:sz w:val="24"/>
                <w:szCs w:val="24"/>
                <w:lang w:val="en-US" w:eastAsia="zh-CN"/>
              </w:rPr>
              <w:t>（1）运行期环境管理</w:t>
            </w:r>
          </w:p>
          <w:p w14:paraId="2DCD18AF">
            <w:pPr>
              <w:adjustRightInd w:val="0"/>
              <w:snapToGrid w:val="0"/>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水电站运行期间应禁止工作人员砍伐周边植物，严禁捕杀野生动物，禁止职工电鱼、炸鱼等。</w:t>
            </w:r>
            <w:r>
              <w:rPr>
                <w:rFonts w:hint="default" w:ascii="Times New Roman" w:hAnsi="Times New Roman" w:eastAsia="宋体" w:cs="Times New Roman"/>
                <w:color w:val="auto"/>
                <w:sz w:val="24"/>
                <w:szCs w:val="24"/>
                <w:shd w:val="clear" w:color="auto" w:fill="auto"/>
                <w:vertAlign w:val="baseline"/>
                <w:lang w:val="en-US" w:eastAsia="zh-CN"/>
              </w:rPr>
              <w:t>按核定的生态流量下泄生态用水，并维护坝后生态流量在线监控系统，与管理部门实时联网监控。</w:t>
            </w:r>
            <w:r>
              <w:rPr>
                <w:rFonts w:hint="default" w:ascii="Times New Roman" w:hAnsi="Times New Roman" w:eastAsia="宋体" w:cs="Times New Roman"/>
                <w:color w:val="auto"/>
                <w:sz w:val="24"/>
                <w:szCs w:val="24"/>
                <w:lang w:val="en-US" w:eastAsia="zh-CN"/>
              </w:rPr>
              <w:t>生活污水定期清淘，外运堆肥，禁止排入河流。加强设备的维护和保养，保持机械润滑，降低运行噪声等。</w:t>
            </w:r>
          </w:p>
          <w:p w14:paraId="67F82B87">
            <w:pPr>
              <w:adjustRightInd w:val="0"/>
              <w:snapToGrid w:val="0"/>
              <w:spacing w:line="360" w:lineRule="auto"/>
              <w:ind w:firstLine="480" w:firstLineChars="200"/>
              <w:jc w:val="both"/>
              <w:rPr>
                <w:rFonts w:hint="eastAsia" w:cs="Times New Roman"/>
                <w:color w:val="auto"/>
                <w:sz w:val="24"/>
                <w:szCs w:val="24"/>
                <w:lang w:val="en-US" w:eastAsia="zh-CN"/>
              </w:rPr>
            </w:pPr>
            <w:r>
              <w:rPr>
                <w:rFonts w:hint="eastAsia" w:cs="Times New Roman"/>
                <w:color w:val="auto"/>
                <w:sz w:val="24"/>
                <w:szCs w:val="24"/>
                <w:lang w:val="en-US" w:eastAsia="zh-CN"/>
              </w:rPr>
              <w:t>（2）运行期环境</w:t>
            </w:r>
          </w:p>
          <w:p w14:paraId="04879996">
            <w:pPr>
              <w:adjustRightInd w:val="0"/>
              <w:snapToGrid w:val="0"/>
              <w:spacing w:line="360" w:lineRule="auto"/>
              <w:ind w:firstLine="480" w:firstLineChars="200"/>
              <w:jc w:val="both"/>
              <w:rPr>
                <w:rFonts w:hint="eastAsia" w:cs="Times New Roman"/>
                <w:color w:val="auto"/>
                <w:sz w:val="24"/>
                <w:szCs w:val="24"/>
                <w:lang w:val="en-US" w:eastAsia="zh-CN"/>
              </w:rPr>
            </w:pPr>
            <w:r>
              <w:rPr>
                <w:rFonts w:hint="eastAsia" w:cs="Times New Roman"/>
                <w:color w:val="auto"/>
                <w:sz w:val="24"/>
                <w:szCs w:val="24"/>
                <w:lang w:val="en-US" w:eastAsia="zh-CN"/>
              </w:rPr>
              <w:t>①地表水水质监测</w:t>
            </w:r>
          </w:p>
          <w:p w14:paraId="6E05049F">
            <w:pPr>
              <w:adjustRightInd w:val="0"/>
              <w:snapToGrid w:val="0"/>
              <w:spacing w:line="360" w:lineRule="auto"/>
              <w:ind w:firstLine="480" w:firstLineChars="200"/>
              <w:jc w:val="both"/>
              <w:rPr>
                <w:rFonts w:hint="eastAsia" w:cs="Times New Roman"/>
                <w:color w:val="auto"/>
                <w:sz w:val="24"/>
                <w:szCs w:val="24"/>
                <w:lang w:val="en-US" w:eastAsia="zh-CN"/>
              </w:rPr>
            </w:pPr>
            <w:r>
              <w:rPr>
                <w:rFonts w:hint="eastAsia" w:cs="Times New Roman"/>
                <w:color w:val="auto"/>
                <w:sz w:val="24"/>
                <w:szCs w:val="24"/>
                <w:lang w:val="en-US" w:eastAsia="zh-CN"/>
              </w:rPr>
              <w:t>监测断面布设：在青年水库内、电站下游500m处小裴德河设置监测断面2处。</w:t>
            </w:r>
          </w:p>
          <w:p w14:paraId="2435EA7F">
            <w:pPr>
              <w:adjustRightInd w:val="0"/>
              <w:snapToGrid w:val="0"/>
              <w:spacing w:line="360" w:lineRule="auto"/>
              <w:ind w:firstLine="480" w:firstLineChars="200"/>
              <w:jc w:val="both"/>
              <w:rPr>
                <w:rFonts w:hint="eastAsia" w:eastAsia="宋体" w:cs="Times New Roman"/>
                <w:color w:val="auto"/>
                <w:sz w:val="24"/>
                <w:szCs w:val="24"/>
                <w:lang w:val="en-US" w:eastAsia="zh-CN"/>
              </w:rPr>
            </w:pPr>
            <w:r>
              <w:rPr>
                <w:rFonts w:hint="eastAsia" w:cs="Times New Roman"/>
                <w:color w:val="auto"/>
                <w:sz w:val="24"/>
                <w:szCs w:val="24"/>
                <w:lang w:val="en-US" w:eastAsia="zh-CN"/>
              </w:rPr>
              <w:t>监测项目：pH、COD、BOD</w:t>
            </w:r>
            <w:r>
              <w:rPr>
                <w:rFonts w:hint="eastAsia" w:cs="Times New Roman"/>
                <w:color w:val="auto"/>
                <w:sz w:val="24"/>
                <w:szCs w:val="24"/>
                <w:vertAlign w:val="subscript"/>
                <w:lang w:val="en-US" w:eastAsia="zh-CN"/>
              </w:rPr>
              <w:t>5</w:t>
            </w:r>
            <w:r>
              <w:rPr>
                <w:rFonts w:hint="eastAsia" w:cs="Times New Roman"/>
                <w:color w:val="auto"/>
                <w:sz w:val="24"/>
                <w:szCs w:val="24"/>
                <w:lang w:val="en-US" w:eastAsia="zh-CN"/>
              </w:rPr>
              <w:t>、水温、悬浮物、</w:t>
            </w:r>
            <w:r>
              <w:rPr>
                <w:rFonts w:hint="eastAsia"/>
                <w:color w:val="auto"/>
                <w:kern w:val="0"/>
                <w:sz w:val="24"/>
                <w:szCs w:val="24"/>
              </w:rPr>
              <w:t>氨氮、总氮、总磷、</w:t>
            </w:r>
            <w:r>
              <w:rPr>
                <w:color w:val="auto"/>
                <w:kern w:val="0"/>
                <w:sz w:val="24"/>
                <w:szCs w:val="24"/>
              </w:rPr>
              <w:t>石油类</w:t>
            </w:r>
            <w:r>
              <w:rPr>
                <w:rFonts w:hint="eastAsia"/>
                <w:color w:val="auto"/>
                <w:kern w:val="0"/>
                <w:sz w:val="24"/>
                <w:szCs w:val="24"/>
              </w:rPr>
              <w:t>、溶解氧、高锰酸盐指数、粪大肠菌群、叶绿素a、透明度</w:t>
            </w:r>
            <w:r>
              <w:rPr>
                <w:rFonts w:hint="eastAsia"/>
                <w:color w:val="auto"/>
                <w:kern w:val="0"/>
                <w:sz w:val="24"/>
                <w:szCs w:val="24"/>
                <w:lang w:eastAsia="zh-CN"/>
              </w:rPr>
              <w:t>。</w:t>
            </w:r>
          </w:p>
          <w:p w14:paraId="79AF5C0B">
            <w:pPr>
              <w:adjustRightInd w:val="0"/>
              <w:snapToGrid w:val="0"/>
              <w:spacing w:line="360" w:lineRule="auto"/>
              <w:ind w:firstLine="480" w:firstLineChars="200"/>
              <w:jc w:val="both"/>
              <w:rPr>
                <w:rFonts w:hint="eastAsia" w:cs="Times New Roman"/>
                <w:color w:val="auto"/>
                <w:sz w:val="24"/>
                <w:szCs w:val="24"/>
                <w:lang w:val="en-US" w:eastAsia="zh-CN"/>
              </w:rPr>
            </w:pPr>
            <w:r>
              <w:rPr>
                <w:rFonts w:hint="eastAsia" w:cs="Times New Roman"/>
                <w:color w:val="auto"/>
                <w:sz w:val="24"/>
                <w:szCs w:val="24"/>
                <w:lang w:val="en-US" w:eastAsia="zh-CN"/>
              </w:rPr>
              <w:t>监测时间及频率：每年灌溉期监测1次，每次监测3天。</w:t>
            </w:r>
          </w:p>
          <w:p w14:paraId="0A077BC8">
            <w:pPr>
              <w:adjustRightInd w:val="0"/>
              <w:snapToGrid w:val="0"/>
              <w:spacing w:line="360" w:lineRule="auto"/>
              <w:ind w:firstLine="480" w:firstLineChars="200"/>
              <w:jc w:val="both"/>
              <w:rPr>
                <w:rFonts w:hint="default" w:cs="Times New Roman"/>
                <w:color w:val="auto"/>
                <w:sz w:val="24"/>
                <w:szCs w:val="24"/>
                <w:lang w:val="en-US" w:eastAsia="zh-CN"/>
              </w:rPr>
            </w:pPr>
            <w:r>
              <w:rPr>
                <w:rFonts w:hint="eastAsia" w:cs="Times New Roman"/>
                <w:color w:val="auto"/>
                <w:sz w:val="24"/>
                <w:szCs w:val="24"/>
                <w:lang w:val="en-US" w:eastAsia="zh-CN"/>
              </w:rPr>
              <w:t>②噪声监测</w:t>
            </w:r>
          </w:p>
          <w:p w14:paraId="016EF9B3">
            <w:pPr>
              <w:adjustRightInd w:val="0"/>
              <w:snapToGrid w:val="0"/>
              <w:spacing w:line="360" w:lineRule="auto"/>
              <w:ind w:firstLine="480" w:firstLineChars="200"/>
              <w:jc w:val="both"/>
              <w:rPr>
                <w:rFonts w:hint="eastAsia" w:cs="Times New Roman"/>
                <w:color w:val="auto"/>
                <w:sz w:val="24"/>
                <w:szCs w:val="24"/>
                <w:lang w:val="en-US" w:eastAsia="zh-CN"/>
              </w:rPr>
            </w:pPr>
            <w:r>
              <w:rPr>
                <w:rFonts w:hint="eastAsia" w:cs="Times New Roman"/>
                <w:color w:val="auto"/>
                <w:sz w:val="24"/>
                <w:szCs w:val="24"/>
                <w:lang w:val="en-US" w:eastAsia="zh-CN"/>
              </w:rPr>
              <w:t>监测断面布设：项目四周厂界外1m设监测点位4处。</w:t>
            </w:r>
          </w:p>
          <w:p w14:paraId="6744E641">
            <w:pPr>
              <w:adjustRightInd w:val="0"/>
              <w:snapToGrid w:val="0"/>
              <w:spacing w:line="360" w:lineRule="auto"/>
              <w:ind w:firstLine="480" w:firstLineChars="200"/>
              <w:jc w:val="both"/>
              <w:rPr>
                <w:rFonts w:hint="eastAsia" w:cs="Times New Roman"/>
                <w:color w:val="auto"/>
                <w:sz w:val="24"/>
                <w:szCs w:val="24"/>
                <w:lang w:val="en-US" w:eastAsia="zh-CN"/>
              </w:rPr>
            </w:pPr>
            <w:r>
              <w:rPr>
                <w:rFonts w:hint="eastAsia" w:cs="Times New Roman"/>
                <w:color w:val="auto"/>
                <w:sz w:val="24"/>
                <w:szCs w:val="24"/>
                <w:lang w:val="en-US" w:eastAsia="zh-CN"/>
              </w:rPr>
              <w:t>监测项目：噪声级。</w:t>
            </w:r>
          </w:p>
          <w:p w14:paraId="3334A964">
            <w:pPr>
              <w:adjustRightInd w:val="0"/>
              <w:snapToGrid w:val="0"/>
              <w:spacing w:line="360" w:lineRule="auto"/>
              <w:ind w:firstLine="480" w:firstLineChars="200"/>
              <w:jc w:val="both"/>
              <w:rPr>
                <w:rFonts w:hint="eastAsia" w:cs="Times New Roman"/>
                <w:color w:val="auto"/>
                <w:sz w:val="24"/>
                <w:szCs w:val="24"/>
                <w:lang w:val="en-US" w:eastAsia="zh-CN"/>
              </w:rPr>
            </w:pPr>
            <w:r>
              <w:rPr>
                <w:rFonts w:hint="eastAsia" w:cs="Times New Roman"/>
                <w:color w:val="auto"/>
                <w:sz w:val="24"/>
                <w:szCs w:val="24"/>
                <w:lang w:val="en-US" w:eastAsia="zh-CN"/>
              </w:rPr>
              <w:t>监测时间及频率：每年灌溉期监测1次，每次监测2天。</w:t>
            </w:r>
          </w:p>
          <w:p w14:paraId="0EC04B71">
            <w:pPr>
              <w:pStyle w:val="2"/>
              <w:rPr>
                <w:rFonts w:hint="eastAsia" w:cs="Times New Roman"/>
                <w:color w:val="auto"/>
                <w:sz w:val="24"/>
                <w:szCs w:val="24"/>
                <w:lang w:val="en-US" w:eastAsia="zh-CN"/>
              </w:rPr>
            </w:pPr>
          </w:p>
          <w:p w14:paraId="044DD485">
            <w:pPr>
              <w:rPr>
                <w:rFonts w:hint="eastAsia" w:cs="Times New Roman"/>
                <w:color w:val="auto"/>
                <w:sz w:val="24"/>
                <w:szCs w:val="24"/>
                <w:lang w:val="en-US" w:eastAsia="zh-CN"/>
              </w:rPr>
            </w:pPr>
          </w:p>
          <w:p w14:paraId="04D42983">
            <w:pPr>
              <w:pStyle w:val="2"/>
              <w:rPr>
                <w:rFonts w:hint="eastAsia" w:cs="Times New Roman"/>
                <w:color w:val="auto"/>
                <w:sz w:val="24"/>
                <w:szCs w:val="24"/>
                <w:lang w:val="en-US" w:eastAsia="zh-CN"/>
              </w:rPr>
            </w:pPr>
          </w:p>
          <w:p w14:paraId="1694EFED">
            <w:pPr>
              <w:rPr>
                <w:rFonts w:hint="eastAsia" w:cs="Times New Roman"/>
                <w:color w:val="auto"/>
                <w:sz w:val="24"/>
                <w:szCs w:val="24"/>
                <w:lang w:val="en-US" w:eastAsia="zh-CN"/>
              </w:rPr>
            </w:pPr>
          </w:p>
          <w:p w14:paraId="2FE7903C">
            <w:pPr>
              <w:pStyle w:val="2"/>
              <w:rPr>
                <w:rFonts w:hint="eastAsia" w:cs="Times New Roman"/>
                <w:color w:val="auto"/>
                <w:sz w:val="24"/>
                <w:szCs w:val="24"/>
                <w:lang w:val="en-US" w:eastAsia="zh-CN"/>
              </w:rPr>
            </w:pPr>
          </w:p>
          <w:p w14:paraId="0DFA4EF0">
            <w:pPr>
              <w:rPr>
                <w:rFonts w:hint="eastAsia" w:cs="Times New Roman"/>
                <w:color w:val="auto"/>
                <w:sz w:val="24"/>
                <w:szCs w:val="24"/>
                <w:lang w:val="en-US" w:eastAsia="zh-CN"/>
              </w:rPr>
            </w:pPr>
          </w:p>
          <w:p w14:paraId="31D878D7">
            <w:pPr>
              <w:pStyle w:val="2"/>
              <w:rPr>
                <w:rFonts w:hint="eastAsia" w:cs="Times New Roman"/>
                <w:color w:val="auto"/>
                <w:sz w:val="24"/>
                <w:szCs w:val="24"/>
                <w:lang w:val="en-US" w:eastAsia="zh-CN"/>
              </w:rPr>
            </w:pPr>
          </w:p>
          <w:p w14:paraId="05F27F8D">
            <w:pPr>
              <w:rPr>
                <w:rFonts w:hint="eastAsia" w:cs="Times New Roman"/>
                <w:color w:val="auto"/>
                <w:sz w:val="24"/>
                <w:szCs w:val="24"/>
                <w:lang w:val="en-US" w:eastAsia="zh-CN"/>
              </w:rPr>
            </w:pPr>
          </w:p>
          <w:p w14:paraId="20806333">
            <w:pPr>
              <w:pStyle w:val="2"/>
              <w:rPr>
                <w:rFonts w:hint="eastAsia" w:cs="Times New Roman"/>
                <w:color w:val="auto"/>
                <w:sz w:val="24"/>
                <w:szCs w:val="24"/>
                <w:lang w:val="en-US" w:eastAsia="zh-CN"/>
              </w:rPr>
            </w:pPr>
          </w:p>
          <w:p w14:paraId="776E200A">
            <w:pPr>
              <w:rPr>
                <w:rFonts w:hint="eastAsia" w:cs="Times New Roman"/>
                <w:color w:val="auto"/>
                <w:sz w:val="24"/>
                <w:szCs w:val="24"/>
                <w:lang w:val="en-US" w:eastAsia="zh-CN"/>
              </w:rPr>
            </w:pPr>
          </w:p>
          <w:p w14:paraId="4F94E23E">
            <w:pPr>
              <w:pStyle w:val="2"/>
              <w:rPr>
                <w:rFonts w:hint="eastAsia" w:cs="Times New Roman"/>
                <w:color w:val="auto"/>
                <w:sz w:val="24"/>
                <w:szCs w:val="24"/>
                <w:lang w:val="en-US" w:eastAsia="zh-CN"/>
              </w:rPr>
            </w:pPr>
          </w:p>
          <w:p w14:paraId="36CC4D6C">
            <w:pPr>
              <w:rPr>
                <w:rFonts w:hint="eastAsia" w:cs="Times New Roman"/>
                <w:color w:val="auto"/>
                <w:sz w:val="24"/>
                <w:szCs w:val="24"/>
                <w:lang w:val="en-US" w:eastAsia="zh-CN"/>
              </w:rPr>
            </w:pPr>
          </w:p>
          <w:p w14:paraId="4F5E4727">
            <w:pPr>
              <w:pStyle w:val="2"/>
              <w:rPr>
                <w:rFonts w:hint="eastAsia" w:cs="Times New Roman"/>
                <w:color w:val="auto"/>
                <w:sz w:val="24"/>
                <w:szCs w:val="24"/>
                <w:lang w:val="en-US" w:eastAsia="zh-CN"/>
              </w:rPr>
            </w:pPr>
          </w:p>
          <w:p w14:paraId="7E71F8A6">
            <w:pPr>
              <w:rPr>
                <w:rFonts w:hint="eastAsia" w:cs="Times New Roman"/>
                <w:color w:val="auto"/>
                <w:sz w:val="24"/>
                <w:szCs w:val="24"/>
                <w:lang w:val="en-US" w:eastAsia="zh-CN"/>
              </w:rPr>
            </w:pPr>
          </w:p>
          <w:p w14:paraId="6135A19E">
            <w:pPr>
              <w:pStyle w:val="2"/>
              <w:rPr>
                <w:rFonts w:hint="eastAsia" w:cs="Times New Roman"/>
                <w:color w:val="auto"/>
                <w:sz w:val="24"/>
                <w:szCs w:val="24"/>
                <w:lang w:val="en-US" w:eastAsia="zh-CN"/>
              </w:rPr>
            </w:pPr>
          </w:p>
          <w:p w14:paraId="61005722">
            <w:pPr>
              <w:rPr>
                <w:rFonts w:hint="eastAsia" w:cs="Times New Roman"/>
                <w:color w:val="auto"/>
                <w:sz w:val="24"/>
                <w:szCs w:val="24"/>
                <w:lang w:val="en-US" w:eastAsia="zh-CN"/>
              </w:rPr>
            </w:pPr>
          </w:p>
          <w:p w14:paraId="6F96407C">
            <w:pPr>
              <w:pStyle w:val="2"/>
              <w:rPr>
                <w:rFonts w:hint="eastAsia" w:cs="Times New Roman"/>
                <w:color w:val="auto"/>
                <w:sz w:val="24"/>
                <w:szCs w:val="24"/>
                <w:lang w:val="en-US" w:eastAsia="zh-CN"/>
              </w:rPr>
            </w:pPr>
          </w:p>
          <w:p w14:paraId="3B4B650D">
            <w:pPr>
              <w:rPr>
                <w:rFonts w:hint="eastAsia" w:cs="Times New Roman"/>
                <w:color w:val="auto"/>
                <w:sz w:val="24"/>
                <w:szCs w:val="24"/>
                <w:lang w:val="en-US" w:eastAsia="zh-CN"/>
              </w:rPr>
            </w:pPr>
          </w:p>
          <w:p w14:paraId="21275FB6">
            <w:pPr>
              <w:pStyle w:val="2"/>
              <w:rPr>
                <w:rFonts w:hint="eastAsia" w:cs="Times New Roman"/>
                <w:color w:val="auto"/>
                <w:sz w:val="24"/>
                <w:szCs w:val="24"/>
                <w:lang w:val="en-US" w:eastAsia="zh-CN"/>
              </w:rPr>
            </w:pPr>
          </w:p>
          <w:p w14:paraId="7C57FE04">
            <w:pPr>
              <w:rPr>
                <w:rFonts w:hint="eastAsia" w:cs="Times New Roman"/>
                <w:color w:val="auto"/>
                <w:sz w:val="24"/>
                <w:szCs w:val="24"/>
                <w:lang w:val="en-US" w:eastAsia="zh-CN"/>
              </w:rPr>
            </w:pPr>
          </w:p>
          <w:p w14:paraId="1A83951C">
            <w:pPr>
              <w:pStyle w:val="2"/>
              <w:rPr>
                <w:rFonts w:hint="eastAsia" w:cs="Times New Roman"/>
                <w:color w:val="auto"/>
                <w:sz w:val="24"/>
                <w:szCs w:val="24"/>
                <w:lang w:val="en-US" w:eastAsia="zh-CN"/>
              </w:rPr>
            </w:pPr>
          </w:p>
          <w:p w14:paraId="266F37D3">
            <w:pPr>
              <w:rPr>
                <w:rFonts w:hint="eastAsia" w:cs="Times New Roman"/>
                <w:color w:val="auto"/>
                <w:sz w:val="24"/>
                <w:szCs w:val="24"/>
                <w:lang w:val="en-US" w:eastAsia="zh-CN"/>
              </w:rPr>
            </w:pPr>
          </w:p>
          <w:p w14:paraId="78D04C83">
            <w:pPr>
              <w:pStyle w:val="2"/>
              <w:rPr>
                <w:rFonts w:hint="eastAsia" w:cs="Times New Roman"/>
                <w:color w:val="auto"/>
                <w:sz w:val="24"/>
                <w:szCs w:val="24"/>
                <w:lang w:val="en-US" w:eastAsia="zh-CN"/>
              </w:rPr>
            </w:pPr>
          </w:p>
          <w:p w14:paraId="157C7588">
            <w:pPr>
              <w:rPr>
                <w:rFonts w:hint="eastAsia" w:cs="Times New Roman"/>
                <w:color w:val="auto"/>
                <w:sz w:val="24"/>
                <w:szCs w:val="24"/>
                <w:lang w:val="en-US" w:eastAsia="zh-CN"/>
              </w:rPr>
            </w:pPr>
          </w:p>
          <w:p w14:paraId="3117A686">
            <w:pPr>
              <w:pStyle w:val="2"/>
              <w:rPr>
                <w:rFonts w:hint="eastAsia" w:cs="Times New Roman"/>
                <w:color w:val="auto"/>
                <w:sz w:val="24"/>
                <w:szCs w:val="24"/>
                <w:lang w:val="en-US" w:eastAsia="zh-CN"/>
              </w:rPr>
            </w:pPr>
          </w:p>
          <w:p w14:paraId="2AA1D96B">
            <w:pPr>
              <w:rPr>
                <w:rFonts w:hint="eastAsia" w:cs="Times New Roman"/>
                <w:color w:val="auto"/>
                <w:sz w:val="24"/>
                <w:szCs w:val="24"/>
                <w:lang w:val="en-US" w:eastAsia="zh-CN"/>
              </w:rPr>
            </w:pPr>
          </w:p>
          <w:p w14:paraId="3AF8FD9A">
            <w:pPr>
              <w:pStyle w:val="2"/>
              <w:rPr>
                <w:rFonts w:hint="eastAsia" w:cs="Times New Roman"/>
                <w:color w:val="auto"/>
                <w:sz w:val="24"/>
                <w:szCs w:val="24"/>
                <w:lang w:val="en-US" w:eastAsia="zh-CN"/>
              </w:rPr>
            </w:pPr>
          </w:p>
          <w:p w14:paraId="5BC079D2">
            <w:pPr>
              <w:pStyle w:val="2"/>
              <w:ind w:left="0" w:leftChars="0" w:firstLine="0" w:firstLineChars="0"/>
              <w:rPr>
                <w:rFonts w:hint="default"/>
                <w:lang w:val="en-US" w:eastAsia="zh-CN"/>
              </w:rPr>
            </w:pPr>
          </w:p>
        </w:tc>
      </w:tr>
      <w:tr w14:paraId="7E2D0D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192" w:hRule="atLeast"/>
          <w:jc w:val="center"/>
        </w:trPr>
        <w:tc>
          <w:tcPr>
            <w:tcW w:w="753" w:type="dxa"/>
            <w:vAlign w:val="center"/>
          </w:tcPr>
          <w:p w14:paraId="79076655">
            <w:pPr>
              <w:adjustRightInd w:val="0"/>
              <w:snapToGrid w:val="0"/>
              <w:jc w:val="center"/>
              <w:rPr>
                <w:rFonts w:hint="default" w:ascii="Times New Roman" w:hAnsi="Times New Roman" w:cs="Times New Roman" w:eastAsiaTheme="minorEastAsia"/>
                <w:bCs/>
                <w:color w:val="auto"/>
                <w:spacing w:val="10"/>
                <w:szCs w:val="21"/>
              </w:rPr>
            </w:pPr>
            <w:r>
              <w:rPr>
                <w:rFonts w:hint="default" w:ascii="Times New Roman" w:hAnsi="Times New Roman" w:cs="Times New Roman" w:eastAsiaTheme="minorEastAsia"/>
                <w:bCs/>
                <w:color w:val="auto"/>
                <w:szCs w:val="21"/>
              </w:rPr>
              <w:t>环保投资</w:t>
            </w:r>
          </w:p>
        </w:tc>
        <w:tc>
          <w:tcPr>
            <w:tcW w:w="8457" w:type="dxa"/>
          </w:tcPr>
          <w:p w14:paraId="17480232">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jc w:val="both"/>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本项目总投资</w:t>
            </w:r>
            <w:r>
              <w:rPr>
                <w:rFonts w:hint="eastAsia" w:cs="Times New Roman"/>
                <w:color w:val="auto"/>
                <w:sz w:val="24"/>
                <w:szCs w:val="24"/>
                <w:lang w:val="en-US" w:eastAsia="zh-CN"/>
              </w:rPr>
              <w:t>182.18</w:t>
            </w:r>
            <w:r>
              <w:rPr>
                <w:rFonts w:hint="default" w:ascii="Times New Roman" w:hAnsi="Times New Roman" w:cs="Times New Roman"/>
                <w:color w:val="auto"/>
                <w:sz w:val="24"/>
                <w:szCs w:val="24"/>
              </w:rPr>
              <w:t>万元，环保投资为</w:t>
            </w:r>
            <w:r>
              <w:rPr>
                <w:rFonts w:hint="eastAsia" w:cs="Times New Roman"/>
                <w:color w:val="auto"/>
                <w:sz w:val="24"/>
                <w:szCs w:val="24"/>
                <w:lang w:val="en-US" w:eastAsia="zh-CN"/>
              </w:rPr>
              <w:t>17.7</w:t>
            </w:r>
            <w:r>
              <w:rPr>
                <w:rFonts w:hint="default" w:ascii="Times New Roman" w:hAnsi="Times New Roman" w:cs="Times New Roman"/>
                <w:color w:val="auto"/>
                <w:sz w:val="24"/>
                <w:szCs w:val="24"/>
              </w:rPr>
              <w:t>万元，占总投资的</w:t>
            </w:r>
            <w:r>
              <w:rPr>
                <w:rFonts w:hint="eastAsia" w:cs="Times New Roman"/>
                <w:color w:val="auto"/>
                <w:sz w:val="24"/>
                <w:szCs w:val="24"/>
                <w:lang w:val="en-US" w:eastAsia="zh-CN"/>
              </w:rPr>
              <w:t>9.72</w:t>
            </w:r>
            <w:r>
              <w:rPr>
                <w:rFonts w:hint="default" w:ascii="Times New Roman" w:hAnsi="Times New Roman" w:cs="Times New Roman"/>
                <w:color w:val="auto"/>
                <w:sz w:val="24"/>
                <w:szCs w:val="24"/>
              </w:rPr>
              <w:t>%，详见表5-3。</w:t>
            </w:r>
          </w:p>
          <w:p w14:paraId="044482B6">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sz w:val="24"/>
                <w:szCs w:val="24"/>
              </w:rPr>
            </w:pPr>
            <w:r>
              <w:rPr>
                <w:rFonts w:hint="default" w:ascii="Times New Roman" w:hAnsi="Times New Roman" w:cs="Times New Roman"/>
                <w:b/>
                <w:bCs/>
                <w:color w:val="auto"/>
                <w:sz w:val="24"/>
                <w:szCs w:val="24"/>
              </w:rPr>
              <w:t>表5</w:t>
            </w:r>
            <w:r>
              <w:rPr>
                <w:rFonts w:hint="default" w:ascii="Times New Roman" w:hAnsi="Times New Roman" w:cs="Times New Roman"/>
                <w:b/>
                <w:bCs/>
                <w:color w:val="auto"/>
                <w:sz w:val="24"/>
                <w:szCs w:val="24"/>
                <w:lang w:val="en-US" w:eastAsia="zh-CN"/>
              </w:rPr>
              <w:t>-1</w:t>
            </w:r>
            <w:r>
              <w:rPr>
                <w:rFonts w:hint="default" w:ascii="Times New Roman" w:hAnsi="Times New Roman" w:cs="Times New Roman"/>
                <w:b/>
                <w:bCs/>
                <w:color w:val="auto"/>
                <w:sz w:val="24"/>
                <w:szCs w:val="24"/>
              </w:rPr>
              <w:t xml:space="preserve">  环境保护投资</w:t>
            </w:r>
            <w:r>
              <w:rPr>
                <w:rFonts w:hint="default" w:ascii="Times New Roman" w:hAnsi="Times New Roman" w:cs="Times New Roman"/>
                <w:b/>
                <w:bCs/>
                <w:color w:val="auto"/>
                <w:sz w:val="24"/>
                <w:szCs w:val="24"/>
                <w:lang w:val="en-US" w:eastAsia="zh-CN"/>
              </w:rPr>
              <w:t>一览</w:t>
            </w:r>
            <w:r>
              <w:rPr>
                <w:rFonts w:hint="default" w:ascii="Times New Roman" w:hAnsi="Times New Roman" w:cs="Times New Roman"/>
                <w:b/>
                <w:bCs/>
                <w:color w:val="auto"/>
                <w:sz w:val="24"/>
                <w:szCs w:val="24"/>
              </w:rPr>
              <w:t>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5"/>
              <w:gridCol w:w="649"/>
              <w:gridCol w:w="1158"/>
              <w:gridCol w:w="2900"/>
              <w:gridCol w:w="2030"/>
              <w:gridCol w:w="1029"/>
            </w:tblGrid>
            <w:tr w14:paraId="0D2301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3" w:type="pct"/>
                  <w:tcBorders>
                    <w:tl2br w:val="nil"/>
                    <w:tr2bl w:val="nil"/>
                  </w:tcBorders>
                  <w:noWrap w:val="0"/>
                  <w:vAlign w:val="center"/>
                </w:tcPr>
                <w:p w14:paraId="295D8120">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时段</w:t>
                  </w:r>
                </w:p>
              </w:tc>
              <w:tc>
                <w:tcPr>
                  <w:tcW w:w="394" w:type="pct"/>
                  <w:tcBorders>
                    <w:tl2br w:val="nil"/>
                    <w:tr2bl w:val="nil"/>
                  </w:tcBorders>
                  <w:noWrap w:val="0"/>
                  <w:vAlign w:val="center"/>
                </w:tcPr>
                <w:p w14:paraId="70138B99">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类别</w:t>
                  </w:r>
                </w:p>
              </w:tc>
              <w:tc>
                <w:tcPr>
                  <w:tcW w:w="702" w:type="pct"/>
                  <w:tcBorders>
                    <w:tl2br w:val="nil"/>
                    <w:tr2bl w:val="nil"/>
                  </w:tcBorders>
                  <w:noWrap w:val="0"/>
                  <w:vAlign w:val="center"/>
                </w:tcPr>
                <w:p w14:paraId="4D853D42">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污染源</w:t>
                  </w:r>
                </w:p>
              </w:tc>
              <w:tc>
                <w:tcPr>
                  <w:tcW w:w="1761" w:type="pct"/>
                  <w:tcBorders>
                    <w:tl2br w:val="nil"/>
                    <w:tr2bl w:val="nil"/>
                  </w:tcBorders>
                  <w:noWrap w:val="0"/>
                  <w:vAlign w:val="center"/>
                </w:tcPr>
                <w:p w14:paraId="0885A6E9">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治理措施</w:t>
                  </w:r>
                </w:p>
              </w:tc>
              <w:tc>
                <w:tcPr>
                  <w:tcW w:w="1233" w:type="pct"/>
                  <w:tcBorders>
                    <w:tl2br w:val="nil"/>
                    <w:tr2bl w:val="nil"/>
                  </w:tcBorders>
                  <w:noWrap w:val="0"/>
                  <w:vAlign w:val="center"/>
                </w:tcPr>
                <w:p w14:paraId="291269FF">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备注</w:t>
                  </w:r>
                </w:p>
              </w:tc>
              <w:tc>
                <w:tcPr>
                  <w:tcW w:w="625" w:type="pct"/>
                  <w:tcBorders>
                    <w:tl2br w:val="nil"/>
                    <w:tr2bl w:val="nil"/>
                  </w:tcBorders>
                  <w:noWrap w:val="0"/>
                  <w:vAlign w:val="center"/>
                </w:tcPr>
                <w:p w14:paraId="1E3C2322">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环保投资</w:t>
                  </w:r>
                </w:p>
                <w:p w14:paraId="66E2BA8C">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（万元）</w:t>
                  </w:r>
                </w:p>
              </w:tc>
            </w:tr>
            <w:tr w14:paraId="5FAFFD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3" w:type="pct"/>
                  <w:vMerge w:val="restart"/>
                  <w:tcBorders>
                    <w:tl2br w:val="nil"/>
                    <w:tr2bl w:val="nil"/>
                  </w:tcBorders>
                  <w:noWrap w:val="0"/>
                  <w:vAlign w:val="center"/>
                </w:tcPr>
                <w:p w14:paraId="08A873D6">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施工期</w:t>
                  </w:r>
                </w:p>
              </w:tc>
              <w:tc>
                <w:tcPr>
                  <w:tcW w:w="394" w:type="pct"/>
                  <w:vMerge w:val="restart"/>
                  <w:tcBorders>
                    <w:tl2br w:val="nil"/>
                    <w:tr2bl w:val="nil"/>
                  </w:tcBorders>
                  <w:noWrap w:val="0"/>
                  <w:vAlign w:val="center"/>
                </w:tcPr>
                <w:p w14:paraId="3B664B12">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废气</w:t>
                  </w:r>
                </w:p>
              </w:tc>
              <w:tc>
                <w:tcPr>
                  <w:tcW w:w="702" w:type="pct"/>
                  <w:tcBorders>
                    <w:tl2br w:val="nil"/>
                    <w:tr2bl w:val="nil"/>
                  </w:tcBorders>
                  <w:noWrap w:val="0"/>
                  <w:vAlign w:val="center"/>
                </w:tcPr>
                <w:p w14:paraId="728F8EC5">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施工扬尘</w:t>
                  </w:r>
                </w:p>
              </w:tc>
              <w:tc>
                <w:tcPr>
                  <w:tcW w:w="1761" w:type="pct"/>
                  <w:tcBorders>
                    <w:tl2br w:val="nil"/>
                    <w:tr2bl w:val="nil"/>
                  </w:tcBorders>
                  <w:noWrap w:val="0"/>
                  <w:vAlign w:val="center"/>
                </w:tcPr>
                <w:p w14:paraId="26358B7D">
                  <w:pPr>
                    <w:keepNext w:val="0"/>
                    <w:keepLines w:val="0"/>
                    <w:widowControl/>
                    <w:suppressLineNumbers w:val="0"/>
                    <w:jc w:val="left"/>
                    <w:rPr>
                      <w:rFonts w:hint="default" w:ascii="Times New Roman" w:hAnsi="Times New Roman" w:eastAsia="宋体" w:cs="Times New Roman"/>
                      <w:color w:val="auto"/>
                      <w:sz w:val="21"/>
                      <w:szCs w:val="21"/>
                      <w:highlight w:val="none"/>
                      <w:lang w:eastAsia="zh-CN"/>
                    </w:rPr>
                  </w:pPr>
                  <w:r>
                    <w:rPr>
                      <w:rFonts w:hint="default" w:ascii="Times New Roman" w:hAnsi="Times New Roman" w:eastAsia="瀹嬩綋" w:cs="Times New Roman"/>
                      <w:color w:val="auto"/>
                      <w:kern w:val="0"/>
                      <w:sz w:val="21"/>
                      <w:szCs w:val="21"/>
                      <w:highlight w:val="none"/>
                      <w:lang w:val="en-US" w:eastAsia="zh-CN" w:bidi="ar"/>
                    </w:rPr>
                    <w:t>湿式作业，散装物料密闭运输等</w:t>
                  </w:r>
                </w:p>
              </w:tc>
              <w:tc>
                <w:tcPr>
                  <w:tcW w:w="1233" w:type="pct"/>
                  <w:vMerge w:val="restart"/>
                  <w:tcBorders>
                    <w:tl2br w:val="nil"/>
                    <w:tr2bl w:val="nil"/>
                  </w:tcBorders>
                  <w:noWrap w:val="0"/>
                  <w:vAlign w:val="center"/>
                </w:tcPr>
                <w:p w14:paraId="5252E128">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已投</w:t>
                  </w:r>
                </w:p>
              </w:tc>
              <w:tc>
                <w:tcPr>
                  <w:tcW w:w="625" w:type="pct"/>
                  <w:vMerge w:val="restart"/>
                  <w:tcBorders>
                    <w:tl2br w:val="nil"/>
                    <w:tr2bl w:val="nil"/>
                  </w:tcBorders>
                  <w:noWrap w:val="0"/>
                  <w:vAlign w:val="center"/>
                </w:tcPr>
                <w:p w14:paraId="7CA946EE">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0.</w:t>
                  </w:r>
                  <w:r>
                    <w:rPr>
                      <w:rFonts w:hint="eastAsia" w:cs="Times New Roman"/>
                      <w:color w:val="auto"/>
                      <w:kern w:val="2"/>
                      <w:sz w:val="21"/>
                      <w:szCs w:val="21"/>
                      <w:highlight w:val="none"/>
                      <w:lang w:val="en-US" w:eastAsia="zh-CN" w:bidi="ar-SA"/>
                    </w:rPr>
                    <w:t>10</w:t>
                  </w:r>
                </w:p>
              </w:tc>
            </w:tr>
            <w:tr w14:paraId="217A3D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3" w:type="pct"/>
                  <w:vMerge w:val="continue"/>
                  <w:tcBorders>
                    <w:tl2br w:val="nil"/>
                    <w:tr2bl w:val="nil"/>
                  </w:tcBorders>
                  <w:noWrap w:val="0"/>
                  <w:vAlign w:val="center"/>
                </w:tcPr>
                <w:p w14:paraId="269CE53E">
                  <w:pPr>
                    <w:jc w:val="center"/>
                    <w:rPr>
                      <w:rFonts w:hint="default" w:ascii="Times New Roman" w:hAnsi="Times New Roman" w:eastAsia="宋体" w:cs="Times New Roman"/>
                      <w:color w:val="auto"/>
                      <w:sz w:val="21"/>
                      <w:szCs w:val="21"/>
                      <w:highlight w:val="none"/>
                      <w:lang w:eastAsia="zh-CN"/>
                    </w:rPr>
                  </w:pPr>
                </w:p>
              </w:tc>
              <w:tc>
                <w:tcPr>
                  <w:tcW w:w="394" w:type="pct"/>
                  <w:vMerge w:val="continue"/>
                  <w:tcBorders>
                    <w:tl2br w:val="nil"/>
                    <w:tr2bl w:val="nil"/>
                  </w:tcBorders>
                  <w:noWrap w:val="0"/>
                  <w:vAlign w:val="center"/>
                </w:tcPr>
                <w:p w14:paraId="3EE0F0BC">
                  <w:pPr>
                    <w:jc w:val="center"/>
                    <w:rPr>
                      <w:rFonts w:hint="default" w:ascii="Times New Roman" w:hAnsi="Times New Roman" w:eastAsia="宋体" w:cs="Times New Roman"/>
                      <w:color w:val="auto"/>
                      <w:sz w:val="21"/>
                      <w:szCs w:val="21"/>
                      <w:highlight w:val="none"/>
                      <w:lang w:eastAsia="zh-CN"/>
                    </w:rPr>
                  </w:pPr>
                </w:p>
              </w:tc>
              <w:tc>
                <w:tcPr>
                  <w:tcW w:w="702" w:type="pct"/>
                  <w:tcBorders>
                    <w:tl2br w:val="nil"/>
                    <w:tr2bl w:val="nil"/>
                  </w:tcBorders>
                  <w:noWrap w:val="0"/>
                  <w:vAlign w:val="center"/>
                </w:tcPr>
                <w:p w14:paraId="444AD291">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机械尾气</w:t>
                  </w:r>
                </w:p>
              </w:tc>
              <w:tc>
                <w:tcPr>
                  <w:tcW w:w="1761" w:type="pct"/>
                  <w:tcBorders>
                    <w:tl2br w:val="nil"/>
                    <w:tr2bl w:val="nil"/>
                  </w:tcBorders>
                  <w:noWrap w:val="0"/>
                  <w:vAlign w:val="center"/>
                </w:tcPr>
                <w:p w14:paraId="4469D7D7">
                  <w:pPr>
                    <w:keepNext w:val="0"/>
                    <w:keepLines w:val="0"/>
                    <w:widowControl/>
                    <w:suppressLineNumbers w:val="0"/>
                    <w:jc w:val="left"/>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kern w:val="0"/>
                      <w:sz w:val="21"/>
                      <w:szCs w:val="21"/>
                      <w:highlight w:val="none"/>
                      <w:lang w:val="en-US" w:eastAsia="zh-CN" w:bidi="ar"/>
                    </w:rPr>
                    <w:t>设备维护保养等</w:t>
                  </w:r>
                </w:p>
              </w:tc>
              <w:tc>
                <w:tcPr>
                  <w:tcW w:w="1233" w:type="pct"/>
                  <w:vMerge w:val="continue"/>
                  <w:tcBorders>
                    <w:tl2br w:val="nil"/>
                    <w:tr2bl w:val="nil"/>
                  </w:tcBorders>
                  <w:noWrap w:val="0"/>
                  <w:vAlign w:val="center"/>
                </w:tcPr>
                <w:p w14:paraId="11462715">
                  <w:pPr>
                    <w:jc w:val="center"/>
                    <w:rPr>
                      <w:rFonts w:hint="default" w:ascii="Times New Roman" w:hAnsi="Times New Roman" w:eastAsia="宋体" w:cs="Times New Roman"/>
                      <w:color w:val="auto"/>
                      <w:sz w:val="21"/>
                      <w:szCs w:val="21"/>
                      <w:highlight w:val="none"/>
                      <w:lang w:val="en-US" w:eastAsia="zh-CN"/>
                    </w:rPr>
                  </w:pPr>
                </w:p>
              </w:tc>
              <w:tc>
                <w:tcPr>
                  <w:tcW w:w="625" w:type="pct"/>
                  <w:vMerge w:val="continue"/>
                  <w:tcBorders>
                    <w:tl2br w:val="nil"/>
                    <w:tr2bl w:val="nil"/>
                  </w:tcBorders>
                  <w:noWrap w:val="0"/>
                  <w:vAlign w:val="center"/>
                </w:tcPr>
                <w:p w14:paraId="06AEECE2">
                  <w:pPr>
                    <w:jc w:val="center"/>
                    <w:rPr>
                      <w:rFonts w:hint="default" w:ascii="Times New Roman" w:hAnsi="Times New Roman" w:eastAsia="宋体" w:cs="Times New Roman"/>
                      <w:color w:val="auto"/>
                      <w:kern w:val="2"/>
                      <w:sz w:val="21"/>
                      <w:szCs w:val="21"/>
                      <w:highlight w:val="none"/>
                      <w:lang w:val="en-US" w:eastAsia="zh-CN" w:bidi="ar-SA"/>
                    </w:rPr>
                  </w:pPr>
                </w:p>
              </w:tc>
            </w:tr>
            <w:tr w14:paraId="2B4D3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3" w:type="pct"/>
                  <w:vMerge w:val="continue"/>
                  <w:tcBorders>
                    <w:tl2br w:val="nil"/>
                    <w:tr2bl w:val="nil"/>
                  </w:tcBorders>
                  <w:noWrap w:val="0"/>
                  <w:vAlign w:val="center"/>
                </w:tcPr>
                <w:p w14:paraId="191BF7B7">
                  <w:pPr>
                    <w:jc w:val="center"/>
                    <w:rPr>
                      <w:rFonts w:hint="default" w:ascii="Times New Roman" w:hAnsi="Times New Roman" w:eastAsia="宋体" w:cs="Times New Roman"/>
                      <w:color w:val="auto"/>
                      <w:sz w:val="21"/>
                      <w:szCs w:val="21"/>
                      <w:highlight w:val="none"/>
                      <w:lang w:eastAsia="zh-CN"/>
                    </w:rPr>
                  </w:pPr>
                </w:p>
              </w:tc>
              <w:tc>
                <w:tcPr>
                  <w:tcW w:w="394" w:type="pct"/>
                  <w:tcBorders>
                    <w:tl2br w:val="nil"/>
                    <w:tr2bl w:val="nil"/>
                  </w:tcBorders>
                  <w:noWrap w:val="0"/>
                  <w:vAlign w:val="center"/>
                </w:tcPr>
                <w:p w14:paraId="274C1AF4">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废水</w:t>
                  </w:r>
                </w:p>
              </w:tc>
              <w:tc>
                <w:tcPr>
                  <w:tcW w:w="702" w:type="pct"/>
                  <w:tcBorders>
                    <w:tl2br w:val="nil"/>
                    <w:tr2bl w:val="nil"/>
                  </w:tcBorders>
                  <w:noWrap w:val="0"/>
                  <w:vAlign w:val="center"/>
                </w:tcPr>
                <w:p w14:paraId="5A122071">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生活污水</w:t>
                  </w:r>
                </w:p>
              </w:tc>
              <w:tc>
                <w:tcPr>
                  <w:tcW w:w="1761" w:type="pct"/>
                  <w:tcBorders>
                    <w:tl2br w:val="nil"/>
                    <w:tr2bl w:val="nil"/>
                  </w:tcBorders>
                  <w:noWrap w:val="0"/>
                  <w:vAlign w:val="center"/>
                </w:tcPr>
                <w:p w14:paraId="7EF0E2C9">
                  <w:pPr>
                    <w:keepNext w:val="0"/>
                    <w:keepLines w:val="0"/>
                    <w:widowControl/>
                    <w:suppressLineNumbers w:val="0"/>
                    <w:jc w:val="left"/>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sz w:val="21"/>
                      <w:szCs w:val="21"/>
                    </w:rPr>
                    <w:t>施工期</w:t>
                  </w:r>
                  <w:r>
                    <w:rPr>
                      <w:rFonts w:hint="default" w:ascii="Times New Roman" w:hAnsi="Times New Roman" w:cs="Times New Roman"/>
                      <w:color w:val="auto"/>
                      <w:sz w:val="21"/>
                      <w:szCs w:val="21"/>
                      <w:lang w:val="en-US" w:eastAsia="zh-CN"/>
                    </w:rPr>
                    <w:t>施工人员</w:t>
                  </w:r>
                  <w:r>
                    <w:rPr>
                      <w:rFonts w:hint="default" w:ascii="Times New Roman" w:hAnsi="Times New Roman" w:cs="Times New Roman"/>
                      <w:color w:val="auto"/>
                      <w:sz w:val="21"/>
                      <w:szCs w:val="21"/>
                    </w:rPr>
                    <w:t>生活污水定期清淘，外运堆肥</w:t>
                  </w:r>
                  <w:r>
                    <w:rPr>
                      <w:rFonts w:hint="eastAsia" w:cs="Times New Roman"/>
                      <w:color w:val="auto"/>
                      <w:sz w:val="21"/>
                      <w:szCs w:val="21"/>
                      <w:lang w:eastAsia="zh-CN"/>
                    </w:rPr>
                    <w:t>。</w:t>
                  </w:r>
                </w:p>
              </w:tc>
              <w:tc>
                <w:tcPr>
                  <w:tcW w:w="1233" w:type="pct"/>
                  <w:tcBorders>
                    <w:tl2br w:val="nil"/>
                    <w:tr2bl w:val="nil"/>
                  </w:tcBorders>
                  <w:noWrap w:val="0"/>
                  <w:vAlign w:val="center"/>
                </w:tcPr>
                <w:p w14:paraId="10A15833">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利用原有</w:t>
                  </w:r>
                </w:p>
              </w:tc>
              <w:tc>
                <w:tcPr>
                  <w:tcW w:w="625" w:type="pct"/>
                  <w:tcBorders>
                    <w:tl2br w:val="nil"/>
                    <w:tr2bl w:val="nil"/>
                  </w:tcBorders>
                  <w:noWrap w:val="0"/>
                  <w:vAlign w:val="center"/>
                </w:tcPr>
                <w:p w14:paraId="1C1F552E">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w:t>
                  </w:r>
                </w:p>
              </w:tc>
            </w:tr>
            <w:tr w14:paraId="633C8E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3" w:type="pct"/>
                  <w:vMerge w:val="continue"/>
                  <w:tcBorders>
                    <w:tl2br w:val="nil"/>
                    <w:tr2bl w:val="nil"/>
                  </w:tcBorders>
                  <w:noWrap w:val="0"/>
                  <w:vAlign w:val="center"/>
                </w:tcPr>
                <w:p w14:paraId="08F4D8B2">
                  <w:pPr>
                    <w:jc w:val="center"/>
                    <w:rPr>
                      <w:rFonts w:hint="default" w:ascii="Times New Roman" w:hAnsi="Times New Roman" w:eastAsia="宋体" w:cs="Times New Roman"/>
                      <w:color w:val="auto"/>
                      <w:sz w:val="21"/>
                      <w:szCs w:val="21"/>
                      <w:highlight w:val="none"/>
                      <w:lang w:eastAsia="zh-CN"/>
                    </w:rPr>
                  </w:pPr>
                </w:p>
              </w:tc>
              <w:tc>
                <w:tcPr>
                  <w:tcW w:w="394" w:type="pct"/>
                  <w:tcBorders>
                    <w:tl2br w:val="nil"/>
                    <w:tr2bl w:val="nil"/>
                  </w:tcBorders>
                  <w:noWrap w:val="0"/>
                  <w:vAlign w:val="center"/>
                </w:tcPr>
                <w:p w14:paraId="0D024484">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固体废物</w:t>
                  </w:r>
                </w:p>
              </w:tc>
              <w:tc>
                <w:tcPr>
                  <w:tcW w:w="702" w:type="pct"/>
                  <w:tcBorders>
                    <w:tl2br w:val="nil"/>
                    <w:tr2bl w:val="nil"/>
                  </w:tcBorders>
                  <w:noWrap w:val="0"/>
                  <w:vAlign w:val="center"/>
                </w:tcPr>
                <w:p w14:paraId="4D2B536C">
                  <w:pPr>
                    <w:keepNext w:val="0"/>
                    <w:keepLines w:val="0"/>
                    <w:widowControl/>
                    <w:suppressLineNumbers w:val="0"/>
                    <w:jc w:val="center"/>
                    <w:rPr>
                      <w:rFonts w:hint="default" w:ascii="Times New Roman" w:hAnsi="Times New Roman" w:eastAsia="瀹嬩綋" w:cs="Times New Roman"/>
                      <w:color w:val="auto"/>
                      <w:kern w:val="0"/>
                      <w:sz w:val="21"/>
                      <w:szCs w:val="21"/>
                      <w:highlight w:val="none"/>
                      <w:lang w:val="en-US" w:eastAsia="zh-CN" w:bidi="ar"/>
                    </w:rPr>
                  </w:pPr>
                  <w:r>
                    <w:rPr>
                      <w:rFonts w:hint="default" w:ascii="Times New Roman" w:hAnsi="Times New Roman" w:eastAsia="瀹嬩綋" w:cs="Times New Roman"/>
                      <w:color w:val="auto"/>
                      <w:kern w:val="0"/>
                      <w:sz w:val="21"/>
                      <w:szCs w:val="21"/>
                      <w:highlight w:val="none"/>
                      <w:lang w:val="en-US" w:eastAsia="zh-CN" w:bidi="ar"/>
                    </w:rPr>
                    <w:t>施工人员</w:t>
                  </w:r>
                </w:p>
                <w:p w14:paraId="74CAD140">
                  <w:pPr>
                    <w:keepNext w:val="0"/>
                    <w:keepLines w:val="0"/>
                    <w:widowControl/>
                    <w:suppressLineNumbers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瀹嬩綋" w:cs="Times New Roman"/>
                      <w:color w:val="auto"/>
                      <w:kern w:val="0"/>
                      <w:sz w:val="21"/>
                      <w:szCs w:val="21"/>
                      <w:highlight w:val="none"/>
                      <w:lang w:val="en-US" w:eastAsia="zh-CN" w:bidi="ar"/>
                    </w:rPr>
                    <w:t>生活垃圾</w:t>
                  </w:r>
                </w:p>
              </w:tc>
              <w:tc>
                <w:tcPr>
                  <w:tcW w:w="1761" w:type="pct"/>
                  <w:tcBorders>
                    <w:tl2br w:val="nil"/>
                    <w:tr2bl w:val="nil"/>
                  </w:tcBorders>
                  <w:noWrap w:val="0"/>
                  <w:vAlign w:val="center"/>
                </w:tcPr>
                <w:p w14:paraId="07CFFF73">
                  <w:pPr>
                    <w:jc w:val="both"/>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vertAlign w:val="baseline"/>
                      <w:lang w:val="en-US" w:eastAsia="zh-CN" w:bidi="ar"/>
                    </w:rPr>
                    <w:t>收集后定期运至周边村屯垃圾收集点交由环卫部门处置</w:t>
                  </w:r>
                </w:p>
              </w:tc>
              <w:tc>
                <w:tcPr>
                  <w:tcW w:w="1233" w:type="pct"/>
                  <w:tcBorders>
                    <w:tl2br w:val="nil"/>
                    <w:tr2bl w:val="nil"/>
                  </w:tcBorders>
                  <w:noWrap w:val="0"/>
                  <w:vAlign w:val="center"/>
                </w:tcPr>
                <w:p w14:paraId="28CFD31B">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已投</w:t>
                  </w:r>
                </w:p>
              </w:tc>
              <w:tc>
                <w:tcPr>
                  <w:tcW w:w="625" w:type="pct"/>
                  <w:tcBorders>
                    <w:tl2br w:val="nil"/>
                    <w:tr2bl w:val="nil"/>
                  </w:tcBorders>
                  <w:noWrap w:val="0"/>
                  <w:vAlign w:val="center"/>
                </w:tcPr>
                <w:p w14:paraId="353428F8">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0.</w:t>
                  </w:r>
                  <w:r>
                    <w:rPr>
                      <w:rFonts w:hint="eastAsia" w:cs="Times New Roman"/>
                      <w:color w:val="auto"/>
                      <w:kern w:val="2"/>
                      <w:sz w:val="21"/>
                      <w:szCs w:val="21"/>
                      <w:highlight w:val="none"/>
                      <w:lang w:val="en-US" w:eastAsia="zh-CN" w:bidi="ar-SA"/>
                    </w:rPr>
                    <w:t>10</w:t>
                  </w:r>
                </w:p>
              </w:tc>
            </w:tr>
            <w:tr w14:paraId="1F1F6F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3" w:type="pct"/>
                  <w:vMerge w:val="restart"/>
                  <w:tcBorders>
                    <w:tl2br w:val="nil"/>
                    <w:tr2bl w:val="nil"/>
                  </w:tcBorders>
                  <w:noWrap w:val="0"/>
                  <w:vAlign w:val="center"/>
                </w:tcPr>
                <w:p w14:paraId="1496ECC3">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运营期</w:t>
                  </w:r>
                </w:p>
              </w:tc>
              <w:tc>
                <w:tcPr>
                  <w:tcW w:w="394" w:type="pct"/>
                  <w:tcBorders>
                    <w:tl2br w:val="nil"/>
                    <w:tr2bl w:val="nil"/>
                  </w:tcBorders>
                  <w:noWrap w:val="0"/>
                  <w:vAlign w:val="center"/>
                </w:tcPr>
                <w:p w14:paraId="46CCC7CC">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废水</w:t>
                  </w:r>
                </w:p>
              </w:tc>
              <w:tc>
                <w:tcPr>
                  <w:tcW w:w="702" w:type="pct"/>
                  <w:tcBorders>
                    <w:tl2br w:val="nil"/>
                    <w:tr2bl w:val="nil"/>
                  </w:tcBorders>
                  <w:noWrap w:val="0"/>
                  <w:vAlign w:val="center"/>
                </w:tcPr>
                <w:p w14:paraId="1E032AF4">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生活污水</w:t>
                  </w:r>
                </w:p>
              </w:tc>
              <w:tc>
                <w:tcPr>
                  <w:tcW w:w="1761" w:type="pct"/>
                  <w:tcBorders>
                    <w:tl2br w:val="nil"/>
                    <w:tr2bl w:val="nil"/>
                  </w:tcBorders>
                  <w:noWrap w:val="0"/>
                  <w:vAlign w:val="center"/>
                </w:tcPr>
                <w:p w14:paraId="74E67D51">
                  <w:pPr>
                    <w:keepNext w:val="0"/>
                    <w:keepLines w:val="0"/>
                    <w:widowControl/>
                    <w:suppressLineNumbers w:val="0"/>
                    <w:jc w:val="both"/>
                    <w:rPr>
                      <w:rFonts w:hint="default" w:ascii="Times New Roman" w:hAnsi="Times New Roman" w:eastAsia="瀹嬩綋" w:cs="Times New Roman"/>
                      <w:color w:val="auto"/>
                      <w:kern w:val="0"/>
                      <w:sz w:val="21"/>
                      <w:szCs w:val="21"/>
                      <w:highlight w:val="none"/>
                      <w:lang w:val="en-US" w:eastAsia="zh-CN" w:bidi="ar"/>
                    </w:rPr>
                  </w:pPr>
                  <w:r>
                    <w:rPr>
                      <w:rFonts w:hint="default" w:ascii="Times New Roman" w:hAnsi="Times New Roman" w:eastAsia="瀹嬩綋" w:cs="Times New Roman"/>
                      <w:color w:val="auto"/>
                      <w:kern w:val="0"/>
                      <w:sz w:val="21"/>
                      <w:szCs w:val="21"/>
                      <w:highlight w:val="none"/>
                      <w:lang w:val="en-US" w:eastAsia="zh-CN" w:bidi="ar"/>
                    </w:rPr>
                    <w:t>管理人员生活污水</w:t>
                  </w:r>
                  <w:r>
                    <w:rPr>
                      <w:rFonts w:hint="default" w:ascii="Times New Roman" w:hAnsi="Times New Roman" w:cs="Times New Roman"/>
                      <w:color w:val="auto"/>
                      <w:sz w:val="21"/>
                      <w:szCs w:val="21"/>
                    </w:rPr>
                    <w:t>定期清淘，外运堆肥</w:t>
                  </w:r>
                </w:p>
              </w:tc>
              <w:tc>
                <w:tcPr>
                  <w:tcW w:w="1233" w:type="pct"/>
                  <w:tcBorders>
                    <w:tl2br w:val="nil"/>
                    <w:tr2bl w:val="nil"/>
                  </w:tcBorders>
                  <w:noWrap w:val="0"/>
                  <w:vAlign w:val="center"/>
                </w:tcPr>
                <w:p w14:paraId="549A6EA1">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利用原有</w:t>
                  </w:r>
                </w:p>
              </w:tc>
              <w:tc>
                <w:tcPr>
                  <w:tcW w:w="625" w:type="pct"/>
                  <w:tcBorders>
                    <w:tl2br w:val="nil"/>
                    <w:tr2bl w:val="nil"/>
                  </w:tcBorders>
                  <w:noWrap w:val="0"/>
                  <w:vAlign w:val="center"/>
                </w:tcPr>
                <w:p w14:paraId="112BAAA4">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kern w:val="2"/>
                      <w:sz w:val="21"/>
                      <w:szCs w:val="21"/>
                      <w:highlight w:val="none"/>
                      <w:lang w:val="en-US" w:eastAsia="zh-CN" w:bidi="ar-SA"/>
                    </w:rPr>
                    <w:t>/</w:t>
                  </w:r>
                </w:p>
              </w:tc>
            </w:tr>
            <w:tr w14:paraId="545268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3" w:type="pct"/>
                  <w:vMerge w:val="continue"/>
                  <w:tcBorders>
                    <w:tl2br w:val="nil"/>
                    <w:tr2bl w:val="nil"/>
                  </w:tcBorders>
                  <w:noWrap w:val="0"/>
                  <w:vAlign w:val="center"/>
                </w:tcPr>
                <w:p w14:paraId="5154452D">
                  <w:pPr>
                    <w:jc w:val="center"/>
                    <w:rPr>
                      <w:rFonts w:hint="default" w:ascii="Times New Roman" w:hAnsi="Times New Roman" w:eastAsia="宋体" w:cs="Times New Roman"/>
                      <w:color w:val="auto"/>
                      <w:sz w:val="21"/>
                      <w:szCs w:val="21"/>
                      <w:highlight w:val="none"/>
                      <w:lang w:eastAsia="zh-CN"/>
                    </w:rPr>
                  </w:pPr>
                </w:p>
              </w:tc>
              <w:tc>
                <w:tcPr>
                  <w:tcW w:w="394" w:type="pct"/>
                  <w:tcBorders>
                    <w:tl2br w:val="nil"/>
                    <w:tr2bl w:val="nil"/>
                  </w:tcBorders>
                  <w:noWrap w:val="0"/>
                  <w:vAlign w:val="center"/>
                </w:tcPr>
                <w:p w14:paraId="792924E1">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噪声</w:t>
                  </w:r>
                </w:p>
              </w:tc>
              <w:tc>
                <w:tcPr>
                  <w:tcW w:w="702" w:type="pct"/>
                  <w:tcBorders>
                    <w:tl2br w:val="nil"/>
                    <w:tr2bl w:val="nil"/>
                  </w:tcBorders>
                  <w:noWrap w:val="0"/>
                  <w:vAlign w:val="center"/>
                </w:tcPr>
                <w:p w14:paraId="6CFF2206">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发电厂房</w:t>
                  </w:r>
                </w:p>
              </w:tc>
              <w:tc>
                <w:tcPr>
                  <w:tcW w:w="1761" w:type="pct"/>
                  <w:tcBorders>
                    <w:tl2br w:val="nil"/>
                    <w:tr2bl w:val="nil"/>
                  </w:tcBorders>
                  <w:noWrap w:val="0"/>
                  <w:vAlign w:val="center"/>
                </w:tcPr>
                <w:p w14:paraId="3D3DE547">
                  <w:pPr>
                    <w:keepNext w:val="0"/>
                    <w:keepLines w:val="0"/>
                    <w:widowControl/>
                    <w:suppressLineNumbers w:val="0"/>
                    <w:jc w:val="both"/>
                    <w:rPr>
                      <w:rFonts w:hint="default" w:ascii="Times New Roman" w:hAnsi="Times New Roman" w:cs="Times New Roman"/>
                      <w:color w:val="auto"/>
                      <w:sz w:val="21"/>
                      <w:szCs w:val="21"/>
                      <w:highlight w:val="none"/>
                      <w:lang w:eastAsia="zh-CN"/>
                    </w:rPr>
                  </w:pPr>
                  <w:r>
                    <w:rPr>
                      <w:rFonts w:hint="default" w:ascii="Times New Roman" w:hAnsi="Times New Roman" w:eastAsia="瀹嬩綋" w:cs="Times New Roman"/>
                      <w:color w:val="auto"/>
                      <w:kern w:val="0"/>
                      <w:sz w:val="21"/>
                      <w:szCs w:val="21"/>
                      <w:highlight w:val="none"/>
                      <w:lang w:val="en-US" w:eastAsia="zh-CN" w:bidi="ar"/>
                    </w:rPr>
                    <w:t>水轮机等设备采取减振、隔声、消声等措施</w:t>
                  </w:r>
                </w:p>
              </w:tc>
              <w:tc>
                <w:tcPr>
                  <w:tcW w:w="1233" w:type="pct"/>
                  <w:tcBorders>
                    <w:tl2br w:val="nil"/>
                    <w:tr2bl w:val="nil"/>
                  </w:tcBorders>
                  <w:noWrap w:val="0"/>
                  <w:vAlign w:val="center"/>
                </w:tcPr>
                <w:p w14:paraId="1FAE34C7">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利用原有</w:t>
                  </w:r>
                </w:p>
              </w:tc>
              <w:tc>
                <w:tcPr>
                  <w:tcW w:w="625" w:type="pct"/>
                  <w:tcBorders>
                    <w:tl2br w:val="nil"/>
                    <w:tr2bl w:val="nil"/>
                  </w:tcBorders>
                  <w:noWrap w:val="0"/>
                  <w:vAlign w:val="center"/>
                </w:tcPr>
                <w:p w14:paraId="47CDC957">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w:t>
                  </w:r>
                </w:p>
              </w:tc>
            </w:tr>
            <w:tr w14:paraId="401E69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3" w:type="pct"/>
                  <w:vMerge w:val="continue"/>
                  <w:tcBorders>
                    <w:tl2br w:val="nil"/>
                    <w:tr2bl w:val="nil"/>
                  </w:tcBorders>
                  <w:noWrap w:val="0"/>
                  <w:vAlign w:val="center"/>
                </w:tcPr>
                <w:p w14:paraId="26E18D2C">
                  <w:pPr>
                    <w:jc w:val="center"/>
                    <w:rPr>
                      <w:rFonts w:hint="default" w:ascii="Times New Roman" w:hAnsi="Times New Roman" w:eastAsia="宋体" w:cs="Times New Roman"/>
                      <w:color w:val="auto"/>
                      <w:sz w:val="21"/>
                      <w:szCs w:val="21"/>
                      <w:highlight w:val="none"/>
                      <w:lang w:eastAsia="zh-CN"/>
                    </w:rPr>
                  </w:pPr>
                </w:p>
              </w:tc>
              <w:tc>
                <w:tcPr>
                  <w:tcW w:w="394" w:type="pct"/>
                  <w:vMerge w:val="restart"/>
                  <w:tcBorders>
                    <w:tl2br w:val="nil"/>
                    <w:tr2bl w:val="nil"/>
                  </w:tcBorders>
                  <w:noWrap w:val="0"/>
                  <w:vAlign w:val="center"/>
                </w:tcPr>
                <w:p w14:paraId="7642BF3A">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固体废物</w:t>
                  </w:r>
                </w:p>
              </w:tc>
              <w:tc>
                <w:tcPr>
                  <w:tcW w:w="702" w:type="pct"/>
                  <w:tcBorders>
                    <w:tl2br w:val="nil"/>
                    <w:tr2bl w:val="nil"/>
                  </w:tcBorders>
                  <w:noWrap w:val="0"/>
                  <w:vAlign w:val="center"/>
                </w:tcPr>
                <w:p w14:paraId="09195126">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一般废物</w:t>
                  </w:r>
                </w:p>
              </w:tc>
              <w:tc>
                <w:tcPr>
                  <w:tcW w:w="1761" w:type="pct"/>
                  <w:tcBorders>
                    <w:tl2br w:val="nil"/>
                    <w:tr2bl w:val="nil"/>
                  </w:tcBorders>
                  <w:noWrap w:val="0"/>
                  <w:vAlign w:val="center"/>
                </w:tcPr>
                <w:p w14:paraId="0753FC50">
                  <w:pPr>
                    <w:keepNext w:val="0"/>
                    <w:keepLines w:val="0"/>
                    <w:widowControl/>
                    <w:suppressLineNumbers w:val="0"/>
                    <w:jc w:val="both"/>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生活垃圾经收集后交由环卫部门清运；水面浮渣分类处置</w:t>
                  </w:r>
                </w:p>
              </w:tc>
              <w:tc>
                <w:tcPr>
                  <w:tcW w:w="1233" w:type="pct"/>
                  <w:tcBorders>
                    <w:tl2br w:val="nil"/>
                    <w:tr2bl w:val="nil"/>
                  </w:tcBorders>
                  <w:noWrap w:val="0"/>
                  <w:vAlign w:val="center"/>
                </w:tcPr>
                <w:p w14:paraId="4C7E1F3F">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利用原有</w:t>
                  </w:r>
                </w:p>
              </w:tc>
              <w:tc>
                <w:tcPr>
                  <w:tcW w:w="625" w:type="pct"/>
                  <w:tcBorders>
                    <w:tl2br w:val="nil"/>
                    <w:tr2bl w:val="nil"/>
                  </w:tcBorders>
                  <w:noWrap w:val="0"/>
                  <w:vAlign w:val="center"/>
                </w:tcPr>
                <w:p w14:paraId="2BA09D8D">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kern w:val="2"/>
                      <w:sz w:val="21"/>
                      <w:szCs w:val="21"/>
                      <w:highlight w:val="none"/>
                      <w:lang w:val="en-US" w:eastAsia="zh-CN" w:bidi="ar-SA"/>
                    </w:rPr>
                    <w:t>/</w:t>
                  </w:r>
                </w:p>
              </w:tc>
            </w:tr>
            <w:tr w14:paraId="6B1AF8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3" w:type="pct"/>
                  <w:vMerge w:val="continue"/>
                  <w:tcBorders>
                    <w:tl2br w:val="nil"/>
                    <w:tr2bl w:val="nil"/>
                  </w:tcBorders>
                  <w:noWrap w:val="0"/>
                  <w:vAlign w:val="center"/>
                </w:tcPr>
                <w:p w14:paraId="02AD0D80">
                  <w:pPr>
                    <w:jc w:val="center"/>
                    <w:rPr>
                      <w:rFonts w:hint="default" w:ascii="Times New Roman" w:hAnsi="Times New Roman" w:eastAsia="宋体" w:cs="Times New Roman"/>
                      <w:color w:val="auto"/>
                      <w:sz w:val="21"/>
                      <w:szCs w:val="21"/>
                      <w:highlight w:val="none"/>
                      <w:lang w:eastAsia="zh-CN"/>
                    </w:rPr>
                  </w:pPr>
                </w:p>
              </w:tc>
              <w:tc>
                <w:tcPr>
                  <w:tcW w:w="394" w:type="pct"/>
                  <w:vMerge w:val="continue"/>
                  <w:tcBorders>
                    <w:tl2br w:val="nil"/>
                    <w:tr2bl w:val="nil"/>
                  </w:tcBorders>
                  <w:noWrap w:val="0"/>
                  <w:vAlign w:val="center"/>
                </w:tcPr>
                <w:p w14:paraId="2B06544B">
                  <w:pPr>
                    <w:jc w:val="center"/>
                    <w:rPr>
                      <w:rFonts w:hint="default" w:ascii="Times New Roman" w:hAnsi="Times New Roman" w:eastAsia="宋体" w:cs="Times New Roman"/>
                      <w:color w:val="auto"/>
                      <w:sz w:val="21"/>
                      <w:szCs w:val="21"/>
                      <w:highlight w:val="none"/>
                      <w:lang w:eastAsia="zh-CN"/>
                    </w:rPr>
                  </w:pPr>
                </w:p>
              </w:tc>
              <w:tc>
                <w:tcPr>
                  <w:tcW w:w="702" w:type="pct"/>
                  <w:tcBorders>
                    <w:tl2br w:val="nil"/>
                    <w:tr2bl w:val="nil"/>
                  </w:tcBorders>
                  <w:noWrap w:val="0"/>
                  <w:vAlign w:val="center"/>
                </w:tcPr>
                <w:p w14:paraId="18605F7E">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危险废物</w:t>
                  </w:r>
                </w:p>
                <w:p w14:paraId="36B276D5">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（废机油）</w:t>
                  </w:r>
                </w:p>
              </w:tc>
              <w:tc>
                <w:tcPr>
                  <w:tcW w:w="1761" w:type="pct"/>
                  <w:tcBorders>
                    <w:tl2br w:val="nil"/>
                    <w:tr2bl w:val="nil"/>
                  </w:tcBorders>
                  <w:noWrap w:val="0"/>
                  <w:vAlign w:val="center"/>
                </w:tcPr>
                <w:p w14:paraId="6001DAC9">
                  <w:pPr>
                    <w:keepNext w:val="0"/>
                    <w:keepLines w:val="0"/>
                    <w:widowControl/>
                    <w:suppressLineNumbers w:val="0"/>
                    <w:jc w:val="both"/>
                    <w:rPr>
                      <w:rFonts w:hint="default" w:ascii="Times New Roman" w:hAnsi="Times New Roman" w:eastAsia="瀹嬩綋" w:cs="Times New Roman"/>
                      <w:color w:val="auto"/>
                      <w:kern w:val="0"/>
                      <w:sz w:val="21"/>
                      <w:szCs w:val="21"/>
                      <w:highlight w:val="none"/>
                      <w:lang w:val="en-US" w:eastAsia="zh-CN" w:bidi="ar"/>
                    </w:rPr>
                  </w:pPr>
                  <w:r>
                    <w:rPr>
                      <w:rFonts w:hint="eastAsia" w:cs="Times New Roman"/>
                      <w:color w:val="auto"/>
                      <w:kern w:val="0"/>
                      <w:sz w:val="21"/>
                      <w:szCs w:val="21"/>
                      <w:highlight w:val="none"/>
                      <w:vertAlign w:val="baseline"/>
                      <w:lang w:val="en-US" w:eastAsia="zh-CN" w:bidi="ar"/>
                    </w:rPr>
                    <w:t>废机油储存在油桶中贮存在厂区一角</w:t>
                  </w:r>
                  <w:r>
                    <w:rPr>
                      <w:rFonts w:hint="default" w:ascii="Times New Roman" w:hAnsi="Times New Roman" w:eastAsia="宋体" w:cs="Times New Roman"/>
                      <w:color w:val="auto"/>
                      <w:kern w:val="0"/>
                      <w:sz w:val="21"/>
                      <w:szCs w:val="21"/>
                      <w:highlight w:val="none"/>
                      <w:vertAlign w:val="baseline"/>
                      <w:lang w:val="en-US" w:eastAsia="zh-CN" w:bidi="ar"/>
                    </w:rPr>
                    <w:t>，定期</w:t>
                  </w:r>
                  <w:r>
                    <w:rPr>
                      <w:rFonts w:hint="eastAsia" w:cs="Times New Roman"/>
                      <w:color w:val="auto"/>
                      <w:kern w:val="0"/>
                      <w:sz w:val="21"/>
                      <w:szCs w:val="21"/>
                      <w:highlight w:val="none"/>
                      <w:vertAlign w:val="baseline"/>
                      <w:lang w:val="en-US" w:eastAsia="zh-CN" w:bidi="ar"/>
                    </w:rPr>
                    <w:t>由</w:t>
                  </w:r>
                  <w:r>
                    <w:rPr>
                      <w:rFonts w:hint="default" w:ascii="Times New Roman" w:hAnsi="Times New Roman" w:eastAsia="宋体" w:cs="Times New Roman"/>
                      <w:color w:val="auto"/>
                      <w:kern w:val="0"/>
                      <w:sz w:val="21"/>
                      <w:szCs w:val="21"/>
                      <w:highlight w:val="none"/>
                      <w:vertAlign w:val="baseline"/>
                      <w:lang w:val="en-US" w:eastAsia="zh-CN" w:bidi="ar"/>
                    </w:rPr>
                    <w:t>有资质单位</w:t>
                  </w:r>
                  <w:r>
                    <w:rPr>
                      <w:rFonts w:hint="eastAsia" w:cs="Times New Roman"/>
                      <w:color w:val="auto"/>
                      <w:kern w:val="0"/>
                      <w:sz w:val="21"/>
                      <w:szCs w:val="21"/>
                      <w:highlight w:val="none"/>
                      <w:vertAlign w:val="baseline"/>
                      <w:lang w:val="en-US" w:eastAsia="zh-CN" w:bidi="ar"/>
                    </w:rPr>
                    <w:t>转运</w:t>
                  </w:r>
                  <w:r>
                    <w:rPr>
                      <w:rFonts w:hint="default" w:ascii="Times New Roman" w:hAnsi="Times New Roman" w:eastAsia="宋体" w:cs="Times New Roman"/>
                      <w:color w:val="auto"/>
                      <w:kern w:val="0"/>
                      <w:sz w:val="21"/>
                      <w:szCs w:val="21"/>
                      <w:highlight w:val="none"/>
                      <w:vertAlign w:val="baseline"/>
                      <w:lang w:val="en-US" w:eastAsia="zh-CN" w:bidi="ar"/>
                    </w:rPr>
                    <w:t>处置</w:t>
                  </w:r>
                </w:p>
              </w:tc>
              <w:tc>
                <w:tcPr>
                  <w:tcW w:w="1233" w:type="pct"/>
                  <w:tcBorders>
                    <w:tl2br w:val="nil"/>
                    <w:tr2bl w:val="nil"/>
                  </w:tcBorders>
                  <w:noWrap w:val="0"/>
                  <w:vAlign w:val="center"/>
                </w:tcPr>
                <w:p w14:paraId="0EC1E6AF">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本次环评要求新增危废贮存点，并与有资质单位正式签订处置协议，建立管理台账</w:t>
                  </w:r>
                </w:p>
              </w:tc>
              <w:tc>
                <w:tcPr>
                  <w:tcW w:w="625" w:type="pct"/>
                  <w:tcBorders>
                    <w:tl2br w:val="nil"/>
                    <w:tr2bl w:val="nil"/>
                  </w:tcBorders>
                  <w:noWrap w:val="0"/>
                  <w:vAlign w:val="center"/>
                </w:tcPr>
                <w:p w14:paraId="007A58DE">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1.0</w:t>
                  </w:r>
                </w:p>
              </w:tc>
            </w:tr>
            <w:tr w14:paraId="599F18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3" w:type="pct"/>
                  <w:vMerge w:val="continue"/>
                  <w:tcBorders>
                    <w:tl2br w:val="nil"/>
                    <w:tr2bl w:val="nil"/>
                  </w:tcBorders>
                  <w:noWrap w:val="0"/>
                  <w:vAlign w:val="center"/>
                </w:tcPr>
                <w:p w14:paraId="3320C1DE">
                  <w:pPr>
                    <w:jc w:val="center"/>
                    <w:rPr>
                      <w:rFonts w:hint="default" w:ascii="Times New Roman" w:hAnsi="Times New Roman" w:eastAsia="宋体" w:cs="Times New Roman"/>
                      <w:color w:val="auto"/>
                      <w:sz w:val="21"/>
                      <w:szCs w:val="21"/>
                      <w:highlight w:val="none"/>
                      <w:lang w:eastAsia="zh-CN"/>
                    </w:rPr>
                  </w:pPr>
                </w:p>
              </w:tc>
              <w:tc>
                <w:tcPr>
                  <w:tcW w:w="1096" w:type="pct"/>
                  <w:gridSpan w:val="2"/>
                  <w:tcBorders>
                    <w:tl2br w:val="nil"/>
                    <w:tr2bl w:val="nil"/>
                  </w:tcBorders>
                  <w:noWrap w:val="0"/>
                  <w:vAlign w:val="center"/>
                </w:tcPr>
                <w:p w14:paraId="19ABFCCE">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土壤和地下水</w:t>
                  </w:r>
                </w:p>
              </w:tc>
              <w:tc>
                <w:tcPr>
                  <w:tcW w:w="1761" w:type="pct"/>
                  <w:tcBorders>
                    <w:tl2br w:val="nil"/>
                    <w:tr2bl w:val="nil"/>
                  </w:tcBorders>
                  <w:noWrap w:val="0"/>
                  <w:vAlign w:val="center"/>
                </w:tcPr>
                <w:p w14:paraId="45D3C090">
                  <w:pPr>
                    <w:keepNext w:val="0"/>
                    <w:keepLines w:val="0"/>
                    <w:widowControl/>
                    <w:suppressLineNumbers w:val="0"/>
                    <w:jc w:val="both"/>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分区防渗</w:t>
                  </w:r>
                </w:p>
              </w:tc>
              <w:tc>
                <w:tcPr>
                  <w:tcW w:w="1233" w:type="pct"/>
                  <w:tcBorders>
                    <w:tl2br w:val="nil"/>
                    <w:tr2bl w:val="nil"/>
                  </w:tcBorders>
                  <w:noWrap w:val="0"/>
                  <w:vAlign w:val="center"/>
                </w:tcPr>
                <w:p w14:paraId="486FA4F1">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利用原有</w:t>
                  </w:r>
                </w:p>
              </w:tc>
              <w:tc>
                <w:tcPr>
                  <w:tcW w:w="625" w:type="pct"/>
                  <w:tcBorders>
                    <w:tl2br w:val="nil"/>
                    <w:tr2bl w:val="nil"/>
                  </w:tcBorders>
                  <w:noWrap w:val="0"/>
                  <w:vAlign w:val="center"/>
                </w:tcPr>
                <w:p w14:paraId="536F5680">
                  <w:pPr>
                    <w:jc w:val="center"/>
                    <w:rPr>
                      <w:rFonts w:hint="default" w:ascii="Times New Roman" w:hAnsi="Times New Roman" w:eastAsia="宋体" w:cs="Times New Roman"/>
                      <w:color w:val="auto"/>
                      <w:kern w:val="2"/>
                      <w:sz w:val="21"/>
                      <w:szCs w:val="21"/>
                      <w:highlight w:val="none"/>
                      <w:lang w:val="en-US" w:eastAsia="zh-CN" w:bidi="ar-SA"/>
                    </w:rPr>
                  </w:pPr>
                </w:p>
              </w:tc>
            </w:tr>
            <w:tr w14:paraId="50DA06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3" w:type="pct"/>
                  <w:vMerge w:val="continue"/>
                  <w:tcBorders>
                    <w:tl2br w:val="nil"/>
                    <w:tr2bl w:val="nil"/>
                  </w:tcBorders>
                  <w:noWrap w:val="0"/>
                  <w:vAlign w:val="center"/>
                </w:tcPr>
                <w:p w14:paraId="102A2296">
                  <w:pPr>
                    <w:jc w:val="center"/>
                    <w:rPr>
                      <w:rFonts w:hint="default" w:ascii="Times New Roman" w:hAnsi="Times New Roman" w:eastAsia="宋体" w:cs="Times New Roman"/>
                      <w:color w:val="auto"/>
                      <w:sz w:val="21"/>
                      <w:szCs w:val="21"/>
                      <w:highlight w:val="none"/>
                      <w:lang w:eastAsia="zh-CN"/>
                    </w:rPr>
                  </w:pPr>
                </w:p>
              </w:tc>
              <w:tc>
                <w:tcPr>
                  <w:tcW w:w="1096" w:type="pct"/>
                  <w:gridSpan w:val="2"/>
                  <w:tcBorders>
                    <w:tl2br w:val="nil"/>
                    <w:tr2bl w:val="nil"/>
                  </w:tcBorders>
                  <w:noWrap w:val="0"/>
                  <w:vAlign w:val="center"/>
                </w:tcPr>
                <w:p w14:paraId="00B7A958">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生态流量</w:t>
                  </w:r>
                </w:p>
              </w:tc>
              <w:tc>
                <w:tcPr>
                  <w:tcW w:w="1761" w:type="pct"/>
                  <w:tcBorders>
                    <w:tl2br w:val="nil"/>
                    <w:tr2bl w:val="nil"/>
                  </w:tcBorders>
                  <w:noWrap w:val="0"/>
                  <w:vAlign w:val="center"/>
                </w:tcPr>
                <w:p w14:paraId="2DAC1155">
                  <w:pPr>
                    <w:keepNext w:val="0"/>
                    <w:keepLines w:val="0"/>
                    <w:widowControl/>
                    <w:suppressLineNumbers w:val="0"/>
                    <w:jc w:val="left"/>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按要求下泄生态流量，</w:t>
                  </w:r>
                  <w:r>
                    <w:rPr>
                      <w:rFonts w:hint="default" w:ascii="Times New Roman" w:hAnsi="Times New Roman" w:eastAsia="宋体" w:cs="Times New Roman"/>
                      <w:color w:val="auto"/>
                      <w:kern w:val="0"/>
                      <w:sz w:val="21"/>
                      <w:szCs w:val="21"/>
                      <w:lang w:val="en-US" w:eastAsia="zh-CN" w:bidi="ar"/>
                    </w:rPr>
                    <w:t>设置生态流量监控设施</w:t>
                  </w:r>
                </w:p>
              </w:tc>
              <w:tc>
                <w:tcPr>
                  <w:tcW w:w="1233" w:type="pct"/>
                  <w:tcBorders>
                    <w:tl2br w:val="nil"/>
                    <w:tr2bl w:val="nil"/>
                  </w:tcBorders>
                  <w:noWrap w:val="0"/>
                  <w:vAlign w:val="center"/>
                </w:tcPr>
                <w:p w14:paraId="3A55A56C">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利用原有</w:t>
                  </w:r>
                </w:p>
              </w:tc>
              <w:tc>
                <w:tcPr>
                  <w:tcW w:w="625" w:type="pct"/>
                  <w:tcBorders>
                    <w:tl2br w:val="nil"/>
                    <w:tr2bl w:val="nil"/>
                  </w:tcBorders>
                  <w:noWrap w:val="0"/>
                  <w:vAlign w:val="center"/>
                </w:tcPr>
                <w:p w14:paraId="2ADE1E4E">
                  <w:pPr>
                    <w:jc w:val="center"/>
                    <w:rPr>
                      <w:rFonts w:hint="default" w:ascii="Times New Roman" w:hAnsi="Times New Roman" w:eastAsia="宋体" w:cs="Times New Roman"/>
                      <w:color w:val="auto"/>
                      <w:sz w:val="21"/>
                      <w:szCs w:val="21"/>
                      <w:highlight w:val="none"/>
                      <w:lang w:val="en-US" w:eastAsia="zh-CN"/>
                    </w:rPr>
                  </w:pPr>
                </w:p>
              </w:tc>
            </w:tr>
            <w:tr w14:paraId="009879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80" w:type="pct"/>
                  <w:gridSpan w:val="3"/>
                  <w:tcBorders>
                    <w:tl2br w:val="nil"/>
                    <w:tr2bl w:val="nil"/>
                  </w:tcBorders>
                  <w:noWrap w:val="0"/>
                  <w:vAlign w:val="center"/>
                </w:tcPr>
                <w:p w14:paraId="2BE24EFF">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环保设施运行费用</w:t>
                  </w:r>
                </w:p>
              </w:tc>
              <w:tc>
                <w:tcPr>
                  <w:tcW w:w="1761" w:type="pct"/>
                  <w:tcBorders>
                    <w:tl2br w:val="nil"/>
                    <w:tr2bl w:val="nil"/>
                  </w:tcBorders>
                  <w:noWrap w:val="0"/>
                  <w:vAlign w:val="center"/>
                </w:tcPr>
                <w:p w14:paraId="6942E002">
                  <w:pPr>
                    <w:pStyle w:val="40"/>
                    <w:keepNext w:val="0"/>
                    <w:keepLines w:val="0"/>
                    <w:pageBreakBefore w:val="0"/>
                    <w:widowControl w:val="0"/>
                    <w:kinsoku/>
                    <w:wordWrap/>
                    <w:overflowPunct/>
                    <w:topLinePunct w:val="0"/>
                    <w:autoSpaceDE/>
                    <w:autoSpaceDN/>
                    <w:bidi w:val="0"/>
                    <w:adjustRightInd w:val="0"/>
                    <w:snapToGrid w:val="0"/>
                    <w:spacing w:beforeLines="0" w:afterLines="0" w:line="360" w:lineRule="auto"/>
                    <w:jc w:val="center"/>
                    <w:textAlignment w:val="auto"/>
                    <w:rPr>
                      <w:rFonts w:hint="default" w:ascii="Times New Roman" w:hAnsi="Times New Roman" w:cs="Times New Roman"/>
                      <w:color w:val="auto"/>
                      <w:kern w:val="0"/>
                      <w:sz w:val="21"/>
                      <w:szCs w:val="21"/>
                      <w:lang w:val="en-US" w:eastAsia="zh-CN" w:bidi="ar"/>
                    </w:rPr>
                  </w:pPr>
                  <w:r>
                    <w:rPr>
                      <w:rFonts w:hint="default" w:ascii="Times New Roman" w:hAnsi="Times New Roman" w:eastAsia="宋体" w:cs="Times New Roman"/>
                      <w:color w:val="auto"/>
                      <w:sz w:val="21"/>
                      <w:szCs w:val="21"/>
                      <w:highlight w:val="none"/>
                    </w:rPr>
                    <w:t>环保设施的运行、维护、维修费用</w:t>
                  </w:r>
                </w:p>
              </w:tc>
              <w:tc>
                <w:tcPr>
                  <w:tcW w:w="1233" w:type="pct"/>
                  <w:tcBorders>
                    <w:tl2br w:val="nil"/>
                    <w:tr2bl w:val="nil"/>
                  </w:tcBorders>
                  <w:noWrap w:val="0"/>
                  <w:vAlign w:val="center"/>
                </w:tcPr>
                <w:p w14:paraId="57177D0A">
                  <w:pPr>
                    <w:jc w:val="center"/>
                    <w:rPr>
                      <w:rFonts w:hint="default" w:ascii="Times New Roman" w:hAnsi="Times New Roman" w:cs="Times New Roman"/>
                      <w:color w:val="auto"/>
                      <w:sz w:val="21"/>
                      <w:szCs w:val="21"/>
                      <w:highlight w:val="none"/>
                      <w:lang w:val="en-US" w:eastAsia="zh-CN"/>
                    </w:rPr>
                  </w:pPr>
                </w:p>
              </w:tc>
              <w:tc>
                <w:tcPr>
                  <w:tcW w:w="625" w:type="pct"/>
                  <w:tcBorders>
                    <w:tl2br w:val="nil"/>
                    <w:tr2bl w:val="nil"/>
                  </w:tcBorders>
                  <w:noWrap w:val="0"/>
                  <w:vAlign w:val="center"/>
                </w:tcPr>
                <w:p w14:paraId="0D0CBA8E">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0.5</w:t>
                  </w:r>
                </w:p>
              </w:tc>
            </w:tr>
            <w:tr w14:paraId="03E5A3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80" w:type="pct"/>
                  <w:gridSpan w:val="3"/>
                  <w:tcBorders>
                    <w:tl2br w:val="nil"/>
                    <w:tr2bl w:val="nil"/>
                  </w:tcBorders>
                  <w:noWrap w:val="0"/>
                  <w:vAlign w:val="center"/>
                </w:tcPr>
                <w:p w14:paraId="1E0A27C9">
                  <w:pPr>
                    <w:jc w:val="center"/>
                    <w:rPr>
                      <w:rFonts w:hint="default" w:ascii="Times New Roman" w:hAnsi="Times New Roman" w:eastAsia="宋体" w:cs="Times New Roman"/>
                      <w:color w:val="auto"/>
                      <w:sz w:val="21"/>
                      <w:szCs w:val="21"/>
                      <w:highlight w:val="none"/>
                      <w:lang w:eastAsia="zh-CN"/>
                    </w:rPr>
                  </w:pPr>
                  <w:r>
                    <w:rPr>
                      <w:rFonts w:hint="eastAsia" w:ascii="Times New Roman" w:cs="Times New Roman"/>
                      <w:color w:val="auto"/>
                      <w:sz w:val="21"/>
                      <w:szCs w:val="21"/>
                      <w:highlight w:val="none"/>
                      <w:lang w:val="en-US" w:eastAsia="zh-CN"/>
                    </w:rPr>
                    <w:t>环保手续费用</w:t>
                  </w:r>
                </w:p>
              </w:tc>
              <w:tc>
                <w:tcPr>
                  <w:tcW w:w="1761" w:type="pct"/>
                  <w:tcBorders>
                    <w:tl2br w:val="nil"/>
                    <w:tr2bl w:val="nil"/>
                  </w:tcBorders>
                  <w:noWrap w:val="0"/>
                  <w:vAlign w:val="center"/>
                </w:tcPr>
                <w:p w14:paraId="65B1885D">
                  <w:pPr>
                    <w:pStyle w:val="40"/>
                    <w:keepNext w:val="0"/>
                    <w:keepLines w:val="0"/>
                    <w:pageBreakBefore w:val="0"/>
                    <w:widowControl w:val="0"/>
                    <w:kinsoku/>
                    <w:wordWrap/>
                    <w:overflowPunct/>
                    <w:topLinePunct w:val="0"/>
                    <w:autoSpaceDE/>
                    <w:autoSpaceDN/>
                    <w:bidi w:val="0"/>
                    <w:adjustRightInd w:val="0"/>
                    <w:snapToGrid w:val="0"/>
                    <w:spacing w:beforeLines="0" w:afterLines="0" w:line="360" w:lineRule="auto"/>
                    <w:jc w:val="center"/>
                    <w:textAlignment w:val="auto"/>
                    <w:rPr>
                      <w:rFonts w:hint="default" w:ascii="Times New Roman" w:hAnsi="Times New Roman" w:cs="Times New Roman"/>
                      <w:color w:val="auto"/>
                      <w:kern w:val="0"/>
                      <w:sz w:val="21"/>
                      <w:szCs w:val="21"/>
                      <w:lang w:val="en-US" w:eastAsia="zh-CN" w:bidi="ar"/>
                    </w:rPr>
                  </w:pPr>
                  <w:r>
                    <w:rPr>
                      <w:rFonts w:hint="default" w:ascii="Times New Roman" w:hAnsi="Times New Roman" w:eastAsia="宋体" w:cs="Times New Roman"/>
                      <w:color w:val="auto"/>
                      <w:sz w:val="21"/>
                      <w:szCs w:val="21"/>
                      <w:highlight w:val="none"/>
                    </w:rPr>
                    <w:t>环评、环保验收</w:t>
                  </w:r>
                  <w:r>
                    <w:rPr>
                      <w:rFonts w:hint="eastAsia" w:ascii="Times New Roman" w:hAnsi="Times New Roman" w:eastAsia="宋体" w:cs="Times New Roman"/>
                      <w:color w:val="auto"/>
                      <w:sz w:val="21"/>
                      <w:szCs w:val="21"/>
                      <w:highlight w:val="none"/>
                      <w:lang w:val="en-US" w:eastAsia="zh-CN"/>
                    </w:rPr>
                    <w:t>等</w:t>
                  </w:r>
                </w:p>
              </w:tc>
              <w:tc>
                <w:tcPr>
                  <w:tcW w:w="1233" w:type="pct"/>
                  <w:tcBorders>
                    <w:tl2br w:val="nil"/>
                    <w:tr2bl w:val="nil"/>
                  </w:tcBorders>
                  <w:noWrap w:val="0"/>
                  <w:vAlign w:val="center"/>
                </w:tcPr>
                <w:p w14:paraId="10052CA2">
                  <w:pPr>
                    <w:jc w:val="center"/>
                    <w:rPr>
                      <w:rFonts w:hint="default" w:ascii="Times New Roman" w:hAnsi="Times New Roman" w:cs="Times New Roman"/>
                      <w:color w:val="auto"/>
                      <w:sz w:val="21"/>
                      <w:szCs w:val="21"/>
                      <w:highlight w:val="none"/>
                      <w:lang w:val="en-US" w:eastAsia="zh-CN"/>
                    </w:rPr>
                  </w:pPr>
                </w:p>
              </w:tc>
              <w:tc>
                <w:tcPr>
                  <w:tcW w:w="625" w:type="pct"/>
                  <w:tcBorders>
                    <w:tl2br w:val="nil"/>
                    <w:tr2bl w:val="nil"/>
                  </w:tcBorders>
                  <w:noWrap w:val="0"/>
                  <w:vAlign w:val="center"/>
                </w:tcPr>
                <w:p w14:paraId="3C2EB459">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16</w:t>
                  </w:r>
                </w:p>
              </w:tc>
            </w:tr>
            <w:tr w14:paraId="58E772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74" w:type="pct"/>
                  <w:gridSpan w:val="5"/>
                  <w:tcBorders>
                    <w:tl2br w:val="nil"/>
                    <w:tr2bl w:val="nil"/>
                  </w:tcBorders>
                  <w:noWrap w:val="0"/>
                  <w:vAlign w:val="center"/>
                </w:tcPr>
                <w:p w14:paraId="22239761">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u w:val="none"/>
                      <w:lang w:eastAsia="zh-CN"/>
                    </w:rPr>
                    <w:t>合计</w:t>
                  </w:r>
                </w:p>
              </w:tc>
              <w:tc>
                <w:tcPr>
                  <w:tcW w:w="625" w:type="pct"/>
                  <w:tcBorders>
                    <w:tl2br w:val="nil"/>
                    <w:tr2bl w:val="nil"/>
                  </w:tcBorders>
                  <w:noWrap w:val="0"/>
                  <w:vAlign w:val="center"/>
                </w:tcPr>
                <w:p w14:paraId="0216E1C4">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17.7</w:t>
                  </w:r>
                </w:p>
              </w:tc>
            </w:tr>
          </w:tbl>
          <w:p w14:paraId="6BDDD1D2">
            <w:pPr>
              <w:bidi w:val="0"/>
              <w:jc w:val="left"/>
              <w:rPr>
                <w:rFonts w:hint="default" w:ascii="Times New Roman" w:hAnsi="Times New Roman" w:cs="Times New Roman"/>
                <w:color w:val="auto"/>
              </w:rPr>
            </w:pPr>
          </w:p>
        </w:tc>
      </w:tr>
    </w:tbl>
    <w:p w14:paraId="50903F6C">
      <w:pPr>
        <w:pStyle w:val="21"/>
        <w:jc w:val="center"/>
        <w:outlineLvl w:val="0"/>
        <w:rPr>
          <w:rFonts w:hint="default" w:ascii="Times New Roman" w:hAnsi="Times New Roman" w:eastAsia="黑体" w:cs="Times New Roman"/>
          <w:snapToGrid w:val="0"/>
          <w:color w:val="auto"/>
          <w:sz w:val="30"/>
          <w:szCs w:val="30"/>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bookmarkStart w:id="21" w:name="_Toc30501"/>
    </w:p>
    <w:p w14:paraId="3946DBE3">
      <w:pPr>
        <w:pStyle w:val="21"/>
        <w:jc w:val="center"/>
        <w:outlineLvl w:val="0"/>
        <w:rPr>
          <w:rFonts w:hint="default" w:ascii="Times New Roman" w:hAnsi="Times New Roman" w:eastAsia="黑体" w:cs="Times New Roman"/>
          <w:snapToGrid w:val="0"/>
          <w:color w:val="auto"/>
          <w:sz w:val="30"/>
          <w:szCs w:val="30"/>
        </w:rPr>
      </w:pPr>
      <w:r>
        <w:rPr>
          <w:rFonts w:hint="default" w:ascii="Times New Roman" w:hAnsi="Times New Roman" w:eastAsia="黑体" w:cs="Times New Roman"/>
          <w:snapToGrid w:val="0"/>
          <w:color w:val="auto"/>
          <w:sz w:val="30"/>
          <w:szCs w:val="30"/>
        </w:rPr>
        <w:t>六、生态环境保护措施监督检查清单</w:t>
      </w:r>
      <w:bookmarkEnd w:id="21"/>
      <w:bookmarkStart w:id="22" w:name="_Toc21418"/>
    </w:p>
    <w:tbl>
      <w:tblPr>
        <w:tblStyle w:val="24"/>
        <w:tblW w:w="496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2193"/>
        <w:gridCol w:w="1042"/>
        <w:gridCol w:w="802"/>
        <w:gridCol w:w="5896"/>
        <w:gridCol w:w="4142"/>
      </w:tblGrid>
      <w:tr w14:paraId="587123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779" w:type="pct"/>
            <w:vMerge w:val="restart"/>
            <w:tcBorders>
              <w:tl2br w:val="single" w:color="auto" w:sz="4" w:space="0"/>
            </w:tcBorders>
            <w:vAlign w:val="center"/>
          </w:tcPr>
          <w:p w14:paraId="289DC2DC">
            <w:pPr>
              <w:pStyle w:val="21"/>
              <w:adjustRightInd w:val="0"/>
              <w:snapToGrid w:val="0"/>
              <w:spacing w:before="72" w:beforeLines="30" w:beforeAutospacing="0" w:after="0" w:afterAutospacing="0"/>
              <w:jc w:val="center"/>
              <w:outlineLvl w:val="0"/>
              <w:rPr>
                <w:rFonts w:hint="default" w:ascii="Times New Roman" w:hAnsi="Times New Roman" w:cs="Times New Roman"/>
                <w:b/>
                <w:bCs/>
                <w:color w:val="auto"/>
                <w:kern w:val="2"/>
                <w:sz w:val="24"/>
                <w:szCs w:val="24"/>
              </w:rPr>
            </w:pPr>
            <w:r>
              <w:rPr>
                <w:rFonts w:hint="default" w:ascii="Times New Roman" w:hAnsi="Times New Roman" w:cs="Times New Roman"/>
                <w:color w:val="auto"/>
                <w:kern w:val="2"/>
                <w:sz w:val="24"/>
                <w:szCs w:val="24"/>
              </w:rPr>
              <w:t xml:space="preserve">      </w:t>
            </w:r>
            <w:r>
              <w:rPr>
                <w:rFonts w:hint="default" w:ascii="Times New Roman" w:hAnsi="Times New Roman" w:cs="Times New Roman"/>
                <w:b/>
                <w:bCs/>
                <w:color w:val="auto"/>
                <w:kern w:val="2"/>
                <w:sz w:val="24"/>
                <w:szCs w:val="24"/>
              </w:rPr>
              <w:t>内容</w:t>
            </w:r>
          </w:p>
          <w:p w14:paraId="57EA1845">
            <w:pPr>
              <w:pStyle w:val="21"/>
              <w:adjustRightInd w:val="0"/>
              <w:snapToGrid w:val="0"/>
              <w:spacing w:before="0" w:beforeAutospacing="0" w:after="0" w:afterAutospacing="0"/>
              <w:ind w:firstLine="482" w:firstLineChars="200"/>
              <w:outlineLvl w:val="0"/>
              <w:rPr>
                <w:rFonts w:hint="default" w:ascii="Times New Roman" w:hAnsi="Times New Roman" w:cs="Times New Roman"/>
                <w:b/>
                <w:bCs/>
                <w:color w:val="auto"/>
                <w:kern w:val="2"/>
                <w:sz w:val="24"/>
                <w:szCs w:val="24"/>
              </w:rPr>
            </w:pPr>
            <w:r>
              <w:rPr>
                <w:rFonts w:hint="default" w:ascii="Times New Roman" w:hAnsi="Times New Roman" w:cs="Times New Roman"/>
                <w:b/>
                <w:bCs/>
                <w:color w:val="auto"/>
                <w:kern w:val="2"/>
                <w:sz w:val="24"/>
                <w:szCs w:val="24"/>
              </w:rPr>
              <w:t>要素</w:t>
            </w:r>
          </w:p>
        </w:tc>
        <w:tc>
          <w:tcPr>
            <w:tcW w:w="655" w:type="pct"/>
            <w:gridSpan w:val="2"/>
            <w:vAlign w:val="center"/>
          </w:tcPr>
          <w:p w14:paraId="239CC521">
            <w:pPr>
              <w:pStyle w:val="21"/>
              <w:adjustRightInd w:val="0"/>
              <w:snapToGrid w:val="0"/>
              <w:spacing w:before="0" w:beforeAutospacing="0" w:after="0" w:afterAutospacing="0"/>
              <w:jc w:val="center"/>
              <w:outlineLvl w:val="0"/>
              <w:rPr>
                <w:rFonts w:hint="default" w:ascii="Times New Roman" w:hAnsi="Times New Roman" w:cs="Times New Roman"/>
                <w:b/>
                <w:bCs/>
                <w:color w:val="auto"/>
                <w:kern w:val="2"/>
                <w:sz w:val="24"/>
                <w:szCs w:val="24"/>
              </w:rPr>
            </w:pPr>
            <w:r>
              <w:rPr>
                <w:rFonts w:hint="default" w:ascii="Times New Roman" w:hAnsi="Times New Roman" w:cs="Times New Roman"/>
                <w:b/>
                <w:bCs/>
                <w:color w:val="auto"/>
                <w:kern w:val="2"/>
                <w:sz w:val="24"/>
                <w:szCs w:val="24"/>
              </w:rPr>
              <w:t>施工期</w:t>
            </w:r>
          </w:p>
        </w:tc>
        <w:tc>
          <w:tcPr>
            <w:tcW w:w="3565" w:type="pct"/>
            <w:gridSpan w:val="2"/>
            <w:vAlign w:val="center"/>
          </w:tcPr>
          <w:p w14:paraId="4A6AE3F9">
            <w:pPr>
              <w:pStyle w:val="21"/>
              <w:adjustRightInd w:val="0"/>
              <w:snapToGrid w:val="0"/>
              <w:spacing w:before="0" w:beforeAutospacing="0" w:after="0" w:afterAutospacing="0"/>
              <w:jc w:val="center"/>
              <w:outlineLvl w:val="0"/>
              <w:rPr>
                <w:rFonts w:hint="default" w:ascii="Times New Roman" w:hAnsi="Times New Roman" w:cs="Times New Roman"/>
                <w:b/>
                <w:bCs/>
                <w:color w:val="auto"/>
                <w:kern w:val="2"/>
                <w:sz w:val="24"/>
                <w:szCs w:val="24"/>
              </w:rPr>
            </w:pPr>
            <w:r>
              <w:rPr>
                <w:rFonts w:hint="default" w:ascii="Times New Roman" w:hAnsi="Times New Roman" w:cs="Times New Roman"/>
                <w:b/>
                <w:bCs/>
                <w:color w:val="auto"/>
                <w:kern w:val="2"/>
                <w:sz w:val="24"/>
                <w:szCs w:val="24"/>
              </w:rPr>
              <w:t>运营期</w:t>
            </w:r>
          </w:p>
        </w:tc>
      </w:tr>
      <w:tr w14:paraId="5CAA62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779" w:type="pct"/>
            <w:vMerge w:val="continue"/>
            <w:vAlign w:val="center"/>
          </w:tcPr>
          <w:p w14:paraId="7BC9857E">
            <w:pPr>
              <w:pStyle w:val="21"/>
              <w:adjustRightInd w:val="0"/>
              <w:snapToGrid w:val="0"/>
              <w:spacing w:before="0" w:beforeAutospacing="0" w:after="0" w:afterAutospacing="0"/>
              <w:ind w:firstLine="840"/>
              <w:jc w:val="center"/>
              <w:outlineLvl w:val="0"/>
              <w:rPr>
                <w:rFonts w:hint="default" w:ascii="Times New Roman" w:hAnsi="Times New Roman" w:cs="Times New Roman"/>
                <w:color w:val="auto"/>
                <w:kern w:val="2"/>
                <w:sz w:val="24"/>
                <w:szCs w:val="24"/>
              </w:rPr>
            </w:pPr>
          </w:p>
        </w:tc>
        <w:tc>
          <w:tcPr>
            <w:tcW w:w="370" w:type="pct"/>
            <w:vAlign w:val="center"/>
          </w:tcPr>
          <w:p w14:paraId="159F42A4">
            <w:pPr>
              <w:pStyle w:val="21"/>
              <w:adjustRightInd w:val="0"/>
              <w:snapToGrid w:val="0"/>
              <w:spacing w:before="0" w:beforeAutospacing="0" w:after="0" w:afterAutospacing="0"/>
              <w:jc w:val="center"/>
              <w:outlineLvl w:val="0"/>
              <w:rPr>
                <w:rFonts w:hint="default" w:ascii="Times New Roman" w:hAnsi="Times New Roman" w:cs="Times New Roman"/>
                <w:color w:val="auto"/>
                <w:kern w:val="2"/>
                <w:sz w:val="24"/>
                <w:szCs w:val="24"/>
              </w:rPr>
            </w:pPr>
            <w:r>
              <w:rPr>
                <w:rFonts w:hint="default" w:ascii="Times New Roman" w:hAnsi="Times New Roman" w:cs="Times New Roman"/>
                <w:color w:val="auto"/>
                <w:kern w:val="2"/>
                <w:sz w:val="24"/>
                <w:szCs w:val="24"/>
              </w:rPr>
              <w:t>环境保护措施</w:t>
            </w:r>
          </w:p>
        </w:tc>
        <w:tc>
          <w:tcPr>
            <w:tcW w:w="284" w:type="pct"/>
            <w:vAlign w:val="center"/>
          </w:tcPr>
          <w:p w14:paraId="5FD6FF81">
            <w:pPr>
              <w:pStyle w:val="21"/>
              <w:adjustRightInd w:val="0"/>
              <w:snapToGrid w:val="0"/>
              <w:spacing w:before="0" w:beforeAutospacing="0" w:after="0" w:afterAutospacing="0"/>
              <w:jc w:val="center"/>
              <w:outlineLvl w:val="0"/>
              <w:rPr>
                <w:rFonts w:hint="default" w:ascii="Times New Roman" w:hAnsi="Times New Roman" w:cs="Times New Roman"/>
                <w:color w:val="auto"/>
                <w:kern w:val="2"/>
                <w:sz w:val="24"/>
                <w:szCs w:val="24"/>
              </w:rPr>
            </w:pPr>
            <w:r>
              <w:rPr>
                <w:rFonts w:hint="default" w:ascii="Times New Roman" w:hAnsi="Times New Roman" w:cs="Times New Roman"/>
                <w:color w:val="auto"/>
                <w:kern w:val="2"/>
                <w:sz w:val="24"/>
                <w:szCs w:val="24"/>
              </w:rPr>
              <w:t>验收要求</w:t>
            </w:r>
          </w:p>
        </w:tc>
        <w:tc>
          <w:tcPr>
            <w:tcW w:w="2094" w:type="pct"/>
            <w:vAlign w:val="center"/>
          </w:tcPr>
          <w:p w14:paraId="25FA22F4">
            <w:pPr>
              <w:pStyle w:val="21"/>
              <w:adjustRightInd w:val="0"/>
              <w:snapToGrid w:val="0"/>
              <w:spacing w:before="0" w:beforeAutospacing="0" w:after="0" w:afterAutospacing="0"/>
              <w:jc w:val="center"/>
              <w:outlineLvl w:val="0"/>
              <w:rPr>
                <w:rFonts w:hint="default" w:ascii="Times New Roman" w:hAnsi="Times New Roman" w:cs="Times New Roman"/>
                <w:color w:val="auto"/>
                <w:kern w:val="2"/>
                <w:sz w:val="24"/>
                <w:szCs w:val="24"/>
              </w:rPr>
            </w:pPr>
            <w:r>
              <w:rPr>
                <w:rFonts w:hint="default" w:ascii="Times New Roman" w:hAnsi="Times New Roman" w:cs="Times New Roman"/>
                <w:color w:val="auto"/>
                <w:kern w:val="2"/>
                <w:sz w:val="24"/>
                <w:szCs w:val="24"/>
              </w:rPr>
              <w:t>环境保护措施</w:t>
            </w:r>
          </w:p>
        </w:tc>
        <w:tc>
          <w:tcPr>
            <w:tcW w:w="1471" w:type="pct"/>
            <w:vAlign w:val="center"/>
          </w:tcPr>
          <w:p w14:paraId="0994C3D9">
            <w:pPr>
              <w:pStyle w:val="21"/>
              <w:adjustRightInd w:val="0"/>
              <w:snapToGrid w:val="0"/>
              <w:spacing w:before="0" w:beforeAutospacing="0" w:after="0" w:afterAutospacing="0"/>
              <w:jc w:val="center"/>
              <w:outlineLvl w:val="0"/>
              <w:rPr>
                <w:rFonts w:hint="default" w:ascii="Times New Roman" w:hAnsi="Times New Roman" w:cs="Times New Roman"/>
                <w:color w:val="auto"/>
                <w:kern w:val="2"/>
                <w:sz w:val="24"/>
                <w:szCs w:val="24"/>
              </w:rPr>
            </w:pPr>
            <w:r>
              <w:rPr>
                <w:rFonts w:hint="default" w:ascii="Times New Roman" w:hAnsi="Times New Roman" w:cs="Times New Roman"/>
                <w:color w:val="auto"/>
                <w:kern w:val="2"/>
                <w:sz w:val="24"/>
                <w:szCs w:val="24"/>
              </w:rPr>
              <w:t>验收要求</w:t>
            </w:r>
          </w:p>
        </w:tc>
      </w:tr>
      <w:tr w14:paraId="710B3A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779" w:type="pct"/>
            <w:vAlign w:val="center"/>
          </w:tcPr>
          <w:p w14:paraId="219E77B4">
            <w:pPr>
              <w:pStyle w:val="21"/>
              <w:adjustRightInd w:val="0"/>
              <w:snapToGrid w:val="0"/>
              <w:spacing w:before="0" w:beforeAutospacing="0" w:after="0" w:afterAutospacing="0"/>
              <w:jc w:val="center"/>
              <w:outlineLvl w:val="0"/>
              <w:rPr>
                <w:rFonts w:hint="default" w:ascii="Times New Roman" w:hAnsi="Times New Roman" w:cs="Times New Roman"/>
                <w:color w:val="auto"/>
                <w:kern w:val="2"/>
                <w:sz w:val="24"/>
                <w:szCs w:val="24"/>
              </w:rPr>
            </w:pPr>
            <w:r>
              <w:rPr>
                <w:rFonts w:hint="default" w:ascii="Times New Roman" w:hAnsi="Times New Roman" w:cs="Times New Roman"/>
                <w:color w:val="auto"/>
                <w:kern w:val="2"/>
                <w:sz w:val="24"/>
                <w:szCs w:val="24"/>
              </w:rPr>
              <w:t>陆生生态</w:t>
            </w:r>
          </w:p>
        </w:tc>
        <w:tc>
          <w:tcPr>
            <w:tcW w:w="370" w:type="pct"/>
            <w:vAlign w:val="center"/>
          </w:tcPr>
          <w:p w14:paraId="51EDDF8C">
            <w:pPr>
              <w:pStyle w:val="21"/>
              <w:adjustRightInd w:val="0"/>
              <w:snapToGrid w:val="0"/>
              <w:spacing w:before="0" w:beforeAutospacing="0" w:after="0" w:afterAutospacing="0"/>
              <w:jc w:val="center"/>
              <w:outlineLvl w:val="0"/>
              <w:rPr>
                <w:rFonts w:hint="default" w:ascii="Times New Roman" w:hAnsi="Times New Roman" w:cs="Times New Roman"/>
                <w:color w:val="auto"/>
                <w:kern w:val="2"/>
                <w:sz w:val="24"/>
                <w:szCs w:val="24"/>
              </w:rPr>
            </w:pPr>
            <w:r>
              <w:rPr>
                <w:rFonts w:hint="default" w:ascii="Times New Roman" w:hAnsi="Times New Roman" w:cs="Times New Roman"/>
                <w:color w:val="auto"/>
                <w:kern w:val="2"/>
                <w:sz w:val="24"/>
                <w:szCs w:val="24"/>
              </w:rPr>
              <w:t>/</w:t>
            </w:r>
          </w:p>
        </w:tc>
        <w:tc>
          <w:tcPr>
            <w:tcW w:w="284" w:type="pct"/>
            <w:vAlign w:val="center"/>
          </w:tcPr>
          <w:p w14:paraId="1E9FF39B">
            <w:pPr>
              <w:pStyle w:val="21"/>
              <w:adjustRightInd w:val="0"/>
              <w:snapToGrid w:val="0"/>
              <w:spacing w:before="0" w:beforeAutospacing="0" w:after="0" w:afterAutospacing="0"/>
              <w:jc w:val="center"/>
              <w:outlineLvl w:val="0"/>
              <w:rPr>
                <w:rFonts w:hint="default" w:ascii="Times New Roman" w:hAnsi="Times New Roman" w:cs="Times New Roman"/>
                <w:color w:val="auto"/>
                <w:kern w:val="2"/>
                <w:sz w:val="24"/>
                <w:szCs w:val="24"/>
              </w:rPr>
            </w:pPr>
            <w:r>
              <w:rPr>
                <w:rFonts w:hint="default" w:ascii="Times New Roman" w:hAnsi="Times New Roman" w:cs="Times New Roman"/>
                <w:color w:val="auto"/>
                <w:kern w:val="2"/>
                <w:sz w:val="24"/>
                <w:szCs w:val="24"/>
              </w:rPr>
              <w:t>/</w:t>
            </w:r>
          </w:p>
        </w:tc>
        <w:tc>
          <w:tcPr>
            <w:tcW w:w="2094" w:type="pct"/>
            <w:vAlign w:val="center"/>
          </w:tcPr>
          <w:p w14:paraId="2987A743">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大坝、发电厂房、</w:t>
            </w:r>
            <w:r>
              <w:rPr>
                <w:rFonts w:hint="default" w:ascii="Times New Roman" w:hAnsi="Times New Roman" w:cs="Times New Roman"/>
                <w:color w:val="auto"/>
                <w:sz w:val="24"/>
                <w:szCs w:val="24"/>
                <w:lang w:val="en-US" w:eastAsia="zh-CN"/>
              </w:rPr>
              <w:t>变压器</w:t>
            </w:r>
            <w:r>
              <w:rPr>
                <w:rFonts w:hint="default" w:ascii="Times New Roman" w:hAnsi="Times New Roman" w:cs="Times New Roman"/>
                <w:color w:val="auto"/>
                <w:sz w:val="24"/>
                <w:szCs w:val="24"/>
              </w:rPr>
              <w:t>等区域加强绿化；加强植被及野生动物保护宣传教育，加强人员管理、严禁工作人员捕猎等</w:t>
            </w:r>
          </w:p>
        </w:tc>
        <w:tc>
          <w:tcPr>
            <w:tcW w:w="1471" w:type="pct"/>
            <w:vAlign w:val="center"/>
          </w:tcPr>
          <w:p w14:paraId="6F13A594">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植被基本恢复原有水平；动植物不受到故意破坏，动植物种类和数量不减少</w:t>
            </w:r>
          </w:p>
        </w:tc>
      </w:tr>
      <w:tr w14:paraId="2008C71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779" w:type="pct"/>
            <w:vAlign w:val="center"/>
          </w:tcPr>
          <w:p w14:paraId="6C140645">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水生生态</w:t>
            </w:r>
          </w:p>
        </w:tc>
        <w:tc>
          <w:tcPr>
            <w:tcW w:w="370" w:type="pct"/>
            <w:vAlign w:val="center"/>
          </w:tcPr>
          <w:p w14:paraId="7A43F24D">
            <w:pPr>
              <w:pStyle w:val="21"/>
              <w:adjustRightInd w:val="0"/>
              <w:snapToGrid w:val="0"/>
              <w:spacing w:before="0" w:beforeAutospacing="0" w:after="0" w:afterAutospacing="0"/>
              <w:jc w:val="center"/>
              <w:outlineLvl w:val="0"/>
              <w:rPr>
                <w:rFonts w:hint="default" w:ascii="Times New Roman" w:hAnsi="Times New Roman" w:cs="Times New Roman"/>
                <w:color w:val="auto"/>
                <w:kern w:val="2"/>
                <w:sz w:val="24"/>
                <w:szCs w:val="24"/>
              </w:rPr>
            </w:pPr>
            <w:r>
              <w:rPr>
                <w:rFonts w:hint="default" w:ascii="Times New Roman" w:hAnsi="Times New Roman" w:cs="Times New Roman"/>
                <w:color w:val="auto"/>
                <w:kern w:val="2"/>
                <w:sz w:val="24"/>
                <w:szCs w:val="24"/>
              </w:rPr>
              <w:t>/</w:t>
            </w:r>
          </w:p>
        </w:tc>
        <w:tc>
          <w:tcPr>
            <w:tcW w:w="284" w:type="pct"/>
            <w:vAlign w:val="center"/>
          </w:tcPr>
          <w:p w14:paraId="31043C1D">
            <w:pPr>
              <w:pStyle w:val="21"/>
              <w:adjustRightInd w:val="0"/>
              <w:snapToGrid w:val="0"/>
              <w:spacing w:before="0" w:beforeAutospacing="0" w:after="0" w:afterAutospacing="0"/>
              <w:jc w:val="center"/>
              <w:outlineLvl w:val="0"/>
              <w:rPr>
                <w:rFonts w:hint="default" w:ascii="Times New Roman" w:hAnsi="Times New Roman" w:cs="Times New Roman"/>
                <w:color w:val="auto"/>
                <w:kern w:val="2"/>
                <w:sz w:val="24"/>
                <w:szCs w:val="24"/>
              </w:rPr>
            </w:pPr>
            <w:r>
              <w:rPr>
                <w:rFonts w:hint="default" w:ascii="Times New Roman" w:hAnsi="Times New Roman" w:cs="Times New Roman"/>
                <w:color w:val="auto"/>
                <w:kern w:val="2"/>
                <w:sz w:val="24"/>
                <w:szCs w:val="24"/>
              </w:rPr>
              <w:t>/</w:t>
            </w:r>
          </w:p>
        </w:tc>
        <w:tc>
          <w:tcPr>
            <w:tcW w:w="2094" w:type="pct"/>
            <w:vAlign w:val="center"/>
          </w:tcPr>
          <w:p w14:paraId="33CCC71A">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生态流量</w:t>
            </w:r>
            <w:r>
              <w:rPr>
                <w:rFonts w:hint="default" w:ascii="Times New Roman" w:hAnsi="Times New Roman" w:cs="Times New Roman"/>
                <w:color w:val="auto"/>
                <w:sz w:val="24"/>
                <w:szCs w:val="24"/>
                <w:lang w:val="en-US" w:eastAsia="zh-CN"/>
              </w:rPr>
              <w:t>按要求</w:t>
            </w:r>
            <w:r>
              <w:rPr>
                <w:rFonts w:hint="default" w:ascii="Times New Roman" w:hAnsi="Times New Roman" w:cs="Times New Roman"/>
                <w:color w:val="auto"/>
                <w:sz w:val="24"/>
                <w:szCs w:val="24"/>
              </w:rPr>
              <w:t>下泄</w:t>
            </w:r>
          </w:p>
        </w:tc>
        <w:tc>
          <w:tcPr>
            <w:tcW w:w="1471" w:type="pct"/>
            <w:vAlign w:val="center"/>
          </w:tcPr>
          <w:p w14:paraId="54F17EA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sz w:val="24"/>
                <w:szCs w:val="24"/>
              </w:rPr>
            </w:pPr>
            <w:r>
              <w:rPr>
                <w:color w:val="auto"/>
                <w:sz w:val="24"/>
                <w:szCs w:val="24"/>
              </w:rPr>
              <w:t>青年水库坝址断面生态流量为汛期0.29m</w:t>
            </w:r>
            <w:r>
              <w:rPr>
                <w:color w:val="auto"/>
                <w:sz w:val="24"/>
                <w:szCs w:val="24"/>
                <w:vertAlign w:val="superscript"/>
              </w:rPr>
              <w:t>3</w:t>
            </w:r>
            <w:r>
              <w:rPr>
                <w:color w:val="auto"/>
                <w:sz w:val="24"/>
                <w:szCs w:val="24"/>
              </w:rPr>
              <w:t>/s，非汛期为0.18m</w:t>
            </w:r>
            <w:r>
              <w:rPr>
                <w:color w:val="auto"/>
                <w:sz w:val="24"/>
                <w:szCs w:val="24"/>
                <w:vertAlign w:val="superscript"/>
              </w:rPr>
              <w:t>3</w:t>
            </w:r>
            <w:r>
              <w:rPr>
                <w:color w:val="auto"/>
                <w:sz w:val="24"/>
                <w:szCs w:val="24"/>
              </w:rPr>
              <w:t>/s。</w:t>
            </w:r>
          </w:p>
        </w:tc>
      </w:tr>
      <w:tr w14:paraId="5931392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779" w:type="pct"/>
            <w:vAlign w:val="center"/>
          </w:tcPr>
          <w:p w14:paraId="630C3784">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地表水环境</w:t>
            </w:r>
          </w:p>
        </w:tc>
        <w:tc>
          <w:tcPr>
            <w:tcW w:w="370" w:type="pct"/>
            <w:vAlign w:val="center"/>
          </w:tcPr>
          <w:p w14:paraId="4F62DFB1">
            <w:pPr>
              <w:adjustRightInd w:val="0"/>
              <w:snapToGrid w:val="0"/>
              <w:jc w:val="center"/>
              <w:outlineLvl w:val="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w:t>
            </w:r>
          </w:p>
        </w:tc>
        <w:tc>
          <w:tcPr>
            <w:tcW w:w="284" w:type="pct"/>
            <w:vAlign w:val="center"/>
          </w:tcPr>
          <w:p w14:paraId="6FC5DAAC">
            <w:pPr>
              <w:adjustRightInd w:val="0"/>
              <w:snapToGrid w:val="0"/>
              <w:jc w:val="center"/>
              <w:outlineLvl w:val="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w:t>
            </w:r>
          </w:p>
        </w:tc>
        <w:tc>
          <w:tcPr>
            <w:tcW w:w="2094" w:type="pct"/>
            <w:vAlign w:val="center"/>
          </w:tcPr>
          <w:p w14:paraId="40AC725A">
            <w:pPr>
              <w:widowControl/>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生活污水定期清淘，外运堆肥</w:t>
            </w:r>
          </w:p>
        </w:tc>
        <w:tc>
          <w:tcPr>
            <w:tcW w:w="1471" w:type="pct"/>
            <w:vAlign w:val="center"/>
          </w:tcPr>
          <w:p w14:paraId="3E61C97F">
            <w:pPr>
              <w:widowControl/>
              <w:adjustRightInd w:val="0"/>
              <w:snapToGrid w:val="0"/>
              <w:jc w:val="center"/>
              <w:rPr>
                <w:rFonts w:hint="eastAsia" w:ascii="Times New Roman" w:hAnsi="Times New Roman" w:eastAsia="宋体" w:cs="Times New Roman"/>
                <w:color w:val="auto"/>
                <w:sz w:val="24"/>
                <w:szCs w:val="24"/>
                <w:lang w:eastAsia="zh-CN"/>
              </w:rPr>
            </w:pPr>
            <w:r>
              <w:rPr>
                <w:rFonts w:hint="eastAsia" w:cs="Times New Roman"/>
                <w:color w:val="auto"/>
                <w:sz w:val="24"/>
                <w:szCs w:val="24"/>
                <w:lang w:val="en-US" w:eastAsia="zh-CN"/>
              </w:rPr>
              <w:t>不外排</w:t>
            </w:r>
          </w:p>
        </w:tc>
      </w:tr>
      <w:tr w14:paraId="712BAD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779" w:type="pct"/>
            <w:vAlign w:val="center"/>
          </w:tcPr>
          <w:p w14:paraId="3F43F450">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地下水及土壤环境</w:t>
            </w:r>
          </w:p>
        </w:tc>
        <w:tc>
          <w:tcPr>
            <w:tcW w:w="370" w:type="pct"/>
            <w:vAlign w:val="center"/>
          </w:tcPr>
          <w:p w14:paraId="17632AC3">
            <w:pPr>
              <w:adjustRightInd w:val="0"/>
              <w:snapToGrid w:val="0"/>
              <w:jc w:val="center"/>
              <w:outlineLvl w:val="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w:t>
            </w:r>
          </w:p>
        </w:tc>
        <w:tc>
          <w:tcPr>
            <w:tcW w:w="284" w:type="pct"/>
            <w:vAlign w:val="center"/>
          </w:tcPr>
          <w:p w14:paraId="1E508FF9">
            <w:pPr>
              <w:adjustRightInd w:val="0"/>
              <w:snapToGrid w:val="0"/>
              <w:jc w:val="center"/>
              <w:outlineLvl w:val="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w:t>
            </w:r>
          </w:p>
        </w:tc>
        <w:tc>
          <w:tcPr>
            <w:tcW w:w="2094" w:type="pct"/>
            <w:vAlign w:val="center"/>
          </w:tcPr>
          <w:p w14:paraId="2D5D8177">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w:t>
            </w:r>
          </w:p>
        </w:tc>
        <w:tc>
          <w:tcPr>
            <w:tcW w:w="1471" w:type="pct"/>
            <w:vAlign w:val="center"/>
          </w:tcPr>
          <w:p w14:paraId="1FF6D82F">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w:t>
            </w:r>
          </w:p>
        </w:tc>
      </w:tr>
      <w:tr w14:paraId="500AA79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779" w:type="pct"/>
            <w:vAlign w:val="center"/>
          </w:tcPr>
          <w:p w14:paraId="5156742E">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声环境</w:t>
            </w:r>
          </w:p>
        </w:tc>
        <w:tc>
          <w:tcPr>
            <w:tcW w:w="370" w:type="pct"/>
            <w:vAlign w:val="center"/>
          </w:tcPr>
          <w:p w14:paraId="58747E30">
            <w:pPr>
              <w:adjustRightInd w:val="0"/>
              <w:snapToGrid w:val="0"/>
              <w:jc w:val="center"/>
              <w:outlineLvl w:val="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w:t>
            </w:r>
          </w:p>
        </w:tc>
        <w:tc>
          <w:tcPr>
            <w:tcW w:w="284" w:type="pct"/>
            <w:vAlign w:val="center"/>
          </w:tcPr>
          <w:p w14:paraId="3CA58AA4">
            <w:pPr>
              <w:adjustRightInd w:val="0"/>
              <w:snapToGrid w:val="0"/>
              <w:jc w:val="center"/>
              <w:outlineLvl w:val="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w:t>
            </w:r>
          </w:p>
        </w:tc>
        <w:tc>
          <w:tcPr>
            <w:tcW w:w="2094" w:type="pct"/>
            <w:vAlign w:val="center"/>
          </w:tcPr>
          <w:p w14:paraId="0E5B8F7F">
            <w:pPr>
              <w:widowControl/>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对高噪声设备采取隔声、减震等综合措施进行降噪，加大发电机房的隔声效果</w:t>
            </w:r>
          </w:p>
        </w:tc>
        <w:tc>
          <w:tcPr>
            <w:tcW w:w="1471" w:type="pct"/>
            <w:vAlign w:val="center"/>
          </w:tcPr>
          <w:p w14:paraId="5C5DD396">
            <w:pPr>
              <w:widowControl/>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《工业企业厂界环境噪声排放标准》（GB12348-2008）1类标准</w:t>
            </w:r>
          </w:p>
        </w:tc>
      </w:tr>
      <w:tr w14:paraId="702CA4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779" w:type="pct"/>
            <w:vAlign w:val="center"/>
          </w:tcPr>
          <w:p w14:paraId="2DD6A8F0">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振动</w:t>
            </w:r>
          </w:p>
        </w:tc>
        <w:tc>
          <w:tcPr>
            <w:tcW w:w="370" w:type="pct"/>
            <w:vAlign w:val="center"/>
          </w:tcPr>
          <w:p w14:paraId="2A3039AB">
            <w:pPr>
              <w:adjustRightInd w:val="0"/>
              <w:snapToGrid w:val="0"/>
              <w:jc w:val="center"/>
              <w:outlineLvl w:val="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w:t>
            </w:r>
          </w:p>
        </w:tc>
        <w:tc>
          <w:tcPr>
            <w:tcW w:w="284" w:type="pct"/>
            <w:vAlign w:val="center"/>
          </w:tcPr>
          <w:p w14:paraId="70516E9E">
            <w:pPr>
              <w:adjustRightInd w:val="0"/>
              <w:snapToGrid w:val="0"/>
              <w:jc w:val="center"/>
              <w:outlineLvl w:val="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w:t>
            </w:r>
          </w:p>
        </w:tc>
        <w:tc>
          <w:tcPr>
            <w:tcW w:w="2094" w:type="pct"/>
            <w:vAlign w:val="center"/>
          </w:tcPr>
          <w:p w14:paraId="0683986B">
            <w:pPr>
              <w:widowControl/>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w:t>
            </w:r>
          </w:p>
        </w:tc>
        <w:tc>
          <w:tcPr>
            <w:tcW w:w="1471" w:type="pct"/>
            <w:vAlign w:val="center"/>
          </w:tcPr>
          <w:p w14:paraId="6C89BD4F">
            <w:pPr>
              <w:widowControl/>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w:t>
            </w:r>
          </w:p>
        </w:tc>
      </w:tr>
      <w:tr w14:paraId="456979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779" w:type="pct"/>
            <w:vAlign w:val="center"/>
          </w:tcPr>
          <w:p w14:paraId="613A1D4B">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大气环境</w:t>
            </w:r>
          </w:p>
        </w:tc>
        <w:tc>
          <w:tcPr>
            <w:tcW w:w="370" w:type="pct"/>
            <w:vAlign w:val="center"/>
          </w:tcPr>
          <w:p w14:paraId="6C2E9778">
            <w:pPr>
              <w:adjustRightInd w:val="0"/>
              <w:snapToGrid w:val="0"/>
              <w:jc w:val="center"/>
              <w:outlineLvl w:val="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w:t>
            </w:r>
          </w:p>
        </w:tc>
        <w:tc>
          <w:tcPr>
            <w:tcW w:w="284" w:type="pct"/>
            <w:vAlign w:val="center"/>
          </w:tcPr>
          <w:p w14:paraId="0B32A400">
            <w:pPr>
              <w:adjustRightInd w:val="0"/>
              <w:snapToGrid w:val="0"/>
              <w:jc w:val="center"/>
              <w:outlineLvl w:val="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w:t>
            </w:r>
          </w:p>
        </w:tc>
        <w:tc>
          <w:tcPr>
            <w:tcW w:w="2094" w:type="pct"/>
            <w:vAlign w:val="center"/>
          </w:tcPr>
          <w:p w14:paraId="5A5ABE0D">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w:t>
            </w:r>
          </w:p>
        </w:tc>
        <w:tc>
          <w:tcPr>
            <w:tcW w:w="1471" w:type="pct"/>
            <w:vAlign w:val="center"/>
          </w:tcPr>
          <w:p w14:paraId="478094BF">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w:t>
            </w:r>
          </w:p>
        </w:tc>
      </w:tr>
      <w:tr w14:paraId="384948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779" w:type="pct"/>
            <w:vAlign w:val="center"/>
          </w:tcPr>
          <w:p w14:paraId="35583D43">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固体废物</w:t>
            </w:r>
          </w:p>
        </w:tc>
        <w:tc>
          <w:tcPr>
            <w:tcW w:w="370" w:type="pct"/>
            <w:vAlign w:val="center"/>
          </w:tcPr>
          <w:p w14:paraId="48AB94F2">
            <w:pPr>
              <w:adjustRightInd w:val="0"/>
              <w:snapToGrid w:val="0"/>
              <w:jc w:val="center"/>
              <w:outlineLvl w:val="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w:t>
            </w:r>
          </w:p>
        </w:tc>
        <w:tc>
          <w:tcPr>
            <w:tcW w:w="284" w:type="pct"/>
            <w:vAlign w:val="center"/>
          </w:tcPr>
          <w:p w14:paraId="44CDCC1A">
            <w:pPr>
              <w:adjustRightInd w:val="0"/>
              <w:snapToGrid w:val="0"/>
              <w:jc w:val="center"/>
              <w:outlineLvl w:val="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w:t>
            </w:r>
          </w:p>
        </w:tc>
        <w:tc>
          <w:tcPr>
            <w:tcW w:w="2094" w:type="pct"/>
            <w:vAlign w:val="center"/>
          </w:tcPr>
          <w:p w14:paraId="0FECF015">
            <w:pPr>
              <w:pStyle w:val="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sz w:val="24"/>
                <w:szCs w:val="24"/>
                <w:lang w:eastAsia="zh-CN"/>
              </w:rPr>
            </w:pPr>
            <w:r>
              <w:rPr>
                <w:rFonts w:hint="default" w:ascii="Times New Roman" w:hAnsi="Times New Roman" w:cs="Times New Roman"/>
                <w:color w:val="auto"/>
                <w:sz w:val="24"/>
                <w:szCs w:val="24"/>
              </w:rPr>
              <w:t>生活垃圾由环卫部门统一清运；废机油定期委托有资质单位处理处置</w:t>
            </w:r>
            <w:r>
              <w:rPr>
                <w:rFonts w:hint="eastAsia" w:cs="Times New Roman"/>
                <w:color w:val="auto"/>
                <w:sz w:val="24"/>
                <w:szCs w:val="24"/>
                <w:lang w:eastAsia="zh-CN"/>
              </w:rPr>
              <w:t>；</w:t>
            </w:r>
            <w:r>
              <w:rPr>
                <w:rFonts w:hint="eastAsia" w:ascii="宋体" w:hAnsi="宋体" w:eastAsia="宋体" w:cs="宋体"/>
                <w:color w:val="auto"/>
                <w:kern w:val="0"/>
                <w:sz w:val="24"/>
                <w:szCs w:val="24"/>
                <w:highlight w:val="none"/>
                <w:lang w:val="en-US" w:eastAsia="zh-CN" w:bidi="ar"/>
              </w:rPr>
              <w:t xml:space="preserve">废含油抹布及废手套属于危险废物豁免管理清单，收集后可混入生活垃圾处置。 </w:t>
            </w:r>
          </w:p>
        </w:tc>
        <w:tc>
          <w:tcPr>
            <w:tcW w:w="1471" w:type="pct"/>
            <w:vAlign w:val="center"/>
          </w:tcPr>
          <w:p w14:paraId="28B2F6DA">
            <w:pPr>
              <w:widowControl/>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设置危废贮存点</w:t>
            </w:r>
          </w:p>
        </w:tc>
      </w:tr>
      <w:tr w14:paraId="30E57C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779" w:type="pct"/>
            <w:vAlign w:val="center"/>
          </w:tcPr>
          <w:p w14:paraId="3A485454">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电磁环境</w:t>
            </w:r>
          </w:p>
        </w:tc>
        <w:tc>
          <w:tcPr>
            <w:tcW w:w="370" w:type="pct"/>
            <w:vAlign w:val="center"/>
          </w:tcPr>
          <w:p w14:paraId="3930E089">
            <w:pPr>
              <w:adjustRightInd w:val="0"/>
              <w:snapToGrid w:val="0"/>
              <w:jc w:val="center"/>
              <w:outlineLvl w:val="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w:t>
            </w:r>
          </w:p>
        </w:tc>
        <w:tc>
          <w:tcPr>
            <w:tcW w:w="284" w:type="pct"/>
            <w:vAlign w:val="center"/>
          </w:tcPr>
          <w:p w14:paraId="3B86741A">
            <w:pPr>
              <w:adjustRightInd w:val="0"/>
              <w:snapToGrid w:val="0"/>
              <w:jc w:val="center"/>
              <w:outlineLvl w:val="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w:t>
            </w:r>
          </w:p>
        </w:tc>
        <w:tc>
          <w:tcPr>
            <w:tcW w:w="2094" w:type="pct"/>
            <w:vAlign w:val="center"/>
          </w:tcPr>
          <w:p w14:paraId="1C66554F">
            <w:pPr>
              <w:widowControl/>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w:t>
            </w:r>
          </w:p>
        </w:tc>
        <w:tc>
          <w:tcPr>
            <w:tcW w:w="1471" w:type="pct"/>
            <w:vAlign w:val="center"/>
          </w:tcPr>
          <w:p w14:paraId="3F2333AA">
            <w:pPr>
              <w:widowControl/>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w:t>
            </w:r>
          </w:p>
        </w:tc>
      </w:tr>
      <w:tr w14:paraId="2F43BB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779" w:type="pct"/>
            <w:vAlign w:val="center"/>
          </w:tcPr>
          <w:p w14:paraId="5CC8F59D">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环境风险</w:t>
            </w:r>
          </w:p>
        </w:tc>
        <w:tc>
          <w:tcPr>
            <w:tcW w:w="370" w:type="pct"/>
            <w:vAlign w:val="center"/>
          </w:tcPr>
          <w:p w14:paraId="345E0149">
            <w:pPr>
              <w:adjustRightInd w:val="0"/>
              <w:snapToGrid w:val="0"/>
              <w:jc w:val="center"/>
              <w:outlineLvl w:val="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w:t>
            </w:r>
          </w:p>
        </w:tc>
        <w:tc>
          <w:tcPr>
            <w:tcW w:w="284" w:type="pct"/>
            <w:vAlign w:val="center"/>
          </w:tcPr>
          <w:p w14:paraId="6F81A5DB">
            <w:pPr>
              <w:adjustRightInd w:val="0"/>
              <w:snapToGrid w:val="0"/>
              <w:jc w:val="center"/>
              <w:outlineLvl w:val="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w:t>
            </w:r>
          </w:p>
        </w:tc>
        <w:tc>
          <w:tcPr>
            <w:tcW w:w="2094" w:type="pct"/>
            <w:vAlign w:val="center"/>
          </w:tcPr>
          <w:p w14:paraId="559C3AE3">
            <w:pPr>
              <w:widowControl/>
              <w:adjustRightInd w:val="0"/>
              <w:snapToGrid w:val="0"/>
              <w:jc w:val="center"/>
              <w:rPr>
                <w:rFonts w:hint="default" w:ascii="Times New Roman" w:hAnsi="Times New Roman" w:cs="Times New Roman"/>
                <w:color w:val="auto"/>
                <w:sz w:val="24"/>
                <w:szCs w:val="24"/>
              </w:rPr>
            </w:pPr>
            <w:r>
              <w:rPr>
                <w:color w:val="auto"/>
                <w:sz w:val="24"/>
                <w:szCs w:val="24"/>
              </w:rPr>
              <w:t>加强管理</w:t>
            </w:r>
            <w:r>
              <w:rPr>
                <w:rFonts w:hint="eastAsia"/>
                <w:color w:val="auto"/>
                <w:sz w:val="24"/>
                <w:szCs w:val="24"/>
              </w:rPr>
              <w:t>，防止废机油泄漏</w:t>
            </w:r>
          </w:p>
        </w:tc>
        <w:tc>
          <w:tcPr>
            <w:tcW w:w="1471" w:type="pct"/>
            <w:vAlign w:val="center"/>
          </w:tcPr>
          <w:p w14:paraId="44194BD2">
            <w:pPr>
              <w:widowControl/>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w:t>
            </w:r>
          </w:p>
        </w:tc>
      </w:tr>
      <w:tr w14:paraId="5894269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779" w:type="pct"/>
            <w:vAlign w:val="center"/>
          </w:tcPr>
          <w:p w14:paraId="65FE2B99">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环境监测</w:t>
            </w:r>
          </w:p>
        </w:tc>
        <w:tc>
          <w:tcPr>
            <w:tcW w:w="370" w:type="pct"/>
            <w:vAlign w:val="center"/>
          </w:tcPr>
          <w:p w14:paraId="7598F931">
            <w:pPr>
              <w:adjustRightInd w:val="0"/>
              <w:snapToGrid w:val="0"/>
              <w:jc w:val="center"/>
              <w:outlineLvl w:val="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w:t>
            </w:r>
          </w:p>
        </w:tc>
        <w:tc>
          <w:tcPr>
            <w:tcW w:w="284" w:type="pct"/>
            <w:vAlign w:val="center"/>
          </w:tcPr>
          <w:p w14:paraId="55693436">
            <w:pPr>
              <w:adjustRightInd w:val="0"/>
              <w:snapToGrid w:val="0"/>
              <w:jc w:val="center"/>
              <w:outlineLvl w:val="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w:t>
            </w:r>
          </w:p>
        </w:tc>
        <w:tc>
          <w:tcPr>
            <w:tcW w:w="2094" w:type="pct"/>
            <w:shd w:val="clear" w:color="auto" w:fill="auto"/>
            <w:vAlign w:val="center"/>
          </w:tcPr>
          <w:p w14:paraId="5AEF671A">
            <w:pPr>
              <w:widowControl/>
              <w:adjustRightInd w:val="0"/>
              <w:snapToGrid w:val="0"/>
              <w:jc w:val="center"/>
              <w:rPr>
                <w:rFonts w:hint="default" w:ascii="Times New Roman" w:hAnsi="Times New Roman" w:eastAsia="宋体" w:cs="Times New Roman"/>
                <w:color w:val="auto"/>
                <w:kern w:val="2"/>
                <w:sz w:val="24"/>
                <w:szCs w:val="24"/>
                <w:lang w:val="en-US" w:eastAsia="zh-CN" w:bidi="ar-SA"/>
              </w:rPr>
            </w:pPr>
            <w:r>
              <w:rPr>
                <w:rFonts w:hint="eastAsia"/>
                <w:color w:val="auto"/>
                <w:sz w:val="24"/>
                <w:szCs w:val="24"/>
                <w:lang w:val="en-US" w:eastAsia="zh-CN"/>
              </w:rPr>
              <w:t>对水环境和厂界噪声</w:t>
            </w:r>
            <w:r>
              <w:rPr>
                <w:color w:val="auto"/>
                <w:sz w:val="24"/>
                <w:szCs w:val="24"/>
              </w:rPr>
              <w:t>进行监测、归档、上报</w:t>
            </w:r>
          </w:p>
        </w:tc>
        <w:tc>
          <w:tcPr>
            <w:tcW w:w="1471" w:type="pct"/>
            <w:shd w:val="clear" w:color="auto" w:fill="auto"/>
            <w:vAlign w:val="center"/>
          </w:tcPr>
          <w:p w14:paraId="75BBF0D7">
            <w:pPr>
              <w:widowControl/>
              <w:adjustRightInd w:val="0"/>
              <w:snapToGrid w:val="0"/>
              <w:jc w:val="center"/>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cs="Times New Roman"/>
                <w:color w:val="auto"/>
                <w:sz w:val="24"/>
                <w:szCs w:val="24"/>
              </w:rPr>
              <w:t>/</w:t>
            </w:r>
          </w:p>
        </w:tc>
      </w:tr>
      <w:tr w14:paraId="622EFC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779" w:type="pct"/>
            <w:vAlign w:val="center"/>
          </w:tcPr>
          <w:p w14:paraId="250C68BC">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其他</w:t>
            </w:r>
          </w:p>
        </w:tc>
        <w:tc>
          <w:tcPr>
            <w:tcW w:w="370" w:type="pct"/>
            <w:vAlign w:val="center"/>
          </w:tcPr>
          <w:p w14:paraId="52473CF0">
            <w:pPr>
              <w:adjustRightInd w:val="0"/>
              <w:snapToGrid w:val="0"/>
              <w:jc w:val="center"/>
              <w:outlineLvl w:val="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w:t>
            </w:r>
          </w:p>
        </w:tc>
        <w:tc>
          <w:tcPr>
            <w:tcW w:w="284" w:type="pct"/>
            <w:vAlign w:val="center"/>
          </w:tcPr>
          <w:p w14:paraId="455CC0E8">
            <w:pPr>
              <w:adjustRightInd w:val="0"/>
              <w:snapToGrid w:val="0"/>
              <w:jc w:val="center"/>
              <w:outlineLvl w:val="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w:t>
            </w:r>
          </w:p>
        </w:tc>
        <w:tc>
          <w:tcPr>
            <w:tcW w:w="2094" w:type="pct"/>
            <w:vAlign w:val="center"/>
          </w:tcPr>
          <w:p w14:paraId="7EA2EEB8">
            <w:pPr>
              <w:widowControl/>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职工环境管理和环保设施运行制度制定，并落实</w:t>
            </w:r>
          </w:p>
        </w:tc>
        <w:tc>
          <w:tcPr>
            <w:tcW w:w="1471" w:type="pct"/>
            <w:vAlign w:val="center"/>
          </w:tcPr>
          <w:p w14:paraId="2FCF6392">
            <w:pPr>
              <w:widowControl/>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w:t>
            </w:r>
          </w:p>
        </w:tc>
      </w:tr>
    </w:tbl>
    <w:p w14:paraId="4F3650CA">
      <w:pPr>
        <w:pStyle w:val="21"/>
        <w:spacing w:beforeLines="80" w:beforeAutospacing="0"/>
        <w:jc w:val="center"/>
        <w:outlineLvl w:val="0"/>
        <w:rPr>
          <w:rFonts w:hint="default" w:ascii="Times New Roman" w:hAnsi="Times New Roman" w:eastAsia="黑体" w:cs="Times New Roman"/>
          <w:snapToGrid w:val="0"/>
          <w:color w:val="auto"/>
          <w:sz w:val="30"/>
          <w:szCs w:val="30"/>
        </w:rPr>
        <w:sectPr>
          <w:pgSz w:w="16838" w:h="11906" w:orient="landscape"/>
          <w:pgMar w:top="1800" w:right="1440" w:bottom="1800" w:left="1440" w:header="851" w:footer="1077" w:gutter="0"/>
          <w:pgBorders>
            <w:top w:val="none" w:sz="0" w:space="0"/>
            <w:left w:val="none" w:sz="0" w:space="0"/>
            <w:bottom w:val="none" w:sz="0" w:space="0"/>
            <w:right w:val="none" w:sz="0" w:space="0"/>
          </w:pgBorders>
          <w:pgNumType w:fmt="decimal"/>
          <w:cols w:space="425" w:num="1"/>
          <w:docGrid w:linePitch="312" w:charSpace="0"/>
        </w:sectPr>
      </w:pPr>
    </w:p>
    <w:p w14:paraId="1CA33113">
      <w:pPr>
        <w:pStyle w:val="21"/>
        <w:spacing w:beforeLines="80" w:beforeAutospacing="0"/>
        <w:jc w:val="center"/>
        <w:outlineLvl w:val="0"/>
        <w:rPr>
          <w:rFonts w:hint="default" w:ascii="Times New Roman" w:hAnsi="Times New Roman" w:eastAsia="黑体" w:cs="Times New Roman"/>
          <w:snapToGrid w:val="0"/>
          <w:color w:val="auto"/>
          <w:sz w:val="30"/>
          <w:szCs w:val="30"/>
        </w:rPr>
      </w:pPr>
      <w:r>
        <w:rPr>
          <w:rFonts w:hint="default" w:ascii="Times New Roman" w:hAnsi="Times New Roman" w:eastAsia="黑体" w:cs="Times New Roman"/>
          <w:snapToGrid w:val="0"/>
          <w:color w:val="auto"/>
          <w:sz w:val="30"/>
          <w:szCs w:val="30"/>
        </w:rPr>
        <w:t>七、结论</w:t>
      </w:r>
      <w:bookmarkEnd w:id="22"/>
    </w:p>
    <w:tbl>
      <w:tblPr>
        <w:tblStyle w:val="24"/>
        <w:tblW w:w="928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289"/>
      </w:tblGrid>
      <w:tr w14:paraId="272A40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2591" w:hRule="atLeast"/>
          <w:jc w:val="center"/>
        </w:trPr>
        <w:tc>
          <w:tcPr>
            <w:tcW w:w="9289" w:type="dxa"/>
          </w:tcPr>
          <w:p w14:paraId="27C30B80">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jc w:val="both"/>
              <w:textAlignment w:val="auto"/>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青年水库</w:t>
            </w:r>
            <w:r>
              <w:rPr>
                <w:rFonts w:hint="default" w:ascii="Times New Roman" w:hAnsi="Times New Roman" w:eastAsia="宋体" w:cs="Times New Roman"/>
                <w:color w:val="auto"/>
                <w:sz w:val="24"/>
                <w:szCs w:val="24"/>
                <w:lang w:val="en-US" w:eastAsia="zh-CN"/>
              </w:rPr>
              <w:t>电站增效扩容改造项目位于</w:t>
            </w:r>
            <w:r>
              <w:rPr>
                <w:rFonts w:hint="eastAsia" w:cs="Times New Roman"/>
                <w:color w:val="auto"/>
                <w:sz w:val="24"/>
                <w:szCs w:val="24"/>
                <w:lang w:val="en-US" w:eastAsia="zh-CN"/>
              </w:rPr>
              <w:t>密山市</w:t>
            </w:r>
            <w:r>
              <w:rPr>
                <w:rFonts w:hint="default" w:ascii="Times New Roman" w:hAnsi="Times New Roman" w:eastAsia="宋体" w:cs="Times New Roman"/>
                <w:color w:val="auto"/>
                <w:sz w:val="24"/>
                <w:szCs w:val="24"/>
                <w:lang w:val="en-US" w:eastAsia="zh-CN"/>
              </w:rPr>
              <w:t>，不涉及自然保护区、风景名胜区、水源保护区、重要水生生物的自然产卵场及索饵场、越冬场和洄游通道、天然渔场和其他需要特别保护的区域，符合国家产业政策，符合黑龙江省关于小水电清理整改工作实施方案的要求，符合小水电站选址要求。</w:t>
            </w:r>
          </w:p>
          <w:p w14:paraId="296A8925">
            <w:pPr>
              <w:adjustRightInd w:val="0"/>
              <w:snapToGrid w:val="0"/>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项目在建设期和营运期采取一系列减缓环境影响的对策和措施，下泄生态流量符合要求，对大气环境、地表水环境、声环境、生态环境的影响是可以接受的。建设单位必须严格遵守“三同时”的管理规定，</w:t>
            </w:r>
            <w:r>
              <w:rPr>
                <w:rFonts w:hint="eastAsia" w:ascii="Times New Roman" w:hAnsi="Times New Roman" w:eastAsia="宋体" w:cs="Times New Roman"/>
                <w:color w:val="auto"/>
                <w:sz w:val="24"/>
                <w:szCs w:val="24"/>
                <w:lang w:val="en-US" w:eastAsia="zh-CN"/>
              </w:rPr>
              <w:t>切实</w:t>
            </w:r>
            <w:r>
              <w:rPr>
                <w:rFonts w:hint="default" w:ascii="Times New Roman" w:hAnsi="Times New Roman" w:eastAsia="宋体" w:cs="Times New Roman"/>
                <w:color w:val="auto"/>
                <w:sz w:val="24"/>
                <w:szCs w:val="24"/>
                <w:lang w:val="en-US" w:eastAsia="zh-CN"/>
              </w:rPr>
              <w:t>保证本项目采取的各项环保措施已落实，并尽一切可能确保本项目所在区域的环境质量不因本项目的建设而受到不良影响。</w:t>
            </w:r>
          </w:p>
          <w:p w14:paraId="2C7A0EE4">
            <w:pPr>
              <w:adjustRightInd w:val="0"/>
              <w:snapToGrid w:val="0"/>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综上所述，从环境保护角度分析，</w:t>
            </w:r>
            <w:r>
              <w:rPr>
                <w:rFonts w:hint="eastAsia" w:cs="Times New Roman"/>
                <w:color w:val="auto"/>
                <w:sz w:val="24"/>
                <w:szCs w:val="24"/>
                <w:lang w:val="en-US" w:eastAsia="zh-CN"/>
              </w:rPr>
              <w:t>青年水库</w:t>
            </w:r>
            <w:r>
              <w:rPr>
                <w:rFonts w:hint="default" w:ascii="Times New Roman" w:hAnsi="Times New Roman" w:eastAsia="宋体" w:cs="Times New Roman"/>
                <w:color w:val="auto"/>
                <w:sz w:val="24"/>
                <w:szCs w:val="24"/>
                <w:lang w:val="en-US" w:eastAsia="zh-CN"/>
              </w:rPr>
              <w:t>电站增效扩容改造项目是可行的。</w:t>
            </w:r>
          </w:p>
          <w:p w14:paraId="02BCAC6A">
            <w:pPr>
              <w:spacing w:beforeLines="50" w:line="360" w:lineRule="auto"/>
              <w:ind w:firstLine="420" w:firstLineChars="200"/>
              <w:rPr>
                <w:rFonts w:hint="default" w:ascii="Times New Roman" w:hAnsi="Times New Roman" w:cs="Times New Roman" w:eastAsiaTheme="minorEastAsia"/>
                <w:color w:val="auto"/>
                <w:szCs w:val="21"/>
              </w:rPr>
            </w:pPr>
          </w:p>
        </w:tc>
      </w:tr>
    </w:tbl>
    <w:p w14:paraId="6C560E01">
      <w:pPr>
        <w:widowControl/>
        <w:adjustRightInd w:val="0"/>
        <w:snapToGrid w:val="0"/>
        <w:spacing w:beforeLines="80"/>
        <w:jc w:val="left"/>
        <w:rPr>
          <w:rFonts w:hint="default" w:ascii="Times New Roman" w:hAnsi="Times New Roman" w:cs="Times New Roman" w:eastAsiaTheme="minorEastAsia"/>
          <w:color w:val="auto"/>
          <w:lang w:val="en-US" w:eastAsia="zh-CN"/>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p>
    <w:p w14:paraId="60DA2129">
      <w:pPr>
        <w:widowControl/>
        <w:adjustRightInd w:val="0"/>
        <w:snapToGrid w:val="0"/>
        <w:spacing w:beforeLines="80"/>
        <w:ind w:firstLine="482" w:firstLineChars="200"/>
        <w:jc w:val="both"/>
        <w:rPr>
          <w:rFonts w:hint="default" w:ascii="Times New Roman" w:hAnsi="Times New Roman" w:cs="Times New Roman" w:eastAsiaTheme="minorEastAsia"/>
          <w:b/>
          <w:bCs/>
          <w:color w:val="auto"/>
          <w:sz w:val="24"/>
          <w:szCs w:val="24"/>
          <w:lang w:val="en-US" w:eastAsia="zh-CN"/>
        </w:rPr>
      </w:pPr>
      <w:r>
        <w:rPr>
          <w:rFonts w:hint="default" w:ascii="Times New Roman" w:hAnsi="Times New Roman" w:cs="Times New Roman" w:eastAsiaTheme="minorEastAsia"/>
          <w:b/>
          <w:bCs/>
          <w:color w:val="auto"/>
          <w:sz w:val="24"/>
          <w:szCs w:val="24"/>
          <w:lang w:val="en-US" w:eastAsia="zh-CN"/>
        </w:rPr>
        <w:t>附件1</w:t>
      </w:r>
      <w:r>
        <w:rPr>
          <w:rFonts w:hint="eastAsia" w:ascii="Times New Roman" w:hAnsi="Times New Roman" w:cs="Times New Roman" w:eastAsiaTheme="minorEastAsia"/>
          <w:b/>
          <w:bCs/>
          <w:color w:val="auto"/>
          <w:sz w:val="24"/>
          <w:szCs w:val="24"/>
          <w:lang w:val="en-US" w:eastAsia="zh-CN"/>
        </w:rPr>
        <w:t xml:space="preserve">  </w:t>
      </w:r>
      <w:r>
        <w:rPr>
          <w:rFonts w:hint="default" w:ascii="Times New Roman" w:hAnsi="Times New Roman" w:cs="Times New Roman" w:eastAsiaTheme="minorEastAsia"/>
          <w:b/>
          <w:bCs/>
          <w:color w:val="auto"/>
          <w:sz w:val="24"/>
          <w:szCs w:val="24"/>
          <w:lang w:val="en-US" w:eastAsia="zh-CN"/>
        </w:rPr>
        <w:t>初设批复</w:t>
      </w:r>
    </w:p>
    <w:p w14:paraId="7E0C98A8">
      <w:pPr>
        <w:widowControl/>
        <w:adjustRightInd w:val="0"/>
        <w:snapToGrid w:val="0"/>
        <w:spacing w:beforeLines="80"/>
        <w:ind w:firstLine="482" w:firstLineChars="200"/>
        <w:jc w:val="both"/>
        <w:rPr>
          <w:rFonts w:hint="default" w:ascii="Times New Roman" w:hAnsi="Times New Roman" w:cs="Times New Roman" w:eastAsiaTheme="minorEastAsia"/>
          <w:b/>
          <w:bCs/>
          <w:color w:val="auto"/>
          <w:sz w:val="24"/>
          <w:szCs w:val="24"/>
          <w:lang w:val="en-US" w:eastAsia="zh-CN"/>
        </w:rPr>
      </w:pPr>
    </w:p>
    <w:p w14:paraId="4058C644">
      <w:pPr>
        <w:widowControl/>
        <w:adjustRightInd w:val="0"/>
        <w:snapToGrid w:val="0"/>
        <w:spacing w:beforeLines="80"/>
        <w:ind w:firstLine="482" w:firstLineChars="200"/>
        <w:jc w:val="both"/>
        <w:rPr>
          <w:rFonts w:hint="default" w:ascii="Times New Roman" w:hAnsi="Times New Roman" w:cs="Times New Roman" w:eastAsiaTheme="minorEastAsia"/>
          <w:b/>
          <w:bCs/>
          <w:color w:val="auto"/>
          <w:sz w:val="24"/>
          <w:szCs w:val="24"/>
          <w:lang w:val="en-US" w:eastAsia="zh-CN"/>
        </w:rPr>
      </w:pPr>
      <w:r>
        <w:rPr>
          <w:rFonts w:hint="default" w:ascii="Times New Roman" w:hAnsi="Times New Roman" w:cs="Times New Roman" w:eastAsiaTheme="minorEastAsia"/>
          <w:b/>
          <w:bCs/>
          <w:color w:val="auto"/>
          <w:sz w:val="24"/>
          <w:szCs w:val="24"/>
          <w:lang w:val="en-US" w:eastAsia="zh-CN"/>
        </w:rPr>
        <w:drawing>
          <wp:inline distT="0" distB="0" distL="114300" distR="114300">
            <wp:extent cx="5737225" cy="8177530"/>
            <wp:effectExtent l="0" t="0" r="15875" b="13970"/>
            <wp:docPr id="17" name="图片 17" descr="批复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批复1"/>
                    <pic:cNvPicPr>
                      <a:picLocks noChangeAspect="1"/>
                    </pic:cNvPicPr>
                  </pic:nvPicPr>
                  <pic:blipFill>
                    <a:blip r:embed="rId21"/>
                    <a:stretch>
                      <a:fillRect/>
                    </a:stretch>
                  </pic:blipFill>
                  <pic:spPr>
                    <a:xfrm>
                      <a:off x="0" y="0"/>
                      <a:ext cx="5737225" cy="8177530"/>
                    </a:xfrm>
                    <a:prstGeom prst="rect">
                      <a:avLst/>
                    </a:prstGeom>
                  </pic:spPr>
                </pic:pic>
              </a:graphicData>
            </a:graphic>
          </wp:inline>
        </w:drawing>
      </w:r>
    </w:p>
    <w:p w14:paraId="4F258263">
      <w:pPr>
        <w:widowControl/>
        <w:adjustRightInd w:val="0"/>
        <w:snapToGrid w:val="0"/>
        <w:spacing w:beforeLines="80"/>
        <w:jc w:val="center"/>
        <w:rPr>
          <w:rFonts w:hint="default" w:ascii="Times New Roman" w:hAnsi="Times New Roman" w:cs="Times New Roman" w:eastAsiaTheme="minorEastAsia"/>
          <w:b/>
          <w:bCs/>
          <w:color w:val="auto"/>
          <w:sz w:val="24"/>
          <w:szCs w:val="24"/>
          <w:lang w:val="en-US" w:eastAsia="zh-CN"/>
        </w:rPr>
      </w:pPr>
    </w:p>
    <w:p w14:paraId="357A3B81">
      <w:pPr>
        <w:widowControl/>
        <w:adjustRightInd w:val="0"/>
        <w:snapToGrid w:val="0"/>
        <w:spacing w:beforeLines="80"/>
        <w:jc w:val="center"/>
        <w:rPr>
          <w:rFonts w:hint="default" w:ascii="Times New Roman" w:hAnsi="Times New Roman" w:cs="Times New Roman" w:eastAsiaTheme="minorEastAsia"/>
          <w:b/>
          <w:bCs/>
          <w:color w:val="auto"/>
          <w:sz w:val="24"/>
          <w:szCs w:val="24"/>
          <w:lang w:val="en-US" w:eastAsia="zh-CN"/>
        </w:rPr>
      </w:pPr>
    </w:p>
    <w:p w14:paraId="197E494A">
      <w:pPr>
        <w:widowControl/>
        <w:adjustRightInd w:val="0"/>
        <w:snapToGrid w:val="0"/>
        <w:spacing w:beforeLines="80"/>
        <w:jc w:val="center"/>
        <w:rPr>
          <w:rFonts w:hint="default" w:ascii="Times New Roman" w:hAnsi="Times New Roman" w:cs="Times New Roman" w:eastAsiaTheme="minorEastAsia"/>
          <w:b/>
          <w:bCs/>
          <w:color w:val="auto"/>
          <w:sz w:val="24"/>
          <w:szCs w:val="24"/>
          <w:lang w:val="en-US" w:eastAsia="zh-CN"/>
        </w:rPr>
      </w:pPr>
      <w:r>
        <w:rPr>
          <w:rFonts w:hint="default" w:ascii="Times New Roman" w:hAnsi="Times New Roman" w:cs="Times New Roman" w:eastAsiaTheme="minorEastAsia"/>
          <w:b/>
          <w:bCs/>
          <w:color w:val="auto"/>
          <w:sz w:val="24"/>
          <w:szCs w:val="24"/>
          <w:lang w:val="en-US" w:eastAsia="zh-CN"/>
        </w:rPr>
        <w:drawing>
          <wp:inline distT="0" distB="0" distL="114300" distR="114300">
            <wp:extent cx="5537200" cy="8710295"/>
            <wp:effectExtent l="0" t="0" r="6350" b="14605"/>
            <wp:docPr id="19" name="图片 19" descr="94a86366-81d3-46fc-80aa-eae8510b18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94a86366-81d3-46fc-80aa-eae8510b18f6"/>
                    <pic:cNvPicPr>
                      <a:picLocks noChangeAspect="1"/>
                    </pic:cNvPicPr>
                  </pic:nvPicPr>
                  <pic:blipFill>
                    <a:blip r:embed="rId22"/>
                    <a:stretch>
                      <a:fillRect/>
                    </a:stretch>
                  </pic:blipFill>
                  <pic:spPr>
                    <a:xfrm>
                      <a:off x="0" y="0"/>
                      <a:ext cx="5537200" cy="8710295"/>
                    </a:xfrm>
                    <a:prstGeom prst="rect">
                      <a:avLst/>
                    </a:prstGeom>
                  </pic:spPr>
                </pic:pic>
              </a:graphicData>
            </a:graphic>
          </wp:inline>
        </w:drawing>
      </w:r>
    </w:p>
    <w:p w14:paraId="62C67D84">
      <w:pPr>
        <w:widowControl/>
        <w:adjustRightInd w:val="0"/>
        <w:snapToGrid w:val="0"/>
        <w:spacing w:beforeLines="80"/>
        <w:jc w:val="center"/>
        <w:rPr>
          <w:rFonts w:hint="default" w:ascii="Times New Roman" w:hAnsi="Times New Roman" w:cs="Times New Roman" w:eastAsiaTheme="minorEastAsia"/>
          <w:b/>
          <w:bCs/>
          <w:color w:val="auto"/>
          <w:sz w:val="24"/>
          <w:szCs w:val="24"/>
          <w:lang w:val="en-US" w:eastAsia="zh-CN"/>
        </w:rPr>
      </w:pPr>
    </w:p>
    <w:p w14:paraId="08902FFE">
      <w:pPr>
        <w:widowControl/>
        <w:adjustRightInd w:val="0"/>
        <w:snapToGrid w:val="0"/>
        <w:spacing w:beforeLines="80"/>
        <w:jc w:val="center"/>
        <w:rPr>
          <w:rFonts w:hint="default" w:ascii="Times New Roman" w:hAnsi="Times New Roman" w:cs="Times New Roman" w:eastAsiaTheme="minorEastAsia"/>
          <w:b/>
          <w:bCs/>
          <w:color w:val="auto"/>
          <w:sz w:val="24"/>
          <w:szCs w:val="24"/>
          <w:lang w:val="en-US" w:eastAsia="zh-CN"/>
        </w:rPr>
      </w:pPr>
    </w:p>
    <w:p w14:paraId="6780F0DE">
      <w:pPr>
        <w:widowControl/>
        <w:adjustRightInd w:val="0"/>
        <w:snapToGrid w:val="0"/>
        <w:spacing w:beforeLines="80"/>
        <w:jc w:val="both"/>
        <w:rPr>
          <w:rFonts w:hint="eastAsia" w:cs="Times New Roman" w:eastAsiaTheme="minorEastAsia"/>
          <w:b/>
          <w:bCs/>
          <w:color w:val="auto"/>
          <w:sz w:val="24"/>
          <w:szCs w:val="24"/>
          <w:lang w:val="en-US" w:eastAsia="zh-CN"/>
        </w:rPr>
      </w:pPr>
      <w:r>
        <w:rPr>
          <w:rFonts w:hint="eastAsia" w:cs="Times New Roman" w:eastAsiaTheme="minorEastAsia"/>
          <w:b/>
          <w:bCs/>
          <w:color w:val="auto"/>
          <w:sz w:val="24"/>
          <w:szCs w:val="24"/>
          <w:lang w:val="en-US" w:eastAsia="zh-CN"/>
        </w:rPr>
        <w:t>附件2：除险加固可研批复</w:t>
      </w:r>
    </w:p>
    <w:p w14:paraId="636A8348">
      <w:pPr>
        <w:widowControl/>
        <w:adjustRightInd w:val="0"/>
        <w:snapToGrid w:val="0"/>
        <w:spacing w:beforeLines="80"/>
        <w:jc w:val="both"/>
        <w:rPr>
          <w:rFonts w:hint="eastAsia" w:cs="Times New Roman" w:eastAsiaTheme="minorEastAsia"/>
          <w:b/>
          <w:bCs/>
          <w:color w:val="auto"/>
          <w:sz w:val="24"/>
          <w:szCs w:val="24"/>
          <w:lang w:val="en-US" w:eastAsia="zh-CN"/>
        </w:rPr>
      </w:pPr>
      <w:r>
        <w:rPr>
          <w:rFonts w:hint="default" w:cs="Times New Roman" w:eastAsiaTheme="minorEastAsia"/>
          <w:b/>
          <w:bCs/>
          <w:color w:val="auto"/>
          <w:sz w:val="24"/>
          <w:szCs w:val="24"/>
          <w:lang w:val="en-US" w:eastAsia="zh-CN"/>
        </w:rPr>
        <w:drawing>
          <wp:inline distT="0" distB="0" distL="114300" distR="114300">
            <wp:extent cx="6278880" cy="8587105"/>
            <wp:effectExtent l="0" t="0" r="7620" b="4445"/>
            <wp:docPr id="47" name="图片 47" descr="青年水库可研批复(1)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青年水库可研批复(1)_01(1)"/>
                    <pic:cNvPicPr>
                      <a:picLocks noChangeAspect="1"/>
                    </pic:cNvPicPr>
                  </pic:nvPicPr>
                  <pic:blipFill>
                    <a:blip r:embed="rId23"/>
                    <a:stretch>
                      <a:fillRect/>
                    </a:stretch>
                  </pic:blipFill>
                  <pic:spPr>
                    <a:xfrm>
                      <a:off x="0" y="0"/>
                      <a:ext cx="6278880" cy="8587105"/>
                    </a:xfrm>
                    <a:prstGeom prst="rect">
                      <a:avLst/>
                    </a:prstGeom>
                  </pic:spPr>
                </pic:pic>
              </a:graphicData>
            </a:graphic>
          </wp:inline>
        </w:drawing>
      </w:r>
    </w:p>
    <w:p w14:paraId="40777EAD">
      <w:pPr>
        <w:widowControl/>
        <w:adjustRightInd w:val="0"/>
        <w:snapToGrid w:val="0"/>
        <w:spacing w:beforeLines="80"/>
        <w:jc w:val="both"/>
        <w:rPr>
          <w:rFonts w:hint="eastAsia" w:cs="Times New Roman" w:eastAsiaTheme="minorEastAsia"/>
          <w:b/>
          <w:bCs/>
          <w:color w:val="auto"/>
          <w:sz w:val="24"/>
          <w:szCs w:val="24"/>
          <w:lang w:val="en-US" w:eastAsia="zh-CN"/>
        </w:rPr>
      </w:pPr>
      <w:r>
        <w:rPr>
          <w:rFonts w:hint="default" w:cs="Times New Roman" w:eastAsiaTheme="minorEastAsia"/>
          <w:b/>
          <w:bCs/>
          <w:color w:val="auto"/>
          <w:sz w:val="24"/>
          <w:szCs w:val="24"/>
          <w:lang w:val="en-US" w:eastAsia="zh-CN"/>
        </w:rPr>
        <w:drawing>
          <wp:inline distT="0" distB="0" distL="114300" distR="114300">
            <wp:extent cx="6181090" cy="8749665"/>
            <wp:effectExtent l="0" t="0" r="10160" b="13335"/>
            <wp:docPr id="46" name="图片 46" descr="青年水库可研批复(1)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青年水库可研批复(1)_02(1)"/>
                    <pic:cNvPicPr>
                      <a:picLocks noChangeAspect="1"/>
                    </pic:cNvPicPr>
                  </pic:nvPicPr>
                  <pic:blipFill>
                    <a:blip r:embed="rId24"/>
                    <a:stretch>
                      <a:fillRect/>
                    </a:stretch>
                  </pic:blipFill>
                  <pic:spPr>
                    <a:xfrm>
                      <a:off x="0" y="0"/>
                      <a:ext cx="6181090" cy="8749665"/>
                    </a:xfrm>
                    <a:prstGeom prst="rect">
                      <a:avLst/>
                    </a:prstGeom>
                  </pic:spPr>
                </pic:pic>
              </a:graphicData>
            </a:graphic>
          </wp:inline>
        </w:drawing>
      </w:r>
    </w:p>
    <w:p w14:paraId="1C4EC8EE">
      <w:pPr>
        <w:widowControl/>
        <w:adjustRightInd w:val="0"/>
        <w:snapToGrid w:val="0"/>
        <w:spacing w:beforeLines="80"/>
        <w:jc w:val="both"/>
        <w:rPr>
          <w:rFonts w:hint="default" w:cs="Times New Roman" w:eastAsiaTheme="minorEastAsia"/>
          <w:b/>
          <w:bCs/>
          <w:color w:val="auto"/>
          <w:sz w:val="24"/>
          <w:szCs w:val="24"/>
          <w:lang w:val="en-US" w:eastAsia="zh-CN"/>
        </w:rPr>
      </w:pPr>
      <w:r>
        <w:rPr>
          <w:rFonts w:hint="default" w:cs="Times New Roman" w:eastAsiaTheme="minorEastAsia"/>
          <w:b/>
          <w:bCs/>
          <w:color w:val="auto"/>
          <w:sz w:val="24"/>
          <w:szCs w:val="24"/>
          <w:lang w:val="en-US" w:eastAsia="zh-CN"/>
        </w:rPr>
        <w:drawing>
          <wp:inline distT="0" distB="0" distL="114300" distR="114300">
            <wp:extent cx="6618605" cy="9368155"/>
            <wp:effectExtent l="0" t="0" r="10795" b="4445"/>
            <wp:docPr id="45" name="图片 45" descr="青年水库可研批复(1)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青年水库可研批复(1)_03(1)"/>
                    <pic:cNvPicPr>
                      <a:picLocks noChangeAspect="1"/>
                    </pic:cNvPicPr>
                  </pic:nvPicPr>
                  <pic:blipFill>
                    <a:blip r:embed="rId25"/>
                    <a:stretch>
                      <a:fillRect/>
                    </a:stretch>
                  </pic:blipFill>
                  <pic:spPr>
                    <a:xfrm>
                      <a:off x="0" y="0"/>
                      <a:ext cx="6618605" cy="9368155"/>
                    </a:xfrm>
                    <a:prstGeom prst="rect">
                      <a:avLst/>
                    </a:prstGeom>
                  </pic:spPr>
                </pic:pic>
              </a:graphicData>
            </a:graphic>
          </wp:inline>
        </w:drawing>
      </w:r>
      <w:r>
        <w:rPr>
          <w:rFonts w:hint="default" w:cs="Times New Roman" w:eastAsiaTheme="minorEastAsia"/>
          <w:b/>
          <w:bCs/>
          <w:color w:val="auto"/>
          <w:sz w:val="24"/>
          <w:szCs w:val="24"/>
          <w:lang w:val="en-US" w:eastAsia="zh-CN"/>
        </w:rPr>
        <w:drawing>
          <wp:inline distT="0" distB="0" distL="114300" distR="114300">
            <wp:extent cx="6618605" cy="9368155"/>
            <wp:effectExtent l="0" t="0" r="10795" b="4445"/>
            <wp:docPr id="32" name="图片 32" descr="青年水库可研批复(1)_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青年水库可研批复(1)_04(1)"/>
                    <pic:cNvPicPr>
                      <a:picLocks noChangeAspect="1"/>
                    </pic:cNvPicPr>
                  </pic:nvPicPr>
                  <pic:blipFill>
                    <a:blip r:embed="rId26"/>
                    <a:stretch>
                      <a:fillRect/>
                    </a:stretch>
                  </pic:blipFill>
                  <pic:spPr>
                    <a:xfrm>
                      <a:off x="0" y="0"/>
                      <a:ext cx="6618605" cy="9368155"/>
                    </a:xfrm>
                    <a:prstGeom prst="rect">
                      <a:avLst/>
                    </a:prstGeom>
                  </pic:spPr>
                </pic:pic>
              </a:graphicData>
            </a:graphic>
          </wp:inline>
        </w:drawing>
      </w:r>
    </w:p>
    <w:p w14:paraId="4887F6CC">
      <w:pPr>
        <w:widowControl/>
        <w:adjustRightInd w:val="0"/>
        <w:snapToGrid w:val="0"/>
        <w:spacing w:beforeLines="80"/>
        <w:jc w:val="both"/>
        <w:rPr>
          <w:rFonts w:hint="eastAsia" w:cs="Times New Roman" w:eastAsiaTheme="minorEastAsia"/>
          <w:b/>
          <w:bCs/>
          <w:color w:val="auto"/>
          <w:sz w:val="24"/>
          <w:szCs w:val="24"/>
          <w:lang w:val="en-US" w:eastAsia="zh-CN"/>
        </w:rPr>
      </w:pPr>
      <w:r>
        <w:rPr>
          <w:rFonts w:hint="eastAsia" w:cs="Times New Roman" w:eastAsiaTheme="minorEastAsia"/>
          <w:b/>
          <w:bCs/>
          <w:color w:val="auto"/>
          <w:sz w:val="24"/>
          <w:szCs w:val="24"/>
          <w:lang w:val="en-US" w:eastAsia="zh-CN"/>
        </w:rPr>
        <w:t>附件3：环评报告表批复</w:t>
      </w:r>
    </w:p>
    <w:p w14:paraId="3FD8D075">
      <w:pPr>
        <w:widowControl/>
        <w:adjustRightInd w:val="0"/>
        <w:snapToGrid w:val="0"/>
        <w:spacing w:beforeLines="80"/>
        <w:jc w:val="both"/>
        <w:rPr>
          <w:rFonts w:hint="eastAsia" w:cs="Times New Roman" w:eastAsiaTheme="minorEastAsia"/>
          <w:b/>
          <w:bCs/>
          <w:color w:val="auto"/>
          <w:sz w:val="24"/>
          <w:szCs w:val="24"/>
          <w:lang w:val="en-US" w:eastAsia="zh-CN"/>
        </w:rPr>
      </w:pPr>
      <w:r>
        <w:rPr>
          <w:rFonts w:hint="default" w:cs="Times New Roman" w:eastAsiaTheme="minorEastAsia"/>
          <w:b/>
          <w:bCs/>
          <w:color w:val="auto"/>
          <w:sz w:val="24"/>
          <w:szCs w:val="24"/>
          <w:lang w:val="en-US" w:eastAsia="zh-CN"/>
        </w:rPr>
        <w:drawing>
          <wp:inline distT="0" distB="0" distL="114300" distR="114300">
            <wp:extent cx="6304280" cy="8616315"/>
            <wp:effectExtent l="0" t="0" r="1270" b="13335"/>
            <wp:docPr id="40" name="图片 40" descr="环保批复(2)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环保批复(2)_01"/>
                    <pic:cNvPicPr>
                      <a:picLocks noChangeAspect="1"/>
                    </pic:cNvPicPr>
                  </pic:nvPicPr>
                  <pic:blipFill>
                    <a:blip r:embed="rId27"/>
                    <a:stretch>
                      <a:fillRect/>
                    </a:stretch>
                  </pic:blipFill>
                  <pic:spPr>
                    <a:xfrm>
                      <a:off x="0" y="0"/>
                      <a:ext cx="6304280" cy="8616315"/>
                    </a:xfrm>
                    <a:prstGeom prst="rect">
                      <a:avLst/>
                    </a:prstGeom>
                  </pic:spPr>
                </pic:pic>
              </a:graphicData>
            </a:graphic>
          </wp:inline>
        </w:drawing>
      </w:r>
    </w:p>
    <w:p w14:paraId="6F1B820C">
      <w:pPr>
        <w:widowControl/>
        <w:adjustRightInd w:val="0"/>
        <w:snapToGrid w:val="0"/>
        <w:spacing w:beforeLines="80"/>
        <w:jc w:val="both"/>
        <w:rPr>
          <w:rFonts w:hint="default" w:cs="Times New Roman" w:eastAsiaTheme="minorEastAsia"/>
          <w:b/>
          <w:bCs/>
          <w:color w:val="auto"/>
          <w:sz w:val="24"/>
          <w:szCs w:val="24"/>
          <w:lang w:val="en-US" w:eastAsia="zh-CN"/>
        </w:rPr>
        <w:sectPr>
          <w:footerReference r:id="rId7" w:type="default"/>
          <w:pgSz w:w="11906" w:h="16838"/>
          <w:pgMar w:top="720" w:right="720" w:bottom="720" w:left="720" w:header="851" w:footer="1077" w:gutter="0"/>
          <w:pgBorders>
            <w:top w:val="none" w:sz="0" w:space="0"/>
            <w:left w:val="none" w:sz="0" w:space="0"/>
            <w:bottom w:val="none" w:sz="0" w:space="0"/>
            <w:right w:val="none" w:sz="0" w:space="0"/>
          </w:pgBorders>
          <w:pgNumType w:fmt="decimal"/>
          <w:cols w:space="425" w:num="1"/>
          <w:docGrid w:linePitch="312" w:charSpace="0"/>
        </w:sectPr>
      </w:pPr>
      <w:r>
        <w:rPr>
          <w:rFonts w:hint="default" w:cs="Times New Roman" w:eastAsiaTheme="minorEastAsia"/>
          <w:b/>
          <w:bCs/>
          <w:color w:val="auto"/>
          <w:sz w:val="24"/>
          <w:szCs w:val="24"/>
          <w:lang w:val="en-US" w:eastAsia="zh-CN"/>
        </w:rPr>
        <w:drawing>
          <wp:inline distT="0" distB="0" distL="114300" distR="114300">
            <wp:extent cx="6618605" cy="9368155"/>
            <wp:effectExtent l="0" t="0" r="10795" b="4445"/>
            <wp:docPr id="39" name="图片 39" descr="环保批复(2)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环保批复(2)_02"/>
                    <pic:cNvPicPr>
                      <a:picLocks noChangeAspect="1"/>
                    </pic:cNvPicPr>
                  </pic:nvPicPr>
                  <pic:blipFill>
                    <a:blip r:embed="rId28"/>
                    <a:stretch>
                      <a:fillRect/>
                    </a:stretch>
                  </pic:blipFill>
                  <pic:spPr>
                    <a:xfrm>
                      <a:off x="0" y="0"/>
                      <a:ext cx="6618605" cy="9368155"/>
                    </a:xfrm>
                    <a:prstGeom prst="rect">
                      <a:avLst/>
                    </a:prstGeom>
                  </pic:spPr>
                </pic:pic>
              </a:graphicData>
            </a:graphic>
          </wp:inline>
        </w:drawing>
      </w:r>
      <w:r>
        <w:rPr>
          <w:rFonts w:hint="default" w:cs="Times New Roman" w:eastAsiaTheme="minorEastAsia"/>
          <w:b/>
          <w:bCs/>
          <w:color w:val="auto"/>
          <w:sz w:val="24"/>
          <w:szCs w:val="24"/>
          <w:lang w:val="en-US" w:eastAsia="zh-CN"/>
        </w:rPr>
        <w:drawing>
          <wp:inline distT="0" distB="0" distL="114300" distR="114300">
            <wp:extent cx="6618605" cy="9368155"/>
            <wp:effectExtent l="0" t="0" r="10795" b="4445"/>
            <wp:docPr id="29" name="图片 29" descr="环保批复(2)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环保批复(2)_03"/>
                    <pic:cNvPicPr>
                      <a:picLocks noChangeAspect="1"/>
                    </pic:cNvPicPr>
                  </pic:nvPicPr>
                  <pic:blipFill>
                    <a:blip r:embed="rId29"/>
                    <a:stretch>
                      <a:fillRect/>
                    </a:stretch>
                  </pic:blipFill>
                  <pic:spPr>
                    <a:xfrm>
                      <a:off x="0" y="0"/>
                      <a:ext cx="6618605" cy="9368155"/>
                    </a:xfrm>
                    <a:prstGeom prst="rect">
                      <a:avLst/>
                    </a:prstGeom>
                  </pic:spPr>
                </pic:pic>
              </a:graphicData>
            </a:graphic>
          </wp:inline>
        </w:drawing>
      </w:r>
      <w:r>
        <w:rPr>
          <w:rFonts w:hint="default" w:cs="Times New Roman" w:eastAsiaTheme="minorEastAsia"/>
          <w:b/>
          <w:bCs/>
          <w:color w:val="auto"/>
          <w:sz w:val="24"/>
          <w:szCs w:val="24"/>
          <w:lang w:val="en-US" w:eastAsia="zh-CN"/>
        </w:rPr>
        <w:drawing>
          <wp:inline distT="0" distB="0" distL="114300" distR="114300">
            <wp:extent cx="6618605" cy="9368155"/>
            <wp:effectExtent l="0" t="0" r="10795" b="4445"/>
            <wp:docPr id="9" name="图片 9" descr="环保批复(2)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环保批复(2)_04"/>
                    <pic:cNvPicPr>
                      <a:picLocks noChangeAspect="1"/>
                    </pic:cNvPicPr>
                  </pic:nvPicPr>
                  <pic:blipFill>
                    <a:blip r:embed="rId30"/>
                    <a:stretch>
                      <a:fillRect/>
                    </a:stretch>
                  </pic:blipFill>
                  <pic:spPr>
                    <a:xfrm>
                      <a:off x="0" y="0"/>
                      <a:ext cx="6618605" cy="9368155"/>
                    </a:xfrm>
                    <a:prstGeom prst="rect">
                      <a:avLst/>
                    </a:prstGeom>
                  </pic:spPr>
                </pic:pic>
              </a:graphicData>
            </a:graphic>
          </wp:inline>
        </w:drawing>
      </w:r>
    </w:p>
    <w:p w14:paraId="67ED5251">
      <w:pPr>
        <w:widowControl/>
        <w:adjustRightInd w:val="0"/>
        <w:snapToGrid w:val="0"/>
        <w:spacing w:beforeLines="80"/>
        <w:jc w:val="both"/>
        <w:rPr>
          <w:rFonts w:hint="default" w:ascii="Times New Roman" w:hAnsi="Times New Roman" w:cs="Times New Roman" w:eastAsiaTheme="minorEastAsia"/>
          <w:b/>
          <w:bCs/>
          <w:color w:val="auto"/>
          <w:sz w:val="24"/>
          <w:szCs w:val="24"/>
          <w:lang w:val="en-US" w:eastAsia="zh-CN"/>
        </w:rPr>
      </w:pPr>
      <w:r>
        <w:rPr>
          <w:rFonts w:hint="default" w:ascii="Times New Roman" w:hAnsi="Times New Roman" w:cs="Times New Roman" w:eastAsiaTheme="minorEastAsia"/>
          <w:b/>
          <w:bCs/>
          <w:color w:val="auto"/>
          <w:sz w:val="24"/>
          <w:szCs w:val="24"/>
          <w:lang w:val="en-US" w:eastAsia="zh-CN"/>
        </w:rPr>
        <w:t>附件</w:t>
      </w:r>
      <w:r>
        <w:rPr>
          <w:rFonts w:hint="eastAsia" w:cs="Times New Roman" w:eastAsiaTheme="minorEastAsia"/>
          <w:b/>
          <w:bCs/>
          <w:color w:val="auto"/>
          <w:sz w:val="24"/>
          <w:szCs w:val="24"/>
          <w:lang w:val="en-US" w:eastAsia="zh-CN"/>
        </w:rPr>
        <w:t>4：</w:t>
      </w:r>
      <w:r>
        <w:rPr>
          <w:rFonts w:hint="default" w:ascii="Times New Roman" w:hAnsi="Times New Roman" w:cs="Times New Roman" w:eastAsiaTheme="minorEastAsia"/>
          <w:b/>
          <w:bCs/>
          <w:color w:val="auto"/>
          <w:sz w:val="24"/>
          <w:szCs w:val="24"/>
          <w:lang w:val="en-US" w:eastAsia="zh-CN"/>
        </w:rPr>
        <w:t>生态环境分区管控分析报告</w:t>
      </w:r>
    </w:p>
    <w:p w14:paraId="7BF97402">
      <w:pPr>
        <w:widowControl/>
        <w:adjustRightInd w:val="0"/>
        <w:snapToGrid w:val="0"/>
        <w:spacing w:beforeLines="80"/>
        <w:jc w:val="both"/>
        <w:rPr>
          <w:rFonts w:hint="default" w:ascii="Times New Roman" w:hAnsi="Times New Roman" w:cs="Times New Roman" w:eastAsiaTheme="minorEastAsia"/>
          <w:b/>
          <w:bCs/>
          <w:color w:val="auto"/>
          <w:sz w:val="24"/>
          <w:szCs w:val="24"/>
          <w:lang w:val="en-US" w:eastAsia="zh-CN"/>
        </w:rPr>
      </w:pPr>
      <w:r>
        <w:rPr>
          <w:rFonts w:hint="default" w:ascii="Times New Roman" w:hAnsi="Times New Roman" w:cs="Times New Roman" w:eastAsiaTheme="minorEastAsia"/>
          <w:b/>
          <w:bCs/>
          <w:color w:val="auto"/>
          <w:sz w:val="24"/>
          <w:szCs w:val="24"/>
          <w:lang w:val="en-US" w:eastAsia="zh-CN"/>
        </w:rPr>
        <w:drawing>
          <wp:inline distT="0" distB="0" distL="114300" distR="114300">
            <wp:extent cx="8852535" cy="5584190"/>
            <wp:effectExtent l="0" t="0" r="5715" b="16510"/>
            <wp:docPr id="21" name="图片 21" descr="密山市青年水库电站增容扩效改造工程_2026年02月03日171429_分析报告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密山市青年水库电站增容扩效改造工程_2026年02月03日171429_分析报告_02"/>
                    <pic:cNvPicPr>
                      <a:picLocks noChangeAspect="1"/>
                    </pic:cNvPicPr>
                  </pic:nvPicPr>
                  <pic:blipFill>
                    <a:blip r:embed="rId31"/>
                    <a:stretch>
                      <a:fillRect/>
                    </a:stretch>
                  </pic:blipFill>
                  <pic:spPr>
                    <a:xfrm>
                      <a:off x="0" y="0"/>
                      <a:ext cx="8852535" cy="5584190"/>
                    </a:xfrm>
                    <a:prstGeom prst="rect">
                      <a:avLst/>
                    </a:prstGeom>
                  </pic:spPr>
                </pic:pic>
              </a:graphicData>
            </a:graphic>
          </wp:inline>
        </w:drawing>
      </w:r>
    </w:p>
    <w:p w14:paraId="128B724B">
      <w:pPr>
        <w:widowControl/>
        <w:adjustRightInd w:val="0"/>
        <w:snapToGrid w:val="0"/>
        <w:spacing w:beforeLines="80"/>
        <w:jc w:val="center"/>
        <w:rPr>
          <w:rFonts w:hint="default" w:ascii="Times New Roman" w:hAnsi="Times New Roman" w:cs="Times New Roman" w:eastAsiaTheme="minorEastAsia"/>
          <w:b/>
          <w:bCs/>
          <w:color w:val="auto"/>
          <w:sz w:val="24"/>
          <w:szCs w:val="24"/>
          <w:lang w:val="en-US" w:eastAsia="zh-CN"/>
        </w:rPr>
      </w:pPr>
      <w:r>
        <w:rPr>
          <w:rFonts w:hint="default" w:ascii="Times New Roman" w:hAnsi="Times New Roman" w:cs="Times New Roman" w:eastAsiaTheme="minorEastAsia"/>
          <w:b/>
          <w:bCs/>
          <w:color w:val="auto"/>
          <w:sz w:val="24"/>
          <w:szCs w:val="24"/>
          <w:lang w:val="en-US" w:eastAsia="zh-CN"/>
        </w:rPr>
        <w:drawing>
          <wp:inline distT="0" distB="0" distL="114300" distR="114300">
            <wp:extent cx="8852535" cy="6259830"/>
            <wp:effectExtent l="0" t="0" r="5715" b="7620"/>
            <wp:docPr id="22" name="图片 22" descr="密山市青年水库电站增容扩效改造工程_2026年02月03日171429_分析报告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密山市青年水库电站增容扩效改造工程_2026年02月03日171429_分析报告_03"/>
                    <pic:cNvPicPr>
                      <a:picLocks noChangeAspect="1"/>
                    </pic:cNvPicPr>
                  </pic:nvPicPr>
                  <pic:blipFill>
                    <a:blip r:embed="rId32"/>
                    <a:stretch>
                      <a:fillRect/>
                    </a:stretch>
                  </pic:blipFill>
                  <pic:spPr>
                    <a:xfrm>
                      <a:off x="0" y="0"/>
                      <a:ext cx="8852535" cy="6259830"/>
                    </a:xfrm>
                    <a:prstGeom prst="rect">
                      <a:avLst/>
                    </a:prstGeom>
                  </pic:spPr>
                </pic:pic>
              </a:graphicData>
            </a:graphic>
          </wp:inline>
        </w:drawing>
      </w:r>
      <w:r>
        <w:rPr>
          <w:rFonts w:hint="default" w:ascii="Times New Roman" w:hAnsi="Times New Roman" w:cs="Times New Roman" w:eastAsiaTheme="minorEastAsia"/>
          <w:b/>
          <w:bCs/>
          <w:color w:val="auto"/>
          <w:sz w:val="24"/>
          <w:szCs w:val="24"/>
          <w:lang w:val="en-US" w:eastAsia="zh-CN"/>
        </w:rPr>
        <w:drawing>
          <wp:inline distT="0" distB="0" distL="114300" distR="114300">
            <wp:extent cx="8852535" cy="6259830"/>
            <wp:effectExtent l="0" t="0" r="5715" b="7620"/>
            <wp:docPr id="7" name="图片 7" descr="密山市青年水库电站增容扩效改造工程_2026年02月03日171429_分析报告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密山市青年水库电站增容扩效改造工程_2026年02月03日171429_分析报告_04"/>
                    <pic:cNvPicPr>
                      <a:picLocks noChangeAspect="1"/>
                    </pic:cNvPicPr>
                  </pic:nvPicPr>
                  <pic:blipFill>
                    <a:blip r:embed="rId33"/>
                    <a:stretch>
                      <a:fillRect/>
                    </a:stretch>
                  </pic:blipFill>
                  <pic:spPr>
                    <a:xfrm>
                      <a:off x="0" y="0"/>
                      <a:ext cx="8852535" cy="6259830"/>
                    </a:xfrm>
                    <a:prstGeom prst="rect">
                      <a:avLst/>
                    </a:prstGeom>
                  </pic:spPr>
                </pic:pic>
              </a:graphicData>
            </a:graphic>
          </wp:inline>
        </w:drawing>
      </w:r>
      <w:r>
        <w:rPr>
          <w:rFonts w:hint="default" w:ascii="Times New Roman" w:hAnsi="Times New Roman" w:cs="Times New Roman" w:eastAsiaTheme="minorEastAsia"/>
          <w:b/>
          <w:bCs/>
          <w:color w:val="auto"/>
          <w:sz w:val="24"/>
          <w:szCs w:val="24"/>
          <w:lang w:val="en-US" w:eastAsia="zh-CN"/>
        </w:rPr>
        <w:drawing>
          <wp:inline distT="0" distB="0" distL="114300" distR="114300">
            <wp:extent cx="8852535" cy="6259830"/>
            <wp:effectExtent l="0" t="0" r="5715" b="7620"/>
            <wp:docPr id="6" name="图片 6" descr="密山市青年水库电站增容扩效改造工程_2026年02月03日171429_分析报告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密山市青年水库电站增容扩效改造工程_2026年02月03日171429_分析报告_05"/>
                    <pic:cNvPicPr>
                      <a:picLocks noChangeAspect="1"/>
                    </pic:cNvPicPr>
                  </pic:nvPicPr>
                  <pic:blipFill>
                    <a:blip r:embed="rId34"/>
                    <a:stretch>
                      <a:fillRect/>
                    </a:stretch>
                  </pic:blipFill>
                  <pic:spPr>
                    <a:xfrm>
                      <a:off x="0" y="0"/>
                      <a:ext cx="8852535" cy="6259830"/>
                    </a:xfrm>
                    <a:prstGeom prst="rect">
                      <a:avLst/>
                    </a:prstGeom>
                  </pic:spPr>
                </pic:pic>
              </a:graphicData>
            </a:graphic>
          </wp:inline>
        </w:drawing>
      </w:r>
      <w:r>
        <w:rPr>
          <w:rFonts w:hint="default" w:ascii="Times New Roman" w:hAnsi="Times New Roman" w:cs="Times New Roman" w:eastAsiaTheme="minorEastAsia"/>
          <w:b/>
          <w:bCs/>
          <w:color w:val="auto"/>
          <w:sz w:val="24"/>
          <w:szCs w:val="24"/>
          <w:lang w:val="en-US" w:eastAsia="zh-CN"/>
        </w:rPr>
        <w:drawing>
          <wp:inline distT="0" distB="0" distL="114300" distR="114300">
            <wp:extent cx="8852535" cy="6259830"/>
            <wp:effectExtent l="0" t="0" r="5715" b="7620"/>
            <wp:docPr id="27" name="图片 27" descr="密山市青年水库电站增容扩效改造工程_2026年02月03日171429_分析报告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密山市青年水库电站增容扩效改造工程_2026年02月03日171429_分析报告_06"/>
                    <pic:cNvPicPr>
                      <a:picLocks noChangeAspect="1"/>
                    </pic:cNvPicPr>
                  </pic:nvPicPr>
                  <pic:blipFill>
                    <a:blip r:embed="rId35"/>
                    <a:stretch>
                      <a:fillRect/>
                    </a:stretch>
                  </pic:blipFill>
                  <pic:spPr>
                    <a:xfrm>
                      <a:off x="0" y="0"/>
                      <a:ext cx="8852535" cy="6259830"/>
                    </a:xfrm>
                    <a:prstGeom prst="rect">
                      <a:avLst/>
                    </a:prstGeom>
                  </pic:spPr>
                </pic:pic>
              </a:graphicData>
            </a:graphic>
          </wp:inline>
        </w:drawing>
      </w:r>
      <w:r>
        <w:rPr>
          <w:rFonts w:hint="default" w:ascii="Times New Roman" w:hAnsi="Times New Roman" w:cs="Times New Roman" w:eastAsiaTheme="minorEastAsia"/>
          <w:b/>
          <w:bCs/>
          <w:color w:val="auto"/>
          <w:sz w:val="24"/>
          <w:szCs w:val="24"/>
          <w:lang w:val="en-US" w:eastAsia="zh-CN"/>
        </w:rPr>
        <w:drawing>
          <wp:inline distT="0" distB="0" distL="114300" distR="114300">
            <wp:extent cx="8852535" cy="6259830"/>
            <wp:effectExtent l="0" t="0" r="5715" b="7620"/>
            <wp:docPr id="26" name="图片 26" descr="密山市青年水库电站增容扩效改造工程_2026年02月03日171429_分析报告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密山市青年水库电站增容扩效改造工程_2026年02月03日171429_分析报告_07"/>
                    <pic:cNvPicPr>
                      <a:picLocks noChangeAspect="1"/>
                    </pic:cNvPicPr>
                  </pic:nvPicPr>
                  <pic:blipFill>
                    <a:blip r:embed="rId36"/>
                    <a:stretch>
                      <a:fillRect/>
                    </a:stretch>
                  </pic:blipFill>
                  <pic:spPr>
                    <a:xfrm>
                      <a:off x="0" y="0"/>
                      <a:ext cx="8852535" cy="6259830"/>
                    </a:xfrm>
                    <a:prstGeom prst="rect">
                      <a:avLst/>
                    </a:prstGeom>
                  </pic:spPr>
                </pic:pic>
              </a:graphicData>
            </a:graphic>
          </wp:inline>
        </w:drawing>
      </w:r>
      <w:r>
        <w:rPr>
          <w:rFonts w:hint="default" w:ascii="Times New Roman" w:hAnsi="Times New Roman" w:cs="Times New Roman" w:eastAsiaTheme="minorEastAsia"/>
          <w:b/>
          <w:bCs/>
          <w:color w:val="auto"/>
          <w:sz w:val="24"/>
          <w:szCs w:val="24"/>
          <w:lang w:val="en-US" w:eastAsia="zh-CN"/>
        </w:rPr>
        <w:drawing>
          <wp:inline distT="0" distB="0" distL="114300" distR="114300">
            <wp:extent cx="8852535" cy="6259830"/>
            <wp:effectExtent l="0" t="0" r="5715" b="7620"/>
            <wp:docPr id="25" name="图片 25" descr="密山市青年水库电站增容扩效改造工程_2026年02月03日171429_分析报告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密山市青年水库电站增容扩效改造工程_2026年02月03日171429_分析报告_08"/>
                    <pic:cNvPicPr>
                      <a:picLocks noChangeAspect="1"/>
                    </pic:cNvPicPr>
                  </pic:nvPicPr>
                  <pic:blipFill>
                    <a:blip r:embed="rId37"/>
                    <a:stretch>
                      <a:fillRect/>
                    </a:stretch>
                  </pic:blipFill>
                  <pic:spPr>
                    <a:xfrm>
                      <a:off x="0" y="0"/>
                      <a:ext cx="8852535" cy="6259830"/>
                    </a:xfrm>
                    <a:prstGeom prst="rect">
                      <a:avLst/>
                    </a:prstGeom>
                  </pic:spPr>
                </pic:pic>
              </a:graphicData>
            </a:graphic>
          </wp:inline>
        </w:drawing>
      </w:r>
      <w:r>
        <w:rPr>
          <w:rFonts w:hint="default" w:ascii="Times New Roman" w:hAnsi="Times New Roman" w:cs="Times New Roman" w:eastAsiaTheme="minorEastAsia"/>
          <w:b/>
          <w:bCs/>
          <w:color w:val="auto"/>
          <w:sz w:val="24"/>
          <w:szCs w:val="24"/>
          <w:lang w:val="en-US" w:eastAsia="zh-CN"/>
        </w:rPr>
        <w:drawing>
          <wp:inline distT="0" distB="0" distL="114300" distR="114300">
            <wp:extent cx="8852535" cy="6259830"/>
            <wp:effectExtent l="0" t="0" r="5715" b="7620"/>
            <wp:docPr id="24" name="图片 24" descr="密山市青年水库电站增容扩效改造工程_2026年02月03日171429_分析报告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密山市青年水库电站增容扩效改造工程_2026年02月03日171429_分析报告_09"/>
                    <pic:cNvPicPr>
                      <a:picLocks noChangeAspect="1"/>
                    </pic:cNvPicPr>
                  </pic:nvPicPr>
                  <pic:blipFill>
                    <a:blip r:embed="rId38"/>
                    <a:stretch>
                      <a:fillRect/>
                    </a:stretch>
                  </pic:blipFill>
                  <pic:spPr>
                    <a:xfrm>
                      <a:off x="0" y="0"/>
                      <a:ext cx="8852535" cy="6259830"/>
                    </a:xfrm>
                    <a:prstGeom prst="rect">
                      <a:avLst/>
                    </a:prstGeom>
                  </pic:spPr>
                </pic:pic>
              </a:graphicData>
            </a:graphic>
          </wp:inline>
        </w:drawing>
      </w:r>
      <w:r>
        <w:rPr>
          <w:rFonts w:hint="default" w:ascii="Times New Roman" w:hAnsi="Times New Roman" w:cs="Times New Roman" w:eastAsiaTheme="minorEastAsia"/>
          <w:b/>
          <w:bCs/>
          <w:color w:val="auto"/>
          <w:sz w:val="24"/>
          <w:szCs w:val="24"/>
          <w:lang w:val="en-US" w:eastAsia="zh-CN"/>
        </w:rPr>
        <w:drawing>
          <wp:inline distT="0" distB="0" distL="114300" distR="114300">
            <wp:extent cx="8852535" cy="6259830"/>
            <wp:effectExtent l="0" t="0" r="5715" b="7620"/>
            <wp:docPr id="8" name="图片 8" descr="密山市青年水库电站增容扩效改造工程_2026年02月03日171429_分析报告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密山市青年水库电站增容扩效改造工程_2026年02月03日171429_分析报告_10"/>
                    <pic:cNvPicPr>
                      <a:picLocks noChangeAspect="1"/>
                    </pic:cNvPicPr>
                  </pic:nvPicPr>
                  <pic:blipFill>
                    <a:blip r:embed="rId39"/>
                    <a:stretch>
                      <a:fillRect/>
                    </a:stretch>
                  </pic:blipFill>
                  <pic:spPr>
                    <a:xfrm>
                      <a:off x="0" y="0"/>
                      <a:ext cx="8852535" cy="6259830"/>
                    </a:xfrm>
                    <a:prstGeom prst="rect">
                      <a:avLst/>
                    </a:prstGeom>
                  </pic:spPr>
                </pic:pic>
              </a:graphicData>
            </a:graphic>
          </wp:inline>
        </w:drawing>
      </w:r>
    </w:p>
    <w:p w14:paraId="371F2358">
      <w:pPr>
        <w:widowControl/>
        <w:adjustRightInd w:val="0"/>
        <w:snapToGrid w:val="0"/>
        <w:spacing w:beforeLines="80"/>
        <w:jc w:val="center"/>
        <w:rPr>
          <w:rFonts w:hint="default" w:ascii="Times New Roman" w:hAnsi="Times New Roman" w:cs="Times New Roman" w:eastAsiaTheme="minorEastAsia"/>
          <w:b/>
          <w:bCs/>
          <w:color w:val="auto"/>
          <w:sz w:val="24"/>
          <w:szCs w:val="24"/>
          <w:lang w:val="en-US" w:eastAsia="zh-CN"/>
        </w:rPr>
        <w:sectPr>
          <w:pgSz w:w="16838" w:h="11906" w:orient="landscape"/>
          <w:pgMar w:top="720" w:right="720" w:bottom="720" w:left="720" w:header="851" w:footer="1077" w:gutter="0"/>
          <w:pgBorders>
            <w:top w:val="none" w:sz="0" w:space="0"/>
            <w:left w:val="none" w:sz="0" w:space="0"/>
            <w:bottom w:val="none" w:sz="0" w:space="0"/>
            <w:right w:val="none" w:sz="0" w:space="0"/>
          </w:pgBorders>
          <w:pgNumType w:fmt="decimal"/>
          <w:cols w:space="425" w:num="1"/>
          <w:docGrid w:linePitch="312" w:charSpace="0"/>
        </w:sectPr>
      </w:pPr>
      <w:r>
        <w:rPr>
          <w:rFonts w:hint="default" w:ascii="Times New Roman" w:hAnsi="Times New Roman" w:cs="Times New Roman" w:eastAsiaTheme="minorEastAsia"/>
          <w:b/>
          <w:bCs/>
          <w:color w:val="auto"/>
          <w:sz w:val="24"/>
          <w:szCs w:val="24"/>
          <w:lang w:val="en-US" w:eastAsia="zh-CN"/>
        </w:rPr>
        <w:drawing>
          <wp:inline distT="0" distB="0" distL="114300" distR="114300">
            <wp:extent cx="8852535" cy="6259830"/>
            <wp:effectExtent l="0" t="0" r="5715" b="7620"/>
            <wp:docPr id="20" name="图片 20" descr="密山市青年水库电站增容扩效改造工程_2026年02月03日171429_分析报告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密山市青年水库电站增容扩效改造工程_2026年02月03日171429_分析报告_11"/>
                    <pic:cNvPicPr>
                      <a:picLocks noChangeAspect="1"/>
                    </pic:cNvPicPr>
                  </pic:nvPicPr>
                  <pic:blipFill>
                    <a:blip r:embed="rId40"/>
                    <a:stretch>
                      <a:fillRect/>
                    </a:stretch>
                  </pic:blipFill>
                  <pic:spPr>
                    <a:xfrm>
                      <a:off x="0" y="0"/>
                      <a:ext cx="8852535" cy="6259830"/>
                    </a:xfrm>
                    <a:prstGeom prst="rect">
                      <a:avLst/>
                    </a:prstGeom>
                  </pic:spPr>
                </pic:pic>
              </a:graphicData>
            </a:graphic>
          </wp:inline>
        </w:drawing>
      </w:r>
      <w:r>
        <w:rPr>
          <w:rFonts w:hint="default" w:ascii="Times New Roman" w:hAnsi="Times New Roman" w:cs="Times New Roman" w:eastAsiaTheme="minorEastAsia"/>
          <w:b/>
          <w:bCs/>
          <w:color w:val="auto"/>
          <w:sz w:val="24"/>
          <w:szCs w:val="24"/>
          <w:lang w:val="en-US" w:eastAsia="zh-CN"/>
        </w:rPr>
        <w:drawing>
          <wp:inline distT="0" distB="0" distL="114300" distR="114300">
            <wp:extent cx="8852535" cy="6259830"/>
            <wp:effectExtent l="0" t="0" r="5715" b="7620"/>
            <wp:docPr id="18" name="图片 18" descr="密山市青年水库电站增容扩效改造工程_2026年02月03日171429_分析报告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密山市青年水库电站增容扩效改造工程_2026年02月03日171429_分析报告_12"/>
                    <pic:cNvPicPr>
                      <a:picLocks noChangeAspect="1"/>
                    </pic:cNvPicPr>
                  </pic:nvPicPr>
                  <pic:blipFill>
                    <a:blip r:embed="rId41"/>
                    <a:stretch>
                      <a:fillRect/>
                    </a:stretch>
                  </pic:blipFill>
                  <pic:spPr>
                    <a:xfrm>
                      <a:off x="0" y="0"/>
                      <a:ext cx="8852535" cy="6259830"/>
                    </a:xfrm>
                    <a:prstGeom prst="rect">
                      <a:avLst/>
                    </a:prstGeom>
                  </pic:spPr>
                </pic:pic>
              </a:graphicData>
            </a:graphic>
          </wp:inline>
        </w:drawing>
      </w:r>
      <w:r>
        <w:rPr>
          <w:rFonts w:hint="default" w:ascii="Times New Roman" w:hAnsi="Times New Roman" w:cs="Times New Roman" w:eastAsiaTheme="minorEastAsia"/>
          <w:b/>
          <w:bCs/>
          <w:color w:val="auto"/>
          <w:sz w:val="24"/>
          <w:szCs w:val="24"/>
          <w:lang w:val="en-US" w:eastAsia="zh-CN"/>
        </w:rPr>
        <w:drawing>
          <wp:inline distT="0" distB="0" distL="114300" distR="114300">
            <wp:extent cx="8852535" cy="6259830"/>
            <wp:effectExtent l="0" t="0" r="5715" b="7620"/>
            <wp:docPr id="16" name="图片 16" descr="密山市青年水库电站增容扩效改造工程_2026年02月03日171429_分析报告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密山市青年水库电站增容扩效改造工程_2026年02月03日171429_分析报告_13"/>
                    <pic:cNvPicPr>
                      <a:picLocks noChangeAspect="1"/>
                    </pic:cNvPicPr>
                  </pic:nvPicPr>
                  <pic:blipFill>
                    <a:blip r:embed="rId42"/>
                    <a:stretch>
                      <a:fillRect/>
                    </a:stretch>
                  </pic:blipFill>
                  <pic:spPr>
                    <a:xfrm>
                      <a:off x="0" y="0"/>
                      <a:ext cx="8852535" cy="6259830"/>
                    </a:xfrm>
                    <a:prstGeom prst="rect">
                      <a:avLst/>
                    </a:prstGeom>
                  </pic:spPr>
                </pic:pic>
              </a:graphicData>
            </a:graphic>
          </wp:inline>
        </w:drawing>
      </w:r>
    </w:p>
    <w:p w14:paraId="2DBA81C6">
      <w:pPr>
        <w:widowControl/>
        <w:adjustRightInd w:val="0"/>
        <w:snapToGrid w:val="0"/>
        <w:spacing w:beforeLines="80"/>
        <w:ind w:firstLine="482" w:firstLineChars="200"/>
        <w:jc w:val="both"/>
        <w:rPr>
          <w:rFonts w:hint="eastAsia" w:ascii="Times New Roman" w:hAnsi="Times New Roman" w:cs="Times New Roman" w:eastAsiaTheme="minorEastAsia"/>
          <w:b/>
          <w:bCs/>
          <w:color w:val="auto"/>
          <w:sz w:val="24"/>
          <w:szCs w:val="24"/>
          <w:lang w:val="en-US" w:eastAsia="zh-CN"/>
        </w:rPr>
      </w:pPr>
      <w:r>
        <w:rPr>
          <w:rFonts w:hint="default" w:ascii="Times New Roman" w:hAnsi="Times New Roman" w:cs="Times New Roman" w:eastAsiaTheme="minorEastAsia"/>
          <w:b/>
          <w:bCs/>
          <w:color w:val="auto"/>
          <w:sz w:val="24"/>
          <w:szCs w:val="24"/>
          <w:lang w:val="en-US" w:eastAsia="zh-CN"/>
        </w:rPr>
        <w:t>附件</w:t>
      </w:r>
      <w:r>
        <w:rPr>
          <w:rFonts w:hint="eastAsia" w:cs="Times New Roman" w:eastAsiaTheme="minorEastAsia"/>
          <w:b/>
          <w:bCs/>
          <w:color w:val="auto"/>
          <w:sz w:val="24"/>
          <w:szCs w:val="24"/>
          <w:lang w:val="en-US" w:eastAsia="zh-CN"/>
        </w:rPr>
        <w:t>5</w:t>
      </w:r>
      <w:r>
        <w:rPr>
          <w:rFonts w:hint="eastAsia" w:ascii="Times New Roman" w:hAnsi="Times New Roman" w:cs="Times New Roman" w:eastAsiaTheme="minorEastAsia"/>
          <w:b/>
          <w:bCs/>
          <w:color w:val="auto"/>
          <w:sz w:val="24"/>
          <w:szCs w:val="24"/>
          <w:lang w:val="en-US" w:eastAsia="zh-CN"/>
        </w:rPr>
        <w:t xml:space="preserve">  </w:t>
      </w:r>
      <w:r>
        <w:rPr>
          <w:rFonts w:hint="eastAsia" w:cs="Times New Roman" w:eastAsiaTheme="minorEastAsia"/>
          <w:b/>
          <w:bCs/>
          <w:color w:val="auto"/>
          <w:sz w:val="24"/>
          <w:szCs w:val="24"/>
          <w:lang w:val="en-US" w:eastAsia="zh-CN"/>
        </w:rPr>
        <w:t>地表水环境</w:t>
      </w:r>
      <w:r>
        <w:rPr>
          <w:rFonts w:hint="eastAsia" w:ascii="Times New Roman" w:hAnsi="Times New Roman" w:cs="Times New Roman" w:eastAsiaTheme="minorEastAsia"/>
          <w:b/>
          <w:bCs/>
          <w:color w:val="auto"/>
          <w:sz w:val="24"/>
          <w:szCs w:val="24"/>
          <w:lang w:val="en-US" w:eastAsia="zh-CN"/>
        </w:rPr>
        <w:t>检测报告</w:t>
      </w:r>
    </w:p>
    <w:p w14:paraId="5EAD5CB6">
      <w:pPr>
        <w:widowControl/>
        <w:adjustRightInd w:val="0"/>
        <w:snapToGrid w:val="0"/>
        <w:spacing w:beforeLines="80"/>
        <w:ind w:firstLine="482" w:firstLineChars="200"/>
        <w:jc w:val="both"/>
        <w:rPr>
          <w:rFonts w:hint="eastAsia" w:ascii="Times New Roman" w:hAnsi="Times New Roman" w:cs="Times New Roman" w:eastAsiaTheme="minorEastAsia"/>
          <w:b/>
          <w:bCs/>
          <w:color w:val="auto"/>
          <w:sz w:val="24"/>
          <w:szCs w:val="24"/>
          <w:lang w:val="en-US" w:eastAsia="zh-CN"/>
        </w:rPr>
      </w:pPr>
      <w:r>
        <w:rPr>
          <w:rFonts w:hint="eastAsia" w:cs="Times New Roman" w:eastAsiaTheme="minorEastAsia"/>
          <w:b/>
          <w:bCs/>
          <w:color w:val="auto"/>
          <w:sz w:val="24"/>
          <w:szCs w:val="24"/>
          <w:lang w:val="en-US" w:eastAsia="zh-CN"/>
        </w:rPr>
        <w:drawing>
          <wp:inline distT="0" distB="0" distL="114300" distR="114300">
            <wp:extent cx="5796280" cy="7847965"/>
            <wp:effectExtent l="0" t="0" r="13970" b="635"/>
            <wp:docPr id="3" name="图片 3" descr="JC250520H-S密山市农田灌溉水水质监测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JC250520H-S密山市农田灌溉水水质监测_01(1)"/>
                    <pic:cNvPicPr>
                      <a:picLocks noChangeAspect="1"/>
                    </pic:cNvPicPr>
                  </pic:nvPicPr>
                  <pic:blipFill>
                    <a:blip r:embed="rId43"/>
                    <a:stretch>
                      <a:fillRect/>
                    </a:stretch>
                  </pic:blipFill>
                  <pic:spPr>
                    <a:xfrm>
                      <a:off x="0" y="0"/>
                      <a:ext cx="5796280" cy="7847965"/>
                    </a:xfrm>
                    <a:prstGeom prst="rect">
                      <a:avLst/>
                    </a:prstGeom>
                  </pic:spPr>
                </pic:pic>
              </a:graphicData>
            </a:graphic>
          </wp:inline>
        </w:drawing>
      </w:r>
    </w:p>
    <w:p w14:paraId="2E5EDC40">
      <w:pPr>
        <w:widowControl/>
        <w:adjustRightInd w:val="0"/>
        <w:snapToGrid w:val="0"/>
        <w:spacing w:beforeLines="80"/>
        <w:jc w:val="center"/>
        <w:rPr>
          <w:rFonts w:hint="default" w:ascii="Times New Roman" w:hAnsi="Times New Roman" w:cs="Times New Roman" w:eastAsiaTheme="minorEastAsia"/>
          <w:b/>
          <w:bCs/>
          <w:color w:val="auto"/>
          <w:sz w:val="24"/>
          <w:szCs w:val="24"/>
          <w:lang w:val="en-US" w:eastAsia="zh-CN"/>
        </w:rPr>
        <w:sectPr>
          <w:pgSz w:w="11906" w:h="16838"/>
          <w:pgMar w:top="720" w:right="720" w:bottom="720" w:left="720" w:header="851" w:footer="1077" w:gutter="0"/>
          <w:pgBorders>
            <w:top w:val="none" w:sz="0" w:space="0"/>
            <w:left w:val="none" w:sz="0" w:space="0"/>
            <w:bottom w:val="none" w:sz="0" w:space="0"/>
            <w:right w:val="none" w:sz="0" w:space="0"/>
          </w:pgBorders>
          <w:pgNumType w:fmt="decimal"/>
          <w:cols w:space="425" w:num="1"/>
          <w:docGrid w:linePitch="312" w:charSpace="0"/>
        </w:sectPr>
      </w:pPr>
      <w:r>
        <w:rPr>
          <w:rFonts w:hint="default" w:ascii="Times New Roman" w:hAnsi="Times New Roman" w:cs="Times New Roman" w:eastAsiaTheme="minorEastAsia"/>
          <w:b/>
          <w:bCs/>
          <w:color w:val="auto"/>
          <w:sz w:val="24"/>
          <w:szCs w:val="24"/>
          <w:lang w:val="en-US" w:eastAsia="zh-CN"/>
        </w:rPr>
        <w:drawing>
          <wp:inline distT="0" distB="0" distL="114300" distR="114300">
            <wp:extent cx="6621145" cy="9366250"/>
            <wp:effectExtent l="0" t="0" r="8255" b="6350"/>
            <wp:docPr id="28" name="图片 28" descr="JC250520H-S密山市农田灌溉水水质监测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JC250520H-S密山市农田灌溉水水质监测_03"/>
                    <pic:cNvPicPr>
                      <a:picLocks noChangeAspect="1"/>
                    </pic:cNvPicPr>
                  </pic:nvPicPr>
                  <pic:blipFill>
                    <a:blip r:embed="rId44"/>
                    <a:stretch>
                      <a:fillRect/>
                    </a:stretch>
                  </pic:blipFill>
                  <pic:spPr>
                    <a:xfrm>
                      <a:off x="0" y="0"/>
                      <a:ext cx="6621145" cy="9366250"/>
                    </a:xfrm>
                    <a:prstGeom prst="rect">
                      <a:avLst/>
                    </a:prstGeom>
                  </pic:spPr>
                </pic:pic>
              </a:graphicData>
            </a:graphic>
          </wp:inline>
        </w:drawing>
      </w:r>
    </w:p>
    <w:p w14:paraId="42E7D6DA">
      <w:pPr>
        <w:widowControl/>
        <w:adjustRightInd w:val="0"/>
        <w:snapToGrid w:val="0"/>
        <w:spacing w:beforeLines="80"/>
        <w:ind w:firstLine="482" w:firstLineChars="200"/>
        <w:jc w:val="center"/>
        <w:rPr>
          <w:rFonts w:hint="default" w:ascii="Times New Roman" w:hAnsi="Times New Roman" w:cs="Times New Roman" w:eastAsiaTheme="minorEastAsia"/>
          <w:b/>
          <w:bCs/>
          <w:color w:val="auto"/>
          <w:sz w:val="24"/>
          <w:szCs w:val="24"/>
          <w:lang w:val="en-US" w:eastAsia="zh-CN"/>
        </w:rPr>
      </w:pPr>
      <w:r>
        <w:rPr>
          <w:rFonts w:hint="default" w:ascii="Times New Roman" w:hAnsi="Times New Roman" w:cs="Times New Roman" w:eastAsiaTheme="minorEastAsia"/>
          <w:b/>
          <w:bCs/>
          <w:color w:val="auto"/>
          <w:sz w:val="24"/>
          <w:szCs w:val="24"/>
          <w:lang w:val="en-US" w:eastAsia="zh-CN"/>
        </w:rPr>
        <w:drawing>
          <wp:inline distT="0" distB="0" distL="114300" distR="114300">
            <wp:extent cx="6621145" cy="9366250"/>
            <wp:effectExtent l="0" t="0" r="8255" b="6350"/>
            <wp:docPr id="13" name="图片 13" descr="JC250520H-S密山市农田灌溉水水质监测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JC250520H-S密山市农田灌溉水水质监测_04"/>
                    <pic:cNvPicPr>
                      <a:picLocks noChangeAspect="1"/>
                    </pic:cNvPicPr>
                  </pic:nvPicPr>
                  <pic:blipFill>
                    <a:blip r:embed="rId45"/>
                    <a:stretch>
                      <a:fillRect/>
                    </a:stretch>
                  </pic:blipFill>
                  <pic:spPr>
                    <a:xfrm>
                      <a:off x="0" y="0"/>
                      <a:ext cx="6621145" cy="9366250"/>
                    </a:xfrm>
                    <a:prstGeom prst="rect">
                      <a:avLst/>
                    </a:prstGeom>
                  </pic:spPr>
                </pic:pic>
              </a:graphicData>
            </a:graphic>
          </wp:inline>
        </w:drawing>
      </w:r>
    </w:p>
    <w:p w14:paraId="1BC6DEA2">
      <w:pPr>
        <w:widowControl/>
        <w:adjustRightInd w:val="0"/>
        <w:snapToGrid w:val="0"/>
        <w:spacing w:beforeLines="80"/>
        <w:jc w:val="both"/>
        <w:rPr>
          <w:rFonts w:hint="default" w:ascii="Times New Roman" w:hAnsi="Times New Roman" w:cs="Times New Roman" w:eastAsiaTheme="minorEastAsia"/>
          <w:b/>
          <w:bCs/>
          <w:color w:val="auto"/>
          <w:sz w:val="24"/>
          <w:szCs w:val="24"/>
          <w:lang w:val="en-US" w:eastAsia="zh-CN"/>
        </w:rPr>
      </w:pPr>
    </w:p>
    <w:p w14:paraId="53F520D5">
      <w:pPr>
        <w:widowControl/>
        <w:adjustRightInd w:val="0"/>
        <w:snapToGrid w:val="0"/>
        <w:spacing w:beforeLines="80"/>
        <w:jc w:val="both"/>
        <w:rPr>
          <w:rFonts w:hint="eastAsia" w:cs="Times New Roman" w:eastAsiaTheme="minorEastAsia"/>
          <w:b/>
          <w:bCs/>
          <w:color w:val="auto"/>
          <w:sz w:val="24"/>
          <w:szCs w:val="24"/>
          <w:lang w:val="en-US" w:eastAsia="zh-CN"/>
        </w:rPr>
      </w:pPr>
      <w:r>
        <w:rPr>
          <w:rFonts w:hint="eastAsia" w:cs="Times New Roman" w:eastAsiaTheme="minorEastAsia"/>
          <w:b/>
          <w:bCs/>
          <w:color w:val="auto"/>
          <w:sz w:val="24"/>
          <w:szCs w:val="24"/>
          <w:lang w:val="en-US" w:eastAsia="zh-CN"/>
        </w:rPr>
        <w:t>附件6：取水许可证</w:t>
      </w:r>
    </w:p>
    <w:p w14:paraId="2897E337">
      <w:pPr>
        <w:widowControl/>
        <w:adjustRightInd w:val="0"/>
        <w:snapToGrid w:val="0"/>
        <w:spacing w:beforeLines="80"/>
        <w:jc w:val="both"/>
        <w:rPr>
          <w:rFonts w:hint="eastAsia" w:cs="Times New Roman" w:eastAsiaTheme="minorEastAsia"/>
          <w:b/>
          <w:bCs/>
          <w:color w:val="auto"/>
          <w:sz w:val="24"/>
          <w:szCs w:val="24"/>
          <w:lang w:val="en-US" w:eastAsia="zh-CN"/>
        </w:rPr>
      </w:pPr>
      <w:r>
        <w:rPr>
          <w:rFonts w:hint="default" w:cs="Times New Roman" w:eastAsiaTheme="minorEastAsia"/>
          <w:b/>
          <w:bCs/>
          <w:color w:val="auto"/>
          <w:sz w:val="24"/>
          <w:szCs w:val="24"/>
          <w:lang w:val="en-US" w:eastAsia="zh-CN"/>
        </w:rPr>
        <w:drawing>
          <wp:inline distT="0" distB="0" distL="114300" distR="114300">
            <wp:extent cx="6022975" cy="4657090"/>
            <wp:effectExtent l="0" t="0" r="15875" b="10160"/>
            <wp:docPr id="44" name="图片 44" descr="efa0939e41380e45e274e2a27898ad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efa0939e41380e45e274e2a27898ad23"/>
                    <pic:cNvPicPr>
                      <a:picLocks noChangeAspect="1"/>
                    </pic:cNvPicPr>
                  </pic:nvPicPr>
                  <pic:blipFill>
                    <a:blip r:embed="rId46"/>
                    <a:stretch>
                      <a:fillRect/>
                    </a:stretch>
                  </pic:blipFill>
                  <pic:spPr>
                    <a:xfrm>
                      <a:off x="0" y="0"/>
                      <a:ext cx="6022975" cy="4657090"/>
                    </a:xfrm>
                    <a:prstGeom prst="rect">
                      <a:avLst/>
                    </a:prstGeom>
                  </pic:spPr>
                </pic:pic>
              </a:graphicData>
            </a:graphic>
          </wp:inline>
        </w:drawing>
      </w:r>
    </w:p>
    <w:p w14:paraId="36C09D13">
      <w:pPr>
        <w:widowControl/>
        <w:adjustRightInd w:val="0"/>
        <w:snapToGrid w:val="0"/>
        <w:spacing w:beforeLines="80"/>
        <w:jc w:val="both"/>
        <w:rPr>
          <w:rFonts w:hint="default" w:cs="Times New Roman" w:eastAsiaTheme="minorEastAsia"/>
          <w:b/>
          <w:bCs/>
          <w:color w:val="auto"/>
          <w:sz w:val="24"/>
          <w:szCs w:val="24"/>
          <w:lang w:val="en-US" w:eastAsia="zh-CN"/>
        </w:rPr>
        <w:sectPr>
          <w:pgSz w:w="11906" w:h="16838"/>
          <w:pgMar w:top="720" w:right="720" w:bottom="720" w:left="720" w:header="851" w:footer="1077" w:gutter="0"/>
          <w:pgBorders>
            <w:top w:val="none" w:sz="0" w:space="0"/>
            <w:left w:val="none" w:sz="0" w:space="0"/>
            <w:bottom w:val="none" w:sz="0" w:space="0"/>
            <w:right w:val="none" w:sz="0" w:space="0"/>
          </w:pgBorders>
          <w:pgNumType w:fmt="decimal"/>
          <w:cols w:space="425" w:num="1"/>
          <w:docGrid w:linePitch="312" w:charSpace="0"/>
        </w:sectPr>
      </w:pPr>
      <w:bookmarkStart w:id="23" w:name="_GoBack"/>
      <w:r>
        <w:rPr>
          <w:rFonts w:hint="default" w:cs="Times New Roman" w:eastAsiaTheme="minorEastAsia"/>
          <w:b/>
          <w:bCs/>
          <w:color w:val="auto"/>
          <w:sz w:val="24"/>
          <w:szCs w:val="24"/>
          <w:lang w:val="en-US" w:eastAsia="zh-CN"/>
        </w:rPr>
        <w:drawing>
          <wp:inline distT="0" distB="0" distL="114300" distR="114300">
            <wp:extent cx="6212840" cy="8606155"/>
            <wp:effectExtent l="0" t="0" r="16510" b="4445"/>
            <wp:docPr id="48" name="图片 48" descr="青年水库电站增效扩容改造工程-说明-202602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青年水库电站增效扩容改造工程-说明-202602_01"/>
                    <pic:cNvPicPr>
                      <a:picLocks noChangeAspect="1"/>
                    </pic:cNvPicPr>
                  </pic:nvPicPr>
                  <pic:blipFill>
                    <a:blip r:embed="rId47"/>
                    <a:stretch>
                      <a:fillRect/>
                    </a:stretch>
                  </pic:blipFill>
                  <pic:spPr>
                    <a:xfrm>
                      <a:off x="0" y="0"/>
                      <a:ext cx="6212840" cy="8606155"/>
                    </a:xfrm>
                    <a:prstGeom prst="rect">
                      <a:avLst/>
                    </a:prstGeom>
                  </pic:spPr>
                </pic:pic>
              </a:graphicData>
            </a:graphic>
          </wp:inline>
        </w:drawing>
      </w:r>
      <w:bookmarkEnd w:id="23"/>
    </w:p>
    <w:p w14:paraId="1EC7EB54">
      <w:pPr>
        <w:pStyle w:val="23"/>
        <w:ind w:left="0" w:leftChars="0" w:firstLine="843" w:firstLineChars="300"/>
        <w:jc w:val="left"/>
        <w:rPr>
          <w:rFonts w:hint="default" w:ascii="Times New Roman" w:hAnsi="Times New Roman" w:cs="Times New Roman"/>
          <w:b/>
          <w:color w:val="auto"/>
          <w:sz w:val="28"/>
          <w:szCs w:val="28"/>
        </w:rPr>
      </w:pPr>
      <w:r>
        <w:rPr>
          <w:rFonts w:hint="default" w:ascii="Times New Roman" w:hAnsi="Times New Roman" w:cs="Times New Roman"/>
          <w:b/>
          <w:color w:val="auto"/>
          <w:sz w:val="28"/>
          <w:szCs w:val="28"/>
        </w:rPr>
        <w:t>附图1  项目地理位置示意图</w:t>
      </w:r>
    </w:p>
    <w:p w14:paraId="541C0EE6">
      <w:pPr>
        <w:pStyle w:val="23"/>
        <w:ind w:left="0" w:leftChars="0" w:firstLine="0" w:firstLineChars="0"/>
        <w:jc w:val="center"/>
        <w:rPr>
          <w:rFonts w:hint="default" w:ascii="Times New Roman" w:hAnsi="Times New Roman" w:eastAsia="宋体" w:cs="Times New Roman"/>
          <w:color w:val="auto"/>
          <w:lang w:eastAsia="zh-CN"/>
        </w:rPr>
      </w:pPr>
      <w:r>
        <w:rPr>
          <w:sz w:val="18"/>
        </w:rPr>
        <mc:AlternateContent>
          <mc:Choice Requires="wps">
            <w:drawing>
              <wp:anchor distT="0" distB="0" distL="114300" distR="114300" simplePos="0" relativeHeight="251659264" behindDoc="0" locked="0" layoutInCell="1" allowOverlap="1">
                <wp:simplePos x="0" y="0"/>
                <wp:positionH relativeFrom="column">
                  <wp:posOffset>4417695</wp:posOffset>
                </wp:positionH>
                <wp:positionV relativeFrom="paragraph">
                  <wp:posOffset>2538095</wp:posOffset>
                </wp:positionV>
                <wp:extent cx="2171700" cy="399415"/>
                <wp:effectExtent l="0" t="0" r="0" b="635"/>
                <wp:wrapNone/>
                <wp:docPr id="30" name="矩形 30"/>
                <wp:cNvGraphicFramePr/>
                <a:graphic xmlns:a="http://schemas.openxmlformats.org/drawingml/2006/main">
                  <a:graphicData uri="http://schemas.microsoft.com/office/word/2010/wordprocessingShape">
                    <wps:wsp>
                      <wps:cNvSpPr/>
                      <wps:spPr>
                        <a:xfrm>
                          <a:off x="4960620" y="3434080"/>
                          <a:ext cx="2171700" cy="399415"/>
                        </a:xfrm>
                        <a:prstGeom prst="rect">
                          <a:avLst/>
                        </a:prstGeom>
                        <a:solidFill>
                          <a:schemeClr val="accent3">
                            <a:lumMod val="20000"/>
                            <a:lumOff val="8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37054F2F">
                            <w:pPr>
                              <w:jc w:val="center"/>
                              <w:rPr>
                                <w:rFonts w:hint="eastAsia" w:ascii="仿宋" w:hAnsi="仿宋" w:eastAsia="仿宋" w:cs="仿宋"/>
                                <w:b/>
                                <w:bCs/>
                                <w:color w:val="0000FF"/>
                                <w:sz w:val="24"/>
                                <w:szCs w:val="24"/>
                                <w:lang w:val="en-US" w:eastAsia="zh-CN"/>
                              </w:rPr>
                            </w:pPr>
                            <w:r>
                              <w:rPr>
                                <w:rFonts w:hint="eastAsia" w:ascii="仿宋" w:hAnsi="仿宋" w:eastAsia="仿宋" w:cs="仿宋"/>
                                <w:b/>
                                <w:bCs/>
                                <w:color w:val="0000FF"/>
                                <w:sz w:val="24"/>
                                <w:szCs w:val="24"/>
                                <w:lang w:val="en-US" w:eastAsia="zh-CN"/>
                              </w:rPr>
                              <w:t>青年水库电站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7.85pt;margin-top:199.85pt;height:31.45pt;width:171pt;z-index:251659264;v-text-anchor:middle;mso-width-relative:page;mso-height-relative:page;" fillcolor="#EBF1DE [662]" filled="t" stroked="f" coordsize="21600,21600" o:gfxdata="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jZ2AdNkAAAAM&#10;AQAADwAAAAAAAAABACAAAAAiAAAAZHJzL2Rvd25yZXYueG1sUEsBAhQAFAAAAAgAh07iQMOurZaN&#10;AgAABgUAAA4AAAAAAAAAAQAgAAAAKAEAAGRycy9lMm9Eb2MueG1sUEsFBgAAAAAGAAYAWQEAACcG&#10;AAAAAA==&#10;">
                <v:fill on="t" focussize="0,0"/>
                <v:stroke on="f" weight="2pt"/>
                <v:imagedata o:title=""/>
                <o:lock v:ext="edit" aspectratio="f"/>
                <v:textbox>
                  <w:txbxContent>
                    <w:p w14:paraId="37054F2F">
                      <w:pPr>
                        <w:jc w:val="center"/>
                        <w:rPr>
                          <w:rFonts w:hint="eastAsia" w:ascii="仿宋" w:hAnsi="仿宋" w:eastAsia="仿宋" w:cs="仿宋"/>
                          <w:b/>
                          <w:bCs/>
                          <w:color w:val="0000FF"/>
                          <w:sz w:val="24"/>
                          <w:szCs w:val="24"/>
                          <w:lang w:val="en-US" w:eastAsia="zh-CN"/>
                        </w:rPr>
                      </w:pPr>
                      <w:r>
                        <w:rPr>
                          <w:rFonts w:hint="eastAsia" w:ascii="仿宋" w:hAnsi="仿宋" w:eastAsia="仿宋" w:cs="仿宋"/>
                          <w:b/>
                          <w:bCs/>
                          <w:color w:val="0000FF"/>
                          <w:sz w:val="24"/>
                          <w:szCs w:val="24"/>
                          <w:lang w:val="en-US" w:eastAsia="zh-CN"/>
                        </w:rPr>
                        <w:t>青年水库电站</w:t>
                      </w:r>
                    </w:p>
                  </w:txbxContent>
                </v:textbox>
              </v:rect>
            </w:pict>
          </mc:Fallback>
        </mc:AlternateContent>
      </w:r>
      <w:r>
        <w:rPr>
          <w:rFonts w:ascii="Times New Roman" w:hAnsi="Times New Roman"/>
        </w:rPr>
        <w:drawing>
          <wp:inline distT="0" distB="0" distL="114300" distR="114300">
            <wp:extent cx="9052560" cy="5735955"/>
            <wp:effectExtent l="0" t="0" r="15240" b="17145"/>
            <wp:docPr id="15" name="图片 4" descr="幻灯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 descr="幻灯片1"/>
                    <pic:cNvPicPr>
                      <a:picLocks noChangeAspect="1"/>
                    </pic:cNvPicPr>
                  </pic:nvPicPr>
                  <pic:blipFill>
                    <a:blip r:embed="rId48"/>
                    <a:srcRect l="1244" t="4572" r="1521" b="4182"/>
                    <a:stretch>
                      <a:fillRect/>
                    </a:stretch>
                  </pic:blipFill>
                  <pic:spPr>
                    <a:xfrm>
                      <a:off x="0" y="0"/>
                      <a:ext cx="9052560" cy="5735955"/>
                    </a:xfrm>
                    <a:prstGeom prst="rect">
                      <a:avLst/>
                    </a:prstGeom>
                    <a:noFill/>
                    <a:ln>
                      <a:noFill/>
                    </a:ln>
                  </pic:spPr>
                </pic:pic>
              </a:graphicData>
            </a:graphic>
          </wp:inline>
        </w:drawing>
      </w:r>
    </w:p>
    <w:p w14:paraId="1FC55533">
      <w:pPr>
        <w:jc w:val="center"/>
        <w:rPr>
          <w:rFonts w:hint="default" w:ascii="Times New Roman" w:hAnsi="Times New Roman" w:cs="Times New Roman"/>
          <w:b/>
          <w:color w:val="auto"/>
          <w:sz w:val="28"/>
          <w:szCs w:val="28"/>
        </w:rPr>
        <w:sectPr>
          <w:footerReference r:id="rId8" w:type="default"/>
          <w:pgSz w:w="16838" w:h="11906" w:orient="landscape"/>
          <w:pgMar w:top="720" w:right="720" w:bottom="720" w:left="720" w:header="851" w:footer="992" w:gutter="0"/>
          <w:pgBorders>
            <w:top w:val="none" w:sz="0" w:space="0"/>
            <w:left w:val="none" w:sz="0" w:space="0"/>
            <w:bottom w:val="none" w:sz="0" w:space="0"/>
            <w:right w:val="none" w:sz="0" w:space="0"/>
          </w:pgBorders>
          <w:cols w:space="425" w:num="1"/>
          <w:docGrid w:type="lines" w:linePitch="312" w:charSpace="0"/>
        </w:sectPr>
      </w:pPr>
    </w:p>
    <w:p w14:paraId="607F0239">
      <w:pPr>
        <w:ind w:firstLine="843" w:firstLineChars="300"/>
        <w:jc w:val="left"/>
        <w:rPr>
          <w:rFonts w:hint="default" w:ascii="Times New Roman" w:hAnsi="Times New Roman" w:cs="Times New Roman"/>
          <w:b/>
          <w:color w:val="auto"/>
          <w:sz w:val="28"/>
          <w:szCs w:val="28"/>
          <w:lang w:val="en-US" w:eastAsia="zh-CN"/>
        </w:rPr>
      </w:pPr>
      <w:r>
        <w:rPr>
          <w:rFonts w:hint="default" w:ascii="Times New Roman" w:hAnsi="Times New Roman" w:cs="Times New Roman"/>
          <w:b/>
          <w:color w:val="auto"/>
          <w:sz w:val="28"/>
          <w:szCs w:val="28"/>
        </w:rPr>
        <w:t>附图</w:t>
      </w:r>
      <w:r>
        <w:rPr>
          <w:rFonts w:hint="eastAsia" w:ascii="Times New Roman" w:hAnsi="Times New Roman" w:cs="Times New Roman"/>
          <w:b/>
          <w:color w:val="auto"/>
          <w:sz w:val="28"/>
          <w:szCs w:val="28"/>
          <w:lang w:val="en-US" w:eastAsia="zh-CN"/>
        </w:rPr>
        <w:t xml:space="preserve">2 </w:t>
      </w:r>
      <w:r>
        <w:rPr>
          <w:rFonts w:hint="default" w:ascii="Times New Roman" w:hAnsi="Times New Roman" w:cs="Times New Roman"/>
          <w:b/>
          <w:color w:val="auto"/>
          <w:sz w:val="28"/>
          <w:szCs w:val="28"/>
        </w:rPr>
        <w:t xml:space="preserve"> 项目</w:t>
      </w:r>
      <w:r>
        <w:rPr>
          <w:rFonts w:hint="default" w:ascii="Times New Roman" w:hAnsi="Times New Roman" w:cs="Times New Roman"/>
          <w:b/>
          <w:color w:val="auto"/>
          <w:sz w:val="28"/>
          <w:szCs w:val="28"/>
          <w:lang w:val="en-US" w:eastAsia="zh-CN"/>
        </w:rPr>
        <w:t>区水系图</w:t>
      </w:r>
    </w:p>
    <w:p w14:paraId="56CB6AB8">
      <w:pPr>
        <w:pStyle w:val="2"/>
        <w:jc w:val="center"/>
        <w:rPr>
          <w:rFonts w:hint="default"/>
        </w:rPr>
      </w:pPr>
      <w:r>
        <w:rPr>
          <w:sz w:val="18"/>
        </w:rPr>
        <mc:AlternateContent>
          <mc:Choice Requires="wps">
            <w:drawing>
              <wp:anchor distT="0" distB="0" distL="114300" distR="114300" simplePos="0" relativeHeight="251663360" behindDoc="0" locked="0" layoutInCell="1" allowOverlap="1">
                <wp:simplePos x="0" y="0"/>
                <wp:positionH relativeFrom="column">
                  <wp:posOffset>3884295</wp:posOffset>
                </wp:positionH>
                <wp:positionV relativeFrom="paragraph">
                  <wp:posOffset>132715</wp:posOffset>
                </wp:positionV>
                <wp:extent cx="2256790" cy="399415"/>
                <wp:effectExtent l="0" t="0" r="10160" b="635"/>
                <wp:wrapNone/>
                <wp:docPr id="43" name="矩形 43"/>
                <wp:cNvGraphicFramePr/>
                <a:graphic xmlns:a="http://schemas.openxmlformats.org/drawingml/2006/main">
                  <a:graphicData uri="http://schemas.microsoft.com/office/word/2010/wordprocessingShape">
                    <wps:wsp>
                      <wps:cNvSpPr/>
                      <wps:spPr>
                        <a:xfrm>
                          <a:off x="0" y="0"/>
                          <a:ext cx="2256790" cy="399415"/>
                        </a:xfrm>
                        <a:prstGeom prst="rect">
                          <a:avLst/>
                        </a:prstGeom>
                        <a:solidFill>
                          <a:schemeClr val="accent3">
                            <a:lumMod val="20000"/>
                            <a:lumOff val="8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5BB8D8F">
                            <w:pPr>
                              <w:jc w:val="center"/>
                              <w:rPr>
                                <w:rFonts w:hint="default" w:ascii="仿宋" w:hAnsi="仿宋" w:eastAsia="仿宋" w:cs="仿宋"/>
                                <w:b/>
                                <w:bCs/>
                                <w:color w:val="C3D69B" w:themeColor="accent3" w:themeTint="99"/>
                                <w:sz w:val="28"/>
                                <w:szCs w:val="28"/>
                                <w:lang w:val="en-US" w:eastAsia="zh-CN"/>
                                <w14:textFill>
                                  <w14:solidFill>
                                    <w14:schemeClr w14:val="accent3">
                                      <w14:lumMod w14:val="60000"/>
                                      <w14:lumOff w14:val="40000"/>
                                    </w14:schemeClr>
                                  </w14:solidFill>
                                </w14:textFill>
                              </w:rPr>
                            </w:pPr>
                            <w:r>
                              <w:rPr>
                                <w:rFonts w:hint="eastAsia" w:ascii="仿宋" w:hAnsi="仿宋" w:eastAsia="仿宋" w:cs="仿宋"/>
                                <w:b/>
                                <w:bCs/>
                                <w:color w:val="C3D69B" w:themeColor="accent3" w:themeTint="99"/>
                                <w:sz w:val="28"/>
                                <w:szCs w:val="28"/>
                                <w:lang w:val="en-US" w:eastAsia="zh-CN"/>
                                <w14:textFill>
                                  <w14:solidFill>
                                    <w14:schemeClr w14:val="accent3">
                                      <w14:lumMod w14:val="60000"/>
                                      <w14:lumOff w14:val="40000"/>
                                    </w14:schemeClr>
                                  </w14:solidFill>
                                </w14:textFill>
                              </w:rPr>
                              <w:t>项目区水系图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5.85pt;margin-top:10.45pt;height:31.45pt;width:177.7pt;z-index:251663360;v-text-anchor:middle;mso-width-relative:page;mso-height-relative:page;" fillcolor="#EBF1DE [662]" filled="t" stroked="f" coordsize="21600,21600" o:gfxdata="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CFbw2E1wAAAAkBAAAPAAAAAAAAAAEA&#10;IAAAACIAAABkcnMvZG93bnJldi54bWxQSwECFAAUAAAACACHTuJADZHNIoICAAD6BAAADgAAAAAA&#10;AAABACAAAAAmAQAAZHJzL2Uyb0RvYy54bWxQSwUGAAAAAAYABgBZAQAAGgYAAAAA&#10;">
                <v:fill on="t" focussize="0,0"/>
                <v:stroke on="f" weight="2pt"/>
                <v:imagedata o:title=""/>
                <o:lock v:ext="edit" aspectratio="f"/>
                <v:textbox>
                  <w:txbxContent>
                    <w:p w14:paraId="15BB8D8F">
                      <w:pPr>
                        <w:jc w:val="center"/>
                        <w:rPr>
                          <w:rFonts w:hint="default" w:ascii="仿宋" w:hAnsi="仿宋" w:eastAsia="仿宋" w:cs="仿宋"/>
                          <w:b/>
                          <w:bCs/>
                          <w:color w:val="C3D69B" w:themeColor="accent3" w:themeTint="99"/>
                          <w:sz w:val="28"/>
                          <w:szCs w:val="28"/>
                          <w:lang w:val="en-US" w:eastAsia="zh-CN"/>
                          <w14:textFill>
                            <w14:solidFill>
                              <w14:schemeClr w14:val="accent3">
                                <w14:lumMod w14:val="60000"/>
                                <w14:lumOff w14:val="40000"/>
                              </w14:schemeClr>
                            </w14:solidFill>
                          </w14:textFill>
                        </w:rPr>
                      </w:pPr>
                      <w:r>
                        <w:rPr>
                          <w:rFonts w:hint="eastAsia" w:ascii="仿宋" w:hAnsi="仿宋" w:eastAsia="仿宋" w:cs="仿宋"/>
                          <w:b/>
                          <w:bCs/>
                          <w:color w:val="C3D69B" w:themeColor="accent3" w:themeTint="99"/>
                          <w:sz w:val="28"/>
                          <w:szCs w:val="28"/>
                          <w:lang w:val="en-US" w:eastAsia="zh-CN"/>
                          <w14:textFill>
                            <w14:solidFill>
                              <w14:schemeClr w14:val="accent3">
                                <w14:lumMod w14:val="60000"/>
                                <w14:lumOff w14:val="40000"/>
                              </w14:schemeClr>
                            </w14:solidFill>
                          </w14:textFill>
                        </w:rPr>
                        <w:t>项目区水系图</w:t>
                      </w:r>
                    </w:p>
                  </w:txbxContent>
                </v:textbox>
              </v:rect>
            </w:pict>
          </mc:Fallback>
        </mc:AlternateContent>
      </w:r>
      <w:r>
        <w:rPr>
          <w:sz w:val="18"/>
        </w:rPr>
        <mc:AlternateContent>
          <mc:Choice Requires="wps">
            <w:drawing>
              <wp:anchor distT="0" distB="0" distL="114300" distR="114300" simplePos="0" relativeHeight="251660288" behindDoc="0" locked="0" layoutInCell="1" allowOverlap="1">
                <wp:simplePos x="0" y="0"/>
                <wp:positionH relativeFrom="column">
                  <wp:posOffset>4503420</wp:posOffset>
                </wp:positionH>
                <wp:positionV relativeFrom="paragraph">
                  <wp:posOffset>2361565</wp:posOffset>
                </wp:positionV>
                <wp:extent cx="2256790" cy="399415"/>
                <wp:effectExtent l="0" t="0" r="10160" b="635"/>
                <wp:wrapNone/>
                <wp:docPr id="31" name="矩形 31"/>
                <wp:cNvGraphicFramePr/>
                <a:graphic xmlns:a="http://schemas.openxmlformats.org/drawingml/2006/main">
                  <a:graphicData uri="http://schemas.microsoft.com/office/word/2010/wordprocessingShape">
                    <wps:wsp>
                      <wps:cNvSpPr/>
                      <wps:spPr>
                        <a:xfrm>
                          <a:off x="0" y="0"/>
                          <a:ext cx="2256790" cy="399415"/>
                        </a:xfrm>
                        <a:prstGeom prst="rect">
                          <a:avLst/>
                        </a:prstGeom>
                        <a:solidFill>
                          <a:schemeClr val="accent3">
                            <a:lumMod val="20000"/>
                            <a:lumOff val="8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23F03469">
                            <w:pPr>
                              <w:jc w:val="center"/>
                              <w:rPr>
                                <w:rFonts w:hint="eastAsia" w:ascii="仿宋" w:hAnsi="仿宋" w:eastAsia="仿宋" w:cs="仿宋"/>
                                <w:b/>
                                <w:bCs/>
                                <w:color w:val="0000FF"/>
                                <w:sz w:val="24"/>
                                <w:szCs w:val="24"/>
                                <w:lang w:val="en-US" w:eastAsia="zh-CN"/>
                              </w:rPr>
                            </w:pPr>
                            <w:r>
                              <w:rPr>
                                <w:rFonts w:hint="eastAsia" w:ascii="仿宋" w:hAnsi="仿宋" w:eastAsia="仿宋" w:cs="仿宋"/>
                                <w:b/>
                                <w:bCs/>
                                <w:color w:val="0000FF"/>
                                <w:sz w:val="24"/>
                                <w:szCs w:val="24"/>
                                <w:lang w:val="en-US" w:eastAsia="zh-CN"/>
                              </w:rPr>
                              <w:t>青年水库电站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4.6pt;margin-top:185.95pt;height:31.45pt;width:177.7pt;z-index:251660288;v-text-anchor:middle;mso-width-relative:page;mso-height-relative:page;" fillcolor="#EBF1DE [662]" filled="t" stroked="f" coordsize="21600,21600" o:gfxdata="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BONmOfaAAAADAEAAA8AAAAAAAAA&#10;AQAgAAAAIgAAAGRycy9kb3ducmV2LnhtbFBLAQIUABQAAAAIAIdO4kCRTLbogQIAAPoEAAAOAAAA&#10;AAAAAAEAIAAAACkBAABkcnMvZTJvRG9jLnhtbFBLBQYAAAAABgAGAFkBAAAcBgAAAAA=&#10;">
                <v:fill on="t" focussize="0,0"/>
                <v:stroke on="f" weight="2pt"/>
                <v:imagedata o:title=""/>
                <o:lock v:ext="edit" aspectratio="f"/>
                <v:textbox>
                  <w:txbxContent>
                    <w:p w14:paraId="23F03469">
                      <w:pPr>
                        <w:jc w:val="center"/>
                        <w:rPr>
                          <w:rFonts w:hint="eastAsia" w:ascii="仿宋" w:hAnsi="仿宋" w:eastAsia="仿宋" w:cs="仿宋"/>
                          <w:b/>
                          <w:bCs/>
                          <w:color w:val="0000FF"/>
                          <w:sz w:val="24"/>
                          <w:szCs w:val="24"/>
                          <w:lang w:val="en-US" w:eastAsia="zh-CN"/>
                        </w:rPr>
                      </w:pPr>
                      <w:r>
                        <w:rPr>
                          <w:rFonts w:hint="eastAsia" w:ascii="仿宋" w:hAnsi="仿宋" w:eastAsia="仿宋" w:cs="仿宋"/>
                          <w:b/>
                          <w:bCs/>
                          <w:color w:val="0000FF"/>
                          <w:sz w:val="24"/>
                          <w:szCs w:val="24"/>
                          <w:lang w:val="en-US" w:eastAsia="zh-CN"/>
                        </w:rPr>
                        <w:t>青年水库电站</w:t>
                      </w:r>
                    </w:p>
                  </w:txbxContent>
                </v:textbox>
              </v:rect>
            </w:pict>
          </mc:Fallback>
        </mc:AlternateContent>
      </w:r>
      <w:r>
        <w:rPr>
          <w:rFonts w:ascii="黑体" w:hAnsi="黑体" w:eastAsia="黑体"/>
          <w:sz w:val="32"/>
          <w:szCs w:val="32"/>
        </w:rPr>
        <w:drawing>
          <wp:inline distT="0" distB="0" distL="114300" distR="114300">
            <wp:extent cx="9069070" cy="5185410"/>
            <wp:effectExtent l="0" t="0" r="17780" b="15240"/>
            <wp:docPr id="11" name="图片 3" descr="幻灯片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descr="幻灯片9"/>
                    <pic:cNvPicPr>
                      <a:picLocks noChangeAspect="1"/>
                    </pic:cNvPicPr>
                  </pic:nvPicPr>
                  <pic:blipFill>
                    <a:blip r:embed="rId49"/>
                    <a:srcRect t="4831"/>
                    <a:stretch>
                      <a:fillRect/>
                    </a:stretch>
                  </pic:blipFill>
                  <pic:spPr>
                    <a:xfrm>
                      <a:off x="0" y="0"/>
                      <a:ext cx="9069070" cy="5185410"/>
                    </a:xfrm>
                    <a:prstGeom prst="rect">
                      <a:avLst/>
                    </a:prstGeom>
                    <a:noFill/>
                    <a:ln>
                      <a:noFill/>
                    </a:ln>
                  </pic:spPr>
                </pic:pic>
              </a:graphicData>
            </a:graphic>
          </wp:inline>
        </w:drawing>
      </w:r>
    </w:p>
    <w:p w14:paraId="66F734EE">
      <w:pPr>
        <w:rPr>
          <w:rFonts w:hint="default"/>
        </w:rPr>
        <w:sectPr>
          <w:pgSz w:w="16838" w:h="11906" w:orient="landscape"/>
          <w:pgMar w:top="720" w:right="720" w:bottom="720" w:left="720" w:header="851" w:footer="992" w:gutter="0"/>
          <w:pgBorders>
            <w:top w:val="none" w:sz="0" w:space="0"/>
            <w:left w:val="none" w:sz="0" w:space="0"/>
            <w:bottom w:val="none" w:sz="0" w:space="0"/>
            <w:right w:val="none" w:sz="0" w:space="0"/>
          </w:pgBorders>
          <w:cols w:space="425" w:num="1"/>
          <w:docGrid w:type="lines" w:linePitch="312" w:charSpace="0"/>
        </w:sectPr>
      </w:pPr>
    </w:p>
    <w:p w14:paraId="5FD21B3E">
      <w:pPr>
        <w:ind w:firstLine="843" w:firstLineChars="300"/>
        <w:jc w:val="left"/>
        <w:rPr>
          <w:rFonts w:hint="default" w:ascii="Times New Roman" w:hAnsi="Times New Roman" w:cs="Times New Roman"/>
          <w:b/>
          <w:color w:val="auto"/>
          <w:sz w:val="28"/>
          <w:szCs w:val="28"/>
          <w:lang w:val="en-US" w:eastAsia="zh-CN"/>
        </w:rPr>
      </w:pPr>
      <w:r>
        <w:rPr>
          <w:rFonts w:hint="default" w:ascii="Times New Roman" w:hAnsi="Times New Roman" w:cs="Times New Roman"/>
          <w:b/>
          <w:color w:val="auto"/>
          <w:sz w:val="28"/>
          <w:szCs w:val="28"/>
        </w:rPr>
        <w:t>附图</w:t>
      </w:r>
      <w:r>
        <w:rPr>
          <w:rFonts w:hint="eastAsia" w:ascii="Times New Roman" w:hAnsi="Times New Roman" w:cs="Times New Roman"/>
          <w:b/>
          <w:color w:val="auto"/>
          <w:sz w:val="28"/>
          <w:szCs w:val="28"/>
          <w:lang w:val="en-US" w:eastAsia="zh-CN"/>
        </w:rPr>
        <w:t>3</w:t>
      </w:r>
      <w:r>
        <w:rPr>
          <w:rFonts w:hint="default" w:ascii="Times New Roman" w:hAnsi="Times New Roman" w:cs="Times New Roman"/>
          <w:b/>
          <w:color w:val="auto"/>
          <w:sz w:val="28"/>
          <w:szCs w:val="28"/>
        </w:rPr>
        <w:t xml:space="preserve">  </w:t>
      </w:r>
      <w:r>
        <w:rPr>
          <w:rFonts w:hint="eastAsia" w:cs="Times New Roman"/>
          <w:b/>
          <w:color w:val="auto"/>
          <w:sz w:val="28"/>
          <w:szCs w:val="28"/>
          <w:lang w:val="en-US" w:eastAsia="zh-CN"/>
        </w:rPr>
        <w:t>厂区</w:t>
      </w:r>
      <w:r>
        <w:rPr>
          <w:rFonts w:hint="default" w:ascii="Times New Roman" w:hAnsi="Times New Roman" w:cs="Times New Roman"/>
          <w:b/>
          <w:color w:val="auto"/>
          <w:sz w:val="28"/>
          <w:szCs w:val="28"/>
          <w:lang w:val="en-US" w:eastAsia="zh-CN"/>
        </w:rPr>
        <w:t>平面布置图</w:t>
      </w:r>
    </w:p>
    <w:p w14:paraId="647EB324">
      <w:pPr>
        <w:ind w:firstLine="843" w:firstLineChars="300"/>
        <w:jc w:val="left"/>
        <w:rPr>
          <w:rFonts w:hint="default" w:ascii="Times New Roman" w:hAnsi="Times New Roman" w:cs="Times New Roman"/>
          <w:b/>
          <w:color w:val="auto"/>
          <w:sz w:val="28"/>
          <w:szCs w:val="28"/>
          <w:lang w:val="en-US" w:eastAsia="zh-CN"/>
        </w:rPr>
      </w:pPr>
      <w:r>
        <w:rPr>
          <w:rFonts w:hint="default" w:ascii="Times New Roman" w:hAnsi="Times New Roman" w:cs="Times New Roman"/>
          <w:b/>
          <w:color w:val="auto"/>
          <w:sz w:val="28"/>
          <w:szCs w:val="28"/>
          <w:lang w:val="en-US" w:eastAsia="zh-CN"/>
        </w:rPr>
        <w:drawing>
          <wp:inline distT="0" distB="0" distL="114300" distR="114300">
            <wp:extent cx="8763000" cy="5381625"/>
            <wp:effectExtent l="0" t="0" r="0" b="9525"/>
            <wp:docPr id="33" name="图片 33" descr="4c05609fb15822821ee03fdfcaf04f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4c05609fb15822821ee03fdfcaf04fb4"/>
                    <pic:cNvPicPr>
                      <a:picLocks noChangeAspect="1"/>
                    </pic:cNvPicPr>
                  </pic:nvPicPr>
                  <pic:blipFill>
                    <a:blip r:embed="rId50"/>
                    <a:stretch>
                      <a:fillRect/>
                    </a:stretch>
                  </pic:blipFill>
                  <pic:spPr>
                    <a:xfrm>
                      <a:off x="0" y="0"/>
                      <a:ext cx="8763000" cy="5381625"/>
                    </a:xfrm>
                    <a:prstGeom prst="rect">
                      <a:avLst/>
                    </a:prstGeom>
                  </pic:spPr>
                </pic:pic>
              </a:graphicData>
            </a:graphic>
          </wp:inline>
        </w:drawing>
      </w:r>
    </w:p>
    <w:p w14:paraId="5F3630BE">
      <w:pPr>
        <w:pStyle w:val="15"/>
        <w:spacing w:line="360" w:lineRule="auto"/>
        <w:ind w:left="0" w:leftChars="0" w:firstLine="562" w:firstLineChars="200"/>
        <w:jc w:val="both"/>
        <w:rPr>
          <w:rFonts w:hint="default" w:ascii="Times New Roman" w:hAnsi="Times New Roman" w:eastAsia="宋体" w:cs="Times New Roman"/>
          <w:b/>
          <w:bCs/>
          <w:color w:val="auto"/>
          <w:sz w:val="28"/>
          <w:szCs w:val="28"/>
          <w:lang w:val="en-US" w:eastAsia="zh-CN"/>
        </w:rPr>
      </w:pPr>
    </w:p>
    <w:p w14:paraId="72D33BBB">
      <w:pPr>
        <w:pStyle w:val="15"/>
        <w:spacing w:line="360" w:lineRule="auto"/>
        <w:ind w:left="0" w:leftChars="0" w:firstLine="562" w:firstLineChars="200"/>
        <w:jc w:val="both"/>
        <w:rPr>
          <w:rFonts w:hint="default" w:ascii="Times New Roman" w:hAnsi="Times New Roman" w:eastAsia="宋体" w:cs="Times New Roman"/>
          <w:b/>
          <w:bCs/>
          <w:color w:val="auto"/>
          <w:sz w:val="28"/>
          <w:szCs w:val="28"/>
          <w:lang w:val="en-US" w:eastAsia="zh-CN"/>
        </w:rPr>
      </w:pPr>
      <w:r>
        <w:rPr>
          <w:rFonts w:hint="default" w:ascii="Times New Roman" w:hAnsi="Times New Roman" w:eastAsia="宋体" w:cs="Times New Roman"/>
          <w:b/>
          <w:bCs/>
          <w:color w:val="auto"/>
          <w:sz w:val="28"/>
          <w:szCs w:val="28"/>
          <w:lang w:val="en-US" w:eastAsia="zh-CN"/>
        </w:rPr>
        <w:t>附图</w:t>
      </w:r>
      <w:r>
        <w:rPr>
          <w:rFonts w:hint="eastAsia" w:ascii="Times New Roman" w:hAnsi="Times New Roman" w:eastAsia="宋体" w:cs="Times New Roman"/>
          <w:b/>
          <w:bCs/>
          <w:color w:val="auto"/>
          <w:sz w:val="28"/>
          <w:szCs w:val="28"/>
          <w:lang w:val="en-US" w:eastAsia="zh-CN"/>
        </w:rPr>
        <w:t>4</w:t>
      </w:r>
      <w:r>
        <w:rPr>
          <w:rFonts w:hint="default" w:ascii="Times New Roman" w:hAnsi="Times New Roman" w:eastAsia="宋体" w:cs="Times New Roman"/>
          <w:b/>
          <w:bCs/>
          <w:color w:val="auto"/>
          <w:sz w:val="28"/>
          <w:szCs w:val="28"/>
          <w:lang w:val="en-US" w:eastAsia="zh-CN"/>
        </w:rPr>
        <w:t xml:space="preserve">  项目区土地利用现状图</w:t>
      </w:r>
    </w:p>
    <w:p w14:paraId="11978A0F">
      <w:pPr>
        <w:pStyle w:val="15"/>
        <w:spacing w:line="360" w:lineRule="auto"/>
        <w:ind w:left="0" w:leftChars="0" w:firstLine="360" w:firstLineChars="200"/>
        <w:jc w:val="center"/>
        <w:rPr>
          <w:rFonts w:ascii="Times New Roman" w:hAnsi="Times New Roman" w:cs="Times New Roman"/>
          <w:b/>
          <w:color w:val="auto"/>
          <w:sz w:val="28"/>
          <w:szCs w:val="28"/>
        </w:rPr>
      </w:pPr>
      <w:r>
        <w:rPr>
          <w:sz w:val="18"/>
        </w:rPr>
        <mc:AlternateContent>
          <mc:Choice Requires="wps">
            <w:drawing>
              <wp:anchor distT="0" distB="0" distL="114300" distR="114300" simplePos="0" relativeHeight="251662336" behindDoc="0" locked="0" layoutInCell="1" allowOverlap="1">
                <wp:simplePos x="0" y="0"/>
                <wp:positionH relativeFrom="column">
                  <wp:posOffset>3427095</wp:posOffset>
                </wp:positionH>
                <wp:positionV relativeFrom="paragraph">
                  <wp:posOffset>32385</wp:posOffset>
                </wp:positionV>
                <wp:extent cx="3428365" cy="399415"/>
                <wp:effectExtent l="0" t="0" r="635" b="635"/>
                <wp:wrapNone/>
                <wp:docPr id="34" name="矩形 34"/>
                <wp:cNvGraphicFramePr/>
                <a:graphic xmlns:a="http://schemas.openxmlformats.org/drawingml/2006/main">
                  <a:graphicData uri="http://schemas.microsoft.com/office/word/2010/wordprocessingShape">
                    <wps:wsp>
                      <wps:cNvSpPr/>
                      <wps:spPr>
                        <a:xfrm>
                          <a:off x="0" y="0"/>
                          <a:ext cx="3428365" cy="399415"/>
                        </a:xfrm>
                        <a:prstGeom prst="rect">
                          <a:avLst/>
                        </a:prstGeom>
                        <a:solidFill>
                          <a:schemeClr val="accent3">
                            <a:lumMod val="20000"/>
                            <a:lumOff val="8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51BB4BAC">
                            <w:pPr>
                              <w:jc w:val="center"/>
                              <w:rPr>
                                <w:rFonts w:hint="default" w:ascii="仿宋" w:hAnsi="仿宋" w:eastAsia="仿宋" w:cs="仿宋"/>
                                <w:b/>
                                <w:bCs/>
                                <w:color w:val="92D050"/>
                                <w:sz w:val="28"/>
                                <w:szCs w:val="28"/>
                                <w:lang w:val="en-US" w:eastAsia="zh-CN"/>
                              </w:rPr>
                            </w:pPr>
                            <w:r>
                              <w:rPr>
                                <w:rFonts w:hint="eastAsia" w:ascii="仿宋" w:hAnsi="仿宋" w:eastAsia="仿宋" w:cs="仿宋"/>
                                <w:b/>
                                <w:bCs/>
                                <w:color w:val="92D050"/>
                                <w:sz w:val="28"/>
                                <w:szCs w:val="28"/>
                                <w:lang w:val="en-US" w:eastAsia="zh-CN"/>
                              </w:rPr>
                              <w:t>项目区土地利用现状图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9.85pt;margin-top:2.55pt;height:31.45pt;width:269.95pt;z-index:251662336;v-text-anchor:middle;mso-width-relative:page;mso-height-relative:page;" fillcolor="#EBF1DE [662]" filled="t" stroked="f" coordsize="21600,21600" o:gfxdata="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xyHO0tcAAAAJAQAADwAAAAAAAAAB&#10;ACAAAAAiAAAAZHJzL2Rvd25yZXYueG1sUEsBAhQAFAAAAAgAh07iQPMW13KDAgAA+gQAAA4AAAAA&#10;AAAAAQAgAAAAJgEAAGRycy9lMm9Eb2MueG1sUEsFBgAAAAAGAAYAWQEAABsGAAAAAA==&#10;">
                <v:fill on="t" focussize="0,0"/>
                <v:stroke on="f" weight="2pt"/>
                <v:imagedata o:title=""/>
                <o:lock v:ext="edit" aspectratio="f"/>
                <v:textbox>
                  <w:txbxContent>
                    <w:p w14:paraId="51BB4BAC">
                      <w:pPr>
                        <w:jc w:val="center"/>
                        <w:rPr>
                          <w:rFonts w:hint="default" w:ascii="仿宋" w:hAnsi="仿宋" w:eastAsia="仿宋" w:cs="仿宋"/>
                          <w:b/>
                          <w:bCs/>
                          <w:color w:val="92D050"/>
                          <w:sz w:val="28"/>
                          <w:szCs w:val="28"/>
                          <w:lang w:val="en-US" w:eastAsia="zh-CN"/>
                        </w:rPr>
                      </w:pPr>
                      <w:r>
                        <w:rPr>
                          <w:rFonts w:hint="eastAsia" w:ascii="仿宋" w:hAnsi="仿宋" w:eastAsia="仿宋" w:cs="仿宋"/>
                          <w:b/>
                          <w:bCs/>
                          <w:color w:val="92D050"/>
                          <w:sz w:val="28"/>
                          <w:szCs w:val="28"/>
                          <w:lang w:val="en-US" w:eastAsia="zh-CN"/>
                        </w:rPr>
                        <w:t>项目区土地利用现状图</w:t>
                      </w:r>
                    </w:p>
                  </w:txbxContent>
                </v:textbox>
              </v:rect>
            </w:pict>
          </mc:Fallback>
        </mc:AlternateContent>
      </w:r>
      <w:r>
        <w:rPr>
          <w:rFonts w:ascii="黑体" w:hAnsi="黑体" w:eastAsia="黑体"/>
          <w:sz w:val="32"/>
          <w:szCs w:val="32"/>
        </w:rPr>
        <w:drawing>
          <wp:inline distT="0" distB="0" distL="114300" distR="114300">
            <wp:extent cx="9125585" cy="5349875"/>
            <wp:effectExtent l="0" t="0" r="18415" b="3175"/>
            <wp:docPr id="10" name="图片 2" descr="幻灯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descr="幻灯片10"/>
                    <pic:cNvPicPr>
                      <a:picLocks noChangeAspect="1"/>
                    </pic:cNvPicPr>
                  </pic:nvPicPr>
                  <pic:blipFill>
                    <a:blip r:embed="rId51"/>
                    <a:srcRect l="1146" t="4442" r="1230" b="4192"/>
                    <a:stretch>
                      <a:fillRect/>
                    </a:stretch>
                  </pic:blipFill>
                  <pic:spPr>
                    <a:xfrm>
                      <a:off x="0" y="0"/>
                      <a:ext cx="9125585" cy="5349875"/>
                    </a:xfrm>
                    <a:prstGeom prst="rect">
                      <a:avLst/>
                    </a:prstGeom>
                    <a:noFill/>
                    <a:ln>
                      <a:noFill/>
                    </a:ln>
                  </pic:spPr>
                </pic:pic>
              </a:graphicData>
            </a:graphic>
          </wp:inline>
        </w:drawing>
      </w:r>
    </w:p>
    <w:p w14:paraId="62D9BA1D">
      <w:pPr>
        <w:pStyle w:val="15"/>
        <w:spacing w:line="360" w:lineRule="auto"/>
        <w:ind w:left="0" w:leftChars="0" w:firstLine="562" w:firstLineChars="200"/>
        <w:jc w:val="both"/>
        <w:rPr>
          <w:rFonts w:hint="default" w:ascii="Times New Roman" w:hAnsi="Times New Roman" w:eastAsia="宋体" w:cs="Times New Roman"/>
          <w:b/>
          <w:bCs/>
          <w:color w:val="auto"/>
          <w:sz w:val="28"/>
          <w:szCs w:val="28"/>
          <w:lang w:val="en-US" w:eastAsia="zh-CN"/>
        </w:rPr>
      </w:pPr>
    </w:p>
    <w:p w14:paraId="2958D029">
      <w:pPr>
        <w:pStyle w:val="15"/>
        <w:spacing w:line="360" w:lineRule="auto"/>
        <w:ind w:left="0" w:leftChars="0" w:firstLine="562" w:firstLineChars="200"/>
        <w:jc w:val="both"/>
        <w:rPr>
          <w:rFonts w:hint="default" w:ascii="Times New Roman" w:hAnsi="Times New Roman" w:eastAsia="宋体" w:cs="Times New Roman"/>
          <w:b/>
          <w:bCs/>
          <w:color w:val="auto"/>
          <w:sz w:val="28"/>
          <w:szCs w:val="28"/>
          <w:lang w:val="en-US" w:eastAsia="zh-CN"/>
        </w:rPr>
      </w:pPr>
      <w:r>
        <w:rPr>
          <w:rFonts w:hint="default" w:ascii="Times New Roman" w:hAnsi="Times New Roman" w:eastAsia="宋体" w:cs="Times New Roman"/>
          <w:b/>
          <w:bCs/>
          <w:color w:val="auto"/>
          <w:sz w:val="28"/>
          <w:szCs w:val="28"/>
          <w:lang w:val="en-US" w:eastAsia="zh-CN"/>
        </w:rPr>
        <w:t>附图</w:t>
      </w:r>
      <w:r>
        <w:rPr>
          <w:rFonts w:hint="eastAsia" w:eastAsia="宋体" w:cs="Times New Roman"/>
          <w:b/>
          <w:bCs/>
          <w:color w:val="auto"/>
          <w:sz w:val="28"/>
          <w:szCs w:val="28"/>
          <w:lang w:val="en-US" w:eastAsia="zh-CN"/>
        </w:rPr>
        <w:t>5</w:t>
      </w:r>
      <w:r>
        <w:rPr>
          <w:rFonts w:hint="default" w:ascii="Times New Roman" w:hAnsi="Times New Roman" w:eastAsia="宋体" w:cs="Times New Roman"/>
          <w:b/>
          <w:bCs/>
          <w:color w:val="auto"/>
          <w:sz w:val="28"/>
          <w:szCs w:val="28"/>
          <w:lang w:val="en-US" w:eastAsia="zh-CN"/>
        </w:rPr>
        <w:t xml:space="preserve"> 现场照片</w:t>
      </w:r>
    </w:p>
    <w:tbl>
      <w:tblPr>
        <w:tblStyle w:val="25"/>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7842"/>
        <w:gridCol w:w="7772"/>
      </w:tblGrid>
      <w:tr w14:paraId="16586D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92" w:hRule="atLeast"/>
          <w:jc w:val="center"/>
        </w:trPr>
        <w:tc>
          <w:tcPr>
            <w:tcW w:w="7842" w:type="dxa"/>
            <w:tcBorders>
              <w:tl2br w:val="nil"/>
              <w:tr2bl w:val="nil"/>
            </w:tcBorders>
            <w:vAlign w:val="top"/>
          </w:tcPr>
          <w:p w14:paraId="374A334A">
            <w:pPr>
              <w:pStyle w:val="15"/>
              <w:spacing w:line="360" w:lineRule="auto"/>
              <w:ind w:left="0" w:leftChars="0" w:firstLine="0" w:firstLineChars="0"/>
              <w:jc w:val="both"/>
              <w:rPr>
                <w:rFonts w:hint="default" w:ascii="Times New Roman" w:hAnsi="Times New Roman" w:eastAsia="宋体" w:cs="Times New Roman"/>
                <w:b/>
                <w:bCs/>
                <w:color w:val="auto"/>
                <w:sz w:val="28"/>
                <w:szCs w:val="28"/>
                <w:vertAlign w:val="baseline"/>
                <w:lang w:val="en-US" w:eastAsia="zh-CN"/>
              </w:rPr>
            </w:pPr>
            <w:r>
              <w:rPr>
                <w:rFonts w:hint="default" w:ascii="Times New Roman" w:hAnsi="Times New Roman" w:eastAsia="宋体" w:cs="Times New Roman"/>
                <w:b/>
                <w:bCs/>
                <w:color w:val="auto"/>
                <w:sz w:val="28"/>
                <w:szCs w:val="28"/>
                <w:vertAlign w:val="baseline"/>
                <w:lang w:val="en-US" w:eastAsia="zh-CN"/>
              </w:rPr>
              <w:drawing>
                <wp:inline distT="0" distB="0" distL="114300" distR="114300">
                  <wp:extent cx="4680585" cy="3472180"/>
                  <wp:effectExtent l="0" t="0" r="5715" b="13970"/>
                  <wp:docPr id="36" name="图片 36" descr="a11d49fe5c62e3c28a2801fba8cc50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a11d49fe5c62e3c28a2801fba8cc50d1"/>
                          <pic:cNvPicPr>
                            <a:picLocks noChangeAspect="1"/>
                          </pic:cNvPicPr>
                        </pic:nvPicPr>
                        <pic:blipFill>
                          <a:blip r:embed="rId52"/>
                          <a:stretch>
                            <a:fillRect/>
                          </a:stretch>
                        </pic:blipFill>
                        <pic:spPr>
                          <a:xfrm>
                            <a:off x="0" y="0"/>
                            <a:ext cx="4680585" cy="3472180"/>
                          </a:xfrm>
                          <a:prstGeom prst="rect">
                            <a:avLst/>
                          </a:prstGeom>
                        </pic:spPr>
                      </pic:pic>
                    </a:graphicData>
                  </a:graphic>
                </wp:inline>
              </w:drawing>
            </w:r>
          </w:p>
          <w:p w14:paraId="1B8AF42E">
            <w:pPr>
              <w:pStyle w:val="15"/>
              <w:spacing w:line="360" w:lineRule="auto"/>
              <w:ind w:left="0" w:leftChars="0" w:firstLine="0" w:firstLineChars="0"/>
              <w:jc w:val="center"/>
              <w:rPr>
                <w:rFonts w:hint="default" w:ascii="Times New Roman" w:hAnsi="Times New Roman" w:eastAsia="宋体" w:cs="Times New Roman"/>
                <w:b/>
                <w:bCs/>
                <w:color w:val="auto"/>
                <w:sz w:val="28"/>
                <w:szCs w:val="28"/>
                <w:vertAlign w:val="baseline"/>
                <w:lang w:val="en-US" w:eastAsia="zh-CN"/>
              </w:rPr>
            </w:pPr>
            <w:r>
              <w:rPr>
                <w:rFonts w:hint="eastAsia" w:eastAsia="宋体" w:cs="Times New Roman"/>
                <w:b/>
                <w:bCs/>
                <w:color w:val="auto"/>
                <w:sz w:val="28"/>
                <w:szCs w:val="28"/>
                <w:vertAlign w:val="baseline"/>
                <w:lang w:val="en-US" w:eastAsia="zh-CN"/>
              </w:rPr>
              <w:t>电站变电器</w:t>
            </w:r>
          </w:p>
        </w:tc>
        <w:tc>
          <w:tcPr>
            <w:tcW w:w="7772" w:type="dxa"/>
            <w:tcBorders>
              <w:tl2br w:val="nil"/>
              <w:tr2bl w:val="nil"/>
            </w:tcBorders>
            <w:vAlign w:val="top"/>
          </w:tcPr>
          <w:p w14:paraId="54118EB6">
            <w:pPr>
              <w:pStyle w:val="15"/>
              <w:spacing w:line="360" w:lineRule="auto"/>
              <w:ind w:left="0" w:leftChars="0" w:firstLine="0" w:firstLineChars="0"/>
              <w:jc w:val="both"/>
              <w:rPr>
                <w:rFonts w:hint="default" w:ascii="Times New Roman" w:hAnsi="Times New Roman" w:eastAsia="宋体" w:cs="Times New Roman"/>
                <w:b/>
                <w:bCs/>
                <w:color w:val="auto"/>
                <w:sz w:val="28"/>
                <w:szCs w:val="28"/>
                <w:vertAlign w:val="baseline"/>
                <w:lang w:val="en-US" w:eastAsia="zh-CN"/>
              </w:rPr>
            </w:pPr>
            <w:r>
              <w:rPr>
                <w:rFonts w:hint="default" w:ascii="Times New Roman" w:hAnsi="Times New Roman" w:eastAsia="宋体" w:cs="Times New Roman"/>
                <w:b/>
                <w:bCs/>
                <w:color w:val="auto"/>
                <w:sz w:val="28"/>
                <w:szCs w:val="28"/>
                <w:vertAlign w:val="baseline"/>
                <w:lang w:val="en-US" w:eastAsia="zh-CN"/>
              </w:rPr>
              <w:drawing>
                <wp:inline distT="0" distB="0" distL="114300" distR="114300">
                  <wp:extent cx="4535170" cy="3502025"/>
                  <wp:effectExtent l="0" t="0" r="17780" b="3175"/>
                  <wp:docPr id="35" name="图片 35" descr="ed25838b250e9d948d104cc4cd8b32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ed25838b250e9d948d104cc4cd8b32d7"/>
                          <pic:cNvPicPr>
                            <a:picLocks noChangeAspect="1"/>
                          </pic:cNvPicPr>
                        </pic:nvPicPr>
                        <pic:blipFill>
                          <a:blip r:embed="rId53"/>
                          <a:stretch>
                            <a:fillRect/>
                          </a:stretch>
                        </pic:blipFill>
                        <pic:spPr>
                          <a:xfrm>
                            <a:off x="0" y="0"/>
                            <a:ext cx="4535170" cy="3502025"/>
                          </a:xfrm>
                          <a:prstGeom prst="rect">
                            <a:avLst/>
                          </a:prstGeom>
                        </pic:spPr>
                      </pic:pic>
                    </a:graphicData>
                  </a:graphic>
                </wp:inline>
              </w:drawing>
            </w:r>
          </w:p>
          <w:p w14:paraId="591C9DF9">
            <w:pPr>
              <w:pStyle w:val="15"/>
              <w:spacing w:line="360" w:lineRule="auto"/>
              <w:ind w:left="0" w:leftChars="0" w:firstLine="0" w:firstLineChars="0"/>
              <w:jc w:val="center"/>
              <w:rPr>
                <w:rFonts w:hint="default" w:ascii="Times New Roman" w:hAnsi="Times New Roman" w:eastAsia="宋体" w:cs="Times New Roman"/>
                <w:b/>
                <w:bCs/>
                <w:color w:val="auto"/>
                <w:sz w:val="28"/>
                <w:szCs w:val="28"/>
                <w:vertAlign w:val="baseline"/>
                <w:lang w:val="en-US" w:eastAsia="zh-CN"/>
              </w:rPr>
            </w:pPr>
            <w:r>
              <w:rPr>
                <w:rFonts w:hint="eastAsia" w:eastAsia="宋体" w:cs="Times New Roman"/>
                <w:b/>
                <w:bCs/>
                <w:color w:val="auto"/>
                <w:sz w:val="28"/>
                <w:szCs w:val="28"/>
                <w:vertAlign w:val="baseline"/>
                <w:lang w:val="en-US" w:eastAsia="zh-CN"/>
              </w:rPr>
              <w:t>生态流量监测系统</w:t>
            </w:r>
          </w:p>
        </w:tc>
      </w:tr>
      <w:tr w14:paraId="0CE812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26" w:hRule="atLeast"/>
          <w:jc w:val="center"/>
        </w:trPr>
        <w:tc>
          <w:tcPr>
            <w:tcW w:w="7842" w:type="dxa"/>
            <w:tcBorders>
              <w:tl2br w:val="nil"/>
              <w:tr2bl w:val="nil"/>
            </w:tcBorders>
            <w:vAlign w:val="top"/>
          </w:tcPr>
          <w:p w14:paraId="04FCDBFF">
            <w:pPr>
              <w:pStyle w:val="15"/>
              <w:spacing w:line="360" w:lineRule="auto"/>
              <w:jc w:val="center"/>
              <w:rPr>
                <w:rFonts w:hint="default" w:ascii="Times New Roman" w:hAnsi="Times New Roman" w:eastAsia="宋体" w:cs="Times New Roman"/>
                <w:b/>
                <w:bCs/>
                <w:color w:val="auto"/>
                <w:sz w:val="28"/>
                <w:szCs w:val="28"/>
                <w:vertAlign w:val="baseline"/>
                <w:lang w:val="en-US" w:eastAsia="zh-CN"/>
              </w:rPr>
            </w:pPr>
            <w:r>
              <w:rPr>
                <w:rFonts w:hint="default" w:ascii="Times New Roman" w:hAnsi="Times New Roman" w:eastAsia="宋体" w:cs="Times New Roman"/>
                <w:b/>
                <w:bCs/>
                <w:color w:val="auto"/>
                <w:sz w:val="28"/>
                <w:szCs w:val="28"/>
                <w:vertAlign w:val="baseline"/>
                <w:lang w:val="en-US" w:eastAsia="zh-CN"/>
              </w:rPr>
              <w:drawing>
                <wp:inline distT="0" distB="0" distL="114300" distR="114300">
                  <wp:extent cx="4680585" cy="3472180"/>
                  <wp:effectExtent l="0" t="0" r="5715" b="13970"/>
                  <wp:docPr id="37" name="图片 37" descr="e7f2c0d82d3f4ca65bd2467b38dbc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e7f2c0d82d3f4ca65bd2467b38dbc571"/>
                          <pic:cNvPicPr>
                            <a:picLocks noChangeAspect="1"/>
                          </pic:cNvPicPr>
                        </pic:nvPicPr>
                        <pic:blipFill>
                          <a:blip r:embed="rId54"/>
                          <a:stretch>
                            <a:fillRect/>
                          </a:stretch>
                        </pic:blipFill>
                        <pic:spPr>
                          <a:xfrm>
                            <a:off x="0" y="0"/>
                            <a:ext cx="4680585" cy="3472180"/>
                          </a:xfrm>
                          <a:prstGeom prst="rect">
                            <a:avLst/>
                          </a:prstGeom>
                        </pic:spPr>
                      </pic:pic>
                    </a:graphicData>
                  </a:graphic>
                </wp:inline>
              </w:drawing>
            </w:r>
            <w:r>
              <w:rPr>
                <w:rFonts w:hint="eastAsia" w:eastAsia="宋体" w:cs="Times New Roman"/>
                <w:b/>
                <w:bCs/>
                <w:color w:val="auto"/>
                <w:sz w:val="28"/>
                <w:szCs w:val="28"/>
                <w:vertAlign w:val="baseline"/>
                <w:lang w:val="en-US" w:eastAsia="zh-CN"/>
              </w:rPr>
              <w:t>电站</w:t>
            </w:r>
          </w:p>
        </w:tc>
        <w:tc>
          <w:tcPr>
            <w:tcW w:w="7772" w:type="dxa"/>
            <w:tcBorders>
              <w:tl2br w:val="nil"/>
              <w:tr2bl w:val="nil"/>
            </w:tcBorders>
            <w:vAlign w:val="top"/>
          </w:tcPr>
          <w:p w14:paraId="7D1887E5">
            <w:pPr>
              <w:pStyle w:val="15"/>
              <w:spacing w:line="360" w:lineRule="auto"/>
              <w:ind w:left="3932" w:leftChars="266" w:hanging="3373" w:hangingChars="1200"/>
              <w:jc w:val="both"/>
              <w:rPr>
                <w:rFonts w:hint="default" w:ascii="Times New Roman" w:hAnsi="Times New Roman" w:eastAsia="宋体" w:cs="Times New Roman"/>
                <w:b/>
                <w:bCs/>
                <w:color w:val="auto"/>
                <w:sz w:val="28"/>
                <w:szCs w:val="28"/>
                <w:vertAlign w:val="baseline"/>
                <w:lang w:val="en-US" w:eastAsia="zh-CN"/>
              </w:rPr>
            </w:pPr>
            <w:r>
              <w:rPr>
                <w:rFonts w:hint="default" w:ascii="Times New Roman" w:hAnsi="Times New Roman" w:eastAsia="宋体" w:cs="Times New Roman"/>
                <w:b/>
                <w:bCs/>
                <w:color w:val="auto"/>
                <w:sz w:val="28"/>
                <w:szCs w:val="28"/>
                <w:vertAlign w:val="baseline"/>
                <w:lang w:val="en-US" w:eastAsia="zh-CN"/>
              </w:rPr>
              <w:drawing>
                <wp:inline distT="0" distB="0" distL="114300" distR="114300">
                  <wp:extent cx="4536440" cy="3439795"/>
                  <wp:effectExtent l="0" t="0" r="16510" b="8255"/>
                  <wp:docPr id="38" name="图片 38" descr="7f19c95a6ae1efe7d8f3414dd5c0bf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7f19c95a6ae1efe7d8f3414dd5c0bfa9"/>
                          <pic:cNvPicPr>
                            <a:picLocks noChangeAspect="1"/>
                          </pic:cNvPicPr>
                        </pic:nvPicPr>
                        <pic:blipFill>
                          <a:blip r:embed="rId55"/>
                          <a:stretch>
                            <a:fillRect/>
                          </a:stretch>
                        </pic:blipFill>
                        <pic:spPr>
                          <a:xfrm>
                            <a:off x="0" y="0"/>
                            <a:ext cx="4536440" cy="3439795"/>
                          </a:xfrm>
                          <a:prstGeom prst="rect">
                            <a:avLst/>
                          </a:prstGeom>
                        </pic:spPr>
                      </pic:pic>
                    </a:graphicData>
                  </a:graphic>
                </wp:inline>
              </w:drawing>
            </w:r>
            <w:r>
              <w:rPr>
                <w:rFonts w:hint="eastAsia" w:eastAsia="宋体" w:cs="Times New Roman"/>
                <w:b/>
                <w:bCs/>
                <w:color w:val="auto"/>
                <w:sz w:val="28"/>
                <w:szCs w:val="28"/>
                <w:vertAlign w:val="baseline"/>
                <w:lang w:val="en-US" w:eastAsia="zh-CN"/>
              </w:rPr>
              <w:t>尾水渠</w:t>
            </w:r>
          </w:p>
        </w:tc>
      </w:tr>
    </w:tbl>
    <w:p w14:paraId="6B82323F">
      <w:pPr>
        <w:pStyle w:val="15"/>
        <w:spacing w:line="360" w:lineRule="auto"/>
        <w:ind w:left="0" w:leftChars="0" w:firstLine="562" w:firstLineChars="200"/>
        <w:jc w:val="both"/>
        <w:rPr>
          <w:rFonts w:hint="default" w:ascii="Times New Roman" w:hAnsi="Times New Roman" w:eastAsia="宋体" w:cs="Times New Roman"/>
          <w:b/>
          <w:bCs/>
          <w:color w:val="auto"/>
          <w:sz w:val="28"/>
          <w:szCs w:val="28"/>
          <w:lang w:val="en-US" w:eastAsia="zh-CN"/>
        </w:rPr>
      </w:pPr>
    </w:p>
    <w:sectPr>
      <w:headerReference r:id="rId9" w:type="default"/>
      <w:footerReference r:id="rId10" w:type="default"/>
      <w:pgSz w:w="16838" w:h="11906" w:orient="landscape"/>
      <w:pgMar w:top="720" w:right="720" w:bottom="720" w:left="720" w:header="851" w:footer="1077" w:gutter="0"/>
      <w:pgBorders>
        <w:top w:val="none" w:sz="0" w:space="0"/>
        <w:left w:val="none" w:sz="0" w:space="0"/>
        <w:bottom w:val="none" w:sz="0" w:space="0"/>
        <w:right w:val="none" w:sz="0" w:space="0"/>
      </w:pgBorders>
      <w:pgNumType w:fmt="decimal"/>
      <w:cols w:space="425"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541048F0-2A94-4F8C-B8C4-4AEC4D91608C}"/>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2010609030101010101"/>
    <w:charset w:val="86"/>
    <w:family w:val="modern"/>
    <w:pitch w:val="default"/>
    <w:sig w:usb0="00000000" w:usb1="00000000" w:usb2="00000000" w:usb3="00000000" w:csb0="00040000" w:csb1="00000000"/>
    <w:embedRegular r:id="rId2" w:fontKey="{97C9A84C-9F0F-4907-B7DC-C7F2E4891902}"/>
  </w:font>
  <w:font w:name="仿宋">
    <w:panose1 w:val="02010609060101010101"/>
    <w:charset w:val="86"/>
    <w:family w:val="auto"/>
    <w:pitch w:val="default"/>
    <w:sig w:usb0="800002BF" w:usb1="38CF7CFA" w:usb2="00000016" w:usb3="00000000" w:csb0="00040001" w:csb1="00000000"/>
    <w:embedRegular r:id="rId3" w:fontKey="{622B6288-119C-402C-B5ED-6932A6C5647C}"/>
  </w:font>
  <w:font w:name="幼圆">
    <w:altName w:val="宋体"/>
    <w:panose1 w:val="02010509060101010101"/>
    <w:charset w:val="86"/>
    <w:family w:val="modern"/>
    <w:pitch w:val="default"/>
    <w:sig w:usb0="00000000" w:usb1="00000000" w:usb2="00000000" w:usb3="00000000" w:csb0="00040000" w:csb1="00000000"/>
  </w:font>
  <w:font w:name="方正小标宋_GBK">
    <w:altName w:val="微软雅黑"/>
    <w:panose1 w:val="02000000000000000000"/>
    <w:charset w:val="86"/>
    <w:family w:val="script"/>
    <w:pitch w:val="default"/>
    <w:sig w:usb0="00000000" w:usb1="00000000" w:usb2="00000000" w:usb3="00000000" w:csb0="00040000" w:csb1="00000000"/>
    <w:embedRegular r:id="rId4" w:fontKey="{2B024B6B-97FE-47A3-9983-BD89F6AE4DD8}"/>
  </w:font>
  <w:font w:name="微软雅黑">
    <w:panose1 w:val="020B0503020204020204"/>
    <w:charset w:val="86"/>
    <w:family w:val="auto"/>
    <w:pitch w:val="default"/>
    <w:sig w:usb0="80000287" w:usb1="2ACF3C50" w:usb2="00000016" w:usb3="00000000" w:csb0="0004001F" w:csb1="00000000"/>
  </w:font>
  <w:font w:name="楷体_GB2312">
    <w:altName w:val="楷体"/>
    <w:panose1 w:val="02010609030101010101"/>
    <w:charset w:val="86"/>
    <w:family w:val="modern"/>
    <w:pitch w:val="default"/>
    <w:sig w:usb0="00000000" w:usb1="00000000" w:usb2="00000000" w:usb3="00000000" w:csb0="00040000" w:csb1="00000000"/>
    <w:embedRegular r:id="rId5" w:fontKey="{5BC27F14-F1DC-443F-B5E2-2644C8600D84}"/>
  </w:font>
  <w:font w:name="楷体">
    <w:panose1 w:val="02010609060101010101"/>
    <w:charset w:val="86"/>
    <w:family w:val="auto"/>
    <w:pitch w:val="default"/>
    <w:sig w:usb0="800002BF" w:usb1="38CF7CFA" w:usb2="00000016" w:usb3="00000000" w:csb0="00040001" w:csb1="00000000"/>
  </w:font>
  <w:font w:name="华文仿宋">
    <w:altName w:val="仿宋"/>
    <w:panose1 w:val="02010600040101010101"/>
    <w:charset w:val="86"/>
    <w:family w:val="auto"/>
    <w:pitch w:val="default"/>
    <w:sig w:usb0="00000000" w:usb1="00000000" w:usb2="00000000" w:usb3="00000000" w:csb0="0004009F" w:csb1="DFD70000"/>
    <w:embedRegular r:id="rId6" w:fontKey="{3E019B56-8E7F-40EF-9D04-86BC1A43A942}"/>
  </w:font>
  <w:font w:name="Arial Unicode MS">
    <w:altName w:val="宋体"/>
    <w:panose1 w:val="020B0604020202020204"/>
    <w:charset w:val="86"/>
    <w:family w:val="auto"/>
    <w:pitch w:val="default"/>
    <w:sig w:usb0="00000000" w:usb1="00000000" w:usb2="0000007F" w:usb3="00000000" w:csb0="203F01FF" w:csb1="DFFF0000"/>
    <w:embedRegular r:id="rId7" w:fontKey="{1B9EB743-4079-4D12-8457-769C161B2071}"/>
  </w:font>
  <w:font w:name="瀹嬩綋">
    <w:altName w:val="Segoe Print"/>
    <w:panose1 w:val="00000000000000000000"/>
    <w:charset w:val="00"/>
    <w:family w:val="auto"/>
    <w:pitch w:val="default"/>
    <w:sig w:usb0="00000000" w:usb1="00000000" w:usb2="00000000" w:usb3="00000000" w:csb0="00040001" w:csb1="00000000"/>
    <w:embedRegular r:id="rId8" w:fontKey="{2549FC2A-F2EC-4179-BEB7-440272AF0B73}"/>
  </w:font>
  <w:font w:name="Segoe Print">
    <w:panose1 w:val="02000600000000000000"/>
    <w:charset w:val="00"/>
    <w:family w:val="auto"/>
    <w:pitch w:val="default"/>
    <w:sig w:usb0="0000028F" w:usb1="00000000" w:usb2="00000000" w:usb3="00000000" w:csb0="2000009F" w:csb1="47010000"/>
  </w:font>
  <w:font w:name="KSOFE4500885">
    <w:panose1 w:val="02010609060101010101"/>
    <w:charset w:val="86"/>
    <w:family w:val="auto"/>
    <w:pitch w:val="default"/>
    <w:sig w:usb0="00000001" w:usb1="00000000" w:usb2="00000000" w:usb3="00000000" w:csb0="00040001" w:csb1="00000000"/>
  </w:font>
  <w:font w:name="KSOFE44F9426">
    <w:panose1 w:val="02010609060101010101"/>
    <w:charset w:val="86"/>
    <w:family w:val="auto"/>
    <w:pitch w:val="default"/>
    <w:sig w:usb0="00000001" w:usb1="00000000" w:usb2="00000000"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9E0298">
    <w:pPr>
      <w:pStyle w:val="17"/>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CF04A6">
    <w:pPr>
      <w:pStyle w:val="17"/>
      <w:framePr w:wrap="around" w:vAnchor="text" w:hAnchor="margin" w:xAlign="outside" w:y="1"/>
      <w:rPr>
        <w:rStyle w:val="28"/>
      </w:rPr>
    </w:pPr>
    <w:r>
      <w:rPr>
        <w:rStyle w:val="28"/>
      </w:rPr>
      <w:fldChar w:fldCharType="begin"/>
    </w:r>
    <w:r>
      <w:rPr>
        <w:rStyle w:val="28"/>
      </w:rPr>
      <w:instrText xml:space="preserve">PAGE  </w:instrText>
    </w:r>
    <w:r>
      <w:rPr>
        <w:rStyle w:val="28"/>
      </w:rPr>
      <w:fldChar w:fldCharType="end"/>
    </w:r>
  </w:p>
  <w:p w14:paraId="43C07B31">
    <w:pPr>
      <w:pStyle w:val="17"/>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7957CC">
    <w:pPr>
      <w:pStyle w:val="17"/>
      <w:ind w:right="360" w:firstLine="360"/>
      <w:jc w:val="center"/>
      <w:rPr>
        <w:rFonts w:hint="eastAsia" w:eastAsia="宋体"/>
        <w:lang w:val="en-US" w:eastAsia="zh-CN"/>
      </w:rP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42" name="文本框 14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BA98323">
                          <w:pPr>
                            <w:pStyle w:val="17"/>
                          </w:pPr>
                          <w:r>
                            <w:fldChar w:fldCharType="begin"/>
                          </w:r>
                          <w:r>
                            <w:instrText xml:space="preserve"> PAGE  \* MERGEFORMAT </w:instrText>
                          </w:r>
                          <w:r>
                            <w:fldChar w:fldCharType="separate"/>
                          </w:r>
                          <w:r>
                            <w:t>I</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EMVLA0AgAAZQ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CBDFSwNAIAAGUEAAAOAAAAAAAAAAEAIAAAAB8BAABkcnMvZTJvRG9jLnhtbFBL&#10;BQYAAAAABgAGAFkBAADFBQAAAAA=&#10;">
              <v:fill on="f" focussize="0,0"/>
              <v:stroke on="f" weight="0.5pt"/>
              <v:imagedata o:title=""/>
              <o:lock v:ext="edit" aspectratio="f"/>
              <v:textbox inset="0mm,0mm,0mm,0mm" style="mso-fit-shape-to-text:t;">
                <w:txbxContent>
                  <w:p w14:paraId="6BA98323">
                    <w:pPr>
                      <w:pStyle w:val="17"/>
                    </w:pPr>
                    <w:r>
                      <w:fldChar w:fldCharType="begin"/>
                    </w:r>
                    <w:r>
                      <w:instrText xml:space="preserve"> PAGE  \* MERGEFORMAT </w:instrText>
                    </w:r>
                    <w:r>
                      <w:fldChar w:fldCharType="separate"/>
                    </w:r>
                    <w:r>
                      <w:t>I</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B9D799">
    <w:pPr>
      <w:pStyle w:val="17"/>
      <w:ind w:right="360" w:firstLine="360"/>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FE2D56F">
                          <w:pPr>
                            <w:pStyle w:val="17"/>
                          </w:pPr>
                          <w:r>
                            <w:fldChar w:fldCharType="begin"/>
                          </w:r>
                          <w:r>
                            <w:instrText xml:space="preserve"> PAGE  \* MERGEFORMAT </w:instrText>
                          </w:r>
                          <w:r>
                            <w:fldChar w:fldCharType="separate"/>
                          </w:r>
                          <w:r>
                            <w:t>XXXVI</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MFE50y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IwUTnTICAABjBAAADgAAAAAAAAABACAAAAAfAQAAZHJzL2Uyb0RvYy54bWxQSwUG&#10;AAAAAAYABgBZAQAAwwUAAAAA&#10;">
              <v:fill on="f" focussize="0,0"/>
              <v:stroke on="f" weight="0.5pt"/>
              <v:imagedata o:title=""/>
              <o:lock v:ext="edit" aspectratio="f"/>
              <v:textbox inset="0mm,0mm,0mm,0mm" style="mso-fit-shape-to-text:t;">
                <w:txbxContent>
                  <w:p w14:paraId="1FE2D56F">
                    <w:pPr>
                      <w:pStyle w:val="17"/>
                    </w:pPr>
                    <w:r>
                      <w:fldChar w:fldCharType="begin"/>
                    </w:r>
                    <w:r>
                      <w:instrText xml:space="preserve"> PAGE  \* MERGEFORMAT </w:instrText>
                    </w:r>
                    <w:r>
                      <w:fldChar w:fldCharType="separate"/>
                    </w:r>
                    <w:r>
                      <w:t>XXXVI</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9DAB95">
    <w:pPr>
      <w:pStyle w:val="17"/>
      <w:ind w:right="360" w:firstLine="360"/>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ABF825">
    <w:pPr>
      <w:pStyle w:val="17"/>
      <w:ind w:right="360" w:firstLine="360"/>
      <w:jc w:val="cen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BBFEF9">
    <w:pPr>
      <w:pStyle w:val="1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58C226">
    <w:pPr>
      <w:pStyle w:val="18"/>
      <w:pBdr>
        <w:bottom w:val="none" w:color="auto" w:sz="0" w:space="1"/>
      </w:pBdr>
      <w:snapToGrid/>
      <w:spacing w:line="240" w:lineRule="auto"/>
      <w:ind w:firstLine="0" w:firstLineChars="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F9B2F14"/>
    <w:multiLevelType w:val="singleLevel"/>
    <w:tmpl w:val="0F9B2F14"/>
    <w:lvl w:ilvl="0" w:tentative="0">
      <w:start w:val="3"/>
      <w:numFmt w:val="decimal"/>
      <w:suff w:val="nothing"/>
      <w:lvlText w:val="（%1）"/>
      <w:lvlJc w:val="left"/>
    </w:lvl>
  </w:abstractNum>
  <w:abstractNum w:abstractNumId="1">
    <w:nsid w:val="5D8A4FB1"/>
    <w:multiLevelType w:val="multilevel"/>
    <w:tmpl w:val="5D8A4FB1"/>
    <w:lvl w:ilvl="0" w:tentative="0">
      <w:start w:val="1"/>
      <w:numFmt w:val="decimal"/>
      <w:suff w:val="space"/>
      <w:lvlText w:val="%1"/>
      <w:lvlJc w:val="left"/>
      <w:pPr>
        <w:ind w:left="425" w:hanging="425"/>
      </w:pPr>
      <w:rPr>
        <w:rFonts w:hint="eastAsia"/>
      </w:rPr>
    </w:lvl>
    <w:lvl w:ilvl="1" w:tentative="0">
      <w:start w:val="1"/>
      <w:numFmt w:val="decimal"/>
      <w:pStyle w:val="4"/>
      <w:suff w:val="space"/>
      <w:lvlText w:val="%1.%2"/>
      <w:lvlJc w:val="left"/>
      <w:pPr>
        <w:ind w:left="567" w:hanging="567"/>
      </w:pPr>
      <w:rPr>
        <w:rFonts w:hint="eastAsia"/>
      </w:rPr>
    </w:lvl>
    <w:lvl w:ilvl="2" w:tentative="0">
      <w:start w:val="1"/>
      <w:numFmt w:val="decimal"/>
      <w:suff w:val="space"/>
      <w:lvlText w:val="%1.%2.%3"/>
      <w:lvlJc w:val="left"/>
      <w:pPr>
        <w:ind w:left="709" w:hanging="709"/>
      </w:pPr>
      <w:rPr>
        <w:rFonts w:hint="eastAsia"/>
      </w:rPr>
    </w:lvl>
    <w:lvl w:ilvl="3" w:tentative="0">
      <w:start w:val="1"/>
      <w:numFmt w:val="decimal"/>
      <w:lvlText w:val="%1.%2.%3.%4"/>
      <w:lvlJc w:val="left"/>
      <w:pPr>
        <w:ind w:left="851" w:hanging="851"/>
      </w:pPr>
      <w:rPr>
        <w:rFonts w:hint="eastAsia"/>
      </w:rPr>
    </w:lvl>
    <w:lvl w:ilvl="4" w:tentative="0">
      <w:start w:val="1"/>
      <w:numFmt w:val="decimal"/>
      <w:lvlText w:val="%1.%2.%3.%4.%5."/>
      <w:lvlJc w:val="left"/>
      <w:pPr>
        <w:ind w:left="992" w:hanging="992"/>
      </w:pPr>
      <w:rPr>
        <w:rFonts w:hint="eastAsia"/>
      </w:rPr>
    </w:lvl>
    <w:lvl w:ilvl="5" w:tentative="0">
      <w:start w:val="1"/>
      <w:numFmt w:val="decimal"/>
      <w:lvlText w:val="%1.%2.%3.%4.%5.%6."/>
      <w:lvlJc w:val="left"/>
      <w:pPr>
        <w:ind w:left="1134" w:hanging="1134"/>
      </w:pPr>
      <w:rPr>
        <w:rFonts w:hint="eastAsia"/>
      </w:rPr>
    </w:lvl>
    <w:lvl w:ilvl="6" w:tentative="0">
      <w:start w:val="1"/>
      <w:numFmt w:val="decimal"/>
      <w:lvlText w:val="%1.%2.%3.%4.%5.%6.%7."/>
      <w:lvlJc w:val="left"/>
      <w:pPr>
        <w:ind w:left="1276" w:hanging="1276"/>
      </w:pPr>
      <w:rPr>
        <w:rFonts w:hint="eastAsia"/>
      </w:rPr>
    </w:lvl>
    <w:lvl w:ilvl="7" w:tentative="0">
      <w:start w:val="1"/>
      <w:numFmt w:val="decimal"/>
      <w:lvlText w:val="%1.%2.%3.%4.%5.%6.%7.%8."/>
      <w:lvlJc w:val="left"/>
      <w:pPr>
        <w:ind w:left="1418" w:hanging="1418"/>
      </w:pPr>
      <w:rPr>
        <w:rFonts w:hint="eastAsia"/>
      </w:rPr>
    </w:lvl>
    <w:lvl w:ilvl="8" w:tentative="0">
      <w:start w:val="1"/>
      <w:numFmt w:val="decimal"/>
      <w:lvlText w:val="%1.%2.%3.%4.%5.%6.%7.%8.%9."/>
      <w:lvlJc w:val="left"/>
      <w:pPr>
        <w:ind w:left="1559" w:hanging="1559"/>
      </w:pPr>
      <w:rPr>
        <w:rFonts w:hint="eastAsia"/>
      </w:rPr>
    </w:lvl>
  </w:abstractNum>
  <w:abstractNum w:abstractNumId="2">
    <w:nsid w:val="74356FD3"/>
    <w:multiLevelType w:val="singleLevel"/>
    <w:tmpl w:val="74356FD3"/>
    <w:lvl w:ilvl="0" w:tentative="0">
      <w:start w:val="3"/>
      <w:numFmt w:val="decimal"/>
      <w:suff w:val="nothing"/>
      <w:lvlText w:val="（%1）"/>
      <w:lvlJc w:val="left"/>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0"/>
  <w:bordersDoNotSurroundFooter w:val="0"/>
  <w:documentProtection w:edit="trackedChanges" w:enforcement="0"/>
  <w:defaultTabStop w:val="420"/>
  <w:doNotHyphenateCaps/>
  <w:drawingGridHorizontalSpacing w:val="105"/>
  <w:drawingGridVerticalSpacing w:val="156"/>
  <w:displayHorizontalDrawingGridEvery w:val="1"/>
  <w:displayVerticalDrawingGridEvery w:val="1"/>
  <w:noPunctuationKerning w:val="1"/>
  <w:characterSpacingControl w:val="compressPunctuation"/>
  <w:noLineBreaksAfter w:lang="zh-CN" w:val="$([{£¥·‘“〈《「『【〔〖〝﹙﹛﹝＄（．［｛￡￥"/>
  <w:noLineBreaksBefore w:lang="zh-CN" w:val="!%),.:;&gt;?]}¢¨°·ˇˉ―‖’”…‰′″›℃∶、。〃〉》」』】〕〗〞︶︺︾﹀﹄﹚﹜﹞！＂％＇），．：；？］｀｜｝～￠"/>
  <w:doNotValidateAgainstSchema/>
  <w:doNotDemarcateInvalidXml/>
  <w:hdrShapeDefaults>
    <o:shapelayout v:ext="edit">
      <o:idmap v:ext="edit" data="1"/>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jJiYzRjZDg4ODIxMmZkMzVjYzYxNzIzMDEwYjJjY2IifQ=="/>
    <w:docVar w:name="KSO_WPS_MARK_KEY" w:val="424f1935-9e06-436d-94d3-6c5302251c54"/>
  </w:docVars>
  <w:rsids>
    <w:rsidRoot w:val="00172A27"/>
    <w:rsid w:val="00001CED"/>
    <w:rsid w:val="00001E67"/>
    <w:rsid w:val="00003CD8"/>
    <w:rsid w:val="00014965"/>
    <w:rsid w:val="0001523A"/>
    <w:rsid w:val="00016ECB"/>
    <w:rsid w:val="000269F6"/>
    <w:rsid w:val="00031939"/>
    <w:rsid w:val="00032D25"/>
    <w:rsid w:val="0004352A"/>
    <w:rsid w:val="0005219D"/>
    <w:rsid w:val="0005568F"/>
    <w:rsid w:val="0006153D"/>
    <w:rsid w:val="00061B1F"/>
    <w:rsid w:val="000664DB"/>
    <w:rsid w:val="0007127D"/>
    <w:rsid w:val="00071AE5"/>
    <w:rsid w:val="00074783"/>
    <w:rsid w:val="000801E0"/>
    <w:rsid w:val="00082A29"/>
    <w:rsid w:val="0008331D"/>
    <w:rsid w:val="00083C18"/>
    <w:rsid w:val="00092899"/>
    <w:rsid w:val="000A178E"/>
    <w:rsid w:val="000A557E"/>
    <w:rsid w:val="000B058F"/>
    <w:rsid w:val="000B693F"/>
    <w:rsid w:val="000C09AC"/>
    <w:rsid w:val="000C0A63"/>
    <w:rsid w:val="000C437E"/>
    <w:rsid w:val="000E5F16"/>
    <w:rsid w:val="000F4452"/>
    <w:rsid w:val="000F6DA1"/>
    <w:rsid w:val="000F701B"/>
    <w:rsid w:val="001056A0"/>
    <w:rsid w:val="00115279"/>
    <w:rsid w:val="00117459"/>
    <w:rsid w:val="0011749A"/>
    <w:rsid w:val="00127A68"/>
    <w:rsid w:val="00140B13"/>
    <w:rsid w:val="00141B68"/>
    <w:rsid w:val="001466DA"/>
    <w:rsid w:val="00154DE1"/>
    <w:rsid w:val="00155B40"/>
    <w:rsid w:val="00157435"/>
    <w:rsid w:val="00163EEA"/>
    <w:rsid w:val="00167A07"/>
    <w:rsid w:val="0017046A"/>
    <w:rsid w:val="001704A3"/>
    <w:rsid w:val="00172A27"/>
    <w:rsid w:val="00172E78"/>
    <w:rsid w:val="0017504D"/>
    <w:rsid w:val="00177422"/>
    <w:rsid w:val="00184F10"/>
    <w:rsid w:val="00185546"/>
    <w:rsid w:val="0019146B"/>
    <w:rsid w:val="00194398"/>
    <w:rsid w:val="001A7D2A"/>
    <w:rsid w:val="001B08D6"/>
    <w:rsid w:val="001B4891"/>
    <w:rsid w:val="001B574C"/>
    <w:rsid w:val="001C0AF9"/>
    <w:rsid w:val="001C155A"/>
    <w:rsid w:val="001C48C0"/>
    <w:rsid w:val="001D6726"/>
    <w:rsid w:val="001F3347"/>
    <w:rsid w:val="001F4440"/>
    <w:rsid w:val="001F69E4"/>
    <w:rsid w:val="001F7F7E"/>
    <w:rsid w:val="00206A65"/>
    <w:rsid w:val="00212D31"/>
    <w:rsid w:val="002130C7"/>
    <w:rsid w:val="002218A8"/>
    <w:rsid w:val="0022306D"/>
    <w:rsid w:val="00226574"/>
    <w:rsid w:val="002278EC"/>
    <w:rsid w:val="002357C7"/>
    <w:rsid w:val="002367C4"/>
    <w:rsid w:val="0025679E"/>
    <w:rsid w:val="00260C68"/>
    <w:rsid w:val="002648B0"/>
    <w:rsid w:val="00275271"/>
    <w:rsid w:val="0027535E"/>
    <w:rsid w:val="00275AA6"/>
    <w:rsid w:val="002807D5"/>
    <w:rsid w:val="00282CCD"/>
    <w:rsid w:val="002A168C"/>
    <w:rsid w:val="002A2C48"/>
    <w:rsid w:val="002A3EED"/>
    <w:rsid w:val="002A4A39"/>
    <w:rsid w:val="002A5A17"/>
    <w:rsid w:val="002A6425"/>
    <w:rsid w:val="002A69E1"/>
    <w:rsid w:val="002B49E2"/>
    <w:rsid w:val="002B7B00"/>
    <w:rsid w:val="002B7C44"/>
    <w:rsid w:val="002C1388"/>
    <w:rsid w:val="002C3C6A"/>
    <w:rsid w:val="002D42DB"/>
    <w:rsid w:val="002E1F3A"/>
    <w:rsid w:val="002E298A"/>
    <w:rsid w:val="002F02A4"/>
    <w:rsid w:val="002F272B"/>
    <w:rsid w:val="002F7C6D"/>
    <w:rsid w:val="003027E4"/>
    <w:rsid w:val="0030332C"/>
    <w:rsid w:val="00312296"/>
    <w:rsid w:val="0031340E"/>
    <w:rsid w:val="00316464"/>
    <w:rsid w:val="0032073A"/>
    <w:rsid w:val="00321D8E"/>
    <w:rsid w:val="00334996"/>
    <w:rsid w:val="00336969"/>
    <w:rsid w:val="00336C52"/>
    <w:rsid w:val="00341B3E"/>
    <w:rsid w:val="00341B42"/>
    <w:rsid w:val="00345154"/>
    <w:rsid w:val="0034560E"/>
    <w:rsid w:val="00350523"/>
    <w:rsid w:val="00352975"/>
    <w:rsid w:val="00353453"/>
    <w:rsid w:val="00356868"/>
    <w:rsid w:val="0036485B"/>
    <w:rsid w:val="00373B0D"/>
    <w:rsid w:val="00376988"/>
    <w:rsid w:val="00381A72"/>
    <w:rsid w:val="003A1948"/>
    <w:rsid w:val="003A425C"/>
    <w:rsid w:val="003B152A"/>
    <w:rsid w:val="003B545B"/>
    <w:rsid w:val="003D3EE9"/>
    <w:rsid w:val="003E2A5B"/>
    <w:rsid w:val="003E7681"/>
    <w:rsid w:val="003F0809"/>
    <w:rsid w:val="003F192B"/>
    <w:rsid w:val="003F611C"/>
    <w:rsid w:val="003F755C"/>
    <w:rsid w:val="00406F01"/>
    <w:rsid w:val="00411B36"/>
    <w:rsid w:val="004121D7"/>
    <w:rsid w:val="00416D50"/>
    <w:rsid w:val="00417772"/>
    <w:rsid w:val="00420E6A"/>
    <w:rsid w:val="0042147E"/>
    <w:rsid w:val="00433CA9"/>
    <w:rsid w:val="0043521D"/>
    <w:rsid w:val="00442024"/>
    <w:rsid w:val="0044254C"/>
    <w:rsid w:val="00443F6A"/>
    <w:rsid w:val="00450A17"/>
    <w:rsid w:val="00466321"/>
    <w:rsid w:val="004672AF"/>
    <w:rsid w:val="004727B0"/>
    <w:rsid w:val="0047410B"/>
    <w:rsid w:val="00480247"/>
    <w:rsid w:val="0048081D"/>
    <w:rsid w:val="0048117E"/>
    <w:rsid w:val="004855F6"/>
    <w:rsid w:val="00486F0C"/>
    <w:rsid w:val="00494670"/>
    <w:rsid w:val="004A0EB4"/>
    <w:rsid w:val="004A3823"/>
    <w:rsid w:val="004A59BB"/>
    <w:rsid w:val="004B43A3"/>
    <w:rsid w:val="004B4C49"/>
    <w:rsid w:val="004B58A5"/>
    <w:rsid w:val="004B63D9"/>
    <w:rsid w:val="004C0882"/>
    <w:rsid w:val="004C55BE"/>
    <w:rsid w:val="004E5B30"/>
    <w:rsid w:val="004F0779"/>
    <w:rsid w:val="004F1230"/>
    <w:rsid w:val="004F173F"/>
    <w:rsid w:val="004F177C"/>
    <w:rsid w:val="004F2DCE"/>
    <w:rsid w:val="005039CB"/>
    <w:rsid w:val="0050558F"/>
    <w:rsid w:val="005057E0"/>
    <w:rsid w:val="00506286"/>
    <w:rsid w:val="00510813"/>
    <w:rsid w:val="00511DE0"/>
    <w:rsid w:val="00517F02"/>
    <w:rsid w:val="00524547"/>
    <w:rsid w:val="005258A2"/>
    <w:rsid w:val="00530F7C"/>
    <w:rsid w:val="00534567"/>
    <w:rsid w:val="00534F43"/>
    <w:rsid w:val="00535A84"/>
    <w:rsid w:val="00536889"/>
    <w:rsid w:val="00542E07"/>
    <w:rsid w:val="00554A7B"/>
    <w:rsid w:val="0055572C"/>
    <w:rsid w:val="0056064F"/>
    <w:rsid w:val="00561B84"/>
    <w:rsid w:val="00571D98"/>
    <w:rsid w:val="005720AE"/>
    <w:rsid w:val="00573470"/>
    <w:rsid w:val="0058030D"/>
    <w:rsid w:val="00582045"/>
    <w:rsid w:val="00590AE3"/>
    <w:rsid w:val="005918F1"/>
    <w:rsid w:val="005A06B7"/>
    <w:rsid w:val="005A1759"/>
    <w:rsid w:val="005B6266"/>
    <w:rsid w:val="005D0369"/>
    <w:rsid w:val="005D53FE"/>
    <w:rsid w:val="005D7A0F"/>
    <w:rsid w:val="005E0438"/>
    <w:rsid w:val="005E1791"/>
    <w:rsid w:val="005E2CE6"/>
    <w:rsid w:val="005E6324"/>
    <w:rsid w:val="005F228B"/>
    <w:rsid w:val="005F29CD"/>
    <w:rsid w:val="005F4DFB"/>
    <w:rsid w:val="005F6CC0"/>
    <w:rsid w:val="00603E5B"/>
    <w:rsid w:val="00604BC8"/>
    <w:rsid w:val="00615B4C"/>
    <w:rsid w:val="00615B5D"/>
    <w:rsid w:val="0062146F"/>
    <w:rsid w:val="006343AF"/>
    <w:rsid w:val="0063634A"/>
    <w:rsid w:val="0064250D"/>
    <w:rsid w:val="006535EB"/>
    <w:rsid w:val="00663016"/>
    <w:rsid w:val="00674605"/>
    <w:rsid w:val="006748B8"/>
    <w:rsid w:val="0068535B"/>
    <w:rsid w:val="0068736E"/>
    <w:rsid w:val="0069290A"/>
    <w:rsid w:val="00697032"/>
    <w:rsid w:val="006975AC"/>
    <w:rsid w:val="006A15FB"/>
    <w:rsid w:val="006A72BF"/>
    <w:rsid w:val="006B332A"/>
    <w:rsid w:val="006B33BD"/>
    <w:rsid w:val="006C3F75"/>
    <w:rsid w:val="006D170E"/>
    <w:rsid w:val="006E06AF"/>
    <w:rsid w:val="006F1789"/>
    <w:rsid w:val="00706C5D"/>
    <w:rsid w:val="007118E6"/>
    <w:rsid w:val="00717169"/>
    <w:rsid w:val="007225C9"/>
    <w:rsid w:val="00735CD7"/>
    <w:rsid w:val="00754034"/>
    <w:rsid w:val="00754BF1"/>
    <w:rsid w:val="00755A30"/>
    <w:rsid w:val="00755E1C"/>
    <w:rsid w:val="00756556"/>
    <w:rsid w:val="0076132B"/>
    <w:rsid w:val="007623AE"/>
    <w:rsid w:val="00770B19"/>
    <w:rsid w:val="00774FA0"/>
    <w:rsid w:val="00776620"/>
    <w:rsid w:val="00777B6D"/>
    <w:rsid w:val="00784855"/>
    <w:rsid w:val="00784F39"/>
    <w:rsid w:val="0078545C"/>
    <w:rsid w:val="007906C4"/>
    <w:rsid w:val="007940EA"/>
    <w:rsid w:val="007967E8"/>
    <w:rsid w:val="007A63F2"/>
    <w:rsid w:val="007B68DE"/>
    <w:rsid w:val="007C1857"/>
    <w:rsid w:val="007C322B"/>
    <w:rsid w:val="007C514F"/>
    <w:rsid w:val="007D0F95"/>
    <w:rsid w:val="007D7ECB"/>
    <w:rsid w:val="007E25A1"/>
    <w:rsid w:val="007E4BD2"/>
    <w:rsid w:val="007E7145"/>
    <w:rsid w:val="007F3916"/>
    <w:rsid w:val="007F7298"/>
    <w:rsid w:val="00801179"/>
    <w:rsid w:val="00802479"/>
    <w:rsid w:val="00805372"/>
    <w:rsid w:val="00805B7B"/>
    <w:rsid w:val="0081293E"/>
    <w:rsid w:val="00814FFB"/>
    <w:rsid w:val="00820568"/>
    <w:rsid w:val="00831A80"/>
    <w:rsid w:val="008332C8"/>
    <w:rsid w:val="00833743"/>
    <w:rsid w:val="008340A4"/>
    <w:rsid w:val="00836799"/>
    <w:rsid w:val="00837028"/>
    <w:rsid w:val="00837131"/>
    <w:rsid w:val="00845F57"/>
    <w:rsid w:val="008521E0"/>
    <w:rsid w:val="008525B0"/>
    <w:rsid w:val="00867CBC"/>
    <w:rsid w:val="00876C30"/>
    <w:rsid w:val="00877017"/>
    <w:rsid w:val="008773C0"/>
    <w:rsid w:val="00880364"/>
    <w:rsid w:val="00886C4C"/>
    <w:rsid w:val="0088711C"/>
    <w:rsid w:val="00892ECF"/>
    <w:rsid w:val="00892F06"/>
    <w:rsid w:val="00894285"/>
    <w:rsid w:val="008A40AE"/>
    <w:rsid w:val="008A4E19"/>
    <w:rsid w:val="008A67C5"/>
    <w:rsid w:val="008B22E1"/>
    <w:rsid w:val="008B3C78"/>
    <w:rsid w:val="008B4AE9"/>
    <w:rsid w:val="008C30AD"/>
    <w:rsid w:val="008D068E"/>
    <w:rsid w:val="008D0F7A"/>
    <w:rsid w:val="008D63BE"/>
    <w:rsid w:val="008E0CFF"/>
    <w:rsid w:val="008E5D6B"/>
    <w:rsid w:val="008E689B"/>
    <w:rsid w:val="008E76F0"/>
    <w:rsid w:val="008F15FE"/>
    <w:rsid w:val="008F2A94"/>
    <w:rsid w:val="008F5187"/>
    <w:rsid w:val="008F709C"/>
    <w:rsid w:val="0090312B"/>
    <w:rsid w:val="00904961"/>
    <w:rsid w:val="0091736D"/>
    <w:rsid w:val="00931001"/>
    <w:rsid w:val="00931863"/>
    <w:rsid w:val="00933524"/>
    <w:rsid w:val="0094278D"/>
    <w:rsid w:val="0095308A"/>
    <w:rsid w:val="00955AEE"/>
    <w:rsid w:val="00956F14"/>
    <w:rsid w:val="009620FD"/>
    <w:rsid w:val="0096247A"/>
    <w:rsid w:val="00965F4B"/>
    <w:rsid w:val="00970F8A"/>
    <w:rsid w:val="00971FB5"/>
    <w:rsid w:val="00972D2A"/>
    <w:rsid w:val="00975CC5"/>
    <w:rsid w:val="00976328"/>
    <w:rsid w:val="00976B4E"/>
    <w:rsid w:val="00984458"/>
    <w:rsid w:val="00985283"/>
    <w:rsid w:val="00987322"/>
    <w:rsid w:val="009A0F3B"/>
    <w:rsid w:val="009A72C7"/>
    <w:rsid w:val="009B0897"/>
    <w:rsid w:val="009D0852"/>
    <w:rsid w:val="009D1FBF"/>
    <w:rsid w:val="009E399C"/>
    <w:rsid w:val="009E43C1"/>
    <w:rsid w:val="009E7E95"/>
    <w:rsid w:val="009F116F"/>
    <w:rsid w:val="009F329E"/>
    <w:rsid w:val="009F7ED3"/>
    <w:rsid w:val="00A03607"/>
    <w:rsid w:val="00A047FF"/>
    <w:rsid w:val="00A04FEF"/>
    <w:rsid w:val="00A122CD"/>
    <w:rsid w:val="00A12A32"/>
    <w:rsid w:val="00A14248"/>
    <w:rsid w:val="00A14947"/>
    <w:rsid w:val="00A23DC5"/>
    <w:rsid w:val="00A34028"/>
    <w:rsid w:val="00A35568"/>
    <w:rsid w:val="00A37056"/>
    <w:rsid w:val="00A4358F"/>
    <w:rsid w:val="00A46F67"/>
    <w:rsid w:val="00A54AA1"/>
    <w:rsid w:val="00A568FF"/>
    <w:rsid w:val="00A61496"/>
    <w:rsid w:val="00A61833"/>
    <w:rsid w:val="00A624C6"/>
    <w:rsid w:val="00A63CEC"/>
    <w:rsid w:val="00A7031E"/>
    <w:rsid w:val="00A728B1"/>
    <w:rsid w:val="00A763DE"/>
    <w:rsid w:val="00A803D6"/>
    <w:rsid w:val="00A81282"/>
    <w:rsid w:val="00A8713F"/>
    <w:rsid w:val="00A91167"/>
    <w:rsid w:val="00A9171C"/>
    <w:rsid w:val="00A92FFD"/>
    <w:rsid w:val="00A95975"/>
    <w:rsid w:val="00A9708D"/>
    <w:rsid w:val="00AA2C17"/>
    <w:rsid w:val="00AA4172"/>
    <w:rsid w:val="00AB1914"/>
    <w:rsid w:val="00AB5330"/>
    <w:rsid w:val="00AB7747"/>
    <w:rsid w:val="00AC2532"/>
    <w:rsid w:val="00AD1507"/>
    <w:rsid w:val="00AD5A70"/>
    <w:rsid w:val="00AD738B"/>
    <w:rsid w:val="00AE0C82"/>
    <w:rsid w:val="00AE1BF4"/>
    <w:rsid w:val="00AE5D97"/>
    <w:rsid w:val="00AE6794"/>
    <w:rsid w:val="00B01110"/>
    <w:rsid w:val="00B02262"/>
    <w:rsid w:val="00B03CEC"/>
    <w:rsid w:val="00B1209F"/>
    <w:rsid w:val="00B12AD0"/>
    <w:rsid w:val="00B24F30"/>
    <w:rsid w:val="00B31ABF"/>
    <w:rsid w:val="00B335AE"/>
    <w:rsid w:val="00B37CE1"/>
    <w:rsid w:val="00B40ACF"/>
    <w:rsid w:val="00B46BAA"/>
    <w:rsid w:val="00B50B5F"/>
    <w:rsid w:val="00B54128"/>
    <w:rsid w:val="00B55826"/>
    <w:rsid w:val="00B60426"/>
    <w:rsid w:val="00B622DD"/>
    <w:rsid w:val="00B63522"/>
    <w:rsid w:val="00B76F1D"/>
    <w:rsid w:val="00B92A19"/>
    <w:rsid w:val="00B9544C"/>
    <w:rsid w:val="00BA29E9"/>
    <w:rsid w:val="00BB3618"/>
    <w:rsid w:val="00BC0C9E"/>
    <w:rsid w:val="00BC2D0C"/>
    <w:rsid w:val="00BC32DC"/>
    <w:rsid w:val="00BD1B51"/>
    <w:rsid w:val="00BD47F6"/>
    <w:rsid w:val="00BE312D"/>
    <w:rsid w:val="00BE3FCA"/>
    <w:rsid w:val="00BF5BEB"/>
    <w:rsid w:val="00C05719"/>
    <w:rsid w:val="00C10578"/>
    <w:rsid w:val="00C10E59"/>
    <w:rsid w:val="00C17D62"/>
    <w:rsid w:val="00C21FDC"/>
    <w:rsid w:val="00C24EE7"/>
    <w:rsid w:val="00C2596A"/>
    <w:rsid w:val="00C271BE"/>
    <w:rsid w:val="00C27425"/>
    <w:rsid w:val="00C328FE"/>
    <w:rsid w:val="00C33A05"/>
    <w:rsid w:val="00C42500"/>
    <w:rsid w:val="00C4409D"/>
    <w:rsid w:val="00C455BE"/>
    <w:rsid w:val="00C51E5F"/>
    <w:rsid w:val="00C61E4B"/>
    <w:rsid w:val="00C62E3A"/>
    <w:rsid w:val="00C64503"/>
    <w:rsid w:val="00C64A1F"/>
    <w:rsid w:val="00C64BFF"/>
    <w:rsid w:val="00C70AE5"/>
    <w:rsid w:val="00C763C9"/>
    <w:rsid w:val="00C80057"/>
    <w:rsid w:val="00C82C79"/>
    <w:rsid w:val="00C84753"/>
    <w:rsid w:val="00C91611"/>
    <w:rsid w:val="00CA3585"/>
    <w:rsid w:val="00CA3D5A"/>
    <w:rsid w:val="00CA4C7C"/>
    <w:rsid w:val="00CB0183"/>
    <w:rsid w:val="00CB1EA3"/>
    <w:rsid w:val="00CB552C"/>
    <w:rsid w:val="00CB6A9E"/>
    <w:rsid w:val="00CC6181"/>
    <w:rsid w:val="00CD2BCD"/>
    <w:rsid w:val="00CD36AA"/>
    <w:rsid w:val="00CD3791"/>
    <w:rsid w:val="00CD65B0"/>
    <w:rsid w:val="00CE02CD"/>
    <w:rsid w:val="00CE10E9"/>
    <w:rsid w:val="00CE5F08"/>
    <w:rsid w:val="00D0072E"/>
    <w:rsid w:val="00D15727"/>
    <w:rsid w:val="00D16332"/>
    <w:rsid w:val="00D24972"/>
    <w:rsid w:val="00D2515E"/>
    <w:rsid w:val="00D308ED"/>
    <w:rsid w:val="00D56178"/>
    <w:rsid w:val="00D56CF0"/>
    <w:rsid w:val="00D56F5C"/>
    <w:rsid w:val="00D704B1"/>
    <w:rsid w:val="00D70B63"/>
    <w:rsid w:val="00D72B92"/>
    <w:rsid w:val="00D72ED4"/>
    <w:rsid w:val="00D73F61"/>
    <w:rsid w:val="00D754C0"/>
    <w:rsid w:val="00D776A2"/>
    <w:rsid w:val="00D801C4"/>
    <w:rsid w:val="00D90836"/>
    <w:rsid w:val="00D95896"/>
    <w:rsid w:val="00D95CC6"/>
    <w:rsid w:val="00DA2DA3"/>
    <w:rsid w:val="00DA6615"/>
    <w:rsid w:val="00DA76AE"/>
    <w:rsid w:val="00DB181E"/>
    <w:rsid w:val="00DB1C7A"/>
    <w:rsid w:val="00DB2983"/>
    <w:rsid w:val="00DB343D"/>
    <w:rsid w:val="00DB5579"/>
    <w:rsid w:val="00DB5CFE"/>
    <w:rsid w:val="00DC72A6"/>
    <w:rsid w:val="00DD2113"/>
    <w:rsid w:val="00DD265E"/>
    <w:rsid w:val="00DD31EE"/>
    <w:rsid w:val="00DF1930"/>
    <w:rsid w:val="00DF514A"/>
    <w:rsid w:val="00E0358D"/>
    <w:rsid w:val="00E06327"/>
    <w:rsid w:val="00E2064B"/>
    <w:rsid w:val="00E25239"/>
    <w:rsid w:val="00E265B1"/>
    <w:rsid w:val="00E275B0"/>
    <w:rsid w:val="00E412D0"/>
    <w:rsid w:val="00E47CDB"/>
    <w:rsid w:val="00E566BC"/>
    <w:rsid w:val="00E60982"/>
    <w:rsid w:val="00E60C8D"/>
    <w:rsid w:val="00E6162F"/>
    <w:rsid w:val="00E6311B"/>
    <w:rsid w:val="00E65D97"/>
    <w:rsid w:val="00E67EFD"/>
    <w:rsid w:val="00E702DC"/>
    <w:rsid w:val="00E71FFB"/>
    <w:rsid w:val="00E76D1D"/>
    <w:rsid w:val="00E806F8"/>
    <w:rsid w:val="00E87752"/>
    <w:rsid w:val="00E8793B"/>
    <w:rsid w:val="00E90F81"/>
    <w:rsid w:val="00E91A6D"/>
    <w:rsid w:val="00E9242D"/>
    <w:rsid w:val="00EB041C"/>
    <w:rsid w:val="00EC5874"/>
    <w:rsid w:val="00ED192D"/>
    <w:rsid w:val="00ED30B4"/>
    <w:rsid w:val="00ED31F5"/>
    <w:rsid w:val="00EF2759"/>
    <w:rsid w:val="00EF45EB"/>
    <w:rsid w:val="00EF5099"/>
    <w:rsid w:val="00EF5E33"/>
    <w:rsid w:val="00F00075"/>
    <w:rsid w:val="00F07822"/>
    <w:rsid w:val="00F15C95"/>
    <w:rsid w:val="00F22985"/>
    <w:rsid w:val="00F241AB"/>
    <w:rsid w:val="00F31382"/>
    <w:rsid w:val="00F35829"/>
    <w:rsid w:val="00F42868"/>
    <w:rsid w:val="00F465A7"/>
    <w:rsid w:val="00F50B7C"/>
    <w:rsid w:val="00F5202D"/>
    <w:rsid w:val="00F52CF6"/>
    <w:rsid w:val="00F54496"/>
    <w:rsid w:val="00F61097"/>
    <w:rsid w:val="00F74345"/>
    <w:rsid w:val="00F74441"/>
    <w:rsid w:val="00F77F30"/>
    <w:rsid w:val="00F82589"/>
    <w:rsid w:val="00F82B19"/>
    <w:rsid w:val="00F90AA7"/>
    <w:rsid w:val="00F9212D"/>
    <w:rsid w:val="00FA301A"/>
    <w:rsid w:val="00FA406A"/>
    <w:rsid w:val="00FA5CB6"/>
    <w:rsid w:val="00FB1327"/>
    <w:rsid w:val="00FC3E1B"/>
    <w:rsid w:val="00FC66AC"/>
    <w:rsid w:val="00FD18F4"/>
    <w:rsid w:val="00FD74B4"/>
    <w:rsid w:val="00FF6FCE"/>
    <w:rsid w:val="00FF7518"/>
    <w:rsid w:val="00FF7FD8"/>
    <w:rsid w:val="01057672"/>
    <w:rsid w:val="01396E1E"/>
    <w:rsid w:val="01472CB5"/>
    <w:rsid w:val="01532C0F"/>
    <w:rsid w:val="01534314"/>
    <w:rsid w:val="01690924"/>
    <w:rsid w:val="01765751"/>
    <w:rsid w:val="01A51D32"/>
    <w:rsid w:val="01D4514D"/>
    <w:rsid w:val="0201679D"/>
    <w:rsid w:val="022069AA"/>
    <w:rsid w:val="02366BB6"/>
    <w:rsid w:val="029A7570"/>
    <w:rsid w:val="02DA7492"/>
    <w:rsid w:val="030F3F07"/>
    <w:rsid w:val="032F72C9"/>
    <w:rsid w:val="034C5ECE"/>
    <w:rsid w:val="035C1E85"/>
    <w:rsid w:val="03707D7A"/>
    <w:rsid w:val="03757FAC"/>
    <w:rsid w:val="037C5830"/>
    <w:rsid w:val="03820E64"/>
    <w:rsid w:val="039A24FA"/>
    <w:rsid w:val="03A461ED"/>
    <w:rsid w:val="03FA1CA5"/>
    <w:rsid w:val="04046986"/>
    <w:rsid w:val="04342E44"/>
    <w:rsid w:val="043A609A"/>
    <w:rsid w:val="048E10AF"/>
    <w:rsid w:val="04D10E00"/>
    <w:rsid w:val="04E65BFA"/>
    <w:rsid w:val="0562046D"/>
    <w:rsid w:val="056A55DD"/>
    <w:rsid w:val="05742AC8"/>
    <w:rsid w:val="059B6FF3"/>
    <w:rsid w:val="05FE510B"/>
    <w:rsid w:val="06017F04"/>
    <w:rsid w:val="06352F05"/>
    <w:rsid w:val="063E7D85"/>
    <w:rsid w:val="070875E0"/>
    <w:rsid w:val="07225656"/>
    <w:rsid w:val="07293586"/>
    <w:rsid w:val="07295285"/>
    <w:rsid w:val="07583D9F"/>
    <w:rsid w:val="07770C56"/>
    <w:rsid w:val="07771AB8"/>
    <w:rsid w:val="07974B6A"/>
    <w:rsid w:val="07AC06C8"/>
    <w:rsid w:val="07AE740A"/>
    <w:rsid w:val="07C12195"/>
    <w:rsid w:val="08431997"/>
    <w:rsid w:val="0856652A"/>
    <w:rsid w:val="086663BF"/>
    <w:rsid w:val="0872192F"/>
    <w:rsid w:val="087B6497"/>
    <w:rsid w:val="08A34DB8"/>
    <w:rsid w:val="08A526FC"/>
    <w:rsid w:val="08AD5374"/>
    <w:rsid w:val="08E052B1"/>
    <w:rsid w:val="09173536"/>
    <w:rsid w:val="091905B2"/>
    <w:rsid w:val="092217DD"/>
    <w:rsid w:val="092658C2"/>
    <w:rsid w:val="09356D1C"/>
    <w:rsid w:val="093A7294"/>
    <w:rsid w:val="09830237"/>
    <w:rsid w:val="09A204D2"/>
    <w:rsid w:val="09B54DCF"/>
    <w:rsid w:val="09D8587B"/>
    <w:rsid w:val="09FA3FA4"/>
    <w:rsid w:val="0A2442E9"/>
    <w:rsid w:val="0A3B6360"/>
    <w:rsid w:val="0A9418B3"/>
    <w:rsid w:val="0AA134E8"/>
    <w:rsid w:val="0AAE1241"/>
    <w:rsid w:val="0AB614DF"/>
    <w:rsid w:val="0AE10F04"/>
    <w:rsid w:val="0B1353AB"/>
    <w:rsid w:val="0B303182"/>
    <w:rsid w:val="0B311D82"/>
    <w:rsid w:val="0B4064A3"/>
    <w:rsid w:val="0B424B21"/>
    <w:rsid w:val="0B4C1878"/>
    <w:rsid w:val="0B4D40F2"/>
    <w:rsid w:val="0B4D5608"/>
    <w:rsid w:val="0B8F46B7"/>
    <w:rsid w:val="0B97382D"/>
    <w:rsid w:val="0BB17D3E"/>
    <w:rsid w:val="0BBE6688"/>
    <w:rsid w:val="0BD27BF6"/>
    <w:rsid w:val="0BE429C3"/>
    <w:rsid w:val="0BF77472"/>
    <w:rsid w:val="0C1E28DC"/>
    <w:rsid w:val="0C292D67"/>
    <w:rsid w:val="0C58315E"/>
    <w:rsid w:val="0C5B233E"/>
    <w:rsid w:val="0C7463AC"/>
    <w:rsid w:val="0C807A9D"/>
    <w:rsid w:val="0CBA486A"/>
    <w:rsid w:val="0CEE4F60"/>
    <w:rsid w:val="0D024BCA"/>
    <w:rsid w:val="0D11282A"/>
    <w:rsid w:val="0D171F1F"/>
    <w:rsid w:val="0D220AA1"/>
    <w:rsid w:val="0D387A91"/>
    <w:rsid w:val="0D5A43A4"/>
    <w:rsid w:val="0D621312"/>
    <w:rsid w:val="0DA21006"/>
    <w:rsid w:val="0DD5030F"/>
    <w:rsid w:val="0DE80E56"/>
    <w:rsid w:val="0DEB2A04"/>
    <w:rsid w:val="0DF2046D"/>
    <w:rsid w:val="0DF33CEC"/>
    <w:rsid w:val="0E110D06"/>
    <w:rsid w:val="0E243866"/>
    <w:rsid w:val="0E292A84"/>
    <w:rsid w:val="0E2C3CF9"/>
    <w:rsid w:val="0E6076FB"/>
    <w:rsid w:val="0E692C55"/>
    <w:rsid w:val="0E820056"/>
    <w:rsid w:val="0E881B66"/>
    <w:rsid w:val="0E973903"/>
    <w:rsid w:val="0EA62BEA"/>
    <w:rsid w:val="0EA93673"/>
    <w:rsid w:val="0ED7160D"/>
    <w:rsid w:val="0F13775A"/>
    <w:rsid w:val="0F296723"/>
    <w:rsid w:val="0F316751"/>
    <w:rsid w:val="0F5101BB"/>
    <w:rsid w:val="0F7F44F2"/>
    <w:rsid w:val="0F9A112B"/>
    <w:rsid w:val="0FB906B7"/>
    <w:rsid w:val="0FCE1C05"/>
    <w:rsid w:val="0FFC7B4A"/>
    <w:rsid w:val="1021564D"/>
    <w:rsid w:val="10391364"/>
    <w:rsid w:val="104660CD"/>
    <w:rsid w:val="104F193D"/>
    <w:rsid w:val="106D2F64"/>
    <w:rsid w:val="10B63710"/>
    <w:rsid w:val="10C20E67"/>
    <w:rsid w:val="10DA2DBB"/>
    <w:rsid w:val="10E34B96"/>
    <w:rsid w:val="1102249F"/>
    <w:rsid w:val="111C2F7A"/>
    <w:rsid w:val="113013DE"/>
    <w:rsid w:val="11355DE6"/>
    <w:rsid w:val="11724690"/>
    <w:rsid w:val="117619A0"/>
    <w:rsid w:val="11946A0B"/>
    <w:rsid w:val="11BC3752"/>
    <w:rsid w:val="11BF2923"/>
    <w:rsid w:val="12086A9C"/>
    <w:rsid w:val="122A7CE7"/>
    <w:rsid w:val="122B06C2"/>
    <w:rsid w:val="122C62A6"/>
    <w:rsid w:val="122F633B"/>
    <w:rsid w:val="1237784D"/>
    <w:rsid w:val="125877E2"/>
    <w:rsid w:val="129F30E0"/>
    <w:rsid w:val="12BD585B"/>
    <w:rsid w:val="133C5900"/>
    <w:rsid w:val="134F5460"/>
    <w:rsid w:val="13651CF4"/>
    <w:rsid w:val="13722721"/>
    <w:rsid w:val="13951726"/>
    <w:rsid w:val="13AC384A"/>
    <w:rsid w:val="13D9242C"/>
    <w:rsid w:val="13DC0F8C"/>
    <w:rsid w:val="13E26F6D"/>
    <w:rsid w:val="141F2492"/>
    <w:rsid w:val="143466DA"/>
    <w:rsid w:val="1437478C"/>
    <w:rsid w:val="14396509"/>
    <w:rsid w:val="1447165C"/>
    <w:rsid w:val="145533A6"/>
    <w:rsid w:val="147D4EBA"/>
    <w:rsid w:val="14AC09ED"/>
    <w:rsid w:val="14CA57D9"/>
    <w:rsid w:val="14D0464D"/>
    <w:rsid w:val="14DA015F"/>
    <w:rsid w:val="1520649B"/>
    <w:rsid w:val="152938BD"/>
    <w:rsid w:val="15467312"/>
    <w:rsid w:val="1573763B"/>
    <w:rsid w:val="1582242E"/>
    <w:rsid w:val="158866E3"/>
    <w:rsid w:val="15C51281"/>
    <w:rsid w:val="15FE26D8"/>
    <w:rsid w:val="160412B4"/>
    <w:rsid w:val="161B073A"/>
    <w:rsid w:val="164538C9"/>
    <w:rsid w:val="165878EE"/>
    <w:rsid w:val="1688105D"/>
    <w:rsid w:val="16A17273"/>
    <w:rsid w:val="16F91779"/>
    <w:rsid w:val="17265F51"/>
    <w:rsid w:val="172D0427"/>
    <w:rsid w:val="17735226"/>
    <w:rsid w:val="179F6A57"/>
    <w:rsid w:val="18045DC2"/>
    <w:rsid w:val="18085005"/>
    <w:rsid w:val="180A640E"/>
    <w:rsid w:val="181167C3"/>
    <w:rsid w:val="181C11D7"/>
    <w:rsid w:val="18427328"/>
    <w:rsid w:val="188C3139"/>
    <w:rsid w:val="18930214"/>
    <w:rsid w:val="18B86480"/>
    <w:rsid w:val="19267EC7"/>
    <w:rsid w:val="196166D1"/>
    <w:rsid w:val="19817847"/>
    <w:rsid w:val="19864DED"/>
    <w:rsid w:val="19F8378B"/>
    <w:rsid w:val="1A1C66C0"/>
    <w:rsid w:val="1A42393B"/>
    <w:rsid w:val="1A467ACB"/>
    <w:rsid w:val="1A5E2FC3"/>
    <w:rsid w:val="1A6866FA"/>
    <w:rsid w:val="1A937CEA"/>
    <w:rsid w:val="1AF00807"/>
    <w:rsid w:val="1AF220BF"/>
    <w:rsid w:val="1AFE7025"/>
    <w:rsid w:val="1B046F80"/>
    <w:rsid w:val="1B2465E3"/>
    <w:rsid w:val="1B3267B5"/>
    <w:rsid w:val="1B8339E5"/>
    <w:rsid w:val="1B9F30E9"/>
    <w:rsid w:val="1BC01FA0"/>
    <w:rsid w:val="1BC25DC8"/>
    <w:rsid w:val="1BDA0EFC"/>
    <w:rsid w:val="1BE265E6"/>
    <w:rsid w:val="1C231206"/>
    <w:rsid w:val="1C483AE0"/>
    <w:rsid w:val="1C4F5605"/>
    <w:rsid w:val="1C5E7925"/>
    <w:rsid w:val="1C887FC8"/>
    <w:rsid w:val="1C9D223A"/>
    <w:rsid w:val="1CAF2C8A"/>
    <w:rsid w:val="1D3C3AC6"/>
    <w:rsid w:val="1D5F6196"/>
    <w:rsid w:val="1D6132A5"/>
    <w:rsid w:val="1D6D365B"/>
    <w:rsid w:val="1D84793F"/>
    <w:rsid w:val="1D8C16BA"/>
    <w:rsid w:val="1D8E56D5"/>
    <w:rsid w:val="1D8E6C1E"/>
    <w:rsid w:val="1D984424"/>
    <w:rsid w:val="1E755991"/>
    <w:rsid w:val="1E7A43DA"/>
    <w:rsid w:val="1E7E1294"/>
    <w:rsid w:val="1E810C51"/>
    <w:rsid w:val="1E877F74"/>
    <w:rsid w:val="1E9A51B5"/>
    <w:rsid w:val="1EAB5129"/>
    <w:rsid w:val="1EB277FE"/>
    <w:rsid w:val="1ED4035E"/>
    <w:rsid w:val="1EE04A3B"/>
    <w:rsid w:val="1EEE71E8"/>
    <w:rsid w:val="1EF44BB1"/>
    <w:rsid w:val="1F1C2B8F"/>
    <w:rsid w:val="1F4E2862"/>
    <w:rsid w:val="1F793306"/>
    <w:rsid w:val="1F7966A4"/>
    <w:rsid w:val="1F8B544D"/>
    <w:rsid w:val="1FA841F7"/>
    <w:rsid w:val="1FCB7F59"/>
    <w:rsid w:val="1FE7539E"/>
    <w:rsid w:val="200D1749"/>
    <w:rsid w:val="202A1538"/>
    <w:rsid w:val="20586E69"/>
    <w:rsid w:val="20963CB8"/>
    <w:rsid w:val="20B07FB6"/>
    <w:rsid w:val="20CF4C51"/>
    <w:rsid w:val="20E13019"/>
    <w:rsid w:val="210F1F2F"/>
    <w:rsid w:val="213B74B1"/>
    <w:rsid w:val="214311F8"/>
    <w:rsid w:val="215A2310"/>
    <w:rsid w:val="215E6BC2"/>
    <w:rsid w:val="218E6069"/>
    <w:rsid w:val="218F7719"/>
    <w:rsid w:val="21DC784C"/>
    <w:rsid w:val="21DE318A"/>
    <w:rsid w:val="21EF5B80"/>
    <w:rsid w:val="220739B7"/>
    <w:rsid w:val="220D77DF"/>
    <w:rsid w:val="22253E53"/>
    <w:rsid w:val="222554A2"/>
    <w:rsid w:val="22304CC3"/>
    <w:rsid w:val="223263F0"/>
    <w:rsid w:val="224E320A"/>
    <w:rsid w:val="225464D8"/>
    <w:rsid w:val="22576990"/>
    <w:rsid w:val="225E2740"/>
    <w:rsid w:val="22663F4E"/>
    <w:rsid w:val="22951963"/>
    <w:rsid w:val="229C4EAB"/>
    <w:rsid w:val="22B67FAF"/>
    <w:rsid w:val="22D75411"/>
    <w:rsid w:val="22DC32BF"/>
    <w:rsid w:val="22EC3898"/>
    <w:rsid w:val="22F60A13"/>
    <w:rsid w:val="23184578"/>
    <w:rsid w:val="23244DE0"/>
    <w:rsid w:val="23B23183"/>
    <w:rsid w:val="23C030D7"/>
    <w:rsid w:val="23C31B45"/>
    <w:rsid w:val="23FC4205"/>
    <w:rsid w:val="24001915"/>
    <w:rsid w:val="241627A6"/>
    <w:rsid w:val="241D5B3B"/>
    <w:rsid w:val="24715B73"/>
    <w:rsid w:val="24874B58"/>
    <w:rsid w:val="248A7AD8"/>
    <w:rsid w:val="248B4A81"/>
    <w:rsid w:val="24BC2657"/>
    <w:rsid w:val="24C74AF5"/>
    <w:rsid w:val="24D71899"/>
    <w:rsid w:val="24E309DC"/>
    <w:rsid w:val="25020904"/>
    <w:rsid w:val="25054D59"/>
    <w:rsid w:val="25276293"/>
    <w:rsid w:val="252D53FE"/>
    <w:rsid w:val="25544270"/>
    <w:rsid w:val="255C5182"/>
    <w:rsid w:val="257C4BA7"/>
    <w:rsid w:val="258C7DC6"/>
    <w:rsid w:val="25A6780D"/>
    <w:rsid w:val="25C0730D"/>
    <w:rsid w:val="25C36116"/>
    <w:rsid w:val="25EC2D81"/>
    <w:rsid w:val="264528BD"/>
    <w:rsid w:val="26993888"/>
    <w:rsid w:val="26BA0F2B"/>
    <w:rsid w:val="26CF59AB"/>
    <w:rsid w:val="270050A2"/>
    <w:rsid w:val="271330D7"/>
    <w:rsid w:val="277B301E"/>
    <w:rsid w:val="27D15DD1"/>
    <w:rsid w:val="27E47770"/>
    <w:rsid w:val="282E70BD"/>
    <w:rsid w:val="287E5E63"/>
    <w:rsid w:val="28953552"/>
    <w:rsid w:val="28A76295"/>
    <w:rsid w:val="28E15A40"/>
    <w:rsid w:val="290223DC"/>
    <w:rsid w:val="29206EB8"/>
    <w:rsid w:val="292D0766"/>
    <w:rsid w:val="29797A27"/>
    <w:rsid w:val="29AB6F57"/>
    <w:rsid w:val="29B8126E"/>
    <w:rsid w:val="29C102B6"/>
    <w:rsid w:val="29E325E0"/>
    <w:rsid w:val="2A20719E"/>
    <w:rsid w:val="2A452503"/>
    <w:rsid w:val="2A4F6D47"/>
    <w:rsid w:val="2A8177A9"/>
    <w:rsid w:val="2AD3676F"/>
    <w:rsid w:val="2AEA7FE6"/>
    <w:rsid w:val="2B074A50"/>
    <w:rsid w:val="2B463E24"/>
    <w:rsid w:val="2B737BE1"/>
    <w:rsid w:val="2B7A361E"/>
    <w:rsid w:val="2BA936A8"/>
    <w:rsid w:val="2BF15831"/>
    <w:rsid w:val="2C1F357B"/>
    <w:rsid w:val="2C315A5A"/>
    <w:rsid w:val="2C5C2E93"/>
    <w:rsid w:val="2C6110D5"/>
    <w:rsid w:val="2C675C0C"/>
    <w:rsid w:val="2C7D58AD"/>
    <w:rsid w:val="2C8B34EE"/>
    <w:rsid w:val="2CEB5686"/>
    <w:rsid w:val="2CF021D7"/>
    <w:rsid w:val="2CF92005"/>
    <w:rsid w:val="2CF92DEF"/>
    <w:rsid w:val="2D016192"/>
    <w:rsid w:val="2D0A773C"/>
    <w:rsid w:val="2D853E99"/>
    <w:rsid w:val="2D9E56F5"/>
    <w:rsid w:val="2DAA0960"/>
    <w:rsid w:val="2DAE0BD5"/>
    <w:rsid w:val="2DC87DA3"/>
    <w:rsid w:val="2DCB5708"/>
    <w:rsid w:val="2DDF0F49"/>
    <w:rsid w:val="2DFD1AE5"/>
    <w:rsid w:val="2E19536B"/>
    <w:rsid w:val="2E453863"/>
    <w:rsid w:val="2E555585"/>
    <w:rsid w:val="2E667F96"/>
    <w:rsid w:val="2E7852CF"/>
    <w:rsid w:val="2E813545"/>
    <w:rsid w:val="2E8226AB"/>
    <w:rsid w:val="2E965DE8"/>
    <w:rsid w:val="2E9B04A6"/>
    <w:rsid w:val="2EA34A2B"/>
    <w:rsid w:val="2EBA6B6B"/>
    <w:rsid w:val="2EBE5A22"/>
    <w:rsid w:val="2EE81CF8"/>
    <w:rsid w:val="2F390418"/>
    <w:rsid w:val="2F485EE7"/>
    <w:rsid w:val="2F4B0400"/>
    <w:rsid w:val="2F6571AB"/>
    <w:rsid w:val="2F8320D1"/>
    <w:rsid w:val="2F832C79"/>
    <w:rsid w:val="2FA1467E"/>
    <w:rsid w:val="2FC17960"/>
    <w:rsid w:val="2FCC527A"/>
    <w:rsid w:val="2FE55DBC"/>
    <w:rsid w:val="2FEF2D58"/>
    <w:rsid w:val="30016D34"/>
    <w:rsid w:val="3002294D"/>
    <w:rsid w:val="301121D4"/>
    <w:rsid w:val="30131025"/>
    <w:rsid w:val="3022305F"/>
    <w:rsid w:val="3041062D"/>
    <w:rsid w:val="30523BA7"/>
    <w:rsid w:val="30580BC9"/>
    <w:rsid w:val="30A851A4"/>
    <w:rsid w:val="30C6534D"/>
    <w:rsid w:val="30E404D0"/>
    <w:rsid w:val="30F36C69"/>
    <w:rsid w:val="30F83710"/>
    <w:rsid w:val="311E2ED7"/>
    <w:rsid w:val="31377FE3"/>
    <w:rsid w:val="314224E0"/>
    <w:rsid w:val="314B6F8C"/>
    <w:rsid w:val="315C449C"/>
    <w:rsid w:val="31776A02"/>
    <w:rsid w:val="31B82709"/>
    <w:rsid w:val="31B94282"/>
    <w:rsid w:val="322E0E59"/>
    <w:rsid w:val="32400B34"/>
    <w:rsid w:val="326E0004"/>
    <w:rsid w:val="329E6876"/>
    <w:rsid w:val="32A52B14"/>
    <w:rsid w:val="32D22AAA"/>
    <w:rsid w:val="32D628BA"/>
    <w:rsid w:val="33234729"/>
    <w:rsid w:val="33245A69"/>
    <w:rsid w:val="334131C5"/>
    <w:rsid w:val="337E3D9C"/>
    <w:rsid w:val="339C01D8"/>
    <w:rsid w:val="33BA1EA1"/>
    <w:rsid w:val="33BD6ED4"/>
    <w:rsid w:val="33C40118"/>
    <w:rsid w:val="33D934D4"/>
    <w:rsid w:val="33DD1439"/>
    <w:rsid w:val="33DD25AC"/>
    <w:rsid w:val="33FE2F6A"/>
    <w:rsid w:val="34023CAA"/>
    <w:rsid w:val="341C40B2"/>
    <w:rsid w:val="34825E7A"/>
    <w:rsid w:val="34BE10D5"/>
    <w:rsid w:val="34CF1C5D"/>
    <w:rsid w:val="34D15874"/>
    <w:rsid w:val="354D51C3"/>
    <w:rsid w:val="35577610"/>
    <w:rsid w:val="358556B3"/>
    <w:rsid w:val="359F5640"/>
    <w:rsid w:val="35A721EF"/>
    <w:rsid w:val="35AE3DEE"/>
    <w:rsid w:val="35BC2ED1"/>
    <w:rsid w:val="35C06510"/>
    <w:rsid w:val="35D81FB9"/>
    <w:rsid w:val="35E7372E"/>
    <w:rsid w:val="36074A7F"/>
    <w:rsid w:val="360D2D18"/>
    <w:rsid w:val="36145EC0"/>
    <w:rsid w:val="36372C64"/>
    <w:rsid w:val="36491E6D"/>
    <w:rsid w:val="36923549"/>
    <w:rsid w:val="36923865"/>
    <w:rsid w:val="36A4691A"/>
    <w:rsid w:val="36B75FBF"/>
    <w:rsid w:val="36C50BC6"/>
    <w:rsid w:val="36CB3B0C"/>
    <w:rsid w:val="36E45C28"/>
    <w:rsid w:val="36F35EB5"/>
    <w:rsid w:val="36FB4891"/>
    <w:rsid w:val="370958A9"/>
    <w:rsid w:val="37134FF0"/>
    <w:rsid w:val="37160A8C"/>
    <w:rsid w:val="372938E0"/>
    <w:rsid w:val="376D7333"/>
    <w:rsid w:val="37864C41"/>
    <w:rsid w:val="37905CE7"/>
    <w:rsid w:val="37931EE3"/>
    <w:rsid w:val="37AC7CCF"/>
    <w:rsid w:val="37C058CC"/>
    <w:rsid w:val="37DD4A09"/>
    <w:rsid w:val="37F8705A"/>
    <w:rsid w:val="387F203B"/>
    <w:rsid w:val="38EC3795"/>
    <w:rsid w:val="38F12CD3"/>
    <w:rsid w:val="38F94775"/>
    <w:rsid w:val="38F952E7"/>
    <w:rsid w:val="392971ED"/>
    <w:rsid w:val="396B3582"/>
    <w:rsid w:val="39A06E9D"/>
    <w:rsid w:val="39D75B85"/>
    <w:rsid w:val="3A195797"/>
    <w:rsid w:val="3A825B51"/>
    <w:rsid w:val="3A875D5C"/>
    <w:rsid w:val="3AAB5953"/>
    <w:rsid w:val="3B3763D1"/>
    <w:rsid w:val="3B686122"/>
    <w:rsid w:val="3B8E625E"/>
    <w:rsid w:val="3B995A4A"/>
    <w:rsid w:val="3BA174BE"/>
    <w:rsid w:val="3BE97E7F"/>
    <w:rsid w:val="3C952083"/>
    <w:rsid w:val="3CA75B5F"/>
    <w:rsid w:val="3CAF73EC"/>
    <w:rsid w:val="3CC74B5E"/>
    <w:rsid w:val="3CCB1A56"/>
    <w:rsid w:val="3CDA245A"/>
    <w:rsid w:val="3CED4662"/>
    <w:rsid w:val="3CEE0A37"/>
    <w:rsid w:val="3CFB3946"/>
    <w:rsid w:val="3D582773"/>
    <w:rsid w:val="3D8A3E32"/>
    <w:rsid w:val="3DEC0CF6"/>
    <w:rsid w:val="3E1C63EC"/>
    <w:rsid w:val="3E801831"/>
    <w:rsid w:val="3E952A1C"/>
    <w:rsid w:val="3EFA5229"/>
    <w:rsid w:val="3F1878CB"/>
    <w:rsid w:val="3F25226D"/>
    <w:rsid w:val="3F3C4044"/>
    <w:rsid w:val="3F660E74"/>
    <w:rsid w:val="3F7A35A1"/>
    <w:rsid w:val="3F850045"/>
    <w:rsid w:val="3FAB47C1"/>
    <w:rsid w:val="3FB73D49"/>
    <w:rsid w:val="3FB82208"/>
    <w:rsid w:val="3FD029F0"/>
    <w:rsid w:val="40554F96"/>
    <w:rsid w:val="407A3FCB"/>
    <w:rsid w:val="407A6407"/>
    <w:rsid w:val="409D6C9D"/>
    <w:rsid w:val="40F4633C"/>
    <w:rsid w:val="413A4778"/>
    <w:rsid w:val="414A59A2"/>
    <w:rsid w:val="41DA4D1E"/>
    <w:rsid w:val="421B5D64"/>
    <w:rsid w:val="422168B0"/>
    <w:rsid w:val="422A7BE0"/>
    <w:rsid w:val="423A3BCC"/>
    <w:rsid w:val="42525F77"/>
    <w:rsid w:val="425D0D03"/>
    <w:rsid w:val="428547D8"/>
    <w:rsid w:val="428D729E"/>
    <w:rsid w:val="42AB66E3"/>
    <w:rsid w:val="42B46ACF"/>
    <w:rsid w:val="42BA55B5"/>
    <w:rsid w:val="42BF05F1"/>
    <w:rsid w:val="42CA5F0C"/>
    <w:rsid w:val="42DF698C"/>
    <w:rsid w:val="42FA50D1"/>
    <w:rsid w:val="431E2135"/>
    <w:rsid w:val="433A6FE6"/>
    <w:rsid w:val="4350713C"/>
    <w:rsid w:val="436653E0"/>
    <w:rsid w:val="43814C8F"/>
    <w:rsid w:val="43956C80"/>
    <w:rsid w:val="43A92416"/>
    <w:rsid w:val="43A92F5A"/>
    <w:rsid w:val="43B13529"/>
    <w:rsid w:val="43F57BB5"/>
    <w:rsid w:val="440E4EE9"/>
    <w:rsid w:val="44CD14E0"/>
    <w:rsid w:val="44E36DA4"/>
    <w:rsid w:val="44FF1063"/>
    <w:rsid w:val="450913BF"/>
    <w:rsid w:val="451A7B61"/>
    <w:rsid w:val="456D4727"/>
    <w:rsid w:val="45725E66"/>
    <w:rsid w:val="457566B7"/>
    <w:rsid w:val="458946E9"/>
    <w:rsid w:val="45B37030"/>
    <w:rsid w:val="45DA7F0E"/>
    <w:rsid w:val="45E75FE7"/>
    <w:rsid w:val="46013C29"/>
    <w:rsid w:val="4617178D"/>
    <w:rsid w:val="4658455A"/>
    <w:rsid w:val="46637629"/>
    <w:rsid w:val="468C709E"/>
    <w:rsid w:val="469A3A0C"/>
    <w:rsid w:val="46CD41ED"/>
    <w:rsid w:val="46D62611"/>
    <w:rsid w:val="46D64950"/>
    <w:rsid w:val="46D955A7"/>
    <w:rsid w:val="47133957"/>
    <w:rsid w:val="47206549"/>
    <w:rsid w:val="47363667"/>
    <w:rsid w:val="47717CB8"/>
    <w:rsid w:val="4779329E"/>
    <w:rsid w:val="47A07E0C"/>
    <w:rsid w:val="47C16351"/>
    <w:rsid w:val="47C3254A"/>
    <w:rsid w:val="48270C19"/>
    <w:rsid w:val="483342F1"/>
    <w:rsid w:val="484B3711"/>
    <w:rsid w:val="48602CD9"/>
    <w:rsid w:val="4870272E"/>
    <w:rsid w:val="48743864"/>
    <w:rsid w:val="48774A03"/>
    <w:rsid w:val="48B13E73"/>
    <w:rsid w:val="48C916BC"/>
    <w:rsid w:val="48F51F8F"/>
    <w:rsid w:val="4930519F"/>
    <w:rsid w:val="4991260B"/>
    <w:rsid w:val="49971F00"/>
    <w:rsid w:val="49A7636E"/>
    <w:rsid w:val="49D7201D"/>
    <w:rsid w:val="49DC7715"/>
    <w:rsid w:val="4A023139"/>
    <w:rsid w:val="4A0C235F"/>
    <w:rsid w:val="4A7B576F"/>
    <w:rsid w:val="4AD20C2D"/>
    <w:rsid w:val="4B2A5EA2"/>
    <w:rsid w:val="4B3B57B5"/>
    <w:rsid w:val="4B3F346A"/>
    <w:rsid w:val="4B693100"/>
    <w:rsid w:val="4BA859A6"/>
    <w:rsid w:val="4BD74074"/>
    <w:rsid w:val="4C4A0649"/>
    <w:rsid w:val="4C5F6638"/>
    <w:rsid w:val="4C721A2E"/>
    <w:rsid w:val="4CBA4D4D"/>
    <w:rsid w:val="4CE470D3"/>
    <w:rsid w:val="4CEB4565"/>
    <w:rsid w:val="4D323187"/>
    <w:rsid w:val="4D6C03E1"/>
    <w:rsid w:val="4D874C1D"/>
    <w:rsid w:val="4DC572DA"/>
    <w:rsid w:val="4DC71038"/>
    <w:rsid w:val="4DEC4FB0"/>
    <w:rsid w:val="4DF45356"/>
    <w:rsid w:val="4E075D8A"/>
    <w:rsid w:val="4E1864FA"/>
    <w:rsid w:val="4E90446B"/>
    <w:rsid w:val="4E9175DA"/>
    <w:rsid w:val="4ECC1BF4"/>
    <w:rsid w:val="4EF13E61"/>
    <w:rsid w:val="4EF609F2"/>
    <w:rsid w:val="4EF7733C"/>
    <w:rsid w:val="4EFA2045"/>
    <w:rsid w:val="4EFB64E5"/>
    <w:rsid w:val="4EFD54E0"/>
    <w:rsid w:val="4F7171FF"/>
    <w:rsid w:val="4F795318"/>
    <w:rsid w:val="4F8B7E11"/>
    <w:rsid w:val="4F936CC6"/>
    <w:rsid w:val="4FA729B5"/>
    <w:rsid w:val="4FC62A8C"/>
    <w:rsid w:val="4FE15B9E"/>
    <w:rsid w:val="4FE20F0D"/>
    <w:rsid w:val="4FF00E53"/>
    <w:rsid w:val="4FF331DD"/>
    <w:rsid w:val="502513BB"/>
    <w:rsid w:val="504B0549"/>
    <w:rsid w:val="50504C4B"/>
    <w:rsid w:val="50514171"/>
    <w:rsid w:val="50687BAC"/>
    <w:rsid w:val="509C6E7C"/>
    <w:rsid w:val="50EA0797"/>
    <w:rsid w:val="50FD6299"/>
    <w:rsid w:val="51435155"/>
    <w:rsid w:val="5162104E"/>
    <w:rsid w:val="51AC540D"/>
    <w:rsid w:val="51E66E18"/>
    <w:rsid w:val="52107D28"/>
    <w:rsid w:val="526C7D8B"/>
    <w:rsid w:val="527E58F0"/>
    <w:rsid w:val="52860D64"/>
    <w:rsid w:val="528B1AD3"/>
    <w:rsid w:val="52951DA7"/>
    <w:rsid w:val="52955792"/>
    <w:rsid w:val="52B51905"/>
    <w:rsid w:val="52C01D5F"/>
    <w:rsid w:val="52F002A6"/>
    <w:rsid w:val="53140828"/>
    <w:rsid w:val="5359350B"/>
    <w:rsid w:val="53A039CC"/>
    <w:rsid w:val="53A1505A"/>
    <w:rsid w:val="53AE2320"/>
    <w:rsid w:val="53B33B1C"/>
    <w:rsid w:val="53C63E22"/>
    <w:rsid w:val="53D165A6"/>
    <w:rsid w:val="540103EC"/>
    <w:rsid w:val="54063E08"/>
    <w:rsid w:val="54196CE8"/>
    <w:rsid w:val="543371DC"/>
    <w:rsid w:val="543437E8"/>
    <w:rsid w:val="54405AAA"/>
    <w:rsid w:val="547411D5"/>
    <w:rsid w:val="54863186"/>
    <w:rsid w:val="54925703"/>
    <w:rsid w:val="54EC758D"/>
    <w:rsid w:val="55006F6B"/>
    <w:rsid w:val="550F6B37"/>
    <w:rsid w:val="55242786"/>
    <w:rsid w:val="5525408D"/>
    <w:rsid w:val="5532715A"/>
    <w:rsid w:val="55511142"/>
    <w:rsid w:val="555A22D1"/>
    <w:rsid w:val="555F6DD7"/>
    <w:rsid w:val="55632098"/>
    <w:rsid w:val="55676BD1"/>
    <w:rsid w:val="55883B9F"/>
    <w:rsid w:val="559B174B"/>
    <w:rsid w:val="55A64C02"/>
    <w:rsid w:val="55AF7526"/>
    <w:rsid w:val="55CE0CF4"/>
    <w:rsid w:val="55E22755"/>
    <w:rsid w:val="55E73308"/>
    <w:rsid w:val="55EB4646"/>
    <w:rsid w:val="566466B5"/>
    <w:rsid w:val="56657D85"/>
    <w:rsid w:val="56790A1C"/>
    <w:rsid w:val="567C0C77"/>
    <w:rsid w:val="569626F3"/>
    <w:rsid w:val="56A17540"/>
    <w:rsid w:val="56A71F20"/>
    <w:rsid w:val="56B22A9C"/>
    <w:rsid w:val="56B230A1"/>
    <w:rsid w:val="574016CF"/>
    <w:rsid w:val="5766195B"/>
    <w:rsid w:val="576A7938"/>
    <w:rsid w:val="57750ECA"/>
    <w:rsid w:val="57B72A76"/>
    <w:rsid w:val="57C6517A"/>
    <w:rsid w:val="580A4445"/>
    <w:rsid w:val="580A7BE8"/>
    <w:rsid w:val="5852785A"/>
    <w:rsid w:val="589049B1"/>
    <w:rsid w:val="58D419C9"/>
    <w:rsid w:val="58E452F0"/>
    <w:rsid w:val="58F35CA9"/>
    <w:rsid w:val="59317FE2"/>
    <w:rsid w:val="593B391C"/>
    <w:rsid w:val="59D92928"/>
    <w:rsid w:val="59E22CA3"/>
    <w:rsid w:val="59F839DB"/>
    <w:rsid w:val="5A312027"/>
    <w:rsid w:val="5A3C747D"/>
    <w:rsid w:val="5A48770F"/>
    <w:rsid w:val="5A5E40EE"/>
    <w:rsid w:val="5A5F753A"/>
    <w:rsid w:val="5A7B6CD4"/>
    <w:rsid w:val="5A8060CB"/>
    <w:rsid w:val="5A9468EF"/>
    <w:rsid w:val="5ABE2233"/>
    <w:rsid w:val="5B0E5BC1"/>
    <w:rsid w:val="5B267E01"/>
    <w:rsid w:val="5B276D18"/>
    <w:rsid w:val="5B2B2453"/>
    <w:rsid w:val="5B615D5A"/>
    <w:rsid w:val="5B7639B9"/>
    <w:rsid w:val="5B7D1E83"/>
    <w:rsid w:val="5BB12288"/>
    <w:rsid w:val="5BD04FDF"/>
    <w:rsid w:val="5BDF5D95"/>
    <w:rsid w:val="5C1B7AF9"/>
    <w:rsid w:val="5C472445"/>
    <w:rsid w:val="5C6C1755"/>
    <w:rsid w:val="5C80473E"/>
    <w:rsid w:val="5C8B7F30"/>
    <w:rsid w:val="5C9A5B38"/>
    <w:rsid w:val="5CC73D15"/>
    <w:rsid w:val="5D05782A"/>
    <w:rsid w:val="5D105DFA"/>
    <w:rsid w:val="5D285C48"/>
    <w:rsid w:val="5D630322"/>
    <w:rsid w:val="5DE8079C"/>
    <w:rsid w:val="5DF87A0F"/>
    <w:rsid w:val="5E4B1568"/>
    <w:rsid w:val="5E5E3EFF"/>
    <w:rsid w:val="5E7904E3"/>
    <w:rsid w:val="5E8B5997"/>
    <w:rsid w:val="5E9A2F5B"/>
    <w:rsid w:val="5EA55B05"/>
    <w:rsid w:val="5EF3123B"/>
    <w:rsid w:val="5F00448D"/>
    <w:rsid w:val="5F1A2B43"/>
    <w:rsid w:val="5F370446"/>
    <w:rsid w:val="5F550613"/>
    <w:rsid w:val="5F592BAB"/>
    <w:rsid w:val="5F850CF2"/>
    <w:rsid w:val="5F8A032F"/>
    <w:rsid w:val="5FA63D8B"/>
    <w:rsid w:val="5FAFFFBB"/>
    <w:rsid w:val="5FB837BB"/>
    <w:rsid w:val="5FB91D2C"/>
    <w:rsid w:val="60045204"/>
    <w:rsid w:val="601162B8"/>
    <w:rsid w:val="60196653"/>
    <w:rsid w:val="605560D6"/>
    <w:rsid w:val="60721F41"/>
    <w:rsid w:val="60735199"/>
    <w:rsid w:val="607D11CD"/>
    <w:rsid w:val="60B52B59"/>
    <w:rsid w:val="60D61E66"/>
    <w:rsid w:val="60EA0760"/>
    <w:rsid w:val="61616041"/>
    <w:rsid w:val="616406D6"/>
    <w:rsid w:val="61A7101E"/>
    <w:rsid w:val="61C6487B"/>
    <w:rsid w:val="61E138C1"/>
    <w:rsid w:val="61E226B7"/>
    <w:rsid w:val="622322D9"/>
    <w:rsid w:val="62364782"/>
    <w:rsid w:val="6273032B"/>
    <w:rsid w:val="628410A9"/>
    <w:rsid w:val="62A30FB6"/>
    <w:rsid w:val="62A60D0E"/>
    <w:rsid w:val="62E870E4"/>
    <w:rsid w:val="62FD472A"/>
    <w:rsid w:val="63821971"/>
    <w:rsid w:val="63956A70"/>
    <w:rsid w:val="63CA2F14"/>
    <w:rsid w:val="63D40BE9"/>
    <w:rsid w:val="63E0211F"/>
    <w:rsid w:val="63FC70D8"/>
    <w:rsid w:val="640035D2"/>
    <w:rsid w:val="640C032A"/>
    <w:rsid w:val="641264C2"/>
    <w:rsid w:val="641B3849"/>
    <w:rsid w:val="646D7AD0"/>
    <w:rsid w:val="649133E6"/>
    <w:rsid w:val="649252A3"/>
    <w:rsid w:val="64AC122F"/>
    <w:rsid w:val="64B054DF"/>
    <w:rsid w:val="64FB256C"/>
    <w:rsid w:val="651A633D"/>
    <w:rsid w:val="65323CE2"/>
    <w:rsid w:val="65373578"/>
    <w:rsid w:val="658572E1"/>
    <w:rsid w:val="65A76421"/>
    <w:rsid w:val="65B01F28"/>
    <w:rsid w:val="66417024"/>
    <w:rsid w:val="664A1DEC"/>
    <w:rsid w:val="668E746C"/>
    <w:rsid w:val="66A7513F"/>
    <w:rsid w:val="66DB6A40"/>
    <w:rsid w:val="66E25207"/>
    <w:rsid w:val="672C7CD4"/>
    <w:rsid w:val="673F2C7A"/>
    <w:rsid w:val="678278F4"/>
    <w:rsid w:val="679A1965"/>
    <w:rsid w:val="67A13DC7"/>
    <w:rsid w:val="67B9617D"/>
    <w:rsid w:val="67EB5360"/>
    <w:rsid w:val="67F219CA"/>
    <w:rsid w:val="680321C0"/>
    <w:rsid w:val="681829A2"/>
    <w:rsid w:val="681F6961"/>
    <w:rsid w:val="68301C6E"/>
    <w:rsid w:val="68306EFD"/>
    <w:rsid w:val="683B04EB"/>
    <w:rsid w:val="68610A2F"/>
    <w:rsid w:val="68767CF6"/>
    <w:rsid w:val="68805514"/>
    <w:rsid w:val="6892767A"/>
    <w:rsid w:val="68937E3C"/>
    <w:rsid w:val="68A916C0"/>
    <w:rsid w:val="68B91AE9"/>
    <w:rsid w:val="694E2071"/>
    <w:rsid w:val="69657C0D"/>
    <w:rsid w:val="697A3B33"/>
    <w:rsid w:val="699E2456"/>
    <w:rsid w:val="69A330E1"/>
    <w:rsid w:val="69B13ADD"/>
    <w:rsid w:val="69EE1ECE"/>
    <w:rsid w:val="69F27BF8"/>
    <w:rsid w:val="6A0D2A02"/>
    <w:rsid w:val="6A8B794B"/>
    <w:rsid w:val="6A8B79A0"/>
    <w:rsid w:val="6A92588F"/>
    <w:rsid w:val="6A9302D5"/>
    <w:rsid w:val="6AB46C41"/>
    <w:rsid w:val="6B09778B"/>
    <w:rsid w:val="6B0E01DB"/>
    <w:rsid w:val="6B123F2C"/>
    <w:rsid w:val="6B173480"/>
    <w:rsid w:val="6B322639"/>
    <w:rsid w:val="6BAE4677"/>
    <w:rsid w:val="6BB157E5"/>
    <w:rsid w:val="6BCD012A"/>
    <w:rsid w:val="6BE3347A"/>
    <w:rsid w:val="6BEF3A88"/>
    <w:rsid w:val="6C0A5D62"/>
    <w:rsid w:val="6C2267F5"/>
    <w:rsid w:val="6C25402B"/>
    <w:rsid w:val="6C2F5DF4"/>
    <w:rsid w:val="6C423AF6"/>
    <w:rsid w:val="6C452CE5"/>
    <w:rsid w:val="6C636C38"/>
    <w:rsid w:val="6C676941"/>
    <w:rsid w:val="6C930062"/>
    <w:rsid w:val="6CB90DF2"/>
    <w:rsid w:val="6CDE30D5"/>
    <w:rsid w:val="6CF555C7"/>
    <w:rsid w:val="6CF64C75"/>
    <w:rsid w:val="6D31374B"/>
    <w:rsid w:val="6D5C69E7"/>
    <w:rsid w:val="6D741852"/>
    <w:rsid w:val="6D965520"/>
    <w:rsid w:val="6D983849"/>
    <w:rsid w:val="6DB34098"/>
    <w:rsid w:val="6DB545B6"/>
    <w:rsid w:val="6DBD003E"/>
    <w:rsid w:val="6DF50B4D"/>
    <w:rsid w:val="6E2677DA"/>
    <w:rsid w:val="6E304E83"/>
    <w:rsid w:val="6E4375A0"/>
    <w:rsid w:val="6E514CED"/>
    <w:rsid w:val="6E5715CF"/>
    <w:rsid w:val="6E6B3966"/>
    <w:rsid w:val="6E79491A"/>
    <w:rsid w:val="6E80541E"/>
    <w:rsid w:val="6EB563D5"/>
    <w:rsid w:val="6EBA6EDC"/>
    <w:rsid w:val="6F221F7A"/>
    <w:rsid w:val="6F225983"/>
    <w:rsid w:val="6F4A1196"/>
    <w:rsid w:val="6F5A4149"/>
    <w:rsid w:val="6F7D3404"/>
    <w:rsid w:val="6F902885"/>
    <w:rsid w:val="6FBB7B33"/>
    <w:rsid w:val="6FF449F6"/>
    <w:rsid w:val="6FF961C3"/>
    <w:rsid w:val="6FFC5590"/>
    <w:rsid w:val="70301DA3"/>
    <w:rsid w:val="7036127C"/>
    <w:rsid w:val="70465721"/>
    <w:rsid w:val="706D1DD0"/>
    <w:rsid w:val="70856B87"/>
    <w:rsid w:val="7099473B"/>
    <w:rsid w:val="70B256C9"/>
    <w:rsid w:val="70D527EE"/>
    <w:rsid w:val="70FE112E"/>
    <w:rsid w:val="710C1401"/>
    <w:rsid w:val="711E7547"/>
    <w:rsid w:val="71567909"/>
    <w:rsid w:val="715B5300"/>
    <w:rsid w:val="715F4BD7"/>
    <w:rsid w:val="716A001E"/>
    <w:rsid w:val="7178788A"/>
    <w:rsid w:val="71AA64EF"/>
    <w:rsid w:val="71D27F8A"/>
    <w:rsid w:val="71D462AC"/>
    <w:rsid w:val="71F744C6"/>
    <w:rsid w:val="71F810C1"/>
    <w:rsid w:val="71F960CF"/>
    <w:rsid w:val="72143DE9"/>
    <w:rsid w:val="723C3103"/>
    <w:rsid w:val="72445CAA"/>
    <w:rsid w:val="724D6D82"/>
    <w:rsid w:val="72622402"/>
    <w:rsid w:val="72690075"/>
    <w:rsid w:val="72934B3E"/>
    <w:rsid w:val="72C31D52"/>
    <w:rsid w:val="72D75F45"/>
    <w:rsid w:val="72DF7BF4"/>
    <w:rsid w:val="72F76B72"/>
    <w:rsid w:val="730C1A56"/>
    <w:rsid w:val="730F6FC7"/>
    <w:rsid w:val="73176AEF"/>
    <w:rsid w:val="731F5D5E"/>
    <w:rsid w:val="734728B7"/>
    <w:rsid w:val="73493C39"/>
    <w:rsid w:val="737E5413"/>
    <w:rsid w:val="73A62BBC"/>
    <w:rsid w:val="74193403"/>
    <w:rsid w:val="741E793C"/>
    <w:rsid w:val="74787AE6"/>
    <w:rsid w:val="748E4259"/>
    <w:rsid w:val="74937F5E"/>
    <w:rsid w:val="74C12AC3"/>
    <w:rsid w:val="74D31608"/>
    <w:rsid w:val="74E10DBC"/>
    <w:rsid w:val="751D51EE"/>
    <w:rsid w:val="751F54AB"/>
    <w:rsid w:val="75701934"/>
    <w:rsid w:val="758D75E2"/>
    <w:rsid w:val="75AF3FAA"/>
    <w:rsid w:val="75B62B43"/>
    <w:rsid w:val="75E771B0"/>
    <w:rsid w:val="76032D9F"/>
    <w:rsid w:val="76046994"/>
    <w:rsid w:val="76064AE5"/>
    <w:rsid w:val="7681722E"/>
    <w:rsid w:val="76840215"/>
    <w:rsid w:val="76867B98"/>
    <w:rsid w:val="76A65287"/>
    <w:rsid w:val="76EE189F"/>
    <w:rsid w:val="76F42B04"/>
    <w:rsid w:val="771E4BE6"/>
    <w:rsid w:val="773E1DEF"/>
    <w:rsid w:val="77594E01"/>
    <w:rsid w:val="77762421"/>
    <w:rsid w:val="77F87594"/>
    <w:rsid w:val="780F09F4"/>
    <w:rsid w:val="784C4EDC"/>
    <w:rsid w:val="786D6708"/>
    <w:rsid w:val="78725712"/>
    <w:rsid w:val="78825691"/>
    <w:rsid w:val="788956C4"/>
    <w:rsid w:val="78944A5D"/>
    <w:rsid w:val="789C4F47"/>
    <w:rsid w:val="78A90480"/>
    <w:rsid w:val="78B42E86"/>
    <w:rsid w:val="78C12B17"/>
    <w:rsid w:val="79155171"/>
    <w:rsid w:val="79172631"/>
    <w:rsid w:val="79214E4C"/>
    <w:rsid w:val="79435BBF"/>
    <w:rsid w:val="79491D0B"/>
    <w:rsid w:val="795C190C"/>
    <w:rsid w:val="79672E3B"/>
    <w:rsid w:val="7969327A"/>
    <w:rsid w:val="79713798"/>
    <w:rsid w:val="79811327"/>
    <w:rsid w:val="79A623D6"/>
    <w:rsid w:val="79E07EBA"/>
    <w:rsid w:val="7A197A8E"/>
    <w:rsid w:val="7A1E5C30"/>
    <w:rsid w:val="7A364017"/>
    <w:rsid w:val="7A442B5A"/>
    <w:rsid w:val="7A8265E1"/>
    <w:rsid w:val="7A8755E1"/>
    <w:rsid w:val="7B16727C"/>
    <w:rsid w:val="7B1A2EE5"/>
    <w:rsid w:val="7B4C64E3"/>
    <w:rsid w:val="7B652BB8"/>
    <w:rsid w:val="7B686D42"/>
    <w:rsid w:val="7B6F4938"/>
    <w:rsid w:val="7B730BA3"/>
    <w:rsid w:val="7B841746"/>
    <w:rsid w:val="7B8738CB"/>
    <w:rsid w:val="7B9237A0"/>
    <w:rsid w:val="7BAB308D"/>
    <w:rsid w:val="7BAE3CB4"/>
    <w:rsid w:val="7BCA1012"/>
    <w:rsid w:val="7BEE6165"/>
    <w:rsid w:val="7C177245"/>
    <w:rsid w:val="7C676150"/>
    <w:rsid w:val="7C782187"/>
    <w:rsid w:val="7CAD0C1F"/>
    <w:rsid w:val="7CB21136"/>
    <w:rsid w:val="7CE24620"/>
    <w:rsid w:val="7D0239FF"/>
    <w:rsid w:val="7D205797"/>
    <w:rsid w:val="7D54596F"/>
    <w:rsid w:val="7D5E40CD"/>
    <w:rsid w:val="7D693BED"/>
    <w:rsid w:val="7D6F1BA6"/>
    <w:rsid w:val="7D710796"/>
    <w:rsid w:val="7D7A3BEF"/>
    <w:rsid w:val="7DB0146D"/>
    <w:rsid w:val="7E294BFB"/>
    <w:rsid w:val="7E636C24"/>
    <w:rsid w:val="7E69427A"/>
    <w:rsid w:val="7E6D28CE"/>
    <w:rsid w:val="7EBB6D93"/>
    <w:rsid w:val="7F0974E4"/>
    <w:rsid w:val="7F2811AF"/>
    <w:rsid w:val="7F2B0EE4"/>
    <w:rsid w:val="7F3B240A"/>
    <w:rsid w:val="7F983A4E"/>
    <w:rsid w:val="7FBA2B0B"/>
    <w:rsid w:val="7FBF288D"/>
    <w:rsid w:val="7FC47A94"/>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semiHidden="0" w:name="heading 2" w:locked="1"/>
    <w:lsdException w:qFormat="1" w:unhideWhenUsed="0" w:uiPriority="0" w:semiHidden="0" w:name="heading 3" w:locked="1"/>
    <w:lsdException w:qFormat="1" w:unhideWhenUsed="0" w:uiPriority="0" w:semiHidden="0" w:name="heading 4" w:locked="1"/>
    <w:lsdException w:unhideWhenUsed="0" w:uiPriority="0" w:semiHidden="0" w:name="heading 5" w:locked="1"/>
    <w:lsdException w:unhideWhenUsed="0" w:uiPriority="0" w:semiHidden="0" w:name="heading 6" w:locked="1"/>
    <w:lsdException w:unhideWhenUsed="0" w:uiPriority="0" w:semiHidden="0" w:name="heading 7" w:locked="1"/>
    <w:lsdException w:unhideWhenUsed="0" w:uiPriority="0" w:semiHidden="0" w:name="heading 8" w:locked="1"/>
    <w:lsdException w:unhideWhenUsed="0" w:uiPriority="0" w:semiHidden="0" w:name="heading 9" w:locked="1"/>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ocked="1"/>
    <w:lsdException w:qFormat="1" w:uiPriority="39"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35" w:semiHidden="0" w:name="caption" w:locked="1"/>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unhideWhenUsed="0" w:uiPriority="0" w:semiHidden="0" w:name="Title" w:locked="1"/>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unhideWhenUsed="0" w:uiPriority="0" w:semiHidden="0" w:name="Subtitle" w:locked="1"/>
    <w:lsdException w:unhideWhenUsed="0" w:uiPriority="0" w:semiHidden="0" w:name="Salutation"/>
    <w:lsdException w:qFormat="1"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qFormat="1" w:uiPriority="99" w:semiHidden="0" w:name="Body Text Indent 3"/>
    <w:lsdException w:unhideWhenUsed="0" w:uiPriority="0" w:semiHidden="0" w:name="Block Text"/>
    <w:lsdException w:qFormat="1" w:unhideWhenUsed="0" w:uiPriority="99" w:semiHidden="0" w:name="Hyperlink"/>
    <w:lsdException w:unhideWhenUsed="0" w:uiPriority="0" w:semiHidden="0" w:name="FollowedHyperlink"/>
    <w:lsdException w:qFormat="1" w:unhideWhenUsed="0" w:uiPriority="0" w:semiHidden="0" w:name="Strong" w:locked="1"/>
    <w:lsdException w:qFormat="1" w:unhideWhenUsed="0" w:uiPriority="0" w:semiHidden="0" w:name="Emphasis" w:locked="1"/>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name="Balloon Text"/>
    <w:lsdException w:qFormat="1" w:unhideWhenUsed="0" w:uiPriority="0" w:semiHidden="0" w:name="Table Grid"/>
    <w:lsdException w:unhideWhenUsed="0" w:uiPriority="0" w:semiHidden="0"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qFormat/>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4">
    <w:name w:val="heading 2"/>
    <w:basedOn w:val="1"/>
    <w:next w:val="1"/>
    <w:unhideWhenUsed/>
    <w:qFormat/>
    <w:locked/>
    <w:uiPriority w:val="9"/>
    <w:pPr>
      <w:keepNext/>
      <w:keepLines/>
      <w:numPr>
        <w:ilvl w:val="1"/>
        <w:numId w:val="1"/>
      </w:numPr>
      <w:spacing w:before="60" w:after="60"/>
      <w:ind w:firstLine="0" w:firstLineChars="0"/>
      <w:outlineLvl w:val="1"/>
    </w:pPr>
    <w:rPr>
      <w:rFonts w:cs="Times New Roman"/>
      <w:b/>
      <w:bCs/>
      <w:sz w:val="30"/>
      <w:szCs w:val="32"/>
    </w:rPr>
  </w:style>
  <w:style w:type="paragraph" w:styleId="5">
    <w:name w:val="heading 3"/>
    <w:basedOn w:val="1"/>
    <w:next w:val="1"/>
    <w:qFormat/>
    <w:locked/>
    <w:uiPriority w:val="0"/>
    <w:pPr>
      <w:keepNext/>
      <w:keepLines/>
      <w:widowControl w:val="0"/>
      <w:spacing w:beforeLines="0" w:afterLines="0" w:line="360" w:lineRule="auto"/>
      <w:ind w:firstLine="0" w:firstLineChars="0"/>
      <w:outlineLvl w:val="2"/>
    </w:pPr>
    <w:rPr>
      <w:rFonts w:ascii="Times New Roman" w:hAnsi="Times New Roman"/>
      <w:b/>
      <w:bCs/>
      <w:sz w:val="28"/>
      <w:szCs w:val="32"/>
    </w:rPr>
  </w:style>
  <w:style w:type="paragraph" w:styleId="6">
    <w:name w:val="heading 4"/>
    <w:basedOn w:val="1"/>
    <w:next w:val="1"/>
    <w:qFormat/>
    <w:locked/>
    <w:uiPriority w:val="0"/>
    <w:pPr>
      <w:keepNext/>
      <w:keepLines/>
      <w:jc w:val="left"/>
      <w:outlineLvl w:val="3"/>
    </w:pPr>
    <w:rPr>
      <w:bCs/>
      <w:lang w:val="zh-CN" w:eastAsia="zh-CN"/>
    </w:rPr>
  </w:style>
  <w:style w:type="character" w:default="1" w:styleId="26">
    <w:name w:val="Default Paragraph Font"/>
    <w:semiHidden/>
    <w:unhideWhenUsed/>
    <w:qFormat/>
    <w:uiPriority w:val="1"/>
  </w:style>
  <w:style w:type="table" w:default="1" w:styleId="24">
    <w:name w:val="Normal Table"/>
    <w:semiHidden/>
    <w:unhideWhenUsed/>
    <w:qFormat/>
    <w:uiPriority w:val="99"/>
    <w:tblPr>
      <w:tblCellMar>
        <w:top w:w="0" w:type="dxa"/>
        <w:left w:w="108" w:type="dxa"/>
        <w:bottom w:w="0" w:type="dxa"/>
        <w:right w:w="108" w:type="dxa"/>
      </w:tblCellMar>
    </w:tblPr>
  </w:style>
  <w:style w:type="paragraph" w:customStyle="1" w:styleId="2">
    <w:name w:val="11111"/>
    <w:basedOn w:val="1"/>
    <w:next w:val="1"/>
    <w:qFormat/>
    <w:uiPriority w:val="0"/>
    <w:pPr>
      <w:spacing w:line="360" w:lineRule="auto"/>
      <w:ind w:firstLine="200" w:firstLineChars="200"/>
    </w:pPr>
    <w:rPr>
      <w:rFonts w:ascii="宋体" w:hAnsi="宋体" w:cs="宋体"/>
      <w:sz w:val="24"/>
    </w:rPr>
  </w:style>
  <w:style w:type="paragraph" w:styleId="7">
    <w:name w:val="Normal Indent"/>
    <w:basedOn w:val="1"/>
    <w:qFormat/>
    <w:uiPriority w:val="0"/>
    <w:pPr>
      <w:snapToGrid w:val="0"/>
      <w:ind w:firstLine="420"/>
      <w:jc w:val="left"/>
    </w:pPr>
    <w:rPr>
      <w:sz w:val="28"/>
      <w:szCs w:val="20"/>
    </w:rPr>
  </w:style>
  <w:style w:type="paragraph" w:styleId="8">
    <w:name w:val="caption"/>
    <w:basedOn w:val="1"/>
    <w:next w:val="1"/>
    <w:unhideWhenUsed/>
    <w:qFormat/>
    <w:locked/>
    <w:uiPriority w:val="35"/>
    <w:pPr>
      <w:jc w:val="center"/>
    </w:pPr>
    <w:rPr>
      <w:rFonts w:cstheme="majorBidi"/>
      <w:b/>
      <w:szCs w:val="20"/>
    </w:rPr>
  </w:style>
  <w:style w:type="paragraph" w:styleId="9">
    <w:name w:val="Document Map"/>
    <w:basedOn w:val="1"/>
    <w:link w:val="52"/>
    <w:qFormat/>
    <w:uiPriority w:val="0"/>
    <w:rPr>
      <w:rFonts w:ascii="宋体"/>
      <w:sz w:val="18"/>
      <w:szCs w:val="18"/>
    </w:rPr>
  </w:style>
  <w:style w:type="paragraph" w:styleId="10">
    <w:name w:val="annotation text"/>
    <w:basedOn w:val="1"/>
    <w:link w:val="43"/>
    <w:semiHidden/>
    <w:qFormat/>
    <w:uiPriority w:val="0"/>
    <w:pPr>
      <w:jc w:val="left"/>
    </w:pPr>
    <w:rPr>
      <w:kern w:val="0"/>
      <w:sz w:val="20"/>
    </w:rPr>
  </w:style>
  <w:style w:type="paragraph" w:styleId="11">
    <w:name w:val="Body Text"/>
    <w:basedOn w:val="1"/>
    <w:next w:val="12"/>
    <w:qFormat/>
    <w:uiPriority w:val="0"/>
    <w:pPr>
      <w:widowControl/>
      <w:snapToGrid w:val="0"/>
      <w:spacing w:before="60" w:after="160" w:line="259" w:lineRule="auto"/>
      <w:ind w:right="113"/>
    </w:pPr>
    <w:rPr>
      <w:kern w:val="0"/>
      <w:sz w:val="18"/>
      <w:szCs w:val="18"/>
    </w:rPr>
  </w:style>
  <w:style w:type="paragraph" w:styleId="12">
    <w:name w:val="Body Text 2"/>
    <w:basedOn w:val="1"/>
    <w:qFormat/>
    <w:uiPriority w:val="0"/>
    <w:pPr>
      <w:spacing w:after="120" w:line="480" w:lineRule="auto"/>
    </w:pPr>
  </w:style>
  <w:style w:type="paragraph" w:styleId="13">
    <w:name w:val="Plain Text"/>
    <w:basedOn w:val="1"/>
    <w:qFormat/>
    <w:uiPriority w:val="0"/>
    <w:rPr>
      <w:rFonts w:ascii="宋体" w:hAnsi="Courier New" w:eastAsia="宋体" w:cs="Times New Roman"/>
      <w:szCs w:val="20"/>
    </w:rPr>
  </w:style>
  <w:style w:type="paragraph" w:styleId="14">
    <w:name w:val="Date"/>
    <w:basedOn w:val="1"/>
    <w:next w:val="1"/>
    <w:link w:val="36"/>
    <w:qFormat/>
    <w:uiPriority w:val="0"/>
    <w:pPr>
      <w:ind w:left="100" w:leftChars="2500"/>
    </w:pPr>
    <w:rPr>
      <w:kern w:val="0"/>
      <w:sz w:val="20"/>
    </w:rPr>
  </w:style>
  <w:style w:type="paragraph" w:styleId="15">
    <w:name w:val="Body Text Indent 2"/>
    <w:basedOn w:val="1"/>
    <w:qFormat/>
    <w:uiPriority w:val="0"/>
    <w:pPr>
      <w:adjustRightInd w:val="0"/>
      <w:snapToGrid w:val="0"/>
      <w:spacing w:line="460" w:lineRule="exact"/>
      <w:ind w:firstLine="480" w:firstLineChars="200"/>
    </w:pPr>
    <w:rPr>
      <w:rFonts w:eastAsia="仿宋_GB2312"/>
      <w:kern w:val="0"/>
      <w:sz w:val="24"/>
    </w:rPr>
  </w:style>
  <w:style w:type="paragraph" w:styleId="16">
    <w:name w:val="Balloon Text"/>
    <w:basedOn w:val="1"/>
    <w:link w:val="42"/>
    <w:semiHidden/>
    <w:qFormat/>
    <w:uiPriority w:val="0"/>
    <w:rPr>
      <w:sz w:val="18"/>
      <w:szCs w:val="18"/>
    </w:rPr>
  </w:style>
  <w:style w:type="paragraph" w:styleId="17">
    <w:name w:val="footer"/>
    <w:basedOn w:val="1"/>
    <w:next w:val="1"/>
    <w:link w:val="34"/>
    <w:qFormat/>
    <w:uiPriority w:val="0"/>
    <w:pPr>
      <w:tabs>
        <w:tab w:val="center" w:pos="4153"/>
        <w:tab w:val="right" w:pos="8306"/>
      </w:tabs>
      <w:snapToGrid w:val="0"/>
      <w:jc w:val="left"/>
    </w:pPr>
    <w:rPr>
      <w:sz w:val="18"/>
      <w:szCs w:val="18"/>
    </w:rPr>
  </w:style>
  <w:style w:type="paragraph" w:styleId="18">
    <w:name w:val="header"/>
    <w:basedOn w:val="1"/>
    <w:next w:val="1"/>
    <w:link w:val="33"/>
    <w:qFormat/>
    <w:uiPriority w:val="0"/>
    <w:pPr>
      <w:pBdr>
        <w:bottom w:val="single" w:color="auto" w:sz="6" w:space="1"/>
      </w:pBdr>
      <w:tabs>
        <w:tab w:val="center" w:pos="4153"/>
        <w:tab w:val="right" w:pos="8306"/>
      </w:tabs>
      <w:snapToGrid w:val="0"/>
      <w:jc w:val="center"/>
    </w:pPr>
    <w:rPr>
      <w:sz w:val="18"/>
      <w:szCs w:val="18"/>
    </w:rPr>
  </w:style>
  <w:style w:type="paragraph" w:styleId="19">
    <w:name w:val="toc 1"/>
    <w:basedOn w:val="1"/>
    <w:next w:val="1"/>
    <w:qFormat/>
    <w:locked/>
    <w:uiPriority w:val="39"/>
    <w:pPr>
      <w:tabs>
        <w:tab w:val="right" w:leader="dot" w:pos="8364"/>
      </w:tabs>
      <w:spacing w:before="120" w:after="120" w:line="520" w:lineRule="exact"/>
      <w:jc w:val="left"/>
    </w:pPr>
    <w:rPr>
      <w:rFonts w:ascii="仿宋_GB2312" w:eastAsia="仿宋_GB2312"/>
      <w:b/>
      <w:bCs/>
      <w:caps/>
      <w:kern w:val="44"/>
      <w:sz w:val="24"/>
    </w:rPr>
  </w:style>
  <w:style w:type="paragraph" w:styleId="20">
    <w:name w:val="toc 2"/>
    <w:basedOn w:val="1"/>
    <w:next w:val="1"/>
    <w:unhideWhenUsed/>
    <w:qFormat/>
    <w:locked/>
    <w:uiPriority w:val="39"/>
    <w:pPr>
      <w:ind w:left="420" w:leftChars="200"/>
    </w:pPr>
  </w:style>
  <w:style w:type="paragraph" w:styleId="21">
    <w:name w:val="Normal (Web)"/>
    <w:basedOn w:val="1"/>
    <w:link w:val="35"/>
    <w:qFormat/>
    <w:uiPriority w:val="0"/>
    <w:pPr>
      <w:widowControl/>
      <w:spacing w:before="100" w:beforeAutospacing="1" w:after="100" w:afterAutospacing="1"/>
      <w:jc w:val="left"/>
    </w:pPr>
    <w:rPr>
      <w:rFonts w:ascii="宋体" w:hAnsi="宋体"/>
      <w:kern w:val="0"/>
      <w:sz w:val="24"/>
    </w:rPr>
  </w:style>
  <w:style w:type="paragraph" w:styleId="22">
    <w:name w:val="annotation subject"/>
    <w:basedOn w:val="10"/>
    <w:next w:val="10"/>
    <w:link w:val="44"/>
    <w:semiHidden/>
    <w:qFormat/>
    <w:uiPriority w:val="0"/>
    <w:rPr>
      <w:b/>
      <w:bCs/>
    </w:rPr>
  </w:style>
  <w:style w:type="paragraph" w:styleId="23">
    <w:name w:val="Body Text First Indent"/>
    <w:basedOn w:val="11"/>
    <w:next w:val="1"/>
    <w:qFormat/>
    <w:uiPriority w:val="0"/>
    <w:pPr>
      <w:spacing w:after="120"/>
      <w:ind w:firstLine="420" w:firstLineChars="100"/>
    </w:pPr>
    <w:rPr>
      <w:rFonts w:ascii="Times New Roman" w:hAnsi="Times New Roman" w:eastAsia="宋体" w:cs="Times New Roman"/>
    </w:rPr>
  </w:style>
  <w:style w:type="table" w:styleId="25">
    <w:name w:val="Table Grid"/>
    <w:basedOn w:val="24"/>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7">
    <w:name w:val="Strong"/>
    <w:basedOn w:val="26"/>
    <w:qFormat/>
    <w:locked/>
    <w:uiPriority w:val="0"/>
    <w:rPr>
      <w:b/>
    </w:rPr>
  </w:style>
  <w:style w:type="character" w:styleId="28">
    <w:name w:val="page number"/>
    <w:basedOn w:val="26"/>
    <w:qFormat/>
    <w:uiPriority w:val="0"/>
  </w:style>
  <w:style w:type="character" w:styleId="29">
    <w:name w:val="Emphasis"/>
    <w:basedOn w:val="26"/>
    <w:qFormat/>
    <w:locked/>
    <w:uiPriority w:val="0"/>
    <w:rPr>
      <w:color w:val="F73131"/>
    </w:rPr>
  </w:style>
  <w:style w:type="character" w:styleId="30">
    <w:name w:val="Hyperlink"/>
    <w:qFormat/>
    <w:uiPriority w:val="99"/>
    <w:rPr>
      <w:color w:val="0000FF"/>
      <w:u w:val="single"/>
    </w:rPr>
  </w:style>
  <w:style w:type="character" w:styleId="31">
    <w:name w:val="annotation reference"/>
    <w:basedOn w:val="26"/>
    <w:semiHidden/>
    <w:qFormat/>
    <w:uiPriority w:val="0"/>
    <w:rPr>
      <w:sz w:val="21"/>
    </w:rPr>
  </w:style>
  <w:style w:type="paragraph" w:customStyle="1" w:styleId="32">
    <w:name w:val="Normal (Web)1"/>
    <w:basedOn w:val="1"/>
    <w:link w:val="75"/>
    <w:qFormat/>
    <w:uiPriority w:val="0"/>
    <w:pPr>
      <w:widowControl/>
    </w:pPr>
    <w:rPr>
      <w:rFonts w:ascii="宋体"/>
      <w:sz w:val="24"/>
      <w:szCs w:val="21"/>
    </w:rPr>
  </w:style>
  <w:style w:type="character" w:customStyle="1" w:styleId="33">
    <w:name w:val="页眉 Char"/>
    <w:basedOn w:val="26"/>
    <w:link w:val="18"/>
    <w:qFormat/>
    <w:locked/>
    <w:uiPriority w:val="0"/>
    <w:rPr>
      <w:rFonts w:cs="Times New Roman"/>
      <w:sz w:val="18"/>
      <w:szCs w:val="18"/>
    </w:rPr>
  </w:style>
  <w:style w:type="character" w:customStyle="1" w:styleId="34">
    <w:name w:val="页脚 Char"/>
    <w:basedOn w:val="26"/>
    <w:link w:val="17"/>
    <w:qFormat/>
    <w:locked/>
    <w:uiPriority w:val="0"/>
    <w:rPr>
      <w:rFonts w:cs="Times New Roman"/>
      <w:sz w:val="18"/>
      <w:szCs w:val="18"/>
    </w:rPr>
  </w:style>
  <w:style w:type="character" w:customStyle="1" w:styleId="35">
    <w:name w:val="普通(网站) Char1"/>
    <w:link w:val="21"/>
    <w:qFormat/>
    <w:locked/>
    <w:uiPriority w:val="0"/>
    <w:rPr>
      <w:rFonts w:ascii="宋体" w:hAnsi="宋体" w:eastAsia="宋体"/>
      <w:sz w:val="24"/>
    </w:rPr>
  </w:style>
  <w:style w:type="character" w:customStyle="1" w:styleId="36">
    <w:name w:val="日期 Char"/>
    <w:link w:val="14"/>
    <w:qFormat/>
    <w:locked/>
    <w:uiPriority w:val="0"/>
    <w:rPr>
      <w:rFonts w:ascii="Times New Roman" w:hAnsi="Times New Roman" w:eastAsia="宋体"/>
      <w:sz w:val="24"/>
    </w:rPr>
  </w:style>
  <w:style w:type="character" w:customStyle="1" w:styleId="37">
    <w:name w:val="日期 字符"/>
    <w:basedOn w:val="26"/>
    <w:semiHidden/>
    <w:qFormat/>
    <w:uiPriority w:val="0"/>
    <w:rPr>
      <w:rFonts w:ascii="Times New Roman" w:hAnsi="Times New Roman" w:eastAsia="宋体" w:cs="Times New Roman"/>
      <w:sz w:val="24"/>
      <w:szCs w:val="24"/>
    </w:rPr>
  </w:style>
  <w:style w:type="paragraph" w:customStyle="1" w:styleId="38">
    <w:name w:val="普通(网站)2"/>
    <w:basedOn w:val="1"/>
    <w:qFormat/>
    <w:uiPriority w:val="0"/>
    <w:pPr>
      <w:widowControl/>
      <w:spacing w:before="100" w:beforeAutospacing="1" w:after="100" w:afterAutospacing="1"/>
      <w:jc w:val="left"/>
    </w:pPr>
    <w:rPr>
      <w:rFonts w:ascii="宋体" w:hAnsi="宋体"/>
      <w:sz w:val="24"/>
      <w:szCs w:val="20"/>
    </w:rPr>
  </w:style>
  <w:style w:type="character" w:customStyle="1" w:styleId="39">
    <w:name w:val="表格 Char"/>
    <w:link w:val="40"/>
    <w:qFormat/>
    <w:locked/>
    <w:uiPriority w:val="0"/>
    <w:rPr>
      <w:rFonts w:ascii="宋体"/>
      <w:sz w:val="21"/>
    </w:rPr>
  </w:style>
  <w:style w:type="paragraph" w:customStyle="1" w:styleId="40">
    <w:name w:val="表格"/>
    <w:basedOn w:val="1"/>
    <w:next w:val="41"/>
    <w:link w:val="39"/>
    <w:qFormat/>
    <w:uiPriority w:val="0"/>
    <w:pPr>
      <w:adjustRightInd w:val="0"/>
      <w:snapToGrid w:val="0"/>
      <w:spacing w:beforeLines="10" w:afterLines="10" w:line="259" w:lineRule="auto"/>
      <w:jc w:val="center"/>
    </w:pPr>
    <w:rPr>
      <w:rFonts w:ascii="宋体"/>
      <w:kern w:val="0"/>
      <w:sz w:val="20"/>
      <w:szCs w:val="21"/>
    </w:rPr>
  </w:style>
  <w:style w:type="paragraph" w:customStyle="1" w:styleId="41">
    <w:name w:val="宋体 小四"/>
    <w:basedOn w:val="1"/>
    <w:qFormat/>
    <w:uiPriority w:val="0"/>
    <w:pPr>
      <w:adjustRightInd w:val="0"/>
      <w:spacing w:line="360" w:lineRule="auto"/>
      <w:ind w:firstLine="200" w:firstLineChars="200"/>
    </w:pPr>
    <w:rPr>
      <w:rFonts w:ascii="宋体" w:hAnsi="宋体" w:cs="宋体"/>
      <w:sz w:val="24"/>
      <w:szCs w:val="20"/>
    </w:rPr>
  </w:style>
  <w:style w:type="character" w:customStyle="1" w:styleId="42">
    <w:name w:val="批注框文本 Char"/>
    <w:basedOn w:val="26"/>
    <w:link w:val="16"/>
    <w:semiHidden/>
    <w:qFormat/>
    <w:locked/>
    <w:uiPriority w:val="0"/>
    <w:rPr>
      <w:rFonts w:ascii="Times New Roman" w:hAnsi="Times New Roman" w:eastAsia="宋体" w:cs="Times New Roman"/>
      <w:sz w:val="18"/>
      <w:szCs w:val="18"/>
    </w:rPr>
  </w:style>
  <w:style w:type="character" w:customStyle="1" w:styleId="43">
    <w:name w:val="批注文字 Char"/>
    <w:link w:val="10"/>
    <w:qFormat/>
    <w:locked/>
    <w:uiPriority w:val="0"/>
    <w:rPr>
      <w:rFonts w:ascii="Times New Roman" w:hAnsi="Times New Roman" w:eastAsia="宋体"/>
      <w:sz w:val="24"/>
    </w:rPr>
  </w:style>
  <w:style w:type="character" w:customStyle="1" w:styleId="44">
    <w:name w:val="批注主题 Char"/>
    <w:basedOn w:val="43"/>
    <w:link w:val="22"/>
    <w:semiHidden/>
    <w:qFormat/>
    <w:locked/>
    <w:uiPriority w:val="0"/>
    <w:rPr>
      <w:rFonts w:cs="Times New Roman"/>
      <w:b/>
      <w:bCs/>
      <w:kern w:val="2"/>
      <w:szCs w:val="24"/>
    </w:rPr>
  </w:style>
  <w:style w:type="character" w:customStyle="1" w:styleId="45">
    <w:name w:val="普通(网站) Char"/>
    <w:qFormat/>
    <w:locked/>
    <w:uiPriority w:val="0"/>
    <w:rPr>
      <w:rFonts w:ascii="宋体" w:hAnsi="宋体" w:eastAsia="宋体"/>
      <w:sz w:val="24"/>
    </w:rPr>
  </w:style>
  <w:style w:type="paragraph" w:customStyle="1" w:styleId="46">
    <w:name w:val="表格标题"/>
    <w:basedOn w:val="1"/>
    <w:qFormat/>
    <w:uiPriority w:val="0"/>
    <w:pPr>
      <w:spacing w:after="60" w:line="520" w:lineRule="exact"/>
      <w:ind w:left="482"/>
      <w:jc w:val="center"/>
    </w:pPr>
    <w:rPr>
      <w:rFonts w:ascii="幼圆" w:hAnsi="宋体" w:eastAsia="黑体"/>
      <w:kern w:val="0"/>
      <w:szCs w:val="20"/>
    </w:rPr>
  </w:style>
  <w:style w:type="paragraph" w:customStyle="1" w:styleId="47">
    <w:name w:val="表格内容"/>
    <w:basedOn w:val="1"/>
    <w:next w:val="1"/>
    <w:qFormat/>
    <w:uiPriority w:val="0"/>
    <w:rPr>
      <w:rFonts w:hAnsi="宋体"/>
      <w:sz w:val="28"/>
      <w:szCs w:val="28"/>
    </w:rPr>
  </w:style>
  <w:style w:type="paragraph" w:customStyle="1" w:styleId="48">
    <w:name w:val="样式 正文缩进 + 首行缩进:  2 字符"/>
    <w:qFormat/>
    <w:uiPriority w:val="0"/>
    <w:pPr>
      <w:tabs>
        <w:tab w:val="left" w:pos="539"/>
        <w:tab w:val="left" w:pos="1257"/>
      </w:tabs>
      <w:spacing w:line="360" w:lineRule="auto"/>
      <w:ind w:firstLine="480" w:firstLineChars="200"/>
      <w:jc w:val="left"/>
    </w:pPr>
    <w:rPr>
      <w:rFonts w:ascii="Times New Roman" w:hAnsi="Times New Roman" w:eastAsia="宋体" w:cs="宋体"/>
      <w:color w:val="000000"/>
      <w:sz w:val="24"/>
      <w:szCs w:val="24"/>
    </w:rPr>
  </w:style>
  <w:style w:type="paragraph" w:customStyle="1" w:styleId="49">
    <w:name w:val="表头"/>
    <w:basedOn w:val="1"/>
    <w:next w:val="1"/>
    <w:qFormat/>
    <w:uiPriority w:val="0"/>
    <w:pPr>
      <w:spacing w:line="360" w:lineRule="auto"/>
      <w:jc w:val="center"/>
    </w:pPr>
    <w:rPr>
      <w:rFonts w:eastAsia="黑体"/>
    </w:rPr>
  </w:style>
  <w:style w:type="paragraph" w:customStyle="1" w:styleId="50">
    <w:name w:val="表文"/>
    <w:basedOn w:val="1"/>
    <w:qFormat/>
    <w:uiPriority w:val="0"/>
    <w:pPr>
      <w:jc w:val="center"/>
    </w:pPr>
  </w:style>
  <w:style w:type="paragraph" w:customStyle="1" w:styleId="51">
    <w:name w:val="表格标题采用"/>
    <w:qFormat/>
    <w:uiPriority w:val="0"/>
    <w:pPr>
      <w:spacing w:beforeLines="25" w:afterLines="25" w:line="360" w:lineRule="auto"/>
      <w:jc w:val="center"/>
    </w:pPr>
    <w:rPr>
      <w:rFonts w:ascii="黑体" w:hAnsi="宋体" w:eastAsia="黑体" w:cs="Times New Roman"/>
      <w:szCs w:val="24"/>
    </w:rPr>
  </w:style>
  <w:style w:type="character" w:customStyle="1" w:styleId="52">
    <w:name w:val="文档结构图 Char"/>
    <w:basedOn w:val="26"/>
    <w:link w:val="9"/>
    <w:qFormat/>
    <w:uiPriority w:val="0"/>
    <w:rPr>
      <w:rFonts w:ascii="宋体"/>
      <w:kern w:val="2"/>
      <w:sz w:val="18"/>
      <w:szCs w:val="18"/>
    </w:rPr>
  </w:style>
  <w:style w:type="paragraph" w:customStyle="1" w:styleId="53">
    <w:name w:val="- 页码 -"/>
    <w:qFormat/>
    <w:uiPriority w:val="0"/>
    <w:pPr>
      <w:widowControl w:val="0"/>
      <w:spacing w:line="360" w:lineRule="auto"/>
      <w:ind w:firstLine="200" w:firstLineChars="200"/>
      <w:jc w:val="both"/>
    </w:pPr>
    <w:rPr>
      <w:rFonts w:ascii="Calibri" w:hAnsi="Calibri" w:eastAsia="宋体" w:cs="Times New Roman"/>
      <w:kern w:val="2"/>
      <w:sz w:val="24"/>
      <w:lang w:val="en-US" w:eastAsia="zh-CN" w:bidi="ar-SA"/>
    </w:rPr>
  </w:style>
  <w:style w:type="paragraph" w:customStyle="1" w:styleId="54">
    <w:name w:val="样式"/>
    <w:basedOn w:val="1"/>
    <w:next w:val="1"/>
    <w:qFormat/>
    <w:uiPriority w:val="0"/>
    <w:pPr>
      <w:spacing w:line="360" w:lineRule="auto"/>
      <w:ind w:firstLine="482"/>
    </w:pPr>
    <w:rPr>
      <w:rFonts w:ascii="宋体" w:cs="宋体"/>
      <w:kern w:val="10"/>
      <w:sz w:val="28"/>
      <w:szCs w:val="20"/>
      <w:lang w:bidi="ar-SA"/>
    </w:rPr>
  </w:style>
  <w:style w:type="paragraph" w:customStyle="1" w:styleId="55">
    <w:name w:val="采用页眉"/>
    <w:basedOn w:val="18"/>
    <w:qFormat/>
    <w:uiPriority w:val="0"/>
    <w:pPr>
      <w:pBdr>
        <w:bottom w:val="thinThickSmallGap" w:color="auto" w:sz="18" w:space="1"/>
      </w:pBdr>
      <w:adjustRightInd w:val="0"/>
      <w:snapToGrid w:val="0"/>
    </w:pPr>
  </w:style>
  <w:style w:type="table" w:customStyle="1" w:styleId="56">
    <w:name w:val="Table Normal"/>
    <w:semiHidden/>
    <w:unhideWhenUsed/>
    <w:qFormat/>
    <w:uiPriority w:val="0"/>
    <w:tblPr>
      <w:tblCellMar>
        <w:top w:w="0" w:type="dxa"/>
        <w:left w:w="0" w:type="dxa"/>
        <w:bottom w:w="0" w:type="dxa"/>
        <w:right w:w="0" w:type="dxa"/>
      </w:tblCellMar>
    </w:tblPr>
  </w:style>
  <w:style w:type="paragraph" w:customStyle="1" w:styleId="57">
    <w:name w:val="表格(五号)"/>
    <w:basedOn w:val="1"/>
    <w:next w:val="1"/>
    <w:qFormat/>
    <w:uiPriority w:val="0"/>
    <w:pPr>
      <w:adjustRightInd w:val="0"/>
      <w:snapToGrid w:val="0"/>
      <w:jc w:val="center"/>
    </w:pPr>
    <w:rPr>
      <w:rFonts w:ascii="宋体" w:cs="宋体"/>
      <w:kern w:val="0"/>
      <w:szCs w:val="20"/>
      <w:lang w:bidi="ar-SA"/>
    </w:rPr>
  </w:style>
  <w:style w:type="paragraph" w:customStyle="1" w:styleId="58">
    <w:name w:val="表内文字"/>
    <w:qFormat/>
    <w:uiPriority w:val="0"/>
    <w:pPr>
      <w:jc w:val="center"/>
    </w:pPr>
    <w:rPr>
      <w:rFonts w:ascii="Times New Roman" w:hAnsi="Times New Roman" w:eastAsia="宋体" w:cs="Arial"/>
      <w:sz w:val="21"/>
      <w:szCs w:val="21"/>
      <w:lang w:val="en-US" w:eastAsia="zh-CN" w:bidi="ar-SA"/>
    </w:rPr>
  </w:style>
  <w:style w:type="paragraph" w:customStyle="1" w:styleId="59">
    <w:name w:val="样式 宋体 小四 行距: 1.5 倍行距2"/>
    <w:basedOn w:val="1"/>
    <w:qFormat/>
    <w:uiPriority w:val="0"/>
    <w:pPr>
      <w:spacing w:before="20" w:beforeLines="20" w:after="20" w:afterLines="20" w:line="360" w:lineRule="auto"/>
      <w:ind w:firstLine="200" w:firstLineChars="200"/>
    </w:pPr>
    <w:rPr>
      <w:rFonts w:ascii="宋体" w:hAnsi="宋体" w:cs="宋体"/>
      <w:sz w:val="24"/>
      <w:szCs w:val="20"/>
    </w:rPr>
  </w:style>
  <w:style w:type="paragraph" w:customStyle="1" w:styleId="60">
    <w:name w:val="样式5"/>
    <w:basedOn w:val="1"/>
    <w:qFormat/>
    <w:uiPriority w:val="0"/>
    <w:pPr>
      <w:jc w:val="center"/>
    </w:pPr>
    <w:rPr>
      <w:szCs w:val="20"/>
    </w:rPr>
  </w:style>
  <w:style w:type="paragraph" w:styleId="61">
    <w:name w:val="No Spacing"/>
    <w:qFormat/>
    <w:uiPriority w:val="0"/>
    <w:rPr>
      <w:rFonts w:ascii="Calibri" w:hAnsi="Calibri" w:eastAsia="宋体" w:cs="Times New Roman"/>
      <w:sz w:val="22"/>
      <w:szCs w:val="22"/>
      <w:lang w:val="en-US" w:eastAsia="zh-CN" w:bidi="ar-SA"/>
    </w:rPr>
  </w:style>
  <w:style w:type="character" w:customStyle="1" w:styleId="62">
    <w:name w:val="四号正文 Char"/>
    <w:qFormat/>
    <w:uiPriority w:val="0"/>
    <w:rPr>
      <w:rFonts w:eastAsia="宋体"/>
      <w:kern w:val="2"/>
      <w:sz w:val="24"/>
      <w:szCs w:val="24"/>
      <w:lang w:val="en-US" w:eastAsia="zh-CN" w:bidi="ar-SA"/>
    </w:rPr>
  </w:style>
  <w:style w:type="paragraph" w:customStyle="1" w:styleId="63">
    <w:name w:val="环评正文"/>
    <w:basedOn w:val="1"/>
    <w:qFormat/>
    <w:uiPriority w:val="0"/>
    <w:rPr>
      <w:rFonts w:cs="Times New Roman"/>
      <w:szCs w:val="21"/>
      <w14:ligatures w14:val="none"/>
    </w:rPr>
  </w:style>
  <w:style w:type="paragraph" w:customStyle="1" w:styleId="64">
    <w:name w:val="表中文字"/>
    <w:basedOn w:val="1"/>
    <w:qFormat/>
    <w:uiPriority w:val="0"/>
    <w:pPr>
      <w:jc w:val="center"/>
    </w:pPr>
    <w:rPr>
      <w:szCs w:val="22"/>
    </w:rPr>
  </w:style>
  <w:style w:type="paragraph" w:customStyle="1" w:styleId="65">
    <w:name w:val="Table Text"/>
    <w:basedOn w:val="1"/>
    <w:semiHidden/>
    <w:qFormat/>
    <w:uiPriority w:val="0"/>
    <w:rPr>
      <w:rFonts w:ascii="宋体" w:hAnsi="宋体" w:eastAsia="宋体" w:cs="宋体"/>
      <w:sz w:val="24"/>
      <w:szCs w:val="24"/>
      <w:lang w:val="en-US" w:eastAsia="en-US" w:bidi="ar-SA"/>
    </w:rPr>
  </w:style>
  <w:style w:type="paragraph" w:customStyle="1" w:styleId="66">
    <w:name w:val="表标题"/>
    <w:basedOn w:val="1"/>
    <w:qFormat/>
    <w:uiPriority w:val="0"/>
    <w:pPr>
      <w:widowControl/>
      <w:adjustRightInd/>
      <w:ind w:firstLine="0" w:firstLineChars="0"/>
      <w:jc w:val="center"/>
    </w:pPr>
    <w:rPr>
      <w:rFonts w:ascii="宋体" w:hAnsi="宋体"/>
      <w:b/>
      <w:bCs/>
      <w:kern w:val="0"/>
    </w:rPr>
  </w:style>
  <w:style w:type="paragraph" w:customStyle="1" w:styleId="67">
    <w:name w:val="头"/>
    <w:basedOn w:val="68"/>
    <w:qFormat/>
    <w:uiPriority w:val="0"/>
    <w:pPr>
      <w:adjustRightInd w:val="0"/>
      <w:snapToGrid w:val="0"/>
      <w:jc w:val="center"/>
      <w:textAlignment w:val="bottom"/>
    </w:pPr>
    <w:rPr>
      <w:b/>
      <w:sz w:val="24"/>
      <w:szCs w:val="24"/>
    </w:rPr>
  </w:style>
  <w:style w:type="paragraph" w:customStyle="1" w:styleId="68">
    <w:name w:val="p0"/>
    <w:basedOn w:val="1"/>
    <w:qFormat/>
    <w:uiPriority w:val="0"/>
    <w:pPr>
      <w:widowControl/>
    </w:pPr>
    <w:rPr>
      <w:kern w:val="0"/>
      <w:sz w:val="32"/>
      <w:szCs w:val="32"/>
    </w:rPr>
  </w:style>
  <w:style w:type="paragraph" w:customStyle="1" w:styleId="69">
    <w:name w:val="111表格"/>
    <w:basedOn w:val="70"/>
    <w:qFormat/>
    <w:uiPriority w:val="0"/>
    <w:pPr>
      <w:adjustRightInd w:val="0"/>
      <w:snapToGrid w:val="0"/>
    </w:pPr>
    <w:rPr>
      <w:color w:val="000000"/>
      <w:sz w:val="21"/>
    </w:rPr>
  </w:style>
  <w:style w:type="paragraph" w:customStyle="1" w:styleId="70">
    <w:name w:val="表格的格式"/>
    <w:basedOn w:val="1"/>
    <w:qFormat/>
    <w:uiPriority w:val="0"/>
    <w:pPr>
      <w:widowControl/>
      <w:jc w:val="center"/>
    </w:pPr>
    <w:rPr>
      <w:kern w:val="0"/>
      <w:sz w:val="20"/>
      <w:szCs w:val="21"/>
    </w:rPr>
  </w:style>
  <w:style w:type="paragraph" w:customStyle="1" w:styleId="71">
    <w:name w:val="111表头"/>
    <w:basedOn w:val="72"/>
    <w:qFormat/>
    <w:uiPriority w:val="0"/>
    <w:rPr>
      <w:rFonts w:eastAsia="黑体"/>
      <w:bCs w:val="0"/>
    </w:rPr>
  </w:style>
  <w:style w:type="paragraph" w:customStyle="1" w:styleId="72">
    <w:name w:val="表头格式"/>
    <w:basedOn w:val="67"/>
    <w:qFormat/>
    <w:uiPriority w:val="0"/>
    <w:rPr>
      <w:bCs/>
    </w:rPr>
  </w:style>
  <w:style w:type="paragraph" w:customStyle="1" w:styleId="73">
    <w:name w:val="Table Paragraph"/>
    <w:basedOn w:val="1"/>
    <w:qFormat/>
    <w:uiPriority w:val="1"/>
  </w:style>
  <w:style w:type="paragraph" w:customStyle="1" w:styleId="74">
    <w:name w:val="标正文"/>
    <w:basedOn w:val="1"/>
    <w:qFormat/>
    <w:uiPriority w:val="0"/>
    <w:pPr>
      <w:spacing w:before="120" w:beforeLines="50" w:line="360" w:lineRule="auto"/>
      <w:ind w:firstLine="480" w:firstLineChars="200"/>
    </w:pPr>
    <w:rPr>
      <w:bCs/>
      <w:sz w:val="24"/>
      <w:szCs w:val="28"/>
    </w:rPr>
  </w:style>
  <w:style w:type="character" w:customStyle="1" w:styleId="75">
    <w:name w:val="Normal (Web)1 Char"/>
    <w:link w:val="32"/>
    <w:qFormat/>
    <w:uiPriority w:val="0"/>
    <w:rPr>
      <w:rFonts w:ascii="宋体"/>
      <w:sz w:val="24"/>
      <w:szCs w:val="21"/>
    </w:rPr>
  </w:style>
  <w:style w:type="paragraph" w:customStyle="1" w:styleId="76">
    <w:name w:val="0正文"/>
    <w:qFormat/>
    <w:uiPriority w:val="0"/>
    <w:pPr>
      <w:widowControl w:val="0"/>
      <w:spacing w:line="360" w:lineRule="auto"/>
      <w:ind w:firstLine="720" w:firstLineChars="200"/>
      <w:jc w:val="both"/>
    </w:pPr>
    <w:rPr>
      <w:rFonts w:ascii="Times New Roman" w:hAnsi="Times New Roman" w:eastAsia="宋体" w:cs="Times New Roman"/>
      <w:sz w:val="24"/>
      <w:szCs w:val="22"/>
      <w:lang w:val="en-US" w:eastAsia="zh-CN" w:bidi="ar-SA"/>
    </w:rPr>
  </w:style>
  <w:style w:type="paragraph" w:customStyle="1" w:styleId="77">
    <w:name w:val="5"/>
    <w:basedOn w:val="1"/>
    <w:next w:val="1"/>
    <w:qFormat/>
    <w:uiPriority w:val="0"/>
    <w:pPr>
      <w:snapToGrid w:val="0"/>
      <w:spacing w:line="360" w:lineRule="auto"/>
      <w:ind w:firstLine="200" w:firstLineChars="200"/>
    </w:pPr>
    <w:rPr>
      <w:sz w:val="24"/>
    </w:rPr>
  </w:style>
  <w:style w:type="paragraph" w:customStyle="1" w:styleId="78">
    <w:name w:val="Default"/>
    <w:basedOn w:val="79"/>
    <w:qFormat/>
    <w:uiPriority w:val="0"/>
    <w:pPr>
      <w:widowControl w:val="0"/>
      <w:autoSpaceDE w:val="0"/>
      <w:autoSpaceDN w:val="0"/>
    </w:pPr>
    <w:rPr>
      <w:rFonts w:ascii="仿宋_GB2312" w:hAnsi="Times New Roman" w:eastAsia="仿宋_GB2312" w:cs="仿宋_GB2312"/>
      <w:color w:val="000000"/>
      <w:szCs w:val="24"/>
    </w:rPr>
  </w:style>
  <w:style w:type="paragraph" w:customStyle="1" w:styleId="79">
    <w:name w:val="纯文本1"/>
    <w:qFormat/>
    <w:uiPriority w:val="0"/>
    <w:pPr>
      <w:adjustRightInd w:val="0"/>
      <w:jc w:val="center"/>
      <w:textAlignment w:val="baseline"/>
    </w:pPr>
    <w:rPr>
      <w:rFonts w:ascii="宋体" w:hAnsi="Courier New" w:eastAsia="宋体" w:cs="Times New Roman"/>
      <w:sz w:val="24"/>
      <w:lang w:val="en-US" w:eastAsia="zh-CN" w:bidi="ar-SA"/>
    </w:rPr>
  </w:style>
  <w:style w:type="paragraph" w:customStyle="1" w:styleId="80">
    <w:name w:val="7"/>
    <w:basedOn w:val="1"/>
    <w:qFormat/>
    <w:uiPriority w:val="0"/>
    <w:pPr>
      <w:widowControl/>
      <w:jc w:val="center"/>
    </w:pPr>
    <w:rPr>
      <w:rFonts w:hAnsi="宋体"/>
      <w:kern w:val="0"/>
      <w:szCs w:val="21"/>
    </w:rPr>
  </w:style>
  <w:style w:type="paragraph" w:customStyle="1" w:styleId="81">
    <w:name w:val="【表中文字】"/>
    <w:basedOn w:val="1"/>
    <w:qFormat/>
    <w:uiPriority w:val="0"/>
    <w:pPr>
      <w:jc w:val="center"/>
    </w:pPr>
    <w:rPr>
      <w:szCs w:val="20"/>
    </w:rPr>
  </w:style>
  <w:style w:type="paragraph" w:customStyle="1" w:styleId="82">
    <w:name w:val="_Style 2"/>
    <w:qFormat/>
    <w:uiPriority w:val="0"/>
    <w:pPr>
      <w:widowControl w:val="0"/>
      <w:spacing w:line="360" w:lineRule="auto"/>
      <w:jc w:val="both"/>
    </w:pPr>
    <w:rPr>
      <w:rFonts w:ascii="Times New Roman" w:hAnsi="Times New Roman" w:eastAsia="宋体" w:cs="Times New Roman"/>
      <w:kern w:val="2"/>
      <w:sz w:val="24"/>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header" Target="header1.xml"/><Relationship Id="rId8" Type="http://schemas.openxmlformats.org/officeDocument/2006/relationships/footer" Target="footer6.xml"/><Relationship Id="rId7" Type="http://schemas.openxmlformats.org/officeDocument/2006/relationships/footer" Target="footer5.xml"/><Relationship Id="rId6" Type="http://schemas.openxmlformats.org/officeDocument/2006/relationships/footer" Target="footer4.xml"/><Relationship Id="rId59" Type="http://schemas.openxmlformats.org/officeDocument/2006/relationships/fontTable" Target="fontTable.xml"/><Relationship Id="rId58" Type="http://schemas.openxmlformats.org/officeDocument/2006/relationships/customXml" Target="../customXml/item2.xml"/><Relationship Id="rId57" Type="http://schemas.openxmlformats.org/officeDocument/2006/relationships/numbering" Target="numbering.xml"/><Relationship Id="rId56" Type="http://schemas.openxmlformats.org/officeDocument/2006/relationships/customXml" Target="../customXml/item1.xml"/><Relationship Id="rId55" Type="http://schemas.openxmlformats.org/officeDocument/2006/relationships/image" Target="media/image43.jpeg"/><Relationship Id="rId54" Type="http://schemas.openxmlformats.org/officeDocument/2006/relationships/image" Target="media/image42.jpeg"/><Relationship Id="rId53" Type="http://schemas.openxmlformats.org/officeDocument/2006/relationships/image" Target="media/image41.jpeg"/><Relationship Id="rId52" Type="http://schemas.openxmlformats.org/officeDocument/2006/relationships/image" Target="media/image40.jpeg"/><Relationship Id="rId51" Type="http://schemas.openxmlformats.org/officeDocument/2006/relationships/image" Target="media/image39.jpeg"/><Relationship Id="rId50" Type="http://schemas.openxmlformats.org/officeDocument/2006/relationships/image" Target="media/image38.jpeg"/><Relationship Id="rId5" Type="http://schemas.openxmlformats.org/officeDocument/2006/relationships/footer" Target="footer3.xml"/><Relationship Id="rId49" Type="http://schemas.openxmlformats.org/officeDocument/2006/relationships/image" Target="media/image37.jpeg"/><Relationship Id="rId48" Type="http://schemas.openxmlformats.org/officeDocument/2006/relationships/image" Target="media/image36.jpeg"/><Relationship Id="rId47" Type="http://schemas.openxmlformats.org/officeDocument/2006/relationships/image" Target="media/image35.png"/><Relationship Id="rId46" Type="http://schemas.openxmlformats.org/officeDocument/2006/relationships/image" Target="media/image34.jpe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footer" Target="footer2.xml"/><Relationship Id="rId39" Type="http://schemas.openxmlformats.org/officeDocument/2006/relationships/image" Target="media/image27.png"/><Relationship Id="rId38" Type="http://schemas.openxmlformats.org/officeDocument/2006/relationships/image" Target="media/image26.png"/><Relationship Id="rId37" Type="http://schemas.openxmlformats.org/officeDocument/2006/relationships/image" Target="media/image25.png"/><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png"/><Relationship Id="rId31" Type="http://schemas.openxmlformats.org/officeDocument/2006/relationships/image" Target="media/image19.png"/><Relationship Id="rId30" Type="http://schemas.openxmlformats.org/officeDocument/2006/relationships/image" Target="media/image18.png"/><Relationship Id="rId3" Type="http://schemas.openxmlformats.org/officeDocument/2006/relationships/footer" Target="footer1.xml"/><Relationship Id="rId29" Type="http://schemas.openxmlformats.org/officeDocument/2006/relationships/image" Target="media/image17.png"/><Relationship Id="rId28" Type="http://schemas.openxmlformats.org/officeDocument/2006/relationships/image" Target="media/image16.png"/><Relationship Id="rId27" Type="http://schemas.openxmlformats.org/officeDocument/2006/relationships/image" Target="media/image15.png"/><Relationship Id="rId26" Type="http://schemas.openxmlformats.org/officeDocument/2006/relationships/image" Target="media/image14.png"/><Relationship Id="rId25" Type="http://schemas.openxmlformats.org/officeDocument/2006/relationships/image" Target="media/image13.png"/><Relationship Id="rId24" Type="http://schemas.openxmlformats.org/officeDocument/2006/relationships/image" Target="media/image12.png"/><Relationship Id="rId23" Type="http://schemas.openxmlformats.org/officeDocument/2006/relationships/image" Target="media/image11.png"/><Relationship Id="rId22" Type="http://schemas.openxmlformats.org/officeDocument/2006/relationships/image" Target="media/image10.png"/><Relationship Id="rId21" Type="http://schemas.openxmlformats.org/officeDocument/2006/relationships/image" Target="media/image9.jpeg"/><Relationship Id="rId20" Type="http://schemas.openxmlformats.org/officeDocument/2006/relationships/image" Target="media/image8.wmf"/><Relationship Id="rId2" Type="http://schemas.openxmlformats.org/officeDocument/2006/relationships/settings" Target="settings.xml"/><Relationship Id="rId19" Type="http://schemas.openxmlformats.org/officeDocument/2006/relationships/image" Target="media/image7.emf"/><Relationship Id="rId18" Type="http://schemas.openxmlformats.org/officeDocument/2006/relationships/image" Target="media/image6.png"/><Relationship Id="rId17" Type="http://schemas.openxmlformats.org/officeDocument/2006/relationships/image" Target="media/image5.png"/><Relationship Id="rId16" Type="http://schemas.openxmlformats.org/officeDocument/2006/relationships/image" Target="media/image4.png"/><Relationship Id="rId15" Type="http://schemas.openxmlformats.org/officeDocument/2006/relationships/image" Target="media/image3.wmf"/><Relationship Id="rId14" Type="http://schemas.openxmlformats.org/officeDocument/2006/relationships/oleObject" Target="embeddings/oleObject1.bin"/><Relationship Id="rId13" Type="http://schemas.openxmlformats.org/officeDocument/2006/relationships/image" Target="media/image2.png"/><Relationship Id="rId12" Type="http://schemas.openxmlformats.org/officeDocument/2006/relationships/image" Target="media/image1.jpeg"/><Relationship Id="rId11" Type="http://schemas.openxmlformats.org/officeDocument/2006/relationships/theme" Target="theme/theme1.xml"/><Relationship Id="rId10" Type="http://schemas.openxmlformats.org/officeDocument/2006/relationships/footer" Target="footer7.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xmlns="http://schemas.wps.cn/vas-ai-hub/contract-review">
    <reviewItem xmlns="http://schemas.wps.cn/vas-ai-hub/contract-review">
      <errorID xmlns="http://schemas.wps.cn/vas-ai-hub/contract-review">63a41e78-cc3c-4a24-816b-c6090dc562de</errorID>
      <errorWord xmlns="http://schemas.wps.cn/vas-ai-hub/contract-review">2026年01月</errorWord>
      <group xmlns="http://schemas.wps.cn/vas-ai-hub/contract-review">L1_Knowledge</group>
      <groupName xmlns="http://schemas.wps.cn/vas-ai-hub/contract-review">知识性问题</groupName>
      <ability xmlns="http://schemas.wps.cn/vas-ai-hub/contract-review">L2_Time</ability>
      <abilityName xmlns="http://schemas.wps.cn/vas-ai-hub/contract-review">日期时间</abilityName>
      <candidateList xmlns="http://schemas.wps.cn/vas-ai-hub/contract-review">
        <item xmlns="http://schemas.wps.cn/vas-ai-hub/contract-review">2026年1月</item>
      </candidateList>
      <explain xmlns="http://schemas.wps.cn/vas-ai-hub/contract-review">根据日常书写习惯，月份一般会省略前导零。</explain>
      <paraID xmlns="http://schemas.wps.cn/vas-ai-hub/contract-review">6173F560</paraID>
      <start xmlns="http://schemas.wps.cn/vas-ai-hub/contract-review">130</start>
      <end xmlns="http://schemas.wps.cn/vas-ai-hub/contract-review">138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657ffe57-393d-4863-a866-0e9c37a5eb83</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201C0122</paraID>
      <start xmlns="http://schemas.wps.cn/vas-ai-hub/contract-review">45</start>
      <end xmlns="http://schemas.wps.cn/vas-ai-hub/contract-review">47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8f8f93ec-3004-4b24-8727-0e97408b9086</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201C0122</paraID>
      <start xmlns="http://schemas.wps.cn/vas-ai-hub/contract-review">56</start>
      <end xmlns="http://schemas.wps.cn/vas-ai-hub/contract-review">58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a7e0ead4-89f8-48db-a54c-a7d8fa20898c</errorID>
      <errorWord xmlns="http://schemas.wps.cn/vas-ai-hub/contract-review">削减比例削减比例</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削减比例</item>
      </candidateList>
      <explain xmlns="http://schemas.wps.cn/vas-ai-hub/contract-review"/>
      <paraID xmlns="http://schemas.wps.cn/vas-ai-hub/contract-review">4CC3E9A4</paraID>
      <start xmlns="http://schemas.wps.cn/vas-ai-hub/contract-review">117</start>
      <end xmlns="http://schemas.wps.cn/vas-ai-hub/contract-review">125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05e874bd-27d0-49ee-80c1-a5082c6fe60c</errorID>
      <errorWord xmlns="http://schemas.wps.cn/vas-ai-hub/contract-review">胶粘剂</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胶黏剂</item>
      </candidateList>
      <explain xmlns="http://schemas.wps.cn/vas-ai-hub/contract-review"/>
      <paraID xmlns="http://schemas.wps.cn/vas-ai-hub/contract-review">1D269427</paraID>
      <start xmlns="http://schemas.wps.cn/vas-ai-hub/contract-review">74</start>
      <end xmlns="http://schemas.wps.cn/vas-ai-hub/contract-review">77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c419101c-3c47-4524-998a-ab1ab1adf1e1</errorID>
      <errorWord xmlns="http://schemas.wps.cn/vas-ai-hub/contract-review">污水厂</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污水处理厂</item>
      </candidateList>
      <explain xmlns="http://schemas.wps.cn/vas-ai-hub/contract-review"/>
      <paraID xmlns="http://schemas.wps.cn/vas-ai-hub/contract-review">399D191C</paraID>
      <start xmlns="http://schemas.wps.cn/vas-ai-hub/contract-review">29</start>
      <end xmlns="http://schemas.wps.cn/vas-ai-hub/contract-review">32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58912142-f11e-44cd-bdec-566874d360da</errorID>
      <errorWord xmlns="http://schemas.wps.cn/vas-ai-hub/contract-review">上线</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上限</item>
      </candidateList>
      <explain xmlns="http://schemas.wps.cn/vas-ai-hub/contract-review"/>
      <paraID xmlns="http://schemas.wps.cn/vas-ai-hub/contract-review">52A0C4E4</paraID>
      <start xmlns="http://schemas.wps.cn/vas-ai-hub/contract-review">104</start>
      <end xmlns="http://schemas.wps.cn/vas-ai-hub/contract-review">106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8c21f0dd-428a-4b70-a88c-a75f9233844b</errorID>
      <errorWord xmlns="http://schemas.wps.cn/vas-ai-hub/contract-review">[2016]150号</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〔2016〕150号</item>
      </candidateList>
      <explain xmlns="http://schemas.wps.cn/vas-ai-hub/contract-review">发文字号格式错误。</explain>
      <paraID xmlns="http://schemas.wps.cn/vas-ai-hub/contract-review">556D0CC5</paraID>
      <start xmlns="http://schemas.wps.cn/vas-ai-hub/contract-review">57</start>
      <end xmlns="http://schemas.wps.cn/vas-ai-hub/contract-review">67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3af1fc28-e094-4035-8c39-024e7596cc82</errorID>
      <errorWord xmlns="http://schemas.wps.cn/vas-ai-hub/contract-review">上线</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上限</item>
      </candidateList>
      <explain xmlns="http://schemas.wps.cn/vas-ai-hub/contract-review"/>
      <paraID xmlns="http://schemas.wps.cn/vas-ai-hub/contract-review">39336AF4</paraID>
      <start xmlns="http://schemas.wps.cn/vas-ai-hub/contract-review">152</start>
      <end xmlns="http://schemas.wps.cn/vas-ai-hub/contract-review">154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c9bc9790-8ff8-4420-b162-b66da1cb42be</errorID>
      <errorWord xmlns="http://schemas.wps.cn/vas-ai-hub/contract-review">域</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域是</item>
      </candidateList>
      <explain xmlns="http://schemas.wps.cn/vas-ai-hub/contract-review"/>
      <paraID xmlns="http://schemas.wps.cn/vas-ai-hub/contract-review"> 5A874F8</paraID>
      <start xmlns="http://schemas.wps.cn/vas-ai-hub/contract-review">148</start>
      <end xmlns="http://schemas.wps.cn/vas-ai-hub/contract-review">149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49dd50ca-f157-4c49-bcf2-fae9cea74355</errorID>
      <errorWord xmlns="http://schemas.wps.cn/vas-ai-hub/contract-review">其的影响</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其影响</item>
      </candidateList>
      <explain xmlns="http://schemas.wps.cn/vas-ai-hub/contract-review"/>
      <paraID xmlns="http://schemas.wps.cn/vas-ai-hub/contract-review">585B7A4D</paraID>
      <start xmlns="http://schemas.wps.cn/vas-ai-hub/contract-review">234</start>
      <end xmlns="http://schemas.wps.cn/vas-ai-hub/contract-review">238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35f8ca8f-c548-4a91-81b0-29e72ef08d2d</errorID>
      <errorWord xmlns="http://schemas.wps.cn/vas-ai-hub/contract-review">水能</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水</item>
      </candidateList>
      <explain xmlns="http://schemas.wps.cn/vas-ai-hub/contract-review"/>
      <paraID xmlns="http://schemas.wps.cn/vas-ai-hub/contract-review">32B30BF4</paraID>
      <start xmlns="http://schemas.wps.cn/vas-ai-hub/contract-review">63</start>
      <end xmlns="http://schemas.wps.cn/vas-ai-hub/contract-review">65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97659419-1c44-401b-ae21-237b21e78a9b</errorID>
      <errorWord xmlns="http://schemas.wps.cn/vas-ai-hub/contract-review">[2012]613号</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〔2012〕613号</item>
      </candidateList>
      <explain xmlns="http://schemas.wps.cn/vas-ai-hub/contract-review">发文字号格式错误。</explain>
      <paraID xmlns="http://schemas.wps.cn/vas-ai-hub/contract-review">75684402</paraID>
      <start xmlns="http://schemas.wps.cn/vas-ai-hub/contract-review">23</start>
      <end xmlns="http://schemas.wps.cn/vas-ai-hub/contract-review">33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03a734da-9243-4b65-b12c-4da05aabfb5c</errorID>
      <errorWord xmlns="http://schemas.wps.cn/vas-ai-hub/contract-review">法律、法规</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法律法规</item>
      </candidateList>
      <explain xmlns="http://schemas.wps.cn/vas-ai-hub/contract-review"/>
      <paraID xmlns="http://schemas.wps.cn/vas-ai-hub/contract-review">645085F2</paraID>
      <start xmlns="http://schemas.wps.cn/vas-ai-hub/contract-review">356</start>
      <end xmlns="http://schemas.wps.cn/vas-ai-hub/contract-review">361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09296a54-eb37-41f0-a3c6-96e9e7400f3c</errorID>
      <errorWord xmlns="http://schemas.wps.cn/vas-ai-hub/contract-review">同意已</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同意</item>
      </candidateList>
      <explain xmlns="http://schemas.wps.cn/vas-ai-hub/contract-review"/>
      <paraID xmlns="http://schemas.wps.cn/vas-ai-hub/contract-review">6CC9B447</paraID>
      <start xmlns="http://schemas.wps.cn/vas-ai-hub/contract-review">157</start>
      <end xmlns="http://schemas.wps.cn/vas-ai-hub/contract-review">160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89c06cbf-6ff3-4d97-b440-29acdc41cf57</errorID>
      <errorWord xmlns="http://schemas.wps.cn/vas-ai-hub/contract-review">II等</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Ⅱ等</item>
      </candidateList>
      <explain xmlns="http://schemas.wps.cn/vas-ai-hub/contract-review"/>
      <paraID xmlns="http://schemas.wps.cn/vas-ai-hub/contract-review">41482F7F</paraID>
      <start xmlns="http://schemas.wps.cn/vas-ai-hub/contract-review">129</start>
      <end xmlns="http://schemas.wps.cn/vas-ai-hub/contract-review">132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83f2b6be-208f-4af5-8116-cf88a92cad69</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50F94DB2</paraID>
      <start xmlns="http://schemas.wps.cn/vas-ai-hub/contract-review">87</start>
      <end xmlns="http://schemas.wps.cn/vas-ai-hub/contract-review">90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1c0d2c83-ecd8-4478-8751-0aae4677ee0b</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 DAA09E2</paraID>
      <start xmlns="http://schemas.wps.cn/vas-ai-hub/contract-review">9</start>
      <end xmlns="http://schemas.wps.cn/vas-ai-hub/contract-review">12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6762dd8a-6544-4e06-b3f8-fb731b843107</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45D8FF83</paraID>
      <start xmlns="http://schemas.wps.cn/vas-ai-hub/contract-review">112</start>
      <end xmlns="http://schemas.wps.cn/vas-ai-hub/contract-review">113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b9b13637-c355-46dd-818b-ef7bef72c543</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45D8FF83</paraID>
      <start xmlns="http://schemas.wps.cn/vas-ai-hub/contract-review">131</start>
      <end xmlns="http://schemas.wps.cn/vas-ai-hub/contract-review">132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863fbb3d-e70b-4f56-b14c-498b4805a99a</errorID>
      <errorWord xmlns="http://schemas.wps.cn/vas-ai-hub/contract-review">拔</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坝</item>
      </candidateList>
      <explain xmlns="http://schemas.wps.cn/vas-ai-hub/contract-review">存在发音相同字词的误用。</explain>
      <paraID xmlns="http://schemas.wps.cn/vas-ai-hub/contract-review">2ECD4899</paraID>
      <start xmlns="http://schemas.wps.cn/vas-ai-hub/contract-review">127</start>
      <end xmlns="http://schemas.wps.cn/vas-ai-hub/contract-review">128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88b48953-fbef-4b54-9627-5156a0878412</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21938D21</paraID>
      <start xmlns="http://schemas.wps.cn/vas-ai-hub/contract-review">12</start>
      <end xmlns="http://schemas.wps.cn/vas-ai-hub/contract-review">15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1f5a5d1a-85df-4d77-b185-c48816846449</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3031F37C</paraID>
      <start xmlns="http://schemas.wps.cn/vas-ai-hub/contract-review">31</start>
      <end xmlns="http://schemas.wps.cn/vas-ai-hub/contract-review">32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423f4f4b-1150-41d9-9718-979480fdf952</errorID>
      <errorWord xmlns="http://schemas.wps.cn/vas-ai-hub/contract-review">种养殖</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种植养殖</item>
      </candidateList>
      <explain xmlns="http://schemas.wps.cn/vas-ai-hub/contract-review"/>
      <paraID xmlns="http://schemas.wps.cn/vas-ai-hub/contract-review"> 546F068</paraID>
      <start xmlns="http://schemas.wps.cn/vas-ai-hub/contract-review">143</start>
      <end xmlns="http://schemas.wps.cn/vas-ai-hub/contract-review">146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cffb1af8-5adb-49d2-9713-b505f480cbd7</errorID>
      <errorWord xmlns="http://schemas.wps.cn/vas-ai-hub/contract-review">其的影响</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其影响</item>
      </candidateList>
      <explain xmlns="http://schemas.wps.cn/vas-ai-hub/contract-review"/>
      <paraID xmlns="http://schemas.wps.cn/vas-ai-hub/contract-review">4338EF1D</paraID>
      <start xmlns="http://schemas.wps.cn/vas-ai-hub/contract-review">241</start>
      <end xmlns="http://schemas.wps.cn/vas-ai-hub/contract-review">245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49ef4ca1-1447-40f2-8738-d8dcb72c419c</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15834-2011《标点符号用法》中的4.5.3.5节，标有引号的并列成分之间、标有书名号的并列成分之间通常不用顿号。如“《红楼梦》《三国演义》《西游记》《水浒传》，是我国长篇小说的四大名著”。</explain>
      <paraID xmlns="http://schemas.wps.cn/vas-ai-hub/contract-review">46F9511A</paraID>
      <start xmlns="http://schemas.wps.cn/vas-ai-hub/contract-review">293</start>
      <end xmlns="http://schemas.wps.cn/vas-ai-hub/contract-review">296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0eb5f9e7-608b-4aac-9e16-a350d2eac22c</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15834-2011《标点符号用法》中的4.5.3.5节，标有引号的并列成分之间、标有书名号的并列成分之间通常不用顿号。如“《红楼梦》《三国演义》《西游记》《水浒传》，是我国长篇小说的四大名著”。</explain>
      <paraID xmlns="http://schemas.wps.cn/vas-ai-hub/contract-review">46F9511A</paraID>
      <start xmlns="http://schemas.wps.cn/vas-ai-hub/contract-review">299</start>
      <end xmlns="http://schemas.wps.cn/vas-ai-hub/contract-review">302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b7e63343-880f-4c19-9d95-404b4a499660</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6C1E0846</paraID>
      <start xmlns="http://schemas.wps.cn/vas-ai-hub/contract-review">21</start>
      <end xmlns="http://schemas.wps.cn/vas-ai-hub/contract-review">22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d7b380ee-6230-48fe-ab55-001417edd8ae</errorID>
      <errorWord xmlns="http://schemas.wps.cn/vas-ai-hub/contract-review">2018年02月22日</errorWord>
      <group xmlns="http://schemas.wps.cn/vas-ai-hub/contract-review">L1_Knowledge</group>
      <groupName xmlns="http://schemas.wps.cn/vas-ai-hub/contract-review">知识性问题</groupName>
      <ability xmlns="http://schemas.wps.cn/vas-ai-hub/contract-review">L2_Time</ability>
      <abilityName xmlns="http://schemas.wps.cn/vas-ai-hub/contract-review">日期时间</abilityName>
      <candidateList xmlns="http://schemas.wps.cn/vas-ai-hub/contract-review">
        <item xmlns="http://schemas.wps.cn/vas-ai-hub/contract-review">2018年2月22日</item>
      </candidateList>
      <explain xmlns="http://schemas.wps.cn/vas-ai-hub/contract-review">根据日常书写习惯，月份一般会省略前导零。</explain>
      <paraID xmlns="http://schemas.wps.cn/vas-ai-hub/contract-review">76AE224C</paraID>
      <start xmlns="http://schemas.wps.cn/vas-ai-hub/contract-review">48</start>
      <end xmlns="http://schemas.wps.cn/vas-ai-hub/contract-review">59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6a47627a-fc59-4dc0-8e1c-798fb8835f5a</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explain xmlns="http://schemas.wps.cn/vas-ai-hub/contract-review">此处标点可能未正确匹配，请检查句子中是否存在标点冗余、缺失或使用错误的情况。</explain>
      <paraID xmlns="http://schemas.wps.cn/vas-ai-hub/contract-review">76AE224C</paraID>
      <start xmlns="http://schemas.wps.cn/vas-ai-hub/contract-review">107</start>
      <end xmlns="http://schemas.wps.cn/vas-ai-hub/contract-review">108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bd73320a-8ceb-4696-9abb-d8141aea99b8</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当引号中还需要使用引号时，外面一层用双引号，里面一层用单引号。</explain>
      <paraID xmlns="http://schemas.wps.cn/vas-ai-hub/contract-review">76AE224C</paraID>
      <start xmlns="http://schemas.wps.cn/vas-ai-hub/contract-review">238</start>
      <end xmlns="http://schemas.wps.cn/vas-ai-hub/contract-review">239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5b09fdac-bdda-44a7-a5c5-179f40e393d8</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当引号中还需要使用引号时，外面一层用双引号，里面一层用单引号。</explain>
      <paraID xmlns="http://schemas.wps.cn/vas-ai-hub/contract-review">76AE224C</paraID>
      <start xmlns="http://schemas.wps.cn/vas-ai-hub/contract-review">243</start>
      <end xmlns="http://schemas.wps.cn/vas-ai-hub/contract-review">244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eeed3134-6073-460f-845f-8f5a5fad5d95</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当引号中还需要使用引号时，外面一层用双引号，里面一层用单引号。</explain>
      <paraID xmlns="http://schemas.wps.cn/vas-ai-hub/contract-review">76AE224C</paraID>
      <start xmlns="http://schemas.wps.cn/vas-ai-hub/contract-review">275</start>
      <end xmlns="http://schemas.wps.cn/vas-ai-hub/contract-review">276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aa229357-24fd-4ff7-a46b-b4b232e8d061</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当引号中还需要使用引号时，外面一层用双引号，里面一层用单引号。</explain>
      <paraID xmlns="http://schemas.wps.cn/vas-ai-hub/contract-review">76AE224C</paraID>
      <start xmlns="http://schemas.wps.cn/vas-ai-hub/contract-review">280</start>
      <end xmlns="http://schemas.wps.cn/vas-ai-hub/contract-review">281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284a7f5e-609e-42df-85de-d3a41afd6aa0</errorID>
      <errorWord xmlns="http://schemas.wps.cn/vas-ai-hub/contract-review">己</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已</item>
      </candidateList>
      <explain xmlns="http://schemas.wps.cn/vas-ai-hub/contract-review">❶停止：争论不～｜有加无～。❷〈副〉已经（跟“未”相对）：时间～过｜此事～设法解决。❸〈书〉副后来；过了一会儿：～而｜～忽不见。❹〈书〉副太；过：不为～甚。❺（Yǐ）〈名〉姓。</explain>
      <paraID xmlns="http://schemas.wps.cn/vas-ai-hub/contract-review">3E1DA756</paraID>
      <start xmlns="http://schemas.wps.cn/vas-ai-hub/contract-review">3</start>
      <end xmlns="http://schemas.wps.cn/vas-ai-hub/contract-review">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01814285-cb9c-4d6b-88e5-28f31f469f29</errorID>
      <errorWord xmlns="http://schemas.wps.cn/vas-ai-hub/contract-review">为为</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为</item>
      </candidateList>
      <explain xmlns="http://schemas.wps.cn/vas-ai-hub/contract-review">（爲、為）wèi❶〈书〉帮助；卫护：～吕氏者右袒，～刘氏者左袒。❷〈介〉表示行为的对象；替：～你庆幸｜～人民服务｜～这本书写一篇序。❸〈介〉表示原因、目的：大家都～这件事高兴｜～建设伟大祖国而奋斗。❹〈书〉〈介〉对；向：不足～外人道。</explain>
      <paraID xmlns="http://schemas.wps.cn/vas-ai-hub/contract-review">1DDB5D53</paraID>
      <start xmlns="http://schemas.wps.cn/vas-ai-hub/contract-review">14</start>
      <end xmlns="http://schemas.wps.cn/vas-ai-hub/contract-review">16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593771df-be4c-4441-b78c-cc6db6ac2f50</errorID>
      <errorWord xmlns="http://schemas.wps.cn/vas-ai-hub/contract-review">主要以农村生活等面源为主</errorWord>
      <group xmlns="http://schemas.wps.cn/vas-ai-hub/contract-review">L1_Grammar</group>
      <groupName xmlns="http://schemas.wps.cn/vas-ai-hub/contract-review">语法问题</groupName>
      <ability xmlns="http://schemas.wps.cn/vas-ai-hub/contract-review">L2_Grammar</ability>
      <abilityName xmlns="http://schemas.wps.cn/vas-ai-hub/contract-review">语法错误</abilityName>
      <candidateList xmlns="http://schemas.wps.cn/vas-ai-hub/contract-review">
        <item xmlns="http://schemas.wps.cn/vas-ai-hub/contract-review">以农村生活等面源为主</item>
      </candidateList>
      <explain xmlns="http://schemas.wps.cn/vas-ai-hub/contract-review"/>
      <paraID xmlns="http://schemas.wps.cn/vas-ai-hub/contract-review">37662644</paraID>
      <start xmlns="http://schemas.wps.cn/vas-ai-hub/contract-review">18</start>
      <end xmlns="http://schemas.wps.cn/vas-ai-hub/contract-review">30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10e88484-3e35-4494-9ca9-f4f76d685d5d</errorID>
      <errorWord xmlns="http://schemas.wps.cn/vas-ai-hub/contract-review">增</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增加</item>
      </candidateList>
      <explain xmlns="http://schemas.wps.cn/vas-ai-hub/contract-review">〈动〉在原有的基础上加多：～品种｜～抵抗力｜在校学生已由八百～到一千。</explain>
      <paraID xmlns="http://schemas.wps.cn/vas-ai-hub/contract-review">45826969</paraID>
      <start xmlns="http://schemas.wps.cn/vas-ai-hub/contract-review">5</start>
      <end xmlns="http://schemas.wps.cn/vas-ai-hub/contract-review">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3b2e31d0-7cc9-472b-b631-3a31bc8a76c7</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35E5044C</paraID>
      <start xmlns="http://schemas.wps.cn/vas-ai-hub/contract-review">0</start>
      <end xmlns="http://schemas.wps.cn/vas-ai-hub/contract-review">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3344a2f1-57d1-4811-b8bb-93674447aac2</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35E5044C</paraID>
      <start xmlns="http://schemas.wps.cn/vas-ai-hub/contract-review">12</start>
      <end xmlns="http://schemas.wps.cn/vas-ai-hub/contract-review">13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08f7abb7-41e6-493a-ac73-aec8b5bca46c</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F8B258C</paraID>
      <start xmlns="http://schemas.wps.cn/vas-ai-hub/contract-review">0</start>
      <end xmlns="http://schemas.wps.cn/vas-ai-hub/contract-review">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a9f82f69-877b-4b7f-a931-3735a8092259</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F8B258C</paraID>
      <start xmlns="http://schemas.wps.cn/vas-ai-hub/contract-review">4</start>
      <end xmlns="http://schemas.wps.cn/vas-ai-hub/contract-review">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e6a23780-9e70-44cd-9076-477572b432ac</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4C5E542C</paraID>
      <start xmlns="http://schemas.wps.cn/vas-ai-hub/contract-review">4</start>
      <end xmlns="http://schemas.wps.cn/vas-ai-hub/contract-review">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5779f902-2251-4c3a-95c9-db818ee693ba</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4C5E542C</paraID>
      <start xmlns="http://schemas.wps.cn/vas-ai-hub/contract-review">6</start>
      <end xmlns="http://schemas.wps.cn/vas-ai-hub/contract-review">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6dca0c6d-da76-4471-acbe-9f792e795825</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59CFEF87</paraID>
      <start xmlns="http://schemas.wps.cn/vas-ai-hub/contract-review">4</start>
      <end xmlns="http://schemas.wps.cn/vas-ai-hub/contract-review">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c0659321-928e-4a97-8708-262af285f1e5</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59CFEF87</paraID>
      <start xmlns="http://schemas.wps.cn/vas-ai-hub/contract-review">6</start>
      <end xmlns="http://schemas.wps.cn/vas-ai-hub/contract-review">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36bd6071-baa3-4cc1-aa24-2bcbd6c561a2</errorID>
      <errorWord xmlns="http://schemas.wps.cn/vas-ai-hub/contract-review">度</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度上</item>
      </candidateList>
      <explain xmlns="http://schemas.wps.cn/vas-ai-hub/contract-review"/>
      <paraID xmlns="http://schemas.wps.cn/vas-ai-hub/contract-review">7F4EE95F</paraID>
      <start xmlns="http://schemas.wps.cn/vas-ai-hub/contract-review">121</start>
      <end xmlns="http://schemas.wps.cn/vas-ai-hub/contract-review">122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4bc73184-3448-44bf-bcd0-e506594a0ca2</errorID>
      <errorWord xmlns="http://schemas.wps.cn/vas-ai-hub/contract-review">程</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程中</item>
      </candidateList>
      <explain xmlns="http://schemas.wps.cn/vas-ai-hub/contract-review"/>
      <paraID xmlns="http://schemas.wps.cn/vas-ai-hub/contract-review">4DED0ADC</paraID>
      <start xmlns="http://schemas.wps.cn/vas-ai-hub/contract-review">37</start>
      <end xmlns="http://schemas.wps.cn/vas-ai-hub/contract-review">38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7da677e5-82b8-49a3-b643-46e1e6cc3760</errorID>
      <errorWord xmlns="http://schemas.wps.cn/vas-ai-hub/contract-review">程</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程中</item>
      </candidateList>
      <explain xmlns="http://schemas.wps.cn/vas-ai-hub/contract-review"/>
      <paraID xmlns="http://schemas.wps.cn/vas-ai-hub/contract-review">69B81785</paraID>
      <start xmlns="http://schemas.wps.cn/vas-ai-hub/contract-review">47</start>
      <end xmlns="http://schemas.wps.cn/vas-ai-hub/contract-review">48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b5654456-d463-472d-bcfc-004b2e252770</errorID>
      <errorWord xmlns="http://schemas.wps.cn/vas-ai-hub/contract-review">来自于</errorWord>
      <group xmlns="http://schemas.wps.cn/vas-ai-hub/contract-review">L1_Grammar</group>
      <groupName xmlns="http://schemas.wps.cn/vas-ai-hub/contract-review">语法问题</groupName>
      <ability xmlns="http://schemas.wps.cn/vas-ai-hub/contract-review">L2_Grammar</ability>
      <abilityName xmlns="http://schemas.wps.cn/vas-ai-hub/contract-review">语法错误</abilityName>
      <candidateList xmlns="http://schemas.wps.cn/vas-ai-hub/contract-review">
        <item xmlns="http://schemas.wps.cn/vas-ai-hub/contract-review">来自</item>
      </candidateList>
      <explain xmlns="http://schemas.wps.cn/vas-ai-hub/contract-review"/>
      <paraID xmlns="http://schemas.wps.cn/vas-ai-hub/contract-review">6BAFB5A7</paraID>
      <start xmlns="http://schemas.wps.cn/vas-ai-hub/contract-review">27</start>
      <end xmlns="http://schemas.wps.cn/vas-ai-hub/contract-review">30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f16fdd8b-5201-45a7-9865-d839da204c0a</errorID>
      <errorWord xmlns="http://schemas.wps.cn/vas-ai-hub/contract-review">因为</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因</item>
      </candidateList>
      <explain xmlns="http://schemas.wps.cn/vas-ai-hub/contract-review"/>
      <paraID xmlns="http://schemas.wps.cn/vas-ai-hub/contract-review">741850D6</paraID>
      <start xmlns="http://schemas.wps.cn/vas-ai-hub/contract-review">188</start>
      <end xmlns="http://schemas.wps.cn/vas-ai-hub/contract-review">190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58152f8e-3f1d-4a76-9e86-b9496b983ed4</errorID>
      <errorWord xmlns="http://schemas.wps.cn/vas-ai-hub/contract-review">粘土</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黏土</item>
      </candidateList>
      <explain xmlns="http://schemas.wps.cn/vas-ai-hub/contract-review"/>
      <paraID xmlns="http://schemas.wps.cn/vas-ai-hub/contract-review"> 4A05E76</paraID>
      <start xmlns="http://schemas.wps.cn/vas-ai-hub/contract-review">8</start>
      <end xmlns="http://schemas.wps.cn/vas-ai-hub/contract-review">10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ac5e9388-96d6-4862-88a5-2d32a54433b6</errorID>
      <errorWord xmlns="http://schemas.wps.cn/vas-ai-hub/contract-review">尾尾</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尾</item>
      </candidateList>
      <explain xmlns="http://schemas.wps.cn/vas-ai-hub/contract-review"/>
      <paraID xmlns="http://schemas.wps.cn/vas-ai-hub/contract-review">73DC974F</paraID>
      <start xmlns="http://schemas.wps.cn/vas-ai-hub/contract-review">40</start>
      <end xmlns="http://schemas.wps.cn/vas-ai-hub/contract-review">42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241d0e6d-41cc-4bf5-9951-ca8d32861d75</errorID>
      <errorWord xmlns="http://schemas.wps.cn/vas-ai-hub/contract-review">从小八</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从小</item>
      </candidateList>
      <explain xmlns="http://schemas.wps.cn/vas-ai-hub/contract-review"/>
      <paraID xmlns="http://schemas.wps.cn/vas-ai-hub/contract-review">136A54DE</paraID>
      <start xmlns="http://schemas.wps.cn/vas-ai-hub/contract-review">292</start>
      <end xmlns="http://schemas.wps.cn/vas-ai-hub/contract-review">295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05a84da0-9208-4797-b92d-f420dcbdbe35</errorID>
      <errorWord xmlns="http://schemas.wps.cn/vas-ai-hub/contract-review">前文</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前期</item>
      </candidateList>
      <explain xmlns="http://schemas.wps.cn/vas-ai-hub/contract-review"/>
      <paraID xmlns="http://schemas.wps.cn/vas-ai-hub/contract-review">45FA8680</paraID>
      <start xmlns="http://schemas.wps.cn/vas-ai-hub/contract-review">46</start>
      <end xmlns="http://schemas.wps.cn/vas-ai-hub/contract-review">48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c675a5c2-217e-41ff-864b-ba1738f38753</errorID>
      <errorWord xmlns="http://schemas.wps.cn/vas-ai-hub/contract-review">属</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属于</item>
      </candidateList>
      <explain xmlns="http://schemas.wps.cn/vas-ai-hub/contract-review"/>
      <paraID xmlns="http://schemas.wps.cn/vas-ai-hub/contract-review"> 5065C9F</paraID>
      <start xmlns="http://schemas.wps.cn/vas-ai-hub/contract-review">119</start>
      <end xmlns="http://schemas.wps.cn/vas-ai-hub/contract-review">120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dd2a2eb7-28ec-479d-9c44-e8740a9bc6e3</errorID>
      <errorWord xmlns="http://schemas.wps.cn/vas-ai-hub/contract-review">属</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属于</item>
      </candidateList>
      <explain xmlns="http://schemas.wps.cn/vas-ai-hub/contract-review"/>
      <paraID xmlns="http://schemas.wps.cn/vas-ai-hub/contract-review"> 5065C9F</paraID>
      <start xmlns="http://schemas.wps.cn/vas-ai-hub/contract-review">127</start>
      <end xmlns="http://schemas.wps.cn/vas-ai-hub/contract-review">128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7cc38bc4-6d8b-4862-b685-1222728c3bcc</errorID>
      <errorWord xmlns="http://schemas.wps.cn/vas-ai-hub/contract-review">泄露</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泄漏</item>
      </candidateList>
      <explain xmlns="http://schemas.wps.cn/vas-ai-hub/contract-review"/>
      <paraID xmlns="http://schemas.wps.cn/vas-ai-hub/contract-review">4D0FAC68</paraID>
      <start xmlns="http://schemas.wps.cn/vas-ai-hub/contract-review">17</start>
      <end xmlns="http://schemas.wps.cn/vas-ai-hub/contract-review">19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c584e5d8-a6fd-486e-9317-819dd3108e3f</errorID>
      <errorWord xmlns="http://schemas.wps.cn/vas-ai-hub/contract-review">泄露</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泄漏</item>
      </candidateList>
      <explain xmlns="http://schemas.wps.cn/vas-ai-hub/contract-review">存在发音相同字词的误用。</explain>
      <paraID xmlns="http://schemas.wps.cn/vas-ai-hub/contract-review">4D0FAC68</paraID>
      <start xmlns="http://schemas.wps.cn/vas-ai-hub/contract-review">103</start>
      <end xmlns="http://schemas.wps.cn/vas-ai-hub/contract-review">105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c737c336-701a-4527-b1c7-3bc750495fd7</errorID>
      <errorWord xmlns="http://schemas.wps.cn/vas-ai-hub/contract-revie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、以</item>
      </candidateList>
      <explain xmlns="http://schemas.wps.cn/vas-ai-hub/contract-review"/>
      <paraID xmlns="http://schemas.wps.cn/vas-ai-hub/contract-review">4D0FAC68</paraID>
      <start xmlns="http://schemas.wps.cn/vas-ai-hub/contract-review">126</start>
      <end xmlns="http://schemas.wps.cn/vas-ai-hub/contract-review">127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c2e28b66-f001-4efe-9881-13edd10db4d4</errorID>
      <errorWord xmlns="http://schemas.wps.cn/vas-ai-hub/contract-review">可</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可以</item>
      </candidateList>
      <explain xmlns="http://schemas.wps.cn/vas-ai-hub/contract-review">〈口〉〈形〉❶好；不坏；过得去：这篇文章写得还～。❷厉害：你这张嘴真～｜天气实在热得～。</explain>
      <paraID xmlns="http://schemas.wps.cn/vas-ai-hub/contract-review">302C3D30</paraID>
      <start xmlns="http://schemas.wps.cn/vas-ai-hub/contract-review">140</start>
      <end xmlns="http://schemas.wps.cn/vas-ai-hub/contract-review">141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513c80bd-2777-4c65-b8de-a68ccb5e62b1</errorID>
      <errorWord xmlns="http://schemas.wps.cn/vas-ai-hub/contract-review">增加</errorWord>
      <group xmlns="http://schemas.wps.cn/vas-ai-hub/contract-review">L1_Grammar</group>
      <groupName xmlns="http://schemas.wps.cn/vas-ai-hub/contract-review">语法问题</groupName>
      <ability xmlns="http://schemas.wps.cn/vas-ai-hub/contract-review">L2_Grammar</ability>
      <abilityName xmlns="http://schemas.wps.cn/vas-ai-hub/contract-review">语法错误</abilityName>
      <candidateList xmlns="http://schemas.wps.cn/vas-ai-hub/contract-review">
        <item xmlns="http://schemas.wps.cn/vas-ai-hub/contract-review">提高</item>
      </candidateList>
      <explain xmlns="http://schemas.wps.cn/vas-ai-hub/contract-review">“增加～效率”搭配不当，建议修改为“提高～效率”。</explain>
      <paraID xmlns="http://schemas.wps.cn/vas-ai-hub/contract-review">35A630B3</paraID>
      <start xmlns="http://schemas.wps.cn/vas-ai-hub/contract-review">33</start>
      <end xmlns="http://schemas.wps.cn/vas-ai-hub/contract-review">35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9a963518-bacc-404b-9246-395423bcd59e</errorID>
      <errorWord xmlns="http://schemas.wps.cn/vas-ai-hub/contract-review">综上所诉</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综上所述</item>
      </candidateList>
      <explain xmlns="http://schemas.wps.cn/vas-ai-hub/contract-review"/>
      <paraID xmlns="http://schemas.wps.cn/vas-ai-hub/contract-review">25A0A9CC</paraID>
      <start xmlns="http://schemas.wps.cn/vas-ai-hub/contract-review">190</start>
      <end xmlns="http://schemas.wps.cn/vas-ai-hub/contract-review">194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0a674218-248e-4e43-bb6c-11573305dcae</errorID>
      <errorWord xmlns="http://schemas.wps.cn/vas-ai-hub/contract-review">作</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做</item>
      </candidateList>
      <explain xmlns="http://schemas.wps.cn/vas-ai-hub/contract-review">存在发音相同字词的误用。</explain>
      <paraID xmlns="http://schemas.wps.cn/vas-ai-hub/contract-review">25A0A9CC</paraID>
      <start xmlns="http://schemas.wps.cn/vas-ai-hub/contract-review">208</start>
      <end xmlns="http://schemas.wps.cn/vas-ai-hub/contract-review">209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76227aca-3063-4b2c-8ffd-b9f368e3cca8</errorID>
      <errorWord xmlns="http://schemas.wps.cn/vas-ai-hub/contract-review">对年</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多年</item>
      </candidateList>
      <explain xmlns="http://schemas.wps.cn/vas-ai-hub/contract-review">存在发音相近字词的误用。</explain>
      <paraID xmlns="http://schemas.wps.cn/vas-ai-hub/contract-review">5BC21014</paraID>
      <start xmlns="http://schemas.wps.cn/vas-ai-hub/contract-review">41</start>
      <end xmlns="http://schemas.wps.cn/vas-ai-hub/contract-review">44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74bece50-49a4-4da1-bc46-47dcc9e1b80a</errorID>
      <errorWord xmlns="http://schemas.wps.cn/vas-ai-hub/contract-review">洒</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撒</item>
      </candidateList>
      <explain xmlns="http://schemas.wps.cn/vas-ai-hub/contract-review">存在发音相同字词的误用。</explain>
      <paraID xmlns="http://schemas.wps.cn/vas-ai-hub/contract-review">5CC24515</paraID>
      <start xmlns="http://schemas.wps.cn/vas-ai-hub/contract-review">13</start>
      <end xmlns="http://schemas.wps.cn/vas-ai-hub/contract-review">14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e2f4d4a1-ccc0-4b86-aef6-05b49bc3e75b</errorID>
      <errorWord xmlns="http://schemas.wps.cn/vas-ai-hub/contract-review">洒</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撒</item>
      </candidateList>
      <explain xmlns="http://schemas.wps.cn/vas-ai-hub/contract-review">存在发音相同字词的误用。</explain>
      <paraID xmlns="http://schemas.wps.cn/vas-ai-hub/contract-review">5CC24515</paraID>
      <start xmlns="http://schemas.wps.cn/vas-ai-hub/contract-review">61</start>
      <end xmlns="http://schemas.wps.cn/vas-ai-hub/contract-review">62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a418c232-b570-4878-90c7-5996eef9ae86</errorID>
      <errorWord xmlns="http://schemas.wps.cn/vas-ai-hub/contract-review">减缓</errorWord>
      <group xmlns="http://schemas.wps.cn/vas-ai-hub/contract-review">L1_Grammar</group>
      <groupName xmlns="http://schemas.wps.cn/vas-ai-hub/contract-review">语法问题</groupName>
      <ability xmlns="http://schemas.wps.cn/vas-ai-hub/contract-review">L2_Grammar</ability>
      <abilityName xmlns="http://schemas.wps.cn/vas-ai-hub/contract-review">语法错误</abilityName>
      <candidateList xmlns="http://schemas.wps.cn/vas-ai-hub/contract-review">
        <item xmlns="http://schemas.wps.cn/vas-ai-hub/contract-review">减少</item>
      </candidateList>
      <explain xmlns="http://schemas.wps.cn/vas-ai-hub/contract-review">“最大限度～减缓”搭配不当，建议修改为“最大限度～减少”。</explain>
      <paraID xmlns="http://schemas.wps.cn/vas-ai-hub/contract-review">347AD4C1</paraID>
      <start xmlns="http://schemas.wps.cn/vas-ai-hub/contract-review">105</start>
      <end xmlns="http://schemas.wps.cn/vas-ai-hub/contract-review">107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b48a7dd8-3f5e-4ea3-b22d-4d3d3f17c3c4</errorID>
      <errorWord xmlns="http://schemas.wps.cn/vas-ai-hub/contract-review">外逸</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外溢</item>
      </candidateList>
      <explain xmlns="http://schemas.wps.cn/vas-ai-hub/contract-review"/>
      <paraID xmlns="http://schemas.wps.cn/vas-ai-hub/contract-review">55B65E83</paraID>
      <start xmlns="http://schemas.wps.cn/vas-ai-hub/contract-review">75</start>
      <end xmlns="http://schemas.wps.cn/vas-ai-hub/contract-review">77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3d6ae120-8b6d-48aa-9e86-f55f874c1eb2</errorID>
      <errorWord xmlns="http://schemas.wps.cn/vas-ai-hub/contract-review">管理等</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管理</item>
      </candidateList>
      <explain xmlns="http://schemas.wps.cn/vas-ai-hub/contract-review">〈动〉❶负责某项工作使顺利进行：～财务｜～国家大事。❷保管和料理：～图书｜公园～处。❸照管并约束（人或动物）：～罪犯｜～牲口。</explain>
      <paraID xmlns="http://schemas.wps.cn/vas-ai-hub/contract-review">158F2F11</paraID>
      <start xmlns="http://schemas.wps.cn/vas-ai-hub/contract-review">12</start>
      <end xmlns="http://schemas.wps.cn/vas-ai-hub/contract-review">15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cc47587f-518f-4260-85f0-5c7b46a2f3c1</errorID>
      <errorWord xmlns="http://schemas.wps.cn/vas-ai-hub/contract-review">设</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设置</item>
      </candidateList>
      <explain xmlns="http://schemas.wps.cn/vas-ai-hub/contract-review">〈动〉❶设立：这座剧院是为儿童～的。❷安放；安装：～障碍。</explain>
      <paraID xmlns="http://schemas.wps.cn/vas-ai-hub/contract-review">6980445D</paraID>
      <start xmlns="http://schemas.wps.cn/vas-ai-hub/contract-review">18</start>
      <end xmlns="http://schemas.wps.cn/vas-ai-hub/contract-review">19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7be3ea12-021c-47ed-a33e-a8d865c702af</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216DD380</paraID>
      <start xmlns="http://schemas.wps.cn/vas-ai-hub/contract-review">50</start>
      <end xmlns="http://schemas.wps.cn/vas-ai-hub/contract-review">51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e1121bfd-d9f2-4d5e-967f-8ec119ca015a</errorID>
      <errorWord xmlns="http://schemas.wps.cn/vas-ai-hub/contract-review">&lt;</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4A77197C</paraID>
      <start xmlns="http://schemas.wps.cn/vas-ai-hub/contract-review">28</start>
      <end xmlns="http://schemas.wps.cn/vas-ai-hub/contract-review">29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d08fd8c0-635a-4dfe-a186-4fac90d9333c</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4A77197C</paraID>
      <start xmlns="http://schemas.wps.cn/vas-ai-hub/contract-review">32</start>
      <end xmlns="http://schemas.wps.cn/vas-ai-hub/contract-review">33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b2009b82-4e61-425b-9f19-e33b07e4d297</errorID>
      <errorWord xmlns="http://schemas.wps.cn/vas-ai-hub/contract-review">其它人工</errorWord>
      <group xmlns="http://schemas.wps.cn/vas-ai-hub/contract-review">L1_Word</group>
      <groupName xmlns="http://schemas.wps.cn/vas-ai-hub/contract-review">字词问题</groupName>
      <ability xmlns="http://schemas.wps.cn/vas-ai-hub/contract-review">L2_Alias</ability>
      <abilityName xmlns="http://schemas.wps.cn/vas-ai-hub/contract-review">也作/曾用词</abilityName>
      <candidateList xmlns="http://schemas.wps.cn/vas-ai-hub/contract-review">
        <item xmlns="http://schemas.wps.cn/vas-ai-hub/contract-review">其他人工</item>
      </candidateList>
      <explain xmlns="http://schemas.wps.cn/vas-ai-hub/contract-review">词汇[其它人工]为不规范表述或旧称，其规范书面表述为[其他人工]。</explain>
      <paraID xmlns="http://schemas.wps.cn/vas-ai-hub/contract-review">4A77197C</paraID>
      <start xmlns="http://schemas.wps.cn/vas-ai-hub/contract-review">61</start>
      <end xmlns="http://schemas.wps.cn/vas-ai-hub/contract-review">65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4bdbf3e4-e99b-476b-8478-9dd9fe61b3ce</errorID>
      <errorWord xmlns="http://schemas.wps.cn/vas-ai-hub/contract-review">&lt;</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4A77197C</paraID>
      <start xmlns="http://schemas.wps.cn/vas-ai-hub/contract-review">72</start>
      <end xmlns="http://schemas.wps.cn/vas-ai-hub/contract-review">73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0a8206b1-e83b-4de8-824a-5978aaf59602</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4A77197C</paraID>
      <start xmlns="http://schemas.wps.cn/vas-ai-hub/contract-review">76</start>
      <end xmlns="http://schemas.wps.cn/vas-ai-hub/contract-review">77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18ee7de4-534f-4a58-98c1-b71e9a42ad60</errorID>
      <errorWord xmlns="http://schemas.wps.cn/vas-ai-hub/contract-review">作好</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做好</item>
      </candidateList>
      <explain xmlns="http://schemas.wps.cn/vas-ai-hub/contract-review">存在发音相同字词的误用。</explain>
      <paraID xmlns="http://schemas.wps.cn/vas-ai-hub/contract-review">2A201338</paraID>
      <start xmlns="http://schemas.wps.cn/vas-ai-hub/contract-review">56</start>
      <end xmlns="http://schemas.wps.cn/vas-ai-hub/contract-review">58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dddfdfd1-2a14-4ffd-a2b4-cd7c1afdfe89</errorID>
      <errorWord xmlns="http://schemas.wps.cn/vas-ai-hub/contract-review">减震</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减振</item>
      </candidateList>
      <explain xmlns="http://schemas.wps.cn/vas-ai-hub/contract-review">存在发音相同字词的误用。</explain>
      <paraID xmlns="http://schemas.wps.cn/vas-ai-hub/contract-review">4B30C1A9</paraID>
      <start xmlns="http://schemas.wps.cn/vas-ai-hub/contract-review">11</start>
      <end xmlns="http://schemas.wps.cn/vas-ai-hub/contract-review">13</end>
      <status xmlns="http://schemas.wps.cn/vas-ai-hub/contract-review">unmodified</status>
      <modifiedWord xmlns="http://schemas.wps.cn/vas-ai-hub/contract-review"/>
      <trackRevisions xmlns="http://schemas.wps.cn/vas-ai-hub/contract-review">false</trackRevisions>
    </reviewItem>
  </reviewItems>
  <config xmlns="http://schemas.wps.cn/vas-ai-hub/contract-review"/>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d7e57a2-f3ab-435e-9731-14d1ab045fe7}">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91</Pages>
  <Words>37470</Words>
  <Characters>40285</Characters>
  <Lines>224</Lines>
  <Paragraphs>63</Paragraphs>
  <TotalTime>12</TotalTime>
  <ScaleCrop>false</ScaleCrop>
  <LinksUpToDate>false</LinksUpToDate>
  <CharactersWithSpaces>40523</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2020-12-24T09:42:00Z</dcterms:created>
  <dc:creator>lhj</dc:creator>
  <cp:lastModifiedBy>秦博</cp:lastModifiedBy>
  <cp:lastPrinted>2024-02-07T15:13:00Z</cp:lastPrinted>
  <dcterms:modified xsi:type="dcterms:W3CDTF">2026-03-05T07:29:51Z</dcterms:modified>
  <cp:revision>51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663662669D764C13A8CC4DA827D79E11_13</vt:lpwstr>
  </property>
  <property fmtid="{D5CDD505-2E9C-101B-9397-08002B2CF9AE}" pid="4" name="KSOTemplateDocerSaveRecord">
    <vt:lpwstr>eyJoZGlkIjoiZDFiYjQ4MDIwYmQ1OTc2N2MzMmE2ODllNDQ3MjRkOGYiLCJ1c2VySWQiOiIxNDc3MTE2MTE0In0=</vt:lpwstr>
  </property>
</Properties>
</file>